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C44D7" w:rsidRDefault="003C44D7" w:rsidP="00A427B9">
      <w:pPr>
        <w:jc w:val="center"/>
        <w:rPr>
          <w:b/>
          <w:sz w:val="32"/>
          <w:szCs w:val="32"/>
        </w:rPr>
      </w:pPr>
      <w:bookmarkStart w:id="0" w:name="_GoBack"/>
      <w:bookmarkEnd w:id="0"/>
      <w:r w:rsidRPr="00B5115E">
        <w:rPr>
          <w:b/>
          <w:noProof/>
          <w:sz w:val="32"/>
          <w:szCs w:val="32"/>
        </w:rPr>
        <w:drawing>
          <wp:anchor distT="0" distB="0" distL="114300" distR="114300" simplePos="0" relativeHeight="251659264" behindDoc="1" locked="0" layoutInCell="1" allowOverlap="1" wp14:anchorId="511DAC99">
            <wp:simplePos x="0" y="0"/>
            <wp:positionH relativeFrom="margin">
              <wp:align>right</wp:align>
            </wp:positionH>
            <wp:positionV relativeFrom="paragraph">
              <wp:posOffset>0</wp:posOffset>
            </wp:positionV>
            <wp:extent cx="1584325" cy="89535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HS Wales logo.png"/>
                    <pic:cNvPicPr/>
                  </pic:nvPicPr>
                  <pic:blipFill>
                    <a:blip r:embed="rId5">
                      <a:extLst>
                        <a:ext uri="{28A0092B-C50C-407E-A947-70E740481C1C}">
                          <a14:useLocalDpi xmlns:a14="http://schemas.microsoft.com/office/drawing/2010/main" val="0"/>
                        </a:ext>
                      </a:extLst>
                    </a:blip>
                    <a:stretch>
                      <a:fillRect/>
                    </a:stretch>
                  </pic:blipFill>
                  <pic:spPr>
                    <a:xfrm>
                      <a:off x="0" y="0"/>
                      <a:ext cx="1584325" cy="895350"/>
                    </a:xfrm>
                    <a:prstGeom prst="rect">
                      <a:avLst/>
                    </a:prstGeom>
                  </pic:spPr>
                </pic:pic>
              </a:graphicData>
            </a:graphic>
            <wp14:sizeRelH relativeFrom="margin">
              <wp14:pctWidth>0</wp14:pctWidth>
            </wp14:sizeRelH>
            <wp14:sizeRelV relativeFrom="margin">
              <wp14:pctHeight>0</wp14:pctHeight>
            </wp14:sizeRelV>
          </wp:anchor>
        </w:drawing>
      </w:r>
      <w:r w:rsidRPr="00B5115E">
        <w:rPr>
          <w:noProof/>
          <w:sz w:val="32"/>
          <w:szCs w:val="32"/>
          <w:lang w:eastAsia="en-GB"/>
        </w:rPr>
        <w:drawing>
          <wp:anchor distT="0" distB="0" distL="114300" distR="114300" simplePos="0" relativeHeight="251658240" behindDoc="1" locked="0" layoutInCell="1" allowOverlap="1">
            <wp:simplePos x="0" y="0"/>
            <wp:positionH relativeFrom="margin">
              <wp:align>left</wp:align>
            </wp:positionH>
            <wp:positionV relativeFrom="paragraph">
              <wp:posOffset>0</wp:posOffset>
            </wp:positionV>
            <wp:extent cx="1576070" cy="962025"/>
            <wp:effectExtent l="0" t="0" r="0" b="0"/>
            <wp:wrapTopAndBottom/>
            <wp:docPr id="2" name="Picture 2" descr="cid:image002.png@01DA4954.BD9B19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A4954.BD9B19F0"/>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1576070" cy="9620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427B9" w:rsidRPr="00B5115E" w:rsidRDefault="00A427B9" w:rsidP="00A427B9">
      <w:pPr>
        <w:jc w:val="center"/>
        <w:rPr>
          <w:b/>
          <w:sz w:val="32"/>
          <w:szCs w:val="32"/>
        </w:rPr>
      </w:pPr>
      <w:r w:rsidRPr="00B5115E">
        <w:rPr>
          <w:b/>
          <w:sz w:val="32"/>
          <w:szCs w:val="32"/>
        </w:rPr>
        <w:t xml:space="preserve">South Wales Neuroendocrine Tumour Service </w:t>
      </w:r>
    </w:p>
    <w:p w:rsidR="00BE65C7" w:rsidRDefault="006D1939" w:rsidP="006D1939">
      <w:pPr>
        <w:jc w:val="center"/>
        <w:rPr>
          <w:b/>
          <w:sz w:val="32"/>
          <w:szCs w:val="32"/>
        </w:rPr>
      </w:pPr>
      <w:r w:rsidRPr="006D1939">
        <w:rPr>
          <w:b/>
          <w:sz w:val="32"/>
          <w:szCs w:val="32"/>
        </w:rPr>
        <w:t>Small Intestinal Bacterial Overgrowth (SIBO)</w:t>
      </w:r>
    </w:p>
    <w:p w:rsidR="006D1939" w:rsidRDefault="006D1939" w:rsidP="006D1939">
      <w:pPr>
        <w:jc w:val="both"/>
        <w:rPr>
          <w:rFonts w:ascii="Comic Sans MS" w:hAnsi="Comic Sans MS"/>
          <w:sz w:val="24"/>
          <w:szCs w:val="24"/>
        </w:rPr>
      </w:pPr>
    </w:p>
    <w:p w:rsidR="006D1939" w:rsidRPr="00380B83" w:rsidRDefault="006D1939" w:rsidP="006D1939">
      <w:pPr>
        <w:jc w:val="both"/>
        <w:rPr>
          <w:rFonts w:cstheme="minorHAnsi"/>
          <w:b/>
          <w:sz w:val="24"/>
          <w:szCs w:val="24"/>
        </w:rPr>
      </w:pPr>
      <w:r w:rsidRPr="00380B83">
        <w:rPr>
          <w:rFonts w:cstheme="minorHAnsi"/>
          <w:b/>
          <w:sz w:val="24"/>
          <w:szCs w:val="24"/>
        </w:rPr>
        <w:t>What is SIBO?</w:t>
      </w:r>
    </w:p>
    <w:p w:rsidR="006D1939" w:rsidRPr="00380B83" w:rsidRDefault="006D1939" w:rsidP="006D1939">
      <w:pPr>
        <w:jc w:val="both"/>
        <w:rPr>
          <w:rFonts w:cstheme="minorHAnsi"/>
          <w:sz w:val="24"/>
          <w:szCs w:val="24"/>
        </w:rPr>
      </w:pPr>
      <w:r w:rsidRPr="00380B83">
        <w:rPr>
          <w:rFonts w:cstheme="minorHAnsi"/>
          <w:sz w:val="24"/>
          <w:szCs w:val="24"/>
        </w:rPr>
        <w:t>In healthy people, the small bowel is usually a fairly sterile area and few bacteria are able to survive here.  Nearly all bacteria living in the gastrointestinal tract live in the colon (large bowel).  The bacteria in the colon are very important, they help with the digestion of food.</w:t>
      </w:r>
    </w:p>
    <w:p w:rsidR="006D1939" w:rsidRPr="00380B83" w:rsidRDefault="006D1939" w:rsidP="006D1939">
      <w:pPr>
        <w:jc w:val="both"/>
        <w:rPr>
          <w:rFonts w:cstheme="minorHAnsi"/>
          <w:sz w:val="24"/>
          <w:szCs w:val="24"/>
        </w:rPr>
      </w:pPr>
      <w:r w:rsidRPr="00380B83">
        <w:rPr>
          <w:rFonts w:cstheme="minorHAnsi"/>
          <w:sz w:val="24"/>
          <w:szCs w:val="24"/>
        </w:rPr>
        <w:t xml:space="preserve">However, in some people, surgery or certain medications interfere with the normal control process of the bowel and the patterns of muscular contractions in the small bowel can be changed.  This is often permanent.  Bacteria can then multiply and live within some or all of the small bowel.  This is called ‘small bowel bacterial overgrowth’.  When the bacteria in the small bowel reach high enough </w:t>
      </w:r>
      <w:proofErr w:type="gramStart"/>
      <w:r w:rsidRPr="00380B83">
        <w:rPr>
          <w:rFonts w:cstheme="minorHAnsi"/>
          <w:sz w:val="24"/>
          <w:szCs w:val="24"/>
        </w:rPr>
        <w:t>numbers</w:t>
      </w:r>
      <w:proofErr w:type="gramEnd"/>
      <w:r w:rsidRPr="00380B83">
        <w:rPr>
          <w:rFonts w:cstheme="minorHAnsi"/>
          <w:sz w:val="24"/>
          <w:szCs w:val="24"/>
        </w:rPr>
        <w:t xml:space="preserve"> they start to cause symptoms.</w:t>
      </w:r>
    </w:p>
    <w:p w:rsidR="006D1939" w:rsidRPr="00380B83" w:rsidRDefault="006D1939" w:rsidP="006D1939">
      <w:pPr>
        <w:jc w:val="both"/>
        <w:rPr>
          <w:rFonts w:cstheme="minorHAnsi"/>
          <w:sz w:val="24"/>
          <w:szCs w:val="24"/>
        </w:rPr>
      </w:pPr>
    </w:p>
    <w:p w:rsidR="006D1939" w:rsidRPr="00380B83" w:rsidRDefault="006D1939" w:rsidP="006D1939">
      <w:pPr>
        <w:jc w:val="both"/>
        <w:rPr>
          <w:rFonts w:cstheme="minorHAnsi"/>
          <w:b/>
          <w:sz w:val="24"/>
          <w:szCs w:val="24"/>
        </w:rPr>
      </w:pPr>
      <w:r w:rsidRPr="00380B83">
        <w:rPr>
          <w:rFonts w:cstheme="minorHAnsi"/>
          <w:b/>
          <w:sz w:val="24"/>
          <w:szCs w:val="24"/>
        </w:rPr>
        <w:t>What are the symptoms of small bowel bacterial overgrowth?</w:t>
      </w:r>
    </w:p>
    <w:p w:rsidR="006D1939" w:rsidRPr="00380B83" w:rsidRDefault="006D1939" w:rsidP="006D1939">
      <w:pPr>
        <w:jc w:val="both"/>
        <w:rPr>
          <w:rFonts w:cstheme="minorHAnsi"/>
          <w:sz w:val="24"/>
          <w:szCs w:val="24"/>
        </w:rPr>
      </w:pPr>
      <w:r w:rsidRPr="00380B83">
        <w:rPr>
          <w:rFonts w:cstheme="minorHAnsi"/>
          <w:sz w:val="24"/>
          <w:szCs w:val="24"/>
        </w:rPr>
        <w:t>Small bowel bacterial overgrowth can cause a number of different and vague symptoms.  The most common symptom is diarrhoea.  Other symptoms may include:</w:t>
      </w:r>
    </w:p>
    <w:p w:rsidR="006D1939" w:rsidRPr="00380B83" w:rsidRDefault="006D1939" w:rsidP="006D1939">
      <w:pPr>
        <w:pStyle w:val="ListParagraph"/>
        <w:numPr>
          <w:ilvl w:val="0"/>
          <w:numId w:val="1"/>
        </w:numPr>
        <w:rPr>
          <w:rFonts w:cstheme="minorHAnsi"/>
          <w:sz w:val="24"/>
          <w:szCs w:val="24"/>
        </w:rPr>
      </w:pPr>
      <w:r w:rsidRPr="00380B83">
        <w:rPr>
          <w:rFonts w:cstheme="minorHAnsi"/>
          <w:sz w:val="24"/>
          <w:szCs w:val="24"/>
        </w:rPr>
        <w:t>Pale stools</w:t>
      </w:r>
    </w:p>
    <w:p w:rsidR="006D1939" w:rsidRPr="00380B83" w:rsidRDefault="006D1939" w:rsidP="006D1939">
      <w:pPr>
        <w:pStyle w:val="ListParagraph"/>
        <w:numPr>
          <w:ilvl w:val="0"/>
          <w:numId w:val="1"/>
        </w:numPr>
        <w:rPr>
          <w:rFonts w:cstheme="minorHAnsi"/>
          <w:sz w:val="24"/>
          <w:szCs w:val="24"/>
        </w:rPr>
      </w:pPr>
      <w:r w:rsidRPr="00380B83">
        <w:rPr>
          <w:rFonts w:cstheme="minorHAnsi"/>
          <w:sz w:val="24"/>
          <w:szCs w:val="24"/>
        </w:rPr>
        <w:t>Greasy stools</w:t>
      </w:r>
    </w:p>
    <w:p w:rsidR="006D1939" w:rsidRPr="00380B83" w:rsidRDefault="006D1939" w:rsidP="006D1939">
      <w:pPr>
        <w:pStyle w:val="ListParagraph"/>
        <w:numPr>
          <w:ilvl w:val="0"/>
          <w:numId w:val="1"/>
        </w:numPr>
        <w:rPr>
          <w:rFonts w:cstheme="minorHAnsi"/>
          <w:sz w:val="24"/>
          <w:szCs w:val="24"/>
        </w:rPr>
      </w:pPr>
      <w:r w:rsidRPr="00380B83">
        <w:rPr>
          <w:rFonts w:cstheme="minorHAnsi"/>
          <w:sz w:val="24"/>
          <w:szCs w:val="24"/>
        </w:rPr>
        <w:t>Excess wind</w:t>
      </w:r>
    </w:p>
    <w:p w:rsidR="006D1939" w:rsidRPr="00380B83" w:rsidRDefault="006D1939" w:rsidP="006D1939">
      <w:pPr>
        <w:pStyle w:val="ListParagraph"/>
        <w:numPr>
          <w:ilvl w:val="0"/>
          <w:numId w:val="1"/>
        </w:numPr>
        <w:rPr>
          <w:rFonts w:cstheme="minorHAnsi"/>
          <w:sz w:val="24"/>
          <w:szCs w:val="24"/>
        </w:rPr>
      </w:pPr>
      <w:r w:rsidRPr="00380B83">
        <w:rPr>
          <w:rFonts w:cstheme="minorHAnsi"/>
          <w:sz w:val="24"/>
          <w:szCs w:val="24"/>
        </w:rPr>
        <w:t>Bloating</w:t>
      </w:r>
    </w:p>
    <w:p w:rsidR="006D1939" w:rsidRPr="00380B83" w:rsidRDefault="006D1939" w:rsidP="006D1939">
      <w:pPr>
        <w:pStyle w:val="ListParagraph"/>
        <w:numPr>
          <w:ilvl w:val="0"/>
          <w:numId w:val="1"/>
        </w:numPr>
        <w:rPr>
          <w:rFonts w:cstheme="minorHAnsi"/>
          <w:sz w:val="24"/>
          <w:szCs w:val="24"/>
        </w:rPr>
      </w:pPr>
      <w:r w:rsidRPr="00380B83">
        <w:rPr>
          <w:rFonts w:cstheme="minorHAnsi"/>
          <w:sz w:val="24"/>
          <w:szCs w:val="24"/>
        </w:rPr>
        <w:t>Vomiting</w:t>
      </w:r>
    </w:p>
    <w:p w:rsidR="006D1939" w:rsidRPr="00380B83" w:rsidRDefault="006D1939" w:rsidP="006D1939">
      <w:pPr>
        <w:pStyle w:val="ListParagraph"/>
        <w:numPr>
          <w:ilvl w:val="0"/>
          <w:numId w:val="1"/>
        </w:numPr>
        <w:rPr>
          <w:rFonts w:cstheme="minorHAnsi"/>
          <w:sz w:val="24"/>
          <w:szCs w:val="24"/>
        </w:rPr>
      </w:pPr>
      <w:r w:rsidRPr="00380B83">
        <w:rPr>
          <w:rFonts w:cstheme="minorHAnsi"/>
          <w:sz w:val="24"/>
          <w:szCs w:val="24"/>
        </w:rPr>
        <w:t>Pain</w:t>
      </w:r>
    </w:p>
    <w:p w:rsidR="006D1939" w:rsidRPr="00380B83" w:rsidRDefault="006D1939" w:rsidP="006D1939">
      <w:pPr>
        <w:pStyle w:val="ListParagraph"/>
        <w:numPr>
          <w:ilvl w:val="0"/>
          <w:numId w:val="1"/>
        </w:numPr>
        <w:rPr>
          <w:rFonts w:cstheme="minorHAnsi"/>
          <w:sz w:val="24"/>
          <w:szCs w:val="24"/>
        </w:rPr>
      </w:pPr>
      <w:r w:rsidRPr="00380B83">
        <w:rPr>
          <w:rFonts w:cstheme="minorHAnsi"/>
          <w:sz w:val="24"/>
          <w:szCs w:val="24"/>
        </w:rPr>
        <w:t>Constipation</w:t>
      </w:r>
    </w:p>
    <w:p w:rsidR="006D1939" w:rsidRPr="00380B83" w:rsidRDefault="006D1939" w:rsidP="006D1939">
      <w:pPr>
        <w:jc w:val="both"/>
        <w:rPr>
          <w:rFonts w:cstheme="minorHAnsi"/>
          <w:sz w:val="24"/>
          <w:szCs w:val="24"/>
        </w:rPr>
      </w:pPr>
    </w:p>
    <w:p w:rsidR="006D1939" w:rsidRPr="00380B83" w:rsidRDefault="006D1939" w:rsidP="00380B83">
      <w:pPr>
        <w:jc w:val="both"/>
        <w:rPr>
          <w:rFonts w:cstheme="minorHAnsi"/>
          <w:b/>
          <w:sz w:val="24"/>
          <w:szCs w:val="24"/>
        </w:rPr>
      </w:pPr>
      <w:r w:rsidRPr="00380B83">
        <w:rPr>
          <w:rFonts w:cstheme="minorHAnsi"/>
          <w:b/>
          <w:sz w:val="24"/>
          <w:szCs w:val="24"/>
        </w:rPr>
        <w:t>What causes small bowel bacterial overgrowth?</w:t>
      </w:r>
    </w:p>
    <w:p w:rsidR="006D1939" w:rsidRPr="00380B83" w:rsidRDefault="006D1939" w:rsidP="006D1939">
      <w:pPr>
        <w:pStyle w:val="ListParagraph"/>
        <w:numPr>
          <w:ilvl w:val="0"/>
          <w:numId w:val="1"/>
        </w:numPr>
        <w:jc w:val="both"/>
        <w:rPr>
          <w:rFonts w:cstheme="minorHAnsi"/>
          <w:sz w:val="24"/>
          <w:szCs w:val="24"/>
        </w:rPr>
      </w:pPr>
      <w:r w:rsidRPr="00380B83">
        <w:rPr>
          <w:rFonts w:cstheme="minorHAnsi"/>
          <w:sz w:val="24"/>
          <w:szCs w:val="24"/>
        </w:rPr>
        <w:t>Abdominal or pelvic surgery, after a part of the bowel has been removed</w:t>
      </w:r>
    </w:p>
    <w:p w:rsidR="00493BB2" w:rsidRDefault="006D1939" w:rsidP="006D1939">
      <w:pPr>
        <w:pStyle w:val="ListParagraph"/>
        <w:numPr>
          <w:ilvl w:val="0"/>
          <w:numId w:val="1"/>
        </w:numPr>
        <w:jc w:val="both"/>
        <w:rPr>
          <w:rFonts w:cstheme="minorHAnsi"/>
          <w:sz w:val="24"/>
          <w:szCs w:val="24"/>
        </w:rPr>
      </w:pPr>
      <w:r w:rsidRPr="00493BB2">
        <w:rPr>
          <w:rFonts w:cstheme="minorHAnsi"/>
          <w:sz w:val="24"/>
          <w:szCs w:val="24"/>
        </w:rPr>
        <w:t>Radiotherapy for cancer in the abdomen or pelvis which can disrupt bowel contraction patterns</w:t>
      </w:r>
    </w:p>
    <w:p w:rsidR="00493BB2" w:rsidRDefault="006D1939" w:rsidP="006D1939">
      <w:pPr>
        <w:pStyle w:val="ListParagraph"/>
        <w:numPr>
          <w:ilvl w:val="0"/>
          <w:numId w:val="1"/>
        </w:numPr>
        <w:jc w:val="both"/>
        <w:rPr>
          <w:rFonts w:cstheme="minorHAnsi"/>
          <w:sz w:val="24"/>
          <w:szCs w:val="24"/>
        </w:rPr>
      </w:pPr>
      <w:r w:rsidRPr="00493BB2">
        <w:rPr>
          <w:rFonts w:cstheme="minorHAnsi"/>
          <w:sz w:val="24"/>
          <w:szCs w:val="24"/>
        </w:rPr>
        <w:t>A weakened immune system, such as during and after chemotherapy</w:t>
      </w:r>
    </w:p>
    <w:p w:rsidR="006D1939" w:rsidRPr="00493BB2" w:rsidRDefault="006D1939" w:rsidP="006D1939">
      <w:pPr>
        <w:pStyle w:val="ListParagraph"/>
        <w:numPr>
          <w:ilvl w:val="0"/>
          <w:numId w:val="1"/>
        </w:numPr>
        <w:jc w:val="both"/>
        <w:rPr>
          <w:rFonts w:cstheme="minorHAnsi"/>
          <w:sz w:val="24"/>
          <w:szCs w:val="24"/>
        </w:rPr>
      </w:pPr>
      <w:r w:rsidRPr="00493BB2">
        <w:rPr>
          <w:rFonts w:cstheme="minorHAnsi"/>
          <w:sz w:val="24"/>
          <w:szCs w:val="24"/>
        </w:rPr>
        <w:lastRenderedPageBreak/>
        <w:t>Diabetes and other diseases such as scleroderma, jejunal diverticulosis, chronic pancreatitis and Crohn’s disease</w:t>
      </w:r>
    </w:p>
    <w:p w:rsidR="006D1939" w:rsidRPr="00380B83" w:rsidRDefault="006D1939" w:rsidP="006D1939">
      <w:pPr>
        <w:pStyle w:val="ListParagraph"/>
        <w:numPr>
          <w:ilvl w:val="0"/>
          <w:numId w:val="1"/>
        </w:numPr>
        <w:jc w:val="both"/>
        <w:rPr>
          <w:rFonts w:cstheme="minorHAnsi"/>
          <w:sz w:val="24"/>
          <w:szCs w:val="24"/>
        </w:rPr>
      </w:pPr>
      <w:r w:rsidRPr="00380B83">
        <w:rPr>
          <w:rFonts w:cstheme="minorHAnsi"/>
          <w:sz w:val="24"/>
          <w:szCs w:val="24"/>
        </w:rPr>
        <w:t>It probably happens in 10% of the population when sometimes it is misdiagnosed as irritable bowel syndrome (IBS)</w:t>
      </w:r>
    </w:p>
    <w:p w:rsidR="00103A98" w:rsidRPr="00380B83" w:rsidRDefault="00103A98" w:rsidP="00103A98">
      <w:pPr>
        <w:jc w:val="both"/>
        <w:rPr>
          <w:rFonts w:cstheme="minorHAnsi"/>
          <w:sz w:val="24"/>
          <w:szCs w:val="24"/>
        </w:rPr>
      </w:pPr>
    </w:p>
    <w:p w:rsidR="00103A98" w:rsidRPr="00380B83" w:rsidRDefault="00103A98" w:rsidP="00103A98">
      <w:pPr>
        <w:pStyle w:val="ListParagraph"/>
        <w:ind w:left="0"/>
        <w:rPr>
          <w:rFonts w:cstheme="minorHAnsi"/>
          <w:b/>
          <w:sz w:val="24"/>
          <w:szCs w:val="24"/>
        </w:rPr>
      </w:pPr>
      <w:r w:rsidRPr="00380B83">
        <w:rPr>
          <w:rFonts w:cstheme="minorHAnsi"/>
          <w:b/>
          <w:sz w:val="24"/>
          <w:szCs w:val="24"/>
        </w:rPr>
        <w:t>How is small bowel bacterial overgrowth diagnosed?</w:t>
      </w:r>
    </w:p>
    <w:p w:rsidR="00103A98" w:rsidRPr="00380B83" w:rsidRDefault="00103A98" w:rsidP="00103A98">
      <w:pPr>
        <w:pStyle w:val="ListParagraph"/>
        <w:ind w:left="0"/>
        <w:rPr>
          <w:rFonts w:cstheme="minorHAnsi"/>
          <w:b/>
          <w:sz w:val="24"/>
          <w:szCs w:val="24"/>
        </w:rPr>
      </w:pPr>
    </w:p>
    <w:p w:rsidR="00103A98" w:rsidRPr="00380B83" w:rsidRDefault="00103A98" w:rsidP="00103A98">
      <w:pPr>
        <w:pStyle w:val="ListParagraph"/>
        <w:numPr>
          <w:ilvl w:val="0"/>
          <w:numId w:val="3"/>
        </w:numPr>
        <w:jc w:val="both"/>
        <w:rPr>
          <w:rFonts w:cstheme="minorHAnsi"/>
          <w:sz w:val="24"/>
          <w:szCs w:val="24"/>
        </w:rPr>
      </w:pPr>
      <w:r w:rsidRPr="00380B83">
        <w:rPr>
          <w:rFonts w:cstheme="minorHAnsi"/>
          <w:sz w:val="24"/>
          <w:szCs w:val="24"/>
        </w:rPr>
        <w:t xml:space="preserve">A breath test which </w:t>
      </w:r>
      <w:r w:rsidRPr="00380B83">
        <w:rPr>
          <w:rFonts w:cstheme="minorHAnsi"/>
          <w:color w:val="111111"/>
          <w:sz w:val="24"/>
          <w:szCs w:val="24"/>
          <w:shd w:val="clear" w:color="auto" w:fill="FFFFFF"/>
        </w:rPr>
        <w:t>involves drinking a sugar solution and measuring the levels of hydrogen and methane gases in the breath over a period of time.</w:t>
      </w:r>
    </w:p>
    <w:p w:rsidR="00103A98" w:rsidRPr="00380B83" w:rsidRDefault="00103A98" w:rsidP="00103A98">
      <w:pPr>
        <w:pStyle w:val="ListParagraph"/>
        <w:numPr>
          <w:ilvl w:val="0"/>
          <w:numId w:val="2"/>
        </w:numPr>
        <w:jc w:val="both"/>
        <w:rPr>
          <w:rFonts w:cstheme="minorHAnsi"/>
          <w:sz w:val="24"/>
          <w:szCs w:val="24"/>
        </w:rPr>
      </w:pPr>
      <w:r w:rsidRPr="00380B83">
        <w:rPr>
          <w:rFonts w:cstheme="minorHAnsi"/>
          <w:sz w:val="24"/>
          <w:szCs w:val="24"/>
        </w:rPr>
        <w:t xml:space="preserve">Some people who have bacterial overgrowth have mildly abnormal blood tests that indicate a </w:t>
      </w:r>
      <w:proofErr w:type="gramStart"/>
      <w:r w:rsidRPr="00380B83">
        <w:rPr>
          <w:rFonts w:cstheme="minorHAnsi"/>
          <w:sz w:val="24"/>
          <w:szCs w:val="24"/>
        </w:rPr>
        <w:t>low grade</w:t>
      </w:r>
      <w:proofErr w:type="gramEnd"/>
      <w:r w:rsidRPr="00380B83">
        <w:rPr>
          <w:rFonts w:cstheme="minorHAnsi"/>
          <w:sz w:val="24"/>
          <w:szCs w:val="24"/>
        </w:rPr>
        <w:t xml:space="preserve"> infection which suggests it might be present.</w:t>
      </w:r>
    </w:p>
    <w:p w:rsidR="00103A98" w:rsidRPr="00380B83" w:rsidRDefault="00103A98" w:rsidP="00103A98">
      <w:pPr>
        <w:pStyle w:val="ListParagraph"/>
        <w:numPr>
          <w:ilvl w:val="0"/>
          <w:numId w:val="2"/>
        </w:numPr>
        <w:jc w:val="both"/>
        <w:rPr>
          <w:rFonts w:cstheme="minorHAnsi"/>
          <w:sz w:val="24"/>
          <w:szCs w:val="24"/>
        </w:rPr>
      </w:pPr>
      <w:r w:rsidRPr="00380B83">
        <w:rPr>
          <w:rFonts w:cstheme="minorHAnsi"/>
          <w:sz w:val="24"/>
          <w:szCs w:val="24"/>
        </w:rPr>
        <w:t>Gastroscopy (Endoscopy) to look at the small bowel and remove fluid from the gut.  If the fluid grows bacteria in the lab it is helpful in determining what antibiotics will be most effective.</w:t>
      </w:r>
    </w:p>
    <w:p w:rsidR="006D1939" w:rsidRPr="00380B83" w:rsidRDefault="00103A98" w:rsidP="00103A98">
      <w:pPr>
        <w:ind w:left="360"/>
        <w:jc w:val="both"/>
        <w:rPr>
          <w:rFonts w:cstheme="minorHAnsi"/>
          <w:sz w:val="24"/>
          <w:szCs w:val="24"/>
        </w:rPr>
      </w:pPr>
      <w:r w:rsidRPr="00380B83">
        <w:rPr>
          <w:rFonts w:cstheme="minorHAnsi"/>
          <w:sz w:val="24"/>
          <w:szCs w:val="24"/>
        </w:rPr>
        <w:t>None of these tests are completely accurate.  Sometimes the doctor will prefer to give a trial of an antibiotic to see if a person’s symptoms improve, rather than waiting to do tests to look for bacterial overgrowth.  Finding the right antibiotic may involve trial and error and may require more antibiotics in the future.</w:t>
      </w:r>
    </w:p>
    <w:p w:rsidR="00103A98" w:rsidRPr="00380B83" w:rsidRDefault="00103A98" w:rsidP="00103A98">
      <w:pPr>
        <w:ind w:left="360"/>
        <w:jc w:val="both"/>
        <w:rPr>
          <w:rFonts w:cstheme="minorHAnsi"/>
          <w:sz w:val="24"/>
          <w:szCs w:val="24"/>
        </w:rPr>
      </w:pPr>
    </w:p>
    <w:p w:rsidR="00103A98" w:rsidRDefault="00103A98" w:rsidP="00103A98">
      <w:pPr>
        <w:pStyle w:val="ListParagraph"/>
        <w:ind w:left="0"/>
        <w:rPr>
          <w:rFonts w:cstheme="minorHAnsi"/>
          <w:b/>
          <w:sz w:val="24"/>
          <w:szCs w:val="24"/>
        </w:rPr>
      </w:pPr>
      <w:r w:rsidRPr="00380B83">
        <w:rPr>
          <w:rFonts w:cstheme="minorHAnsi"/>
          <w:b/>
          <w:sz w:val="24"/>
          <w:szCs w:val="24"/>
        </w:rPr>
        <w:t>How is small bowel bacterial overgrowth treated?</w:t>
      </w:r>
    </w:p>
    <w:p w:rsidR="009A5824" w:rsidRPr="00380B83" w:rsidRDefault="009A5824" w:rsidP="00103A98">
      <w:pPr>
        <w:pStyle w:val="ListParagraph"/>
        <w:ind w:left="0"/>
        <w:rPr>
          <w:rFonts w:cstheme="minorHAnsi"/>
          <w:b/>
          <w:sz w:val="24"/>
          <w:szCs w:val="24"/>
        </w:rPr>
      </w:pPr>
    </w:p>
    <w:p w:rsidR="00103A98" w:rsidRPr="009A5824" w:rsidRDefault="0051117F" w:rsidP="00103A98">
      <w:pPr>
        <w:pStyle w:val="ListParagraph"/>
        <w:numPr>
          <w:ilvl w:val="0"/>
          <w:numId w:val="5"/>
        </w:numPr>
        <w:rPr>
          <w:rFonts w:cstheme="minorHAnsi"/>
          <w:sz w:val="24"/>
          <w:szCs w:val="24"/>
        </w:rPr>
      </w:pPr>
      <w:r w:rsidRPr="009A5824">
        <w:rPr>
          <w:rFonts w:cstheme="minorHAnsi"/>
          <w:sz w:val="24"/>
          <w:szCs w:val="24"/>
        </w:rPr>
        <w:t>Antibiotics: sometimes more than one course is needed</w:t>
      </w:r>
    </w:p>
    <w:p w:rsidR="0051117F" w:rsidRPr="009A5824" w:rsidRDefault="0051117F" w:rsidP="00103A98">
      <w:pPr>
        <w:pStyle w:val="ListParagraph"/>
        <w:numPr>
          <w:ilvl w:val="0"/>
          <w:numId w:val="5"/>
        </w:numPr>
        <w:rPr>
          <w:rFonts w:cstheme="minorHAnsi"/>
          <w:sz w:val="24"/>
          <w:szCs w:val="24"/>
        </w:rPr>
      </w:pPr>
      <w:r w:rsidRPr="009A5824">
        <w:rPr>
          <w:rFonts w:cstheme="minorHAnsi"/>
          <w:sz w:val="24"/>
          <w:szCs w:val="24"/>
        </w:rPr>
        <w:t xml:space="preserve">Probiotics: </w:t>
      </w:r>
      <w:r w:rsidR="006B1D8F" w:rsidRPr="009A5824">
        <w:rPr>
          <w:rFonts w:cstheme="minorHAnsi"/>
          <w:sz w:val="24"/>
          <w:szCs w:val="24"/>
        </w:rPr>
        <w:t>these</w:t>
      </w:r>
      <w:r w:rsidRPr="009A5824">
        <w:rPr>
          <w:rFonts w:cstheme="minorHAnsi"/>
          <w:sz w:val="24"/>
          <w:szCs w:val="24"/>
        </w:rPr>
        <w:t xml:space="preserve"> are not</w:t>
      </w:r>
      <w:r w:rsidR="006B1D8F" w:rsidRPr="009A5824">
        <w:rPr>
          <w:rFonts w:cstheme="minorHAnsi"/>
          <w:sz w:val="24"/>
          <w:szCs w:val="24"/>
        </w:rPr>
        <w:t xml:space="preserve"> currently</w:t>
      </w:r>
      <w:r w:rsidRPr="009A5824">
        <w:rPr>
          <w:rFonts w:cstheme="minorHAnsi"/>
          <w:sz w:val="24"/>
          <w:szCs w:val="24"/>
        </w:rPr>
        <w:t xml:space="preserve"> available on prescription as few have undergone </w:t>
      </w:r>
      <w:r w:rsidR="006B1D8F" w:rsidRPr="009A5824">
        <w:rPr>
          <w:rFonts w:cstheme="minorHAnsi"/>
          <w:sz w:val="24"/>
          <w:szCs w:val="24"/>
        </w:rPr>
        <w:t>testing in clinical trials</w:t>
      </w:r>
      <w:r w:rsidRPr="009A5824">
        <w:rPr>
          <w:rFonts w:cstheme="minorHAnsi"/>
          <w:sz w:val="24"/>
          <w:szCs w:val="24"/>
        </w:rPr>
        <w:t xml:space="preserve"> but over-the-counter probiotics may help to increase the number of ‘good’ bacteria</w:t>
      </w:r>
    </w:p>
    <w:p w:rsidR="006B1D8F" w:rsidRPr="00380B83" w:rsidRDefault="006B1D8F" w:rsidP="006B1D8F">
      <w:pPr>
        <w:pStyle w:val="ListParagraph"/>
        <w:numPr>
          <w:ilvl w:val="0"/>
          <w:numId w:val="5"/>
        </w:numPr>
        <w:rPr>
          <w:rFonts w:cstheme="minorHAnsi"/>
          <w:b/>
          <w:sz w:val="24"/>
          <w:szCs w:val="24"/>
        </w:rPr>
      </w:pPr>
      <w:r w:rsidRPr="009A5824">
        <w:rPr>
          <w:rFonts w:cstheme="minorHAnsi"/>
          <w:sz w:val="24"/>
          <w:szCs w:val="24"/>
        </w:rPr>
        <w:t>Treatment to make the bowel contract more effectively: if</w:t>
      </w:r>
      <w:r w:rsidRPr="00380B83">
        <w:rPr>
          <w:rFonts w:cstheme="minorHAnsi"/>
          <w:sz w:val="24"/>
          <w:szCs w:val="24"/>
        </w:rPr>
        <w:t xml:space="preserve"> the bowel can be made to move more efficiently, this may prevent bacteria from growing in large enough numbers to cause problems. </w:t>
      </w:r>
      <w:r w:rsidR="00380B83" w:rsidRPr="00380B83">
        <w:rPr>
          <w:rFonts w:cstheme="minorHAnsi"/>
          <w:sz w:val="24"/>
          <w:szCs w:val="24"/>
        </w:rPr>
        <w:t xml:space="preserve"> For example. o</w:t>
      </w:r>
      <w:r w:rsidRPr="00380B83">
        <w:rPr>
          <w:rFonts w:cstheme="minorHAnsi"/>
          <w:sz w:val="24"/>
          <w:szCs w:val="24"/>
        </w:rPr>
        <w:t>ne of the side effects of an antidepressant drug called Paroxetine is that it also speeds up the contractions of the small bowel.  This may be useful in low doses with bacterial overgrowth.</w:t>
      </w:r>
    </w:p>
    <w:p w:rsidR="006B1D8F" w:rsidRPr="006B1D8F" w:rsidRDefault="006B1D8F" w:rsidP="006B1D8F">
      <w:pPr>
        <w:ind w:left="360"/>
        <w:rPr>
          <w:rFonts w:ascii="Comic Sans MS" w:hAnsi="Comic Sans MS"/>
          <w:b/>
          <w:sz w:val="30"/>
          <w:szCs w:val="30"/>
        </w:rPr>
      </w:pPr>
    </w:p>
    <w:p w:rsidR="00BE65C7" w:rsidRPr="00E95006" w:rsidRDefault="00380B83" w:rsidP="00E95006">
      <w:pPr>
        <w:jc w:val="center"/>
        <w:rPr>
          <w:b/>
          <w:sz w:val="24"/>
          <w:szCs w:val="24"/>
        </w:rPr>
      </w:pPr>
      <w:bookmarkStart w:id="1" w:name="_Hlk156397489"/>
      <w:r>
        <w:rPr>
          <w:b/>
          <w:sz w:val="24"/>
          <w:szCs w:val="24"/>
        </w:rPr>
        <w:t>F</w:t>
      </w:r>
      <w:r w:rsidR="00BE65C7" w:rsidRPr="00E95006">
        <w:rPr>
          <w:b/>
          <w:sz w:val="24"/>
          <w:szCs w:val="24"/>
        </w:rPr>
        <w:t>or further information</w:t>
      </w:r>
      <w:r w:rsidR="00E95006" w:rsidRPr="00E95006">
        <w:rPr>
          <w:b/>
          <w:sz w:val="24"/>
          <w:szCs w:val="24"/>
        </w:rPr>
        <w:t xml:space="preserve"> please</w:t>
      </w:r>
      <w:r w:rsidR="00BE65C7" w:rsidRPr="00E95006">
        <w:rPr>
          <w:b/>
          <w:sz w:val="24"/>
          <w:szCs w:val="24"/>
        </w:rPr>
        <w:t xml:space="preserve"> contact</w:t>
      </w:r>
    </w:p>
    <w:p w:rsidR="00E95006" w:rsidRPr="00E95006" w:rsidRDefault="00E95006" w:rsidP="00E95006">
      <w:pPr>
        <w:jc w:val="center"/>
        <w:rPr>
          <w:b/>
          <w:sz w:val="24"/>
          <w:szCs w:val="24"/>
        </w:rPr>
      </w:pPr>
      <w:r w:rsidRPr="00E95006">
        <w:rPr>
          <w:b/>
          <w:sz w:val="24"/>
          <w:szCs w:val="24"/>
        </w:rPr>
        <w:t>Cath Powell/</w:t>
      </w:r>
      <w:proofErr w:type="spellStart"/>
      <w:r w:rsidRPr="00E95006">
        <w:rPr>
          <w:b/>
          <w:sz w:val="24"/>
          <w:szCs w:val="24"/>
        </w:rPr>
        <w:t>Beccy</w:t>
      </w:r>
      <w:proofErr w:type="spellEnd"/>
      <w:r w:rsidRPr="00E95006">
        <w:rPr>
          <w:b/>
          <w:sz w:val="24"/>
          <w:szCs w:val="24"/>
        </w:rPr>
        <w:t xml:space="preserve"> Taylor/Kath Denny</w:t>
      </w:r>
    </w:p>
    <w:p w:rsidR="00E95006" w:rsidRPr="00E95006" w:rsidRDefault="00E95006" w:rsidP="00E95006">
      <w:pPr>
        <w:jc w:val="center"/>
        <w:rPr>
          <w:b/>
          <w:sz w:val="24"/>
          <w:szCs w:val="24"/>
        </w:rPr>
      </w:pPr>
      <w:r w:rsidRPr="00E95006">
        <w:rPr>
          <w:b/>
          <w:sz w:val="24"/>
          <w:szCs w:val="24"/>
        </w:rPr>
        <w:t>029 21842807</w:t>
      </w:r>
    </w:p>
    <w:p w:rsidR="00E95006" w:rsidRPr="00E95006" w:rsidRDefault="00E95006" w:rsidP="00E95006">
      <w:pPr>
        <w:jc w:val="center"/>
        <w:rPr>
          <w:b/>
          <w:sz w:val="24"/>
          <w:szCs w:val="24"/>
        </w:rPr>
      </w:pPr>
      <w:r w:rsidRPr="00E95006">
        <w:rPr>
          <w:b/>
          <w:sz w:val="24"/>
          <w:szCs w:val="24"/>
        </w:rPr>
        <w:t>NET.service@wales.nhs.uk</w:t>
      </w:r>
    </w:p>
    <w:bookmarkEnd w:id="1"/>
    <w:p w:rsidR="002650D7" w:rsidRDefault="002650D7">
      <w:pPr>
        <w:rPr>
          <w:sz w:val="24"/>
          <w:szCs w:val="24"/>
        </w:rPr>
      </w:pPr>
    </w:p>
    <w:p w:rsidR="002650D7" w:rsidRPr="00A427B9" w:rsidRDefault="002650D7" w:rsidP="002650D7">
      <w:pPr>
        <w:jc w:val="center"/>
        <w:rPr>
          <w:sz w:val="24"/>
          <w:szCs w:val="24"/>
        </w:rPr>
      </w:pPr>
    </w:p>
    <w:sectPr w:rsidR="002650D7" w:rsidRPr="00A427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AD419F"/>
    <w:multiLevelType w:val="hybridMultilevel"/>
    <w:tmpl w:val="69F208A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AE600B"/>
    <w:multiLevelType w:val="hybridMultilevel"/>
    <w:tmpl w:val="9C18CD10"/>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3C721E15"/>
    <w:multiLevelType w:val="hybridMultilevel"/>
    <w:tmpl w:val="6EC6FA3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2E11A57"/>
    <w:multiLevelType w:val="hybridMultilevel"/>
    <w:tmpl w:val="3A7E6FE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17A1B0F"/>
    <w:multiLevelType w:val="hybridMultilevel"/>
    <w:tmpl w:val="12F0FC1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27B9"/>
    <w:rsid w:val="0005121E"/>
    <w:rsid w:val="00103A98"/>
    <w:rsid w:val="002650D7"/>
    <w:rsid w:val="00380B83"/>
    <w:rsid w:val="003C44D7"/>
    <w:rsid w:val="00493BB2"/>
    <w:rsid w:val="0051117F"/>
    <w:rsid w:val="006B1D8F"/>
    <w:rsid w:val="006D1939"/>
    <w:rsid w:val="006E6550"/>
    <w:rsid w:val="007A782A"/>
    <w:rsid w:val="009A5824"/>
    <w:rsid w:val="00A427B9"/>
    <w:rsid w:val="00B5115E"/>
    <w:rsid w:val="00BE65C7"/>
    <w:rsid w:val="00E9336A"/>
    <w:rsid w:val="00E95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1D581E-7ED3-4B6B-94DD-1AB547892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D193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cid:image002.png@01DA4954.BD9B19F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491</Words>
  <Characters>2799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Powell (Cardiff and Vale UHB - Gastroenterology)</dc:creator>
  <cp:keywords/>
  <dc:description/>
  <cp:lastModifiedBy>Tony Charles (Cardiff and Vale UHB - Digital &amp; Health Intelligence)</cp:lastModifiedBy>
  <cp:revision>2</cp:revision>
  <dcterms:created xsi:type="dcterms:W3CDTF">2024-03-01T10:18:00Z</dcterms:created>
  <dcterms:modified xsi:type="dcterms:W3CDTF">2024-03-01T10:18:00Z</dcterms:modified>
</cp:coreProperties>
</file>