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97D3BE" w14:textId="7A038C41" w:rsidR="00D20C8A" w:rsidRPr="00863F82" w:rsidRDefault="00B16417">
      <w:pPr>
        <w:rPr>
          <w:b/>
          <w:bCs/>
          <w:sz w:val="32"/>
          <w:szCs w:val="32"/>
          <w:u w:val="single"/>
        </w:rPr>
      </w:pPr>
      <w:bookmarkStart w:id="0" w:name="_Hlk212548533"/>
      <w:r w:rsidRPr="00863F82">
        <w:rPr>
          <w:b/>
          <w:bCs/>
          <w:sz w:val="32"/>
          <w:szCs w:val="32"/>
          <w:u w:val="single"/>
        </w:rPr>
        <w:t>Cardiff and Vale Research and Development Finance Policy</w:t>
      </w:r>
      <w:r w:rsidR="006562C5">
        <w:rPr>
          <w:b/>
          <w:bCs/>
          <w:sz w:val="32"/>
          <w:szCs w:val="32"/>
          <w:u w:val="single"/>
        </w:rPr>
        <w:t xml:space="preserve"> Implementation</w:t>
      </w:r>
    </w:p>
    <w:bookmarkEnd w:id="0"/>
    <w:p w14:paraId="309F6840" w14:textId="54A68B65" w:rsidR="00B16417" w:rsidRDefault="00B16417">
      <w:pPr>
        <w:rPr>
          <w:i/>
          <w:iCs/>
        </w:rPr>
      </w:pPr>
      <w:r w:rsidRPr="00B16417">
        <w:rPr>
          <w:i/>
          <w:iCs/>
        </w:rPr>
        <w:t>Draft v</w:t>
      </w:r>
      <w:r w:rsidR="00920B95">
        <w:rPr>
          <w:i/>
          <w:iCs/>
        </w:rPr>
        <w:t>6</w:t>
      </w:r>
      <w:r w:rsidR="00B95E47">
        <w:rPr>
          <w:i/>
          <w:iCs/>
        </w:rPr>
        <w:t>.</w:t>
      </w:r>
      <w:r w:rsidR="00D97884">
        <w:rPr>
          <w:i/>
          <w:iCs/>
        </w:rPr>
        <w:t>1</w:t>
      </w:r>
      <w:r w:rsidR="00881B52">
        <w:rPr>
          <w:i/>
          <w:iCs/>
        </w:rPr>
        <w:t xml:space="preserve"> – </w:t>
      </w:r>
      <w:r w:rsidR="00D97884">
        <w:rPr>
          <w:i/>
          <w:iCs/>
        </w:rPr>
        <w:t>04</w:t>
      </w:r>
      <w:r w:rsidR="00881B52">
        <w:rPr>
          <w:i/>
          <w:iCs/>
        </w:rPr>
        <w:t>/</w:t>
      </w:r>
      <w:r w:rsidR="00920B95">
        <w:rPr>
          <w:i/>
          <w:iCs/>
        </w:rPr>
        <w:t>0</w:t>
      </w:r>
      <w:r w:rsidR="00D97884">
        <w:rPr>
          <w:i/>
          <w:iCs/>
        </w:rPr>
        <w:t>3</w:t>
      </w:r>
      <w:r w:rsidR="00881B52">
        <w:rPr>
          <w:i/>
          <w:iCs/>
        </w:rPr>
        <w:t>/202</w:t>
      </w:r>
      <w:r w:rsidR="00920B95">
        <w:rPr>
          <w:i/>
          <w:iCs/>
        </w:rPr>
        <w:t>6</w:t>
      </w:r>
    </w:p>
    <w:p w14:paraId="4B407A87" w14:textId="77777777" w:rsidR="009527E3" w:rsidRPr="00863F82" w:rsidRDefault="009527E3">
      <w:pPr>
        <w:rPr>
          <w:i/>
          <w:iCs/>
        </w:rPr>
      </w:pPr>
    </w:p>
    <w:p w14:paraId="6E6F2CF3" w14:textId="77777777" w:rsidR="00B16417" w:rsidRPr="00863F82" w:rsidRDefault="00B16417">
      <w:pPr>
        <w:rPr>
          <w:b/>
          <w:bCs/>
          <w:sz w:val="28"/>
          <w:szCs w:val="28"/>
          <w:u w:val="single"/>
        </w:rPr>
      </w:pPr>
      <w:r w:rsidRPr="00863F82">
        <w:rPr>
          <w:b/>
          <w:bCs/>
          <w:sz w:val="28"/>
          <w:szCs w:val="28"/>
          <w:u w:val="single"/>
        </w:rPr>
        <w:t>1. Background &amp; Context</w:t>
      </w:r>
    </w:p>
    <w:p w14:paraId="1B355A4B" w14:textId="0BC2DEFF" w:rsidR="008573C0" w:rsidRDefault="008573C0">
      <w:r w:rsidRPr="008573C0">
        <w:t xml:space="preserve">This </w:t>
      </w:r>
      <w:r w:rsidR="006562C5">
        <w:t>document</w:t>
      </w:r>
      <w:r w:rsidRPr="008573C0">
        <w:t xml:space="preserve"> describes the</w:t>
      </w:r>
      <w:r w:rsidR="006562C5">
        <w:t xml:space="preserve"> implementation of the updated R&amp;D Finance Policy. It</w:t>
      </w:r>
      <w:r w:rsidRPr="008573C0">
        <w:t xml:space="preserve"> </w:t>
      </w:r>
      <w:r w:rsidR="006562C5">
        <w:t xml:space="preserve">details the </w:t>
      </w:r>
      <w:r w:rsidRPr="008573C0">
        <w:t>requirements and systems in place for the costing, management, accountability</w:t>
      </w:r>
      <w:r w:rsidR="00F14192">
        <w:t>,</w:t>
      </w:r>
      <w:r w:rsidRPr="008573C0">
        <w:t xml:space="preserve"> and distribution of all research related funding and income within</w:t>
      </w:r>
      <w:r>
        <w:t xml:space="preserve"> Cardiff and Vale UHB. It applies to all </w:t>
      </w:r>
      <w:r w:rsidRPr="008573C0">
        <w:t xml:space="preserve">commercial and </w:t>
      </w:r>
      <w:r w:rsidR="00A6747F">
        <w:t>non-</w:t>
      </w:r>
      <w:r w:rsidRPr="008573C0">
        <w:t>commercial research activities</w:t>
      </w:r>
      <w:r>
        <w:t>, regardless of how they are being funded</w:t>
      </w:r>
      <w:r w:rsidR="00300F0A">
        <w:t>.</w:t>
      </w:r>
    </w:p>
    <w:p w14:paraId="6E9D9033" w14:textId="3929D64F" w:rsidR="005F7050" w:rsidRDefault="00300F0A" w:rsidP="00300F0A">
      <w:r w:rsidRPr="00300F0A">
        <w:t>NHS organisations have a duty to ensure that income from research covers the costs incurred, without calling on routine clinical service or patient care budgets.</w:t>
      </w:r>
      <w:r>
        <w:t xml:space="preserve"> Similarly, income generated by research is to be invested to support research within the organisation. These principles underpin this policy.</w:t>
      </w:r>
    </w:p>
    <w:p w14:paraId="1C321C46" w14:textId="4576A055" w:rsidR="00B16417" w:rsidRDefault="00300F0A" w:rsidP="00D128A3">
      <w:r>
        <w:t>Participating in research can provide significant and substantial potential savings to the NHS and</w:t>
      </w:r>
      <w:r w:rsidR="00BE2588">
        <w:t xml:space="preserve"> this</w:t>
      </w:r>
      <w:r>
        <w:t xml:space="preserve"> should be recognised widely as an additional benefit in supporting high quality research. Nevertheless, the overall net effect of a</w:t>
      </w:r>
      <w:r w:rsidR="00B47857">
        <w:t>ny</w:t>
      </w:r>
      <w:r>
        <w:t xml:space="preserve"> research activity must be reviewed. All R&amp;D activity is subject to </w:t>
      </w:r>
      <w:r w:rsidR="00DA59BA">
        <w:t xml:space="preserve">the </w:t>
      </w:r>
      <w:r w:rsidR="00463F70">
        <w:t>H</w:t>
      </w:r>
      <w:r w:rsidR="00DA59BA">
        <w:t xml:space="preserve">ealth </w:t>
      </w:r>
      <w:r w:rsidR="00463F70">
        <w:t>B</w:t>
      </w:r>
      <w:r w:rsidR="00DA59BA">
        <w:t>oard’s policies and procedures</w:t>
      </w:r>
      <w:r>
        <w:t xml:space="preserve"> and should seek to be financially secure and </w:t>
      </w:r>
      <w:r w:rsidRPr="00863F82">
        <w:t xml:space="preserve">not burdensome on the </w:t>
      </w:r>
      <w:r w:rsidR="00463F70">
        <w:t>H</w:t>
      </w:r>
      <w:r w:rsidR="00DA59BA">
        <w:t xml:space="preserve">ealth </w:t>
      </w:r>
      <w:r w:rsidR="00463F70">
        <w:t>B</w:t>
      </w:r>
      <w:r w:rsidR="00DA59BA">
        <w:t>oard</w:t>
      </w:r>
      <w:r w:rsidRPr="00863F82">
        <w:t>.</w:t>
      </w:r>
    </w:p>
    <w:p w14:paraId="6DBA2283" w14:textId="35A8566D" w:rsidR="008415A7" w:rsidRDefault="008415A7" w:rsidP="00D128A3">
      <w:r w:rsidRPr="008415A7">
        <w:t xml:space="preserve">All </w:t>
      </w:r>
      <w:r w:rsidR="00804AD1">
        <w:t>f</w:t>
      </w:r>
      <w:r w:rsidRPr="008415A7">
        <w:t xml:space="preserve">inancial </w:t>
      </w:r>
      <w:r w:rsidR="00804AD1">
        <w:t>t</w:t>
      </w:r>
      <w:r w:rsidR="00804AD1" w:rsidRPr="008415A7">
        <w:t>ransactions supporting</w:t>
      </w:r>
      <w:r w:rsidRPr="008415A7">
        <w:t xml:space="preserve"> research must comply with the </w:t>
      </w:r>
      <w:r w:rsidR="00463F70">
        <w:t>Health Board’</w:t>
      </w:r>
      <w:r w:rsidRPr="008415A7">
        <w:t xml:space="preserve">s Standing Financial Instructions (SFIs) which cover responsibilities </w:t>
      </w:r>
      <w:r w:rsidR="00A34211" w:rsidRPr="008415A7">
        <w:t>including</w:t>
      </w:r>
      <w:r w:rsidRPr="008415A7">
        <w:t xml:space="preserve"> delegation, audit, fraud prevention, budgeting, procurement, income management, capital investment, payroll, and asset security.</w:t>
      </w:r>
      <w:r>
        <w:t xml:space="preserve"> </w:t>
      </w:r>
      <w:r w:rsidR="00463F70">
        <w:t>Cardiff and Vale</w:t>
      </w:r>
      <w:r w:rsidRPr="008415A7">
        <w:t xml:space="preserve"> UHB’s Financial Reporting cycle runs from April </w:t>
      </w:r>
      <w:r w:rsidR="00A34211">
        <w:t>t</w:t>
      </w:r>
      <w:r w:rsidRPr="008415A7">
        <w:t xml:space="preserve">o March which means that the reporting of all </w:t>
      </w:r>
      <w:r w:rsidR="00EC5093">
        <w:t>r</w:t>
      </w:r>
      <w:r w:rsidRPr="008415A7">
        <w:t xml:space="preserve">esearch </w:t>
      </w:r>
      <w:r w:rsidR="00EC5093">
        <w:t>i</w:t>
      </w:r>
      <w:r w:rsidRPr="008415A7">
        <w:t>ncome and expenditure must follow the same cycle.</w:t>
      </w:r>
    </w:p>
    <w:p w14:paraId="70012C24" w14:textId="77777777" w:rsidR="009527E3" w:rsidRPr="008415A7" w:rsidRDefault="009527E3" w:rsidP="00D128A3"/>
    <w:p w14:paraId="01ECA796" w14:textId="54AA3517" w:rsidR="00B16417" w:rsidRPr="00863F82" w:rsidRDefault="00860D4E">
      <w:pPr>
        <w:rPr>
          <w:b/>
          <w:bCs/>
          <w:sz w:val="28"/>
          <w:szCs w:val="28"/>
          <w:u w:val="single"/>
        </w:rPr>
      </w:pPr>
      <w:r>
        <w:rPr>
          <w:b/>
          <w:bCs/>
          <w:sz w:val="28"/>
          <w:szCs w:val="28"/>
          <w:u w:val="single"/>
        </w:rPr>
        <w:t>2</w:t>
      </w:r>
      <w:r w:rsidR="00B16417" w:rsidRPr="00863F82">
        <w:rPr>
          <w:b/>
          <w:bCs/>
          <w:sz w:val="28"/>
          <w:szCs w:val="28"/>
          <w:u w:val="single"/>
        </w:rPr>
        <w:t>. Research account</w:t>
      </w:r>
      <w:r w:rsidR="005F7050" w:rsidRPr="00863F82">
        <w:rPr>
          <w:b/>
          <w:bCs/>
          <w:sz w:val="28"/>
          <w:szCs w:val="28"/>
          <w:u w:val="single"/>
        </w:rPr>
        <w:t xml:space="preserve"> types</w:t>
      </w:r>
      <w:r w:rsidR="00B16417" w:rsidRPr="00863F82">
        <w:rPr>
          <w:b/>
          <w:bCs/>
          <w:sz w:val="28"/>
          <w:szCs w:val="28"/>
          <w:u w:val="single"/>
        </w:rPr>
        <w:t xml:space="preserve"> and</w:t>
      </w:r>
      <w:r w:rsidR="005F7050" w:rsidRPr="00863F82">
        <w:rPr>
          <w:b/>
          <w:bCs/>
          <w:sz w:val="28"/>
          <w:szCs w:val="28"/>
          <w:u w:val="single"/>
        </w:rPr>
        <w:t xml:space="preserve"> their management</w:t>
      </w:r>
    </w:p>
    <w:p w14:paraId="5CAD81CD" w14:textId="0C4B4377" w:rsidR="000B6167" w:rsidRPr="007655B1" w:rsidRDefault="00860D4E">
      <w:pPr>
        <w:rPr>
          <w:b/>
          <w:bCs/>
          <w:u w:val="single"/>
        </w:rPr>
      </w:pPr>
      <w:r>
        <w:rPr>
          <w:b/>
          <w:bCs/>
          <w:u w:val="single"/>
        </w:rPr>
        <w:t>2</w:t>
      </w:r>
      <w:r w:rsidR="00D128A3">
        <w:rPr>
          <w:b/>
          <w:bCs/>
          <w:u w:val="single"/>
        </w:rPr>
        <w:t>.</w:t>
      </w:r>
      <w:r w:rsidR="000B6167" w:rsidRPr="007655B1">
        <w:rPr>
          <w:b/>
          <w:bCs/>
          <w:u w:val="single"/>
        </w:rPr>
        <w:t>1 Account Types</w:t>
      </w:r>
    </w:p>
    <w:p w14:paraId="6EE5D512" w14:textId="21354E08" w:rsidR="005F7050" w:rsidRDefault="00957801" w:rsidP="000B6167">
      <w:r>
        <w:t xml:space="preserve">There are the following accounts </w:t>
      </w:r>
      <w:r w:rsidR="00075322">
        <w:t xml:space="preserve">are </w:t>
      </w:r>
      <w:r w:rsidR="00B95E47">
        <w:t xml:space="preserve">to be </w:t>
      </w:r>
      <w:r>
        <w:t xml:space="preserve">held </w:t>
      </w:r>
      <w:r w:rsidR="00B95E47">
        <w:t xml:space="preserve">on the ledger </w:t>
      </w:r>
      <w:r>
        <w:t>for research:</w:t>
      </w:r>
    </w:p>
    <w:p w14:paraId="51609BD9" w14:textId="6DF4B8C4" w:rsidR="00957801" w:rsidRPr="00B95E47" w:rsidRDefault="00957801">
      <w:pPr>
        <w:rPr>
          <w:u w:val="single"/>
        </w:rPr>
      </w:pPr>
      <w:r w:rsidRPr="00B95E47">
        <w:rPr>
          <w:u w:val="single"/>
        </w:rPr>
        <w:t>a. Research Activity Accounts</w:t>
      </w:r>
    </w:p>
    <w:p w14:paraId="2C2DFAD5" w14:textId="2F2CC6F8" w:rsidR="00957801" w:rsidRDefault="00957801" w:rsidP="00B95E47">
      <w:r>
        <w:lastRenderedPageBreak/>
        <w:t xml:space="preserve">These </w:t>
      </w:r>
      <w:r w:rsidR="00D627B3">
        <w:t xml:space="preserve">are income and expenditure </w:t>
      </w:r>
      <w:r>
        <w:t xml:space="preserve">accounts </w:t>
      </w:r>
      <w:r w:rsidR="00D627B3">
        <w:t xml:space="preserve">that </w:t>
      </w:r>
      <w:r>
        <w:t xml:space="preserve">support the ongoing research activity in </w:t>
      </w:r>
      <w:r w:rsidR="00F14192">
        <w:t xml:space="preserve">the </w:t>
      </w:r>
      <w:r w:rsidR="00463F70">
        <w:t>H</w:t>
      </w:r>
      <w:r w:rsidR="00F14192">
        <w:t xml:space="preserve">ealth </w:t>
      </w:r>
      <w:r w:rsidR="00463F70">
        <w:t>B</w:t>
      </w:r>
      <w:r w:rsidR="00F14192">
        <w:t>oard</w:t>
      </w:r>
      <w:r>
        <w:t xml:space="preserve">. These are to be managed by the R&amp;D </w:t>
      </w:r>
      <w:r w:rsidR="00F80F18">
        <w:t>Office and have a</w:t>
      </w:r>
      <w:r>
        <w:t xml:space="preserve"> budget holder from within the R&amp;D team. These accounts should collect all income from R&amp;D, excluding</w:t>
      </w:r>
      <w:r w:rsidR="00F80F18">
        <w:t xml:space="preserve"> any</w:t>
      </w:r>
      <w:r>
        <w:t xml:space="preserve"> amount</w:t>
      </w:r>
      <w:r w:rsidR="00F80F18">
        <w:t>s</w:t>
      </w:r>
      <w:r>
        <w:t xml:space="preserve"> detailed below in other R&amp;D accounts, and handle costs relating to ongoing R&amp;D operations.</w:t>
      </w:r>
      <w:r w:rsidR="00F80F18">
        <w:t xml:space="preserve"> These accounts </w:t>
      </w:r>
      <w:r w:rsidR="00B95E47">
        <w:t>are to be separated</w:t>
      </w:r>
      <w:r w:rsidR="00F80F18">
        <w:t xml:space="preserve"> by funding </w:t>
      </w:r>
      <w:r w:rsidR="00B95E47">
        <w:t>source and may be further disaggregated by research specialty</w:t>
      </w:r>
      <w:r w:rsidR="00F80F18">
        <w:t xml:space="preserve"> as required to maximise the ability for efficient and accurate reporting and fund management.</w:t>
      </w:r>
      <w:r w:rsidR="00B95E47">
        <w:t xml:space="preserve"> For example, one account may cover a specific grant in order to ensure compliance with the funding requirements and reporting</w:t>
      </w:r>
      <w:r w:rsidR="00E43D31">
        <w:t xml:space="preserve"> regulation</w:t>
      </w:r>
      <w:r w:rsidR="00B95E47">
        <w:t xml:space="preserve"> as part of the relevant agreement, </w:t>
      </w:r>
      <w:r w:rsidR="003C18A8">
        <w:t>whilst another</w:t>
      </w:r>
      <w:r w:rsidR="00B95E47">
        <w:t xml:space="preserve"> account may cover all commercial income for a specific research area.</w:t>
      </w:r>
    </w:p>
    <w:p w14:paraId="3D00A08F" w14:textId="65E8E572" w:rsidR="00E246DC" w:rsidRDefault="00E246DC" w:rsidP="00B95E47">
      <w:r>
        <w:t>These accounts are to sit centrally under the corporate level four cost centre ‘B110’. Existing operational accounts that currently contribute to individual directorate financial positions will undergo a transition period as we move them out of the applicable directorate.</w:t>
      </w:r>
    </w:p>
    <w:p w14:paraId="75A5F201" w14:textId="064DB3BB" w:rsidR="00957801" w:rsidRPr="00B95E47" w:rsidRDefault="00B95E47">
      <w:pPr>
        <w:rPr>
          <w:u w:val="single"/>
        </w:rPr>
      </w:pPr>
      <w:r w:rsidRPr="00B95E47">
        <w:rPr>
          <w:u w:val="single"/>
        </w:rPr>
        <w:t>b</w:t>
      </w:r>
      <w:r w:rsidR="00957801" w:rsidRPr="00B95E47">
        <w:rPr>
          <w:u w:val="single"/>
        </w:rPr>
        <w:t xml:space="preserve">. Investigator </w:t>
      </w:r>
      <w:r w:rsidR="00EA2B4B">
        <w:rPr>
          <w:u w:val="single"/>
        </w:rPr>
        <w:t xml:space="preserve">Specialty </w:t>
      </w:r>
      <w:r w:rsidR="00957801" w:rsidRPr="00B95E47">
        <w:rPr>
          <w:u w:val="single"/>
        </w:rPr>
        <w:t>Accounts</w:t>
      </w:r>
    </w:p>
    <w:p w14:paraId="0CF7898F" w14:textId="64BB025B" w:rsidR="00F80F18" w:rsidRDefault="00F80F18">
      <w:r>
        <w:t xml:space="preserve">These </w:t>
      </w:r>
      <w:r w:rsidR="00D627B3">
        <w:t xml:space="preserve">are balance sheet </w:t>
      </w:r>
      <w:r>
        <w:t xml:space="preserve">accounts </w:t>
      </w:r>
      <w:r w:rsidR="00D627B3">
        <w:t xml:space="preserve">(deferred income) that </w:t>
      </w:r>
      <w:r>
        <w:t xml:space="preserve">are intended to hold research related income for individual research active clinical specialties. A portion of commercial income is to be allocated to these accounts to provide researchers with funds to undertake </w:t>
      </w:r>
      <w:r w:rsidR="00780323">
        <w:t xml:space="preserve">capacity building for </w:t>
      </w:r>
      <w:r>
        <w:t xml:space="preserve">research activities that do not have other funding streams available. </w:t>
      </w:r>
    </w:p>
    <w:p w14:paraId="6826F6AF" w14:textId="627B52D2" w:rsidR="00970E7A" w:rsidRDefault="00970E7A" w:rsidP="00970E7A">
      <w:r>
        <w:t xml:space="preserve">These are intended to replace </w:t>
      </w:r>
      <w:r w:rsidRPr="00970E7A">
        <w:t>Principal Investigator Trading Accounts (PI accounts</w:t>
      </w:r>
      <w:r>
        <w:t>), and as such upon adoption of the updated Research and Development Finance Policy, the PI accounts will be consolidated into the new Investigator Specialty accounts. It is worth highlighting that all applicable uses of funds in the PI accounts are still relevant for the new investigator specialty accounts. The ‘Investigator Speciality Account Usage and Guidance’ file outlines this and details the usage of these accounts.</w:t>
      </w:r>
    </w:p>
    <w:p w14:paraId="1879D93D" w14:textId="0ECBCA7D" w:rsidR="00957801" w:rsidRPr="00C225E2" w:rsidRDefault="00B95E47">
      <w:pPr>
        <w:rPr>
          <w:u w:val="single"/>
        </w:rPr>
      </w:pPr>
      <w:r w:rsidRPr="00C225E2">
        <w:rPr>
          <w:u w:val="single"/>
        </w:rPr>
        <w:t>c</w:t>
      </w:r>
      <w:r w:rsidR="00957801" w:rsidRPr="00C225E2">
        <w:rPr>
          <w:u w:val="single"/>
        </w:rPr>
        <w:t>. Capacity Building Account</w:t>
      </w:r>
    </w:p>
    <w:p w14:paraId="5EEA2FBF" w14:textId="75564116" w:rsidR="000B6167" w:rsidRDefault="00F80F18">
      <w:r>
        <w:t>Th</w:t>
      </w:r>
      <w:r w:rsidR="00D627B3">
        <w:t xml:space="preserve">is is a balance sheet account (deferred income) that </w:t>
      </w:r>
      <w:r>
        <w:t>hold</w:t>
      </w:r>
      <w:r w:rsidR="00D627B3">
        <w:t>s</w:t>
      </w:r>
      <w:r>
        <w:t xml:space="preserve"> the capacity building element as described by the commercial income distribution below. Th</w:t>
      </w:r>
      <w:r w:rsidR="00D627B3">
        <w:t>is</w:t>
      </w:r>
      <w:r>
        <w:t xml:space="preserve"> account </w:t>
      </w:r>
      <w:r w:rsidR="00D627B3">
        <w:t>is</w:t>
      </w:r>
      <w:r>
        <w:t xml:space="preserve"> </w:t>
      </w:r>
      <w:r w:rsidR="000B6167">
        <w:t xml:space="preserve">to be used for ensuring a continued ability of the organisation </w:t>
      </w:r>
      <w:r w:rsidR="00F14192">
        <w:t xml:space="preserve">as a whole </w:t>
      </w:r>
      <w:r w:rsidR="000B6167">
        <w:t>to deliver research as part of care provision. This may include building sustainable research infrastructure, building capacity to innovate, retaining skills, and strengthening organisational capacity and eligibility for research projects. A regular review of these amounts should be made to ensure that there is an ongoing plan for the expenditure that is to be drawn from these accounts.</w:t>
      </w:r>
      <w:r w:rsidR="00C225E2">
        <w:t xml:space="preserve"> </w:t>
      </w:r>
    </w:p>
    <w:p w14:paraId="3B6D177B" w14:textId="77777777" w:rsidR="00134F0E" w:rsidRDefault="00134F0E"/>
    <w:p w14:paraId="7CA0906F" w14:textId="488D4A71" w:rsidR="00E21176" w:rsidRPr="00C225E2" w:rsidRDefault="00E21176" w:rsidP="00E21176">
      <w:pPr>
        <w:rPr>
          <w:u w:val="single"/>
        </w:rPr>
      </w:pPr>
      <w:r>
        <w:rPr>
          <w:u w:val="single"/>
        </w:rPr>
        <w:lastRenderedPageBreak/>
        <w:t>d</w:t>
      </w:r>
      <w:r w:rsidRPr="00C225E2">
        <w:rPr>
          <w:u w:val="single"/>
        </w:rPr>
        <w:t xml:space="preserve">. </w:t>
      </w:r>
      <w:r>
        <w:rPr>
          <w:u w:val="single"/>
        </w:rPr>
        <w:t>Overhead</w:t>
      </w:r>
      <w:r w:rsidRPr="00C225E2">
        <w:rPr>
          <w:u w:val="single"/>
        </w:rPr>
        <w:t xml:space="preserve"> Account</w:t>
      </w:r>
    </w:p>
    <w:p w14:paraId="39C07A8B" w14:textId="40120EA7" w:rsidR="00E21176" w:rsidRDefault="00D627B3">
      <w:r>
        <w:t xml:space="preserve">This is an income and expenditure account that holds the overhead element as described by the commercial income distribution below. Any </w:t>
      </w:r>
      <w:r w:rsidR="00134F0E">
        <w:t xml:space="preserve">overhead </w:t>
      </w:r>
      <w:r>
        <w:t xml:space="preserve">costs relating to </w:t>
      </w:r>
      <w:r w:rsidRPr="00772DA5">
        <w:t>research that</w:t>
      </w:r>
      <w:r w:rsidR="00772DA5" w:rsidRPr="00772DA5">
        <w:t xml:space="preserve"> fall</w:t>
      </w:r>
      <w:r w:rsidR="00772DA5">
        <w:t xml:space="preserve"> outside of the scope and control of the R&amp;D office, however, are mandated by greater requirements from within the Health Board, may be offset against the income recognised in this account.</w:t>
      </w:r>
    </w:p>
    <w:p w14:paraId="20714140" w14:textId="3383EC42" w:rsidR="000B6167" w:rsidRPr="007655B1" w:rsidRDefault="00860D4E">
      <w:pPr>
        <w:rPr>
          <w:b/>
          <w:bCs/>
          <w:u w:val="single"/>
        </w:rPr>
      </w:pPr>
      <w:r>
        <w:rPr>
          <w:b/>
          <w:bCs/>
          <w:u w:val="single"/>
        </w:rPr>
        <w:t>2</w:t>
      </w:r>
      <w:r w:rsidR="000B6167" w:rsidRPr="007655B1">
        <w:rPr>
          <w:b/>
          <w:bCs/>
          <w:u w:val="single"/>
        </w:rPr>
        <w:t>.2 Account Management</w:t>
      </w:r>
    </w:p>
    <w:p w14:paraId="5E939175" w14:textId="04563060" w:rsidR="000B6167" w:rsidRDefault="000B6167">
      <w:r>
        <w:t xml:space="preserve">It is the responsibility of the R&amp;D </w:t>
      </w:r>
      <w:r w:rsidR="00832939">
        <w:t>M</w:t>
      </w:r>
      <w:r>
        <w:t xml:space="preserve">anager and R&amp;D </w:t>
      </w:r>
      <w:r w:rsidR="00832939">
        <w:t>F</w:t>
      </w:r>
      <w:r>
        <w:t xml:space="preserve">inance </w:t>
      </w:r>
      <w:r w:rsidR="00832939">
        <w:t>M</w:t>
      </w:r>
      <w:r>
        <w:t xml:space="preserve">anager to set-up and maintain all R&amp;D accounts. </w:t>
      </w:r>
      <w:r w:rsidR="00C225E2">
        <w:t>Any new research activity accounts, or investigator</w:t>
      </w:r>
      <w:r w:rsidR="00EA2B4B">
        <w:t xml:space="preserve"> specialty</w:t>
      </w:r>
      <w:r w:rsidR="00C225E2">
        <w:t xml:space="preserve"> accounts</w:t>
      </w:r>
      <w:r>
        <w:t xml:space="preserve"> are only to be opened </w:t>
      </w:r>
      <w:r w:rsidR="00AA3C2F">
        <w:t xml:space="preserve">for incurring costs </w:t>
      </w:r>
      <w:r>
        <w:t xml:space="preserve">once suitable evidence is obtained for the confirmation of funding, namely C&amp;C </w:t>
      </w:r>
      <w:r w:rsidR="00134F0E">
        <w:t xml:space="preserve">of a study, </w:t>
      </w:r>
      <w:r>
        <w:t>or a grant funding confirmation letter.</w:t>
      </w:r>
    </w:p>
    <w:p w14:paraId="299EB6B0" w14:textId="5879622E" w:rsidR="000B6167" w:rsidRDefault="000B6167">
      <w:r>
        <w:t xml:space="preserve">Only studies approved by the R&amp;D Office can have costs incurred by the R&amp;D accounts. Charitable research grants may be handled outside of this policy, and in-line with the </w:t>
      </w:r>
      <w:r w:rsidR="00463F70">
        <w:t>H</w:t>
      </w:r>
      <w:r w:rsidR="003C18A8">
        <w:t xml:space="preserve">ealth </w:t>
      </w:r>
      <w:r w:rsidR="00463F70">
        <w:t>B</w:t>
      </w:r>
      <w:r>
        <w:t xml:space="preserve">oard’s charitable donation’s policy instead, </w:t>
      </w:r>
      <w:r w:rsidR="00134F0E">
        <w:t xml:space="preserve">only </w:t>
      </w:r>
      <w:r>
        <w:t>where the guidance is deemed to be more suitable and applicable to the circumstances of the donation.</w:t>
      </w:r>
    </w:p>
    <w:p w14:paraId="3633BB87" w14:textId="15FFD61F" w:rsidR="00A00C62" w:rsidRPr="00912909" w:rsidRDefault="00A00C62">
      <w:r>
        <w:t>Investigator</w:t>
      </w:r>
      <w:r w:rsidR="00EA2B4B">
        <w:t xml:space="preserve"> specialty</w:t>
      </w:r>
      <w:r>
        <w:t xml:space="preserve"> accounts are under the control of the collective of investigators of the applicable research speciality. </w:t>
      </w:r>
      <w:r w:rsidR="00D627B3">
        <w:t>Investigators involved in the applicable research speciality must collectively</w:t>
      </w:r>
      <w:r>
        <w:t xml:space="preserve"> agree the use of these </w:t>
      </w:r>
      <w:r w:rsidRPr="005061DB">
        <w:t>funds. All investigators in each speciality are encouraged to work co</w:t>
      </w:r>
      <w:r w:rsidRPr="00A00C62">
        <w:t>llaboratively as a consortium, planning income and expenditure, undertaking overall management of their account.</w:t>
      </w:r>
      <w:r w:rsidR="00D128A3">
        <w:t xml:space="preserve"> No account is designated to be the property of any one </w:t>
      </w:r>
      <w:r w:rsidR="003C18A8">
        <w:t>investigator,</w:t>
      </w:r>
      <w:r w:rsidR="00D128A3">
        <w:t xml:space="preserve"> and </w:t>
      </w:r>
      <w:r w:rsidR="00D128A3" w:rsidRPr="00912909">
        <w:t xml:space="preserve">we remind investigators that all funds </w:t>
      </w:r>
      <w:r w:rsidR="00AA3C2F">
        <w:t>remain subject to</w:t>
      </w:r>
      <w:r w:rsidR="005061DB" w:rsidRPr="00912909">
        <w:t xml:space="preserve"> </w:t>
      </w:r>
      <w:r w:rsidR="00992962" w:rsidRPr="00912909">
        <w:t>the health board</w:t>
      </w:r>
      <w:r w:rsidR="00AA3C2F">
        <w:t>’s</w:t>
      </w:r>
      <w:r w:rsidR="00992962" w:rsidRPr="00912909">
        <w:t xml:space="preserve"> policies and procedures</w:t>
      </w:r>
      <w:r w:rsidR="005061DB" w:rsidRPr="00912909">
        <w:t>.</w:t>
      </w:r>
      <w:r w:rsidR="00D627B3">
        <w:t xml:space="preserve"> The research specialty lead will be accountable for managing the investigator specialty account and will act as the point of approval for costs that are to be incurred by this account.</w:t>
      </w:r>
    </w:p>
    <w:p w14:paraId="0B35E1F9" w14:textId="06AAB6E0" w:rsidR="00D627B3" w:rsidRDefault="00D627B3" w:rsidP="00D627B3">
      <w:r>
        <w:t xml:space="preserve">As with all accounts within the </w:t>
      </w:r>
      <w:r w:rsidR="00463F70">
        <w:t>H</w:t>
      </w:r>
      <w:r>
        <w:t xml:space="preserve">ealth </w:t>
      </w:r>
      <w:r w:rsidR="00463F70">
        <w:t>B</w:t>
      </w:r>
      <w:r>
        <w:t xml:space="preserve">oard, budget holders are accountable for managing the research and other services within the delegated budgets, investigating variances and developing corrective plans, seeking consent for overspends or income shortfalls, and ensuring funds are used only for authorised purposes. </w:t>
      </w:r>
      <w:r w:rsidRPr="00912909">
        <w:t>Invoices for</w:t>
      </w:r>
      <w:r>
        <w:t xml:space="preserve"> funds inwards are to be requested via the finance office and are not automatically generated.</w:t>
      </w:r>
    </w:p>
    <w:p w14:paraId="7E0425FA" w14:textId="2D2AC641" w:rsidR="00D627B3" w:rsidRDefault="00D627B3"/>
    <w:p w14:paraId="022BFA7F" w14:textId="2433773F" w:rsidR="005F7050" w:rsidRPr="00863F82" w:rsidRDefault="008922F6">
      <w:pPr>
        <w:rPr>
          <w:b/>
          <w:bCs/>
          <w:sz w:val="28"/>
          <w:szCs w:val="28"/>
          <w:u w:val="single"/>
        </w:rPr>
      </w:pPr>
      <w:r>
        <w:rPr>
          <w:b/>
          <w:bCs/>
          <w:sz w:val="28"/>
          <w:szCs w:val="28"/>
          <w:u w:val="single"/>
        </w:rPr>
        <w:t>3</w:t>
      </w:r>
      <w:r w:rsidR="005F7050" w:rsidRPr="00863F82">
        <w:rPr>
          <w:b/>
          <w:bCs/>
          <w:sz w:val="28"/>
          <w:szCs w:val="28"/>
          <w:u w:val="single"/>
        </w:rPr>
        <w:t xml:space="preserve">. Income </w:t>
      </w:r>
      <w:r w:rsidR="005E473B">
        <w:rPr>
          <w:b/>
          <w:bCs/>
          <w:sz w:val="28"/>
          <w:szCs w:val="28"/>
          <w:u w:val="single"/>
        </w:rPr>
        <w:t>D</w:t>
      </w:r>
      <w:r w:rsidR="005F7050" w:rsidRPr="00863F82">
        <w:rPr>
          <w:b/>
          <w:bCs/>
          <w:sz w:val="28"/>
          <w:szCs w:val="28"/>
          <w:u w:val="single"/>
        </w:rPr>
        <w:t>istribution</w:t>
      </w:r>
    </w:p>
    <w:p w14:paraId="13292FFE" w14:textId="4C332FF2" w:rsidR="00EB58A5" w:rsidRDefault="00EB58A5">
      <w:r>
        <w:t xml:space="preserve">The model used for the distribution of income is </w:t>
      </w:r>
      <w:r w:rsidR="00A82AAA">
        <w:t>dependent</w:t>
      </w:r>
      <w:r>
        <w:t xml:space="preserve"> on the nature of the R&amp;D study to which it relates.</w:t>
      </w:r>
    </w:p>
    <w:p w14:paraId="5F73B6FF" w14:textId="4D110B09" w:rsidR="00957801" w:rsidRPr="00EB58A5" w:rsidRDefault="008922F6" w:rsidP="00EB58A5">
      <w:pPr>
        <w:rPr>
          <w:b/>
          <w:bCs/>
          <w:u w:val="single"/>
        </w:rPr>
      </w:pPr>
      <w:r>
        <w:rPr>
          <w:b/>
          <w:bCs/>
          <w:u w:val="single"/>
        </w:rPr>
        <w:lastRenderedPageBreak/>
        <w:t>3</w:t>
      </w:r>
      <w:r w:rsidR="00EB58A5" w:rsidRPr="00027C91">
        <w:rPr>
          <w:b/>
          <w:bCs/>
          <w:u w:val="single"/>
        </w:rPr>
        <w:t xml:space="preserve">.1. </w:t>
      </w:r>
      <w:r w:rsidR="00957801" w:rsidRPr="00027C91">
        <w:rPr>
          <w:b/>
          <w:bCs/>
          <w:u w:val="single"/>
        </w:rPr>
        <w:t xml:space="preserve">Income </w:t>
      </w:r>
      <w:r w:rsidR="005E473B" w:rsidRPr="00027C91">
        <w:rPr>
          <w:b/>
          <w:bCs/>
          <w:u w:val="single"/>
        </w:rPr>
        <w:t>D</w:t>
      </w:r>
      <w:r w:rsidR="00957801" w:rsidRPr="00027C91">
        <w:rPr>
          <w:b/>
          <w:bCs/>
          <w:u w:val="single"/>
        </w:rPr>
        <w:t xml:space="preserve">istribution </w:t>
      </w:r>
      <w:r w:rsidR="005E473B" w:rsidRPr="00027C91">
        <w:rPr>
          <w:b/>
          <w:bCs/>
          <w:u w:val="single"/>
        </w:rPr>
        <w:t>from</w:t>
      </w:r>
      <w:r w:rsidR="00957801" w:rsidRPr="00027C91">
        <w:rPr>
          <w:b/>
          <w:bCs/>
          <w:u w:val="single"/>
        </w:rPr>
        <w:t xml:space="preserve"> </w:t>
      </w:r>
      <w:r w:rsidR="005E473B" w:rsidRPr="00027C91">
        <w:rPr>
          <w:b/>
          <w:bCs/>
          <w:u w:val="single"/>
        </w:rPr>
        <w:t>C</w:t>
      </w:r>
      <w:r w:rsidR="00957801" w:rsidRPr="00027C91">
        <w:rPr>
          <w:b/>
          <w:bCs/>
          <w:u w:val="single"/>
        </w:rPr>
        <w:t xml:space="preserve">ommercial </w:t>
      </w:r>
      <w:r w:rsidR="005E473B" w:rsidRPr="00027C91">
        <w:rPr>
          <w:b/>
          <w:bCs/>
          <w:u w:val="single"/>
        </w:rPr>
        <w:t>S</w:t>
      </w:r>
      <w:r w:rsidR="00957801" w:rsidRPr="00027C91">
        <w:rPr>
          <w:b/>
          <w:bCs/>
          <w:u w:val="single"/>
        </w:rPr>
        <w:t>tud</w:t>
      </w:r>
      <w:r w:rsidR="005E473B" w:rsidRPr="00027C91">
        <w:rPr>
          <w:b/>
          <w:bCs/>
          <w:u w:val="single"/>
        </w:rPr>
        <w:t>y Sponsors</w:t>
      </w:r>
    </w:p>
    <w:p w14:paraId="0729C8C8" w14:textId="5C5630F7" w:rsidR="00B2263D" w:rsidRDefault="00B2263D">
      <w:r>
        <w:t xml:space="preserve">The income distribution model for commercial studies, depends on the type of cost that is being billed. </w:t>
      </w:r>
      <w:r w:rsidR="00160858">
        <w:t>With the NCVR approach,</w:t>
      </w:r>
      <w:r>
        <w:t xml:space="preserve"> there are two types of costs that arise, </w:t>
      </w:r>
      <w:r w:rsidR="004B29A8">
        <w:t>each having</w:t>
      </w:r>
      <w:r>
        <w:t xml:space="preserve"> different</w:t>
      </w:r>
      <w:r w:rsidR="00160858">
        <w:t xml:space="preserve"> income</w:t>
      </w:r>
      <w:r>
        <w:t xml:space="preserve"> models applied.</w:t>
      </w:r>
      <w:r w:rsidR="00CD1735">
        <w:t xml:space="preserve"> These are referred to as investigation costs and procedural costs. Ultimately the classification of any procedure is </w:t>
      </w:r>
      <w:r w:rsidR="004B00FE">
        <w:t>dictated by</w:t>
      </w:r>
      <w:r w:rsidR="00CD1735">
        <w:t xml:space="preserve"> the iCT and as such the underlying model is also dependant on </w:t>
      </w:r>
      <w:r w:rsidR="004B29A8">
        <w:t xml:space="preserve">the </w:t>
      </w:r>
      <w:r w:rsidR="004B00FE">
        <w:t>iCT.</w:t>
      </w:r>
    </w:p>
    <w:p w14:paraId="23C477D4" w14:textId="45B7EA9C" w:rsidR="004B00FE" w:rsidRDefault="002E7301" w:rsidP="00027C91">
      <w:pPr>
        <w:rPr>
          <w:u w:val="single"/>
        </w:rPr>
      </w:pPr>
      <w:r>
        <w:rPr>
          <w:u w:val="single"/>
        </w:rPr>
        <w:t>A</w:t>
      </w:r>
      <w:r w:rsidR="00B2263D" w:rsidRPr="00B3620D">
        <w:rPr>
          <w:u w:val="single"/>
        </w:rPr>
        <w:t xml:space="preserve">. </w:t>
      </w:r>
      <w:r w:rsidR="004130DA" w:rsidRPr="00B3620D">
        <w:rPr>
          <w:u w:val="single"/>
        </w:rPr>
        <w:t>Procedural Costs</w:t>
      </w:r>
    </w:p>
    <w:p w14:paraId="1C222185" w14:textId="7F5E9B8E" w:rsidR="00027C91" w:rsidRPr="004B00FE" w:rsidRDefault="00027C91" w:rsidP="00027C91">
      <w:pPr>
        <w:rPr>
          <w:u w:val="single"/>
        </w:rPr>
      </w:pPr>
      <w:r>
        <w:t xml:space="preserve">The iCT computes the billable amount for </w:t>
      </w:r>
      <w:r w:rsidR="00574162">
        <w:t>procedural</w:t>
      </w:r>
      <w:r>
        <w:t xml:space="preserve"> activities by considering the direct cost as per its database of activities</w:t>
      </w:r>
      <w:r w:rsidR="00574162">
        <w:t xml:space="preserve">, </w:t>
      </w:r>
      <w:r>
        <w:t>adding a capacity building element, adding a</w:t>
      </w:r>
      <w:r w:rsidR="00912909">
        <w:t>n</w:t>
      </w:r>
      <w:r>
        <w:t xml:space="preserve"> indirect cost element, and finally applying the MFF.</w:t>
      </w:r>
    </w:p>
    <w:p w14:paraId="09218BEB" w14:textId="77777777" w:rsidR="00027C91" w:rsidRDefault="00027C91" w:rsidP="00027C91">
      <w:r>
        <w:t>Amounts invoiced arising on investigation costs shall be split the following way:</w:t>
      </w:r>
    </w:p>
    <w:p w14:paraId="67016892" w14:textId="60B52F01" w:rsidR="00027C91" w:rsidRDefault="00027C91" w:rsidP="00027C91">
      <w:pPr>
        <w:ind w:left="720"/>
      </w:pPr>
      <w:r>
        <w:t>- 4</w:t>
      </w:r>
      <w:r w:rsidR="00075322">
        <w:t>8</w:t>
      </w:r>
      <w:r>
        <w:t>% of the income shall be attributed to the applicable research activity account</w:t>
      </w:r>
      <w:r w:rsidR="008E1C73">
        <w:t>.</w:t>
      </w:r>
      <w:r w:rsidR="008E1C73" w:rsidRPr="008E1C73">
        <w:t xml:space="preserve"> </w:t>
      </w:r>
      <w:r w:rsidR="008E1C73">
        <w:t>This consists of the direct cost element and a portion of the MFF.</w:t>
      </w:r>
    </w:p>
    <w:p w14:paraId="5125867A" w14:textId="24F287D1" w:rsidR="00027C91" w:rsidRDefault="00027C91" w:rsidP="00027C91">
      <w:pPr>
        <w:ind w:left="720"/>
      </w:pPr>
      <w:r>
        <w:t>- 1</w:t>
      </w:r>
      <w:r w:rsidR="00075322">
        <w:t>8</w:t>
      </w:r>
      <w:r>
        <w:t>% of the income shall be attributed to the R&amp;D capacity building account</w:t>
      </w:r>
      <w:r w:rsidR="008E1C73">
        <w:t>. This consists of the capacity building element and a portion of the MFF.</w:t>
      </w:r>
    </w:p>
    <w:p w14:paraId="32CC59AE" w14:textId="6731FABB" w:rsidR="00027C91" w:rsidRDefault="00027C91" w:rsidP="00027C91">
      <w:pPr>
        <w:ind w:left="720"/>
      </w:pPr>
      <w:r>
        <w:t>- 17% of the income shall be attributed to the applicable investigator</w:t>
      </w:r>
      <w:r w:rsidR="00DA66AE">
        <w:t xml:space="preserve"> specialty</w:t>
      </w:r>
      <w:r>
        <w:t xml:space="preserve"> account</w:t>
      </w:r>
      <w:r w:rsidR="008E1C73">
        <w:t>. This consists of a portion of the indirect cost element and a portion of the MFF.</w:t>
      </w:r>
    </w:p>
    <w:p w14:paraId="3C159DB4" w14:textId="4AA74340" w:rsidR="00027C91" w:rsidRDefault="00027C91" w:rsidP="008E1C73">
      <w:pPr>
        <w:ind w:left="720"/>
      </w:pPr>
      <w:r>
        <w:t xml:space="preserve">- 17% of the income shall be attributed to </w:t>
      </w:r>
      <w:r w:rsidR="00DA66AE">
        <w:t>the</w:t>
      </w:r>
      <w:r>
        <w:t xml:space="preserve"> separate research overhead account.</w:t>
      </w:r>
      <w:r w:rsidR="008E1C73">
        <w:t xml:space="preserve"> This consists of a portion of the indirect cost element and a portion of the MFF.</w:t>
      </w:r>
    </w:p>
    <w:p w14:paraId="41C5DCF3" w14:textId="25AF8165" w:rsidR="00B2263D" w:rsidRDefault="00027C91">
      <w:r>
        <w:t>Rationale for this split, alongside a worked example can be found in the relevant appendix.</w:t>
      </w:r>
    </w:p>
    <w:p w14:paraId="50404D58" w14:textId="14785296" w:rsidR="002E7301" w:rsidRPr="004130DA" w:rsidRDefault="002E7301" w:rsidP="002E7301">
      <w:pPr>
        <w:rPr>
          <w:u w:val="single"/>
        </w:rPr>
      </w:pPr>
      <w:r>
        <w:rPr>
          <w:u w:val="single"/>
        </w:rPr>
        <w:t>B</w:t>
      </w:r>
      <w:r w:rsidRPr="004130DA">
        <w:rPr>
          <w:u w:val="single"/>
        </w:rPr>
        <w:t>. Investigation Costs</w:t>
      </w:r>
    </w:p>
    <w:p w14:paraId="4DE413D1" w14:textId="77777777" w:rsidR="002E7301" w:rsidRDefault="002E7301" w:rsidP="002E7301">
      <w:r>
        <w:t>The iCT computes the billable amount for investigation activities by considering the direct cost as per its database of activities and then adding a capacity building element and a market forces factor (MFF).</w:t>
      </w:r>
    </w:p>
    <w:p w14:paraId="41D91384" w14:textId="77777777" w:rsidR="002E7301" w:rsidRDefault="002E7301" w:rsidP="002E7301">
      <w:r>
        <w:t>Amounts invoiced arising on investigation costs shall be split the following way:</w:t>
      </w:r>
    </w:p>
    <w:p w14:paraId="3FCE7995" w14:textId="77777777" w:rsidR="002E7301" w:rsidRPr="00B3620D" w:rsidRDefault="002E7301" w:rsidP="002E7301">
      <w:pPr>
        <w:ind w:left="720"/>
      </w:pPr>
      <w:r w:rsidRPr="00B3620D">
        <w:t xml:space="preserve">- 76% of the income shall be attributed to the applicable research activity account. This consists of the direct cost element and a portion of the MFF. </w:t>
      </w:r>
    </w:p>
    <w:p w14:paraId="6F1B1FAB" w14:textId="77777777" w:rsidR="002E7301" w:rsidRPr="00B3620D" w:rsidRDefault="002E7301" w:rsidP="002E7301">
      <w:pPr>
        <w:ind w:left="720"/>
      </w:pPr>
      <w:r w:rsidRPr="00B3620D">
        <w:t>- 24% of the income shall be attributed to the R&amp;D capacity building account. This consists of the capacity building element and a portion of the MFF.</w:t>
      </w:r>
    </w:p>
    <w:p w14:paraId="5361211E" w14:textId="15E1E68E" w:rsidR="002E7301" w:rsidRDefault="002E7301">
      <w:r w:rsidRPr="00B3620D">
        <w:t>Rationale for this split, alongside a worked example can be found in the relevant appendix.</w:t>
      </w:r>
    </w:p>
    <w:p w14:paraId="773E7C13" w14:textId="468BC9BB" w:rsidR="00CD1735" w:rsidRDefault="00CD1735">
      <w:pPr>
        <w:rPr>
          <w:u w:val="single"/>
        </w:rPr>
      </w:pPr>
      <w:r w:rsidRPr="00CD1735">
        <w:rPr>
          <w:u w:val="single"/>
        </w:rPr>
        <w:lastRenderedPageBreak/>
        <w:t xml:space="preserve">c. </w:t>
      </w:r>
      <w:r>
        <w:rPr>
          <w:u w:val="single"/>
        </w:rPr>
        <w:t xml:space="preserve">Other </w:t>
      </w:r>
      <w:r w:rsidRPr="004130DA">
        <w:rPr>
          <w:u w:val="single"/>
        </w:rPr>
        <w:t>Costs</w:t>
      </w:r>
    </w:p>
    <w:p w14:paraId="167D260A" w14:textId="060C61A2" w:rsidR="00CD1735" w:rsidRPr="00CD1735" w:rsidRDefault="00CD1735">
      <w:r>
        <w:t>Occasionally, procedures will be designated outside of these two main classifications. Typically, in this case, the cost is billed at the direct rate plus MFF. In this case, the full amount billed will be due to the applicable research delivery account. Any deviation on this will be based on the underlying pricing as per the iCT.</w:t>
      </w:r>
    </w:p>
    <w:p w14:paraId="7FA2232E" w14:textId="57888B20" w:rsidR="00957801" w:rsidRPr="00EB58A5" w:rsidRDefault="008922F6">
      <w:pPr>
        <w:rPr>
          <w:b/>
          <w:bCs/>
          <w:u w:val="single"/>
        </w:rPr>
      </w:pPr>
      <w:r>
        <w:rPr>
          <w:b/>
          <w:bCs/>
          <w:u w:val="single"/>
        </w:rPr>
        <w:t>3</w:t>
      </w:r>
      <w:r w:rsidR="00957801" w:rsidRPr="005E473B">
        <w:rPr>
          <w:b/>
          <w:bCs/>
          <w:u w:val="single"/>
        </w:rPr>
        <w:t>.</w:t>
      </w:r>
      <w:r w:rsidR="00EB58A5" w:rsidRPr="005E473B">
        <w:rPr>
          <w:b/>
          <w:bCs/>
          <w:u w:val="single"/>
        </w:rPr>
        <w:t>2.</w:t>
      </w:r>
      <w:r w:rsidR="00957801" w:rsidRPr="005E473B">
        <w:rPr>
          <w:b/>
          <w:bCs/>
          <w:u w:val="single"/>
        </w:rPr>
        <w:t xml:space="preserve"> Income </w:t>
      </w:r>
      <w:r w:rsidR="005E473B" w:rsidRPr="005E473B">
        <w:rPr>
          <w:b/>
          <w:bCs/>
          <w:u w:val="single"/>
        </w:rPr>
        <w:t>D</w:t>
      </w:r>
      <w:r w:rsidR="00957801" w:rsidRPr="005E473B">
        <w:rPr>
          <w:b/>
          <w:bCs/>
          <w:u w:val="single"/>
        </w:rPr>
        <w:t xml:space="preserve">istribution </w:t>
      </w:r>
      <w:r w:rsidR="005E473B" w:rsidRPr="005E473B">
        <w:rPr>
          <w:b/>
          <w:bCs/>
          <w:u w:val="single"/>
        </w:rPr>
        <w:t>from</w:t>
      </w:r>
      <w:r w:rsidR="00957801" w:rsidRPr="005E473B">
        <w:rPr>
          <w:b/>
          <w:bCs/>
          <w:u w:val="single"/>
        </w:rPr>
        <w:t xml:space="preserve"> </w:t>
      </w:r>
      <w:r w:rsidR="005E473B" w:rsidRPr="005E473B">
        <w:rPr>
          <w:b/>
          <w:bCs/>
          <w:u w:val="single"/>
        </w:rPr>
        <w:t>N</w:t>
      </w:r>
      <w:r w:rsidR="00957801" w:rsidRPr="005E473B">
        <w:rPr>
          <w:b/>
          <w:bCs/>
          <w:u w:val="single"/>
        </w:rPr>
        <w:t>on-</w:t>
      </w:r>
      <w:r w:rsidR="005E473B" w:rsidRPr="005E473B">
        <w:rPr>
          <w:b/>
          <w:bCs/>
          <w:u w:val="single"/>
        </w:rPr>
        <w:t>C</w:t>
      </w:r>
      <w:r w:rsidR="00957801" w:rsidRPr="005E473B">
        <w:rPr>
          <w:b/>
          <w:bCs/>
          <w:u w:val="single"/>
        </w:rPr>
        <w:t xml:space="preserve">ommercial </w:t>
      </w:r>
      <w:r w:rsidR="005E473B" w:rsidRPr="005E473B">
        <w:rPr>
          <w:b/>
          <w:bCs/>
          <w:u w:val="single"/>
        </w:rPr>
        <w:t>S</w:t>
      </w:r>
      <w:r w:rsidR="00957801" w:rsidRPr="005E473B">
        <w:rPr>
          <w:b/>
          <w:bCs/>
          <w:u w:val="single"/>
        </w:rPr>
        <w:t>tud</w:t>
      </w:r>
      <w:r w:rsidR="005E473B" w:rsidRPr="005E473B">
        <w:rPr>
          <w:b/>
          <w:bCs/>
          <w:u w:val="single"/>
        </w:rPr>
        <w:t>y Sponsors</w:t>
      </w:r>
    </w:p>
    <w:p w14:paraId="077360EF" w14:textId="705A5FA7" w:rsidR="00504A49" w:rsidRDefault="00B11EB7">
      <w:r>
        <w:t>Income from non-commercial stud</w:t>
      </w:r>
      <w:r w:rsidR="00992962">
        <w:t>y sponsors</w:t>
      </w:r>
      <w:r>
        <w:t xml:space="preserve"> </w:t>
      </w:r>
      <w:r w:rsidR="005E473B">
        <w:t>is</w:t>
      </w:r>
      <w:r>
        <w:t xml:space="preserve"> to be paid into </w:t>
      </w:r>
      <w:r w:rsidR="00B2263D">
        <w:t xml:space="preserve">the relevant </w:t>
      </w:r>
      <w:r>
        <w:t>research activity account</w:t>
      </w:r>
      <w:r w:rsidR="00B2263D">
        <w:t xml:space="preserve"> where the associated costs </w:t>
      </w:r>
      <w:r w:rsidR="00992962">
        <w:t>are being</w:t>
      </w:r>
      <w:r w:rsidR="00B2263D">
        <w:t xml:space="preserve"> recognised</w:t>
      </w:r>
      <w:r>
        <w:t>.</w:t>
      </w:r>
      <w:r w:rsidR="00B2263D">
        <w:t xml:space="preserve"> </w:t>
      </w:r>
      <w:r w:rsidR="005E473B">
        <w:t xml:space="preserve">This will be determined by the procedures as per the SoECAT, or equivalent information prepared during study set-up when a SoECAT is not available. </w:t>
      </w:r>
    </w:p>
    <w:p w14:paraId="11DE67E0" w14:textId="510FAA68" w:rsidR="00957801" w:rsidRPr="00EB58A5" w:rsidRDefault="008922F6">
      <w:pPr>
        <w:rPr>
          <w:b/>
          <w:bCs/>
          <w:u w:val="single"/>
        </w:rPr>
      </w:pPr>
      <w:r>
        <w:rPr>
          <w:b/>
          <w:bCs/>
          <w:u w:val="single"/>
        </w:rPr>
        <w:t>3</w:t>
      </w:r>
      <w:r w:rsidR="00957801" w:rsidRPr="005E473B">
        <w:rPr>
          <w:b/>
          <w:bCs/>
          <w:u w:val="single"/>
        </w:rPr>
        <w:t>.</w:t>
      </w:r>
      <w:r w:rsidR="009C51A7" w:rsidRPr="005E473B">
        <w:rPr>
          <w:b/>
          <w:bCs/>
          <w:u w:val="single"/>
        </w:rPr>
        <w:t>3</w:t>
      </w:r>
      <w:r w:rsidR="00EB58A5" w:rsidRPr="005E473B">
        <w:rPr>
          <w:b/>
          <w:bCs/>
          <w:u w:val="single"/>
        </w:rPr>
        <w:t>.</w:t>
      </w:r>
      <w:r w:rsidR="00957801" w:rsidRPr="005E473B">
        <w:rPr>
          <w:b/>
          <w:bCs/>
          <w:u w:val="single"/>
        </w:rPr>
        <w:t xml:space="preserve"> Income </w:t>
      </w:r>
      <w:r w:rsidR="005E473B" w:rsidRPr="005E473B">
        <w:rPr>
          <w:b/>
          <w:bCs/>
          <w:u w:val="single"/>
        </w:rPr>
        <w:t>D</w:t>
      </w:r>
      <w:r w:rsidR="00957801" w:rsidRPr="005E473B">
        <w:rPr>
          <w:b/>
          <w:bCs/>
          <w:u w:val="single"/>
        </w:rPr>
        <w:t xml:space="preserve">istribution of Welsh Government </w:t>
      </w:r>
      <w:r w:rsidR="005E473B" w:rsidRPr="005E473B">
        <w:rPr>
          <w:b/>
          <w:bCs/>
          <w:u w:val="single"/>
        </w:rPr>
        <w:t>F</w:t>
      </w:r>
      <w:r w:rsidR="00957801" w:rsidRPr="005E473B">
        <w:rPr>
          <w:b/>
          <w:bCs/>
          <w:u w:val="single"/>
        </w:rPr>
        <w:t>unding</w:t>
      </w:r>
    </w:p>
    <w:p w14:paraId="1060F0EF" w14:textId="7DFF9A3E" w:rsidR="00992962" w:rsidRDefault="008573C0" w:rsidP="00992962">
      <w:r>
        <w:t>Funding from HCRW is to be offset against the costs incurred, as per the</w:t>
      </w:r>
      <w:r w:rsidR="00574162">
        <w:t xml:space="preserve"> research delivery funding</w:t>
      </w:r>
      <w:r>
        <w:t xml:space="preserve"> spending plan that is submitted to </w:t>
      </w:r>
      <w:r w:rsidR="00992962">
        <w:t>HCRW</w:t>
      </w:r>
      <w:r>
        <w:t xml:space="preserve"> on a </w:t>
      </w:r>
      <w:r w:rsidR="00912909">
        <w:t>regular</w:t>
      </w:r>
      <w:r>
        <w:t xml:space="preserve"> basis.</w:t>
      </w:r>
      <w:r w:rsidR="00B11EB7">
        <w:t xml:space="preserve"> </w:t>
      </w:r>
      <w:r w:rsidR="00992962">
        <w:t xml:space="preserve">This funding is to be used for staff and non-staff costs that are attributable to non-commercial research that are </w:t>
      </w:r>
      <w:r w:rsidR="001E32B7">
        <w:t>not recovered</w:t>
      </w:r>
      <w:r w:rsidR="00992962">
        <w:t xml:space="preserve"> from the study sponsors. </w:t>
      </w:r>
    </w:p>
    <w:p w14:paraId="0654F417" w14:textId="40544D50" w:rsidR="00957801" w:rsidRDefault="00B11EB7">
      <w:r>
        <w:t xml:space="preserve">This funding is to be held in the applicable </w:t>
      </w:r>
      <w:r w:rsidR="00A004F5">
        <w:t xml:space="preserve">HCRW </w:t>
      </w:r>
      <w:r>
        <w:t>research activity account, where the associated costs are also expected to be recognised.</w:t>
      </w:r>
      <w:r w:rsidR="00992962">
        <w:t xml:space="preserve"> In exceptional circumstances where practicality prevents this, the funding may be passed out to</w:t>
      </w:r>
      <w:r w:rsidR="00EA2B4B">
        <w:t xml:space="preserve"> </w:t>
      </w:r>
      <w:r w:rsidR="00A004F5">
        <w:t>other</w:t>
      </w:r>
      <w:r w:rsidR="00992962">
        <w:t xml:space="preserve"> accounts where the cost has been incurre</w:t>
      </w:r>
      <w:r w:rsidR="005E473B">
        <w:t>d as long as the reporting to HCRW encapsulates this.</w:t>
      </w:r>
    </w:p>
    <w:p w14:paraId="2AF27F0C" w14:textId="6B86FE78" w:rsidR="00574162" w:rsidRDefault="00574162">
      <w:r>
        <w:t>HCRW may occasionally provide funds that are outside the scope of the research delivery funding framework, for example the Wales Commercial Research Funding (VPAG), or current BioNTech industry funding. These are to be held in separate research activity accounts and to be used solely for the associated purposes, as reported to HCRW.</w:t>
      </w:r>
    </w:p>
    <w:p w14:paraId="544754BD" w14:textId="370F65F6" w:rsidR="00D128A3" w:rsidRDefault="008922F6" w:rsidP="00B11EB7">
      <w:pPr>
        <w:rPr>
          <w:b/>
          <w:bCs/>
          <w:u w:val="single"/>
        </w:rPr>
      </w:pPr>
      <w:r>
        <w:rPr>
          <w:b/>
          <w:bCs/>
          <w:u w:val="single"/>
        </w:rPr>
        <w:t>3</w:t>
      </w:r>
      <w:r w:rsidR="00D128A3" w:rsidRPr="00D128A3">
        <w:rPr>
          <w:b/>
          <w:bCs/>
          <w:u w:val="single"/>
        </w:rPr>
        <w:t>.4. Invoicing</w:t>
      </w:r>
    </w:p>
    <w:p w14:paraId="26EAC161" w14:textId="3ADF9B6C" w:rsidR="00D128A3" w:rsidRDefault="00817F83" w:rsidP="00D128A3">
      <w:r>
        <w:t xml:space="preserve">For </w:t>
      </w:r>
      <w:r w:rsidR="0088019C">
        <w:t xml:space="preserve">both </w:t>
      </w:r>
      <w:r>
        <w:t>commercial and non-commercial income, i</w:t>
      </w:r>
      <w:r w:rsidR="00D128A3">
        <w:t>nvoices for income arising on R&amp;D activities are to be raised in a timely manner. Contracts should indicate who is responsible for initiating invoices. The frequency of invoicing may vary based on the contract value and levels of activity.</w:t>
      </w:r>
      <w:r w:rsidR="00EC30BC">
        <w:t xml:space="preserve"> </w:t>
      </w:r>
    </w:p>
    <w:p w14:paraId="233B0565" w14:textId="1B446CF5" w:rsidR="001B3304" w:rsidRDefault="00574162" w:rsidP="001B3304">
      <w:r>
        <w:t xml:space="preserve">When invoicing sponsors, best efforts must be made to match data from operational staff within the </w:t>
      </w:r>
      <w:r w:rsidR="00463F70">
        <w:t>H</w:t>
      </w:r>
      <w:r>
        <w:t xml:space="preserve">ealth </w:t>
      </w:r>
      <w:r w:rsidR="00463F70">
        <w:t>B</w:t>
      </w:r>
      <w:r>
        <w:t>oard with information provided by the sponsor</w:t>
      </w:r>
      <w:r w:rsidR="00D128A3">
        <w:t xml:space="preserve">. By the study closure, there must be agreement between the sponsor, the applicable research operations staff, and finance personnel, as to the total amount billable and receivable for the study. Any </w:t>
      </w:r>
      <w:r w:rsidR="00D128A3">
        <w:lastRenderedPageBreak/>
        <w:t xml:space="preserve">outstanding amounts to be billed to the sponsor must be billed promptly upon closure of the study. </w:t>
      </w:r>
    </w:p>
    <w:p w14:paraId="05A703B0" w14:textId="40CDB744" w:rsidR="00504A49" w:rsidRDefault="00504A49" w:rsidP="00504A49">
      <w:pPr>
        <w:rPr>
          <w:b/>
          <w:bCs/>
          <w:u w:val="single"/>
        </w:rPr>
      </w:pPr>
      <w:r>
        <w:rPr>
          <w:b/>
          <w:bCs/>
          <w:u w:val="single"/>
        </w:rPr>
        <w:t>3</w:t>
      </w:r>
      <w:r w:rsidRPr="00D128A3">
        <w:rPr>
          <w:b/>
          <w:bCs/>
          <w:u w:val="single"/>
        </w:rPr>
        <w:t>.</w:t>
      </w:r>
      <w:r>
        <w:rPr>
          <w:b/>
          <w:bCs/>
          <w:u w:val="single"/>
        </w:rPr>
        <w:t>5</w:t>
      </w:r>
      <w:r w:rsidRPr="00D128A3">
        <w:rPr>
          <w:b/>
          <w:bCs/>
          <w:u w:val="single"/>
        </w:rPr>
        <w:t xml:space="preserve">. </w:t>
      </w:r>
      <w:r>
        <w:rPr>
          <w:b/>
          <w:bCs/>
          <w:u w:val="single"/>
        </w:rPr>
        <w:t>Income for Costs Covered by Another Source</w:t>
      </w:r>
    </w:p>
    <w:p w14:paraId="5117DE1E" w14:textId="1290D8C1" w:rsidR="009527E3" w:rsidRDefault="00504A49" w:rsidP="001B3304">
      <w:r>
        <w:t>Occasionally, R&amp;D trial income may be designated to pay for costs that have already been settled by another R&amp;D source. If the trial income is for a non-commercial study, then due to Welsh Government consolidation rules, this may not be deferred and must be recognised by the Health Board in the same financial year. However, if the trial income arises on a commercial study, then this may be redesignated as surplus capacity building income instead of covering the applicable direct cost.</w:t>
      </w:r>
    </w:p>
    <w:p w14:paraId="036E1BF2" w14:textId="52291D16" w:rsidR="001B3304" w:rsidRDefault="008922F6" w:rsidP="001B3304">
      <w:r>
        <w:rPr>
          <w:b/>
          <w:bCs/>
          <w:sz w:val="28"/>
          <w:szCs w:val="28"/>
          <w:u w:val="single"/>
        </w:rPr>
        <w:t>4</w:t>
      </w:r>
      <w:r w:rsidR="00037D72" w:rsidRPr="00804B63">
        <w:rPr>
          <w:b/>
          <w:bCs/>
          <w:sz w:val="28"/>
          <w:szCs w:val="28"/>
          <w:u w:val="single"/>
        </w:rPr>
        <w:t>. Deferring income</w:t>
      </w:r>
    </w:p>
    <w:p w14:paraId="1EBA2320" w14:textId="77777777" w:rsidR="00EC30BC" w:rsidRDefault="00037D72" w:rsidP="00B11EB7">
      <w:r>
        <w:t xml:space="preserve">Income from R&amp;D activity may, </w:t>
      </w:r>
      <w:r w:rsidR="00574162" w:rsidRPr="00574162">
        <w:t>where financial regulations permit</w:t>
      </w:r>
      <w:r>
        <w:t xml:space="preserve">, be deferred between financial periods. </w:t>
      </w:r>
    </w:p>
    <w:p w14:paraId="3A83D3CD" w14:textId="5FBDB569" w:rsidR="00EC30BC" w:rsidRDefault="00EC30BC" w:rsidP="00B11EB7">
      <w:r>
        <w:t>To defer income</w:t>
      </w:r>
      <w:r w:rsidR="00037D72">
        <w:t xml:space="preserve">, </w:t>
      </w:r>
      <w:r>
        <w:t>the following conditions must be met:</w:t>
      </w:r>
    </w:p>
    <w:p w14:paraId="085C0991" w14:textId="753832DF" w:rsidR="00EC30BC" w:rsidRDefault="00EC30BC" w:rsidP="00B11EB7">
      <w:r>
        <w:t>- T</w:t>
      </w:r>
      <w:r w:rsidR="00F6716C">
        <w:t>o ensure adherence with IFRS 15, t</w:t>
      </w:r>
      <w:r>
        <w:t>here must be a contractual performance obligation which has not been met, for which income has been received; and</w:t>
      </w:r>
    </w:p>
    <w:p w14:paraId="4E8EAAD3" w14:textId="1082E703" w:rsidR="00EC30BC" w:rsidRDefault="00EC30BC" w:rsidP="00B11EB7">
      <w:r>
        <w:t>- T</w:t>
      </w:r>
      <w:r w:rsidR="00F6716C">
        <w:t>o ensure adherence with government funding rules, t</w:t>
      </w:r>
      <w:r>
        <w:t xml:space="preserve">he income must not be received from </w:t>
      </w:r>
      <w:r w:rsidR="00037D72" w:rsidRPr="00037D72">
        <w:t>government organisations (</w:t>
      </w:r>
      <w:r w:rsidR="00F6716C">
        <w:t>i.e</w:t>
      </w:r>
      <w:r w:rsidR="00037D72" w:rsidRPr="00037D72">
        <w:t xml:space="preserve">. </w:t>
      </w:r>
      <w:r w:rsidR="00F6716C" w:rsidRPr="00F6716C">
        <w:t>Welsh Government, NHS Trusts, or University Health Boards</w:t>
      </w:r>
      <w:r w:rsidR="00037D72" w:rsidRPr="00037D72">
        <w:t>)</w:t>
      </w:r>
      <w:r>
        <w:t>; and</w:t>
      </w:r>
    </w:p>
    <w:p w14:paraId="6CAAD5CD" w14:textId="4518222C" w:rsidR="00EC30BC" w:rsidRDefault="00EC30BC" w:rsidP="00B11EB7">
      <w:r>
        <w:t>- There is a plan for recognising the income against costs in a future period.</w:t>
      </w:r>
    </w:p>
    <w:p w14:paraId="13E3FB27" w14:textId="54D9E01D" w:rsidR="001B3304" w:rsidRPr="001B3304" w:rsidRDefault="00EC30BC" w:rsidP="00B11EB7">
      <w:r>
        <w:t>Where i</w:t>
      </w:r>
      <w:r w:rsidR="00037D72" w:rsidRPr="00037D72">
        <w:t>ncome</w:t>
      </w:r>
      <w:r>
        <w:t xml:space="preserve"> is being received from other government organisations, it</w:t>
      </w:r>
      <w:r w:rsidR="00037D72" w:rsidRPr="00037D72">
        <w:t xml:space="preserve"> is not permitted to be received in an advance period of when the cost is to be incurred.</w:t>
      </w:r>
    </w:p>
    <w:p w14:paraId="64114052" w14:textId="58103255" w:rsidR="001B3304" w:rsidRDefault="008922F6" w:rsidP="00B11EB7">
      <w:pPr>
        <w:rPr>
          <w:b/>
          <w:bCs/>
          <w:u w:val="single"/>
        </w:rPr>
      </w:pPr>
      <w:r>
        <w:rPr>
          <w:b/>
          <w:bCs/>
          <w:u w:val="single"/>
        </w:rPr>
        <w:t>4</w:t>
      </w:r>
      <w:r w:rsidR="001B3304" w:rsidRPr="009C51A7">
        <w:rPr>
          <w:b/>
          <w:bCs/>
          <w:u w:val="single"/>
        </w:rPr>
        <w:t>.1</w:t>
      </w:r>
      <w:r w:rsidR="001B3304">
        <w:rPr>
          <w:b/>
          <w:bCs/>
          <w:u w:val="single"/>
        </w:rPr>
        <w:t>. Commercial Income</w:t>
      </w:r>
    </w:p>
    <w:p w14:paraId="1C74EADC" w14:textId="0109B819" w:rsidR="001B3304" w:rsidRDefault="00804B63" w:rsidP="001B3304">
      <w:r>
        <w:t>Commercial income contracts, based on the iCT, include provision from sponsors with respect to the capacity building elements of the income. As such, these contracts provide for the deferral of income. As i</w:t>
      </w:r>
      <w:r w:rsidR="001B3304">
        <w:t>ncome relating to commercial trials</w:t>
      </w:r>
      <w:r w:rsidR="00EC30BC">
        <w:t xml:space="preserve"> typically arises from non-governmental sources</w:t>
      </w:r>
      <w:r>
        <w:t>, the requirements for income deferral can be met on the following elements of commercial income</w:t>
      </w:r>
      <w:r w:rsidR="001B3304">
        <w:t>:</w:t>
      </w:r>
    </w:p>
    <w:p w14:paraId="4C62CDC4" w14:textId="77777777" w:rsidR="001B3304" w:rsidRPr="009C51A7" w:rsidRDefault="001B3304" w:rsidP="001B3304">
      <w:pPr>
        <w:rPr>
          <w:u w:val="single"/>
        </w:rPr>
      </w:pPr>
      <w:r w:rsidRPr="009C51A7">
        <w:rPr>
          <w:u w:val="single"/>
        </w:rPr>
        <w:t xml:space="preserve">a. </w:t>
      </w:r>
      <w:r>
        <w:rPr>
          <w:u w:val="single"/>
        </w:rPr>
        <w:t>Investigator</w:t>
      </w:r>
      <w:r w:rsidRPr="009C51A7">
        <w:rPr>
          <w:u w:val="single"/>
        </w:rPr>
        <w:t xml:space="preserve"> </w:t>
      </w:r>
      <w:r>
        <w:rPr>
          <w:u w:val="single"/>
        </w:rPr>
        <w:t xml:space="preserve">Specialty </w:t>
      </w:r>
      <w:r w:rsidRPr="009C51A7">
        <w:rPr>
          <w:u w:val="single"/>
        </w:rPr>
        <w:t>Accounts</w:t>
      </w:r>
    </w:p>
    <w:p w14:paraId="057CBBDD" w14:textId="66CD41FD" w:rsidR="001B3304" w:rsidRDefault="001B3304" w:rsidP="001B3304">
      <w:r>
        <w:t xml:space="preserve">Income attributable to investigator specialty accounts, as per the income distribution </w:t>
      </w:r>
      <w:r w:rsidRPr="001B3304">
        <w:t>section</w:t>
      </w:r>
      <w:r w:rsidR="00103A51">
        <w:t>,</w:t>
      </w:r>
      <w:r w:rsidRPr="001B3304">
        <w:t xml:space="preserve"> may be deferred</w:t>
      </w:r>
      <w:r>
        <w:t xml:space="preserve"> between periods, as long as there is a robust plan for the future expenditure.</w:t>
      </w:r>
    </w:p>
    <w:p w14:paraId="1D3FB0BB" w14:textId="77777777" w:rsidR="001B3304" w:rsidRPr="009C51A7" w:rsidRDefault="001B3304" w:rsidP="001B3304">
      <w:pPr>
        <w:rPr>
          <w:u w:val="single"/>
        </w:rPr>
      </w:pPr>
      <w:r w:rsidRPr="009C51A7">
        <w:rPr>
          <w:u w:val="single"/>
        </w:rPr>
        <w:lastRenderedPageBreak/>
        <w:t>b. R&amp;D Capacity Building</w:t>
      </w:r>
    </w:p>
    <w:p w14:paraId="2056EBF3" w14:textId="19CA48B4" w:rsidR="001B3304" w:rsidRDefault="001B3304" w:rsidP="00B11EB7">
      <w:r>
        <w:t xml:space="preserve">Income that is for R&amp;D capacity building, as per the </w:t>
      </w:r>
      <w:r w:rsidR="00103A51">
        <w:t xml:space="preserve">commercial </w:t>
      </w:r>
      <w:r>
        <w:t xml:space="preserve">income distribution section, may be deferred between financial periods, as long as there is a robust plan for future expenditure. </w:t>
      </w:r>
    </w:p>
    <w:p w14:paraId="326D01D5" w14:textId="41DF84A0" w:rsidR="00EC30BC" w:rsidRPr="00EC30BC" w:rsidRDefault="00EC30BC" w:rsidP="00B11EB7">
      <w:pPr>
        <w:rPr>
          <w:u w:val="single"/>
        </w:rPr>
      </w:pPr>
      <w:r w:rsidRPr="00EC30BC">
        <w:rPr>
          <w:u w:val="single"/>
        </w:rPr>
        <w:t>c. Other Research Activities Billed in Advance</w:t>
      </w:r>
    </w:p>
    <w:p w14:paraId="28A0575A" w14:textId="453471C2" w:rsidR="00EC30BC" w:rsidRPr="00EC30BC" w:rsidRDefault="00EC30BC" w:rsidP="00B11EB7">
      <w:r>
        <w:t>Occasionally, income may be received in advance of investigation, procedural, or other activities as outlined in the iCT. In this case the income shall be deferred until the activity occurs.</w:t>
      </w:r>
    </w:p>
    <w:p w14:paraId="31318ADB" w14:textId="26425110" w:rsidR="001B3304" w:rsidRDefault="008922F6" w:rsidP="00B11EB7">
      <w:r>
        <w:rPr>
          <w:b/>
          <w:bCs/>
          <w:u w:val="single"/>
        </w:rPr>
        <w:t>4</w:t>
      </w:r>
      <w:r w:rsidR="001B3304">
        <w:rPr>
          <w:b/>
          <w:bCs/>
          <w:u w:val="single"/>
        </w:rPr>
        <w:t>.2. Non-Commercial Income</w:t>
      </w:r>
    </w:p>
    <w:p w14:paraId="087D9857" w14:textId="6D796C61" w:rsidR="00E1242E" w:rsidRDefault="00630C22" w:rsidP="00E1242E">
      <w:r>
        <w:t>Study i</w:t>
      </w:r>
      <w:r w:rsidR="00E1242E">
        <w:t xml:space="preserve">ncome from non-commercial sources is not </w:t>
      </w:r>
      <w:r>
        <w:t>typically able</w:t>
      </w:r>
      <w:r w:rsidR="00E1242E">
        <w:t xml:space="preserve"> to be deferred on the basis that </w:t>
      </w:r>
      <w:r w:rsidR="00EC30BC">
        <w:t xml:space="preserve">non-commercial research contracts do not </w:t>
      </w:r>
      <w:r w:rsidR="00A93955">
        <w:t>contain</w:t>
      </w:r>
      <w:r w:rsidR="00EC30BC">
        <w:t xml:space="preserve"> </w:t>
      </w:r>
      <w:r w:rsidR="00E1242E">
        <w:t xml:space="preserve">performance conditions </w:t>
      </w:r>
      <w:r w:rsidR="00A93955">
        <w:t>that are billed in a separate period to when they arise.</w:t>
      </w:r>
    </w:p>
    <w:p w14:paraId="7BF8FDC2" w14:textId="0F20CFDA" w:rsidR="001B3304" w:rsidRPr="00A93955" w:rsidRDefault="008218D8" w:rsidP="008218D8">
      <w:pPr>
        <w:rPr>
          <w:strike/>
        </w:rPr>
      </w:pPr>
      <w:r>
        <w:t xml:space="preserve">In this case, income is not permitted to be received in an </w:t>
      </w:r>
      <w:r w:rsidRPr="00103A51">
        <w:t>advance period of when the cost is to be incurred. Where costs have been incurred but not yet rec</w:t>
      </w:r>
      <w:r>
        <w:t xml:space="preserve">orded in the financial accounts as at the year-end, there should be an accrual recognised for this where the </w:t>
      </w:r>
      <w:r w:rsidRPr="00A93955">
        <w:t xml:space="preserve">funding for this has been agreed for the next period with the relevant organisation. </w:t>
      </w:r>
    </w:p>
    <w:p w14:paraId="1EC66393" w14:textId="1715C6D7" w:rsidR="002F5E1B" w:rsidRDefault="00566206">
      <w:r>
        <w:t>Any i</w:t>
      </w:r>
      <w:r w:rsidR="002F5E1B">
        <w:t xml:space="preserve">ncome from </w:t>
      </w:r>
      <w:r w:rsidR="00E21A93">
        <w:t xml:space="preserve">non-commercial studies, where funds are received for a cost that has been </w:t>
      </w:r>
      <w:r w:rsidR="00103A51">
        <w:t>re</w:t>
      </w:r>
      <w:r w:rsidR="00E21A93">
        <w:t xml:space="preserve">covered elsewhere, are attributable to </w:t>
      </w:r>
      <w:r>
        <w:t>R&amp;D capacity building</w:t>
      </w:r>
      <w:r w:rsidR="00E21A93">
        <w:t xml:space="preserve">. </w:t>
      </w:r>
      <w:r>
        <w:t xml:space="preserve">However, these costs </w:t>
      </w:r>
      <w:r w:rsidR="00103A51">
        <w:t>are not</w:t>
      </w:r>
      <w:r>
        <w:t xml:space="preserve"> permitted for deferral</w:t>
      </w:r>
      <w:r w:rsidR="00103A51">
        <w:t xml:space="preserve"> and must be used in the financial period in which they arise</w:t>
      </w:r>
      <w:r>
        <w:t xml:space="preserve">. </w:t>
      </w:r>
    </w:p>
    <w:p w14:paraId="28BD27E3" w14:textId="32D7786D" w:rsidR="00804B63" w:rsidRDefault="00804B63">
      <w:r w:rsidRPr="009527E3">
        <w:t>The primary exception to th</w:t>
      </w:r>
      <w:r w:rsidR="0062726B" w:rsidRPr="009527E3">
        <w:t>is is where the Health Board is acting as th</w:t>
      </w:r>
      <w:r w:rsidRPr="009527E3">
        <w:t>e</w:t>
      </w:r>
      <w:r w:rsidR="00317827" w:rsidRPr="009527E3">
        <w:t xml:space="preserve"> lead </w:t>
      </w:r>
      <w:r w:rsidR="0062726B" w:rsidRPr="009527E3">
        <w:t xml:space="preserve">site for a grant. In this case we will hold funds and distribute them throughout the course of the grant. These grants are to be deferred, and where </w:t>
      </w:r>
      <w:r w:rsidR="00BD18CC" w:rsidRPr="009527E3">
        <w:t>applicable, the balances involved are to be agreed with the applicable government entities</w:t>
      </w:r>
      <w:r w:rsidR="009527E3" w:rsidRPr="009527E3">
        <w:t>, as long as this remains within the terms of the grant contract</w:t>
      </w:r>
      <w:r w:rsidR="00BD18CC" w:rsidRPr="009527E3">
        <w:t>.</w:t>
      </w:r>
      <w:r w:rsidR="0062726B">
        <w:t xml:space="preserve"> </w:t>
      </w:r>
    </w:p>
    <w:p w14:paraId="0A8C3216" w14:textId="0330EC17" w:rsidR="005F7050" w:rsidRDefault="00804B63">
      <w:pPr>
        <w:rPr>
          <w:b/>
          <w:bCs/>
          <w:sz w:val="28"/>
          <w:szCs w:val="28"/>
          <w:u w:val="single"/>
        </w:rPr>
      </w:pPr>
      <w:r>
        <w:rPr>
          <w:b/>
          <w:bCs/>
          <w:sz w:val="28"/>
          <w:szCs w:val="28"/>
          <w:u w:val="single"/>
        </w:rPr>
        <w:br/>
      </w:r>
      <w:r w:rsidR="005F7050" w:rsidRPr="00863F82">
        <w:rPr>
          <w:b/>
          <w:bCs/>
          <w:sz w:val="28"/>
          <w:szCs w:val="28"/>
          <w:u w:val="single"/>
        </w:rPr>
        <w:t xml:space="preserve">Appendix </w:t>
      </w:r>
      <w:r w:rsidR="005F7050" w:rsidRPr="008C40FD">
        <w:rPr>
          <w:b/>
          <w:bCs/>
          <w:sz w:val="28"/>
          <w:szCs w:val="28"/>
          <w:u w:val="single"/>
        </w:rPr>
        <w:t xml:space="preserve">1 – Basis for the </w:t>
      </w:r>
      <w:r w:rsidR="00560DB7">
        <w:rPr>
          <w:b/>
          <w:bCs/>
          <w:sz w:val="28"/>
          <w:szCs w:val="28"/>
          <w:u w:val="single"/>
        </w:rPr>
        <w:t>R</w:t>
      </w:r>
      <w:r w:rsidR="005F7050" w:rsidRPr="008C40FD">
        <w:rPr>
          <w:b/>
          <w:bCs/>
          <w:sz w:val="28"/>
          <w:szCs w:val="28"/>
          <w:u w:val="single"/>
        </w:rPr>
        <w:t>evision to</w:t>
      </w:r>
      <w:r w:rsidR="008E1C73" w:rsidRPr="008C40FD">
        <w:rPr>
          <w:b/>
          <w:bCs/>
          <w:sz w:val="28"/>
          <w:szCs w:val="28"/>
          <w:u w:val="single"/>
        </w:rPr>
        <w:t xml:space="preserve"> the </w:t>
      </w:r>
      <w:r w:rsidR="00560DB7">
        <w:rPr>
          <w:b/>
          <w:bCs/>
          <w:sz w:val="28"/>
          <w:szCs w:val="28"/>
          <w:u w:val="single"/>
        </w:rPr>
        <w:t>C</w:t>
      </w:r>
      <w:r w:rsidR="008E1C73" w:rsidRPr="008C40FD">
        <w:rPr>
          <w:b/>
          <w:bCs/>
          <w:sz w:val="28"/>
          <w:szCs w:val="28"/>
          <w:u w:val="single"/>
        </w:rPr>
        <w:t>ommercial</w:t>
      </w:r>
      <w:r w:rsidR="005F7050" w:rsidRPr="008C40FD">
        <w:rPr>
          <w:b/>
          <w:bCs/>
          <w:sz w:val="28"/>
          <w:szCs w:val="28"/>
          <w:u w:val="single"/>
        </w:rPr>
        <w:t xml:space="preserve"> </w:t>
      </w:r>
      <w:r w:rsidR="00560DB7">
        <w:rPr>
          <w:b/>
          <w:bCs/>
          <w:sz w:val="28"/>
          <w:szCs w:val="28"/>
          <w:u w:val="single"/>
        </w:rPr>
        <w:t>I</w:t>
      </w:r>
      <w:r w:rsidR="005F7050" w:rsidRPr="008C40FD">
        <w:rPr>
          <w:b/>
          <w:bCs/>
          <w:sz w:val="28"/>
          <w:szCs w:val="28"/>
          <w:u w:val="single"/>
        </w:rPr>
        <w:t xml:space="preserve">ncome </w:t>
      </w:r>
      <w:r w:rsidR="00560DB7">
        <w:rPr>
          <w:b/>
          <w:bCs/>
          <w:sz w:val="28"/>
          <w:szCs w:val="28"/>
          <w:u w:val="single"/>
        </w:rPr>
        <w:t>D</w:t>
      </w:r>
      <w:r w:rsidR="005F7050" w:rsidRPr="008C40FD">
        <w:rPr>
          <w:b/>
          <w:bCs/>
          <w:sz w:val="28"/>
          <w:szCs w:val="28"/>
          <w:u w:val="single"/>
        </w:rPr>
        <w:t>istribution</w:t>
      </w:r>
      <w:r w:rsidR="00881B52" w:rsidRPr="008C40FD">
        <w:rPr>
          <w:b/>
          <w:bCs/>
          <w:sz w:val="28"/>
          <w:szCs w:val="28"/>
          <w:u w:val="single"/>
        </w:rPr>
        <w:t xml:space="preserve">, and </w:t>
      </w:r>
      <w:r w:rsidR="00560DB7">
        <w:rPr>
          <w:b/>
          <w:bCs/>
          <w:sz w:val="28"/>
          <w:szCs w:val="28"/>
          <w:u w:val="single"/>
        </w:rPr>
        <w:t>W</w:t>
      </w:r>
      <w:r w:rsidR="00881B52" w:rsidRPr="008C40FD">
        <w:rPr>
          <w:b/>
          <w:bCs/>
          <w:sz w:val="28"/>
          <w:szCs w:val="28"/>
          <w:u w:val="single"/>
        </w:rPr>
        <w:t xml:space="preserve">orked </w:t>
      </w:r>
      <w:r w:rsidR="00560DB7">
        <w:rPr>
          <w:b/>
          <w:bCs/>
          <w:sz w:val="28"/>
          <w:szCs w:val="28"/>
          <w:u w:val="single"/>
        </w:rPr>
        <w:t>E</w:t>
      </w:r>
      <w:r w:rsidR="00881B52" w:rsidRPr="008C40FD">
        <w:rPr>
          <w:b/>
          <w:bCs/>
          <w:sz w:val="28"/>
          <w:szCs w:val="28"/>
          <w:u w:val="single"/>
        </w:rPr>
        <w:t>xample</w:t>
      </w:r>
    </w:p>
    <w:p w14:paraId="6097A065" w14:textId="61539C30" w:rsidR="00675009" w:rsidRDefault="00675009">
      <w:r>
        <w:rPr>
          <w:b/>
          <w:bCs/>
          <w:u w:val="single"/>
        </w:rPr>
        <w:t>A1.1 Revised Model Structure</w:t>
      </w:r>
    </w:p>
    <w:p w14:paraId="6C92EC25" w14:textId="1755C7EA" w:rsidR="005E7B16" w:rsidRDefault="008E1C73">
      <w:r>
        <w:t xml:space="preserve">With the </w:t>
      </w:r>
      <w:r w:rsidR="00545F7E">
        <w:t>restructuring</w:t>
      </w:r>
      <w:r>
        <w:t xml:space="preserve"> of research accounts, alongside new guidance from Welsh Government, a revision has been required to ensure compliance with financial rules and regulations, government guidance, and</w:t>
      </w:r>
      <w:r w:rsidR="00545F7E">
        <w:t xml:space="preserve"> the</w:t>
      </w:r>
      <w:r>
        <w:t xml:space="preserve"> internal </w:t>
      </w:r>
      <w:r w:rsidR="00545F7E">
        <w:t xml:space="preserve">operational </w:t>
      </w:r>
      <w:r>
        <w:t xml:space="preserve">demands of the </w:t>
      </w:r>
      <w:r w:rsidR="00463F70">
        <w:t>H</w:t>
      </w:r>
      <w:r>
        <w:t xml:space="preserve">ealth </w:t>
      </w:r>
      <w:r w:rsidR="00463F70">
        <w:t>B</w:t>
      </w:r>
      <w:r>
        <w:t>oard.</w:t>
      </w:r>
    </w:p>
    <w:p w14:paraId="5DA8979B" w14:textId="46BCC3D2" w:rsidR="008E1C73" w:rsidRDefault="008E1C73">
      <w:r>
        <w:lastRenderedPageBreak/>
        <w:t xml:space="preserve">As such, the revised model closely follows the construction of costs as per the iCT to ensure that the funds are distributed as closely as practically possible to contracted performance </w:t>
      </w:r>
      <w:r w:rsidR="00D27C66">
        <w:t>obligations</w:t>
      </w:r>
      <w:r>
        <w:t>.</w:t>
      </w:r>
      <w:r w:rsidR="00D27C66">
        <w:t xml:space="preserve"> From the NCVR we have that the income elements should be treated as follows:</w:t>
      </w:r>
    </w:p>
    <w:p w14:paraId="680787DF" w14:textId="3304CB60" w:rsidR="004D356E" w:rsidRDefault="00D27C66" w:rsidP="004D356E">
      <w:pPr>
        <w:pStyle w:val="ListParagraph"/>
        <w:numPr>
          <w:ilvl w:val="0"/>
          <w:numId w:val="4"/>
        </w:numPr>
      </w:pPr>
      <w:r w:rsidRPr="00B21A90">
        <w:t>Direct</w:t>
      </w:r>
      <w:r w:rsidR="00037D72" w:rsidRPr="00B21A90">
        <w:t xml:space="preserve">: The funds </w:t>
      </w:r>
      <w:r w:rsidR="00995B58">
        <w:t xml:space="preserve">that </w:t>
      </w:r>
      <w:r w:rsidR="00B21A90" w:rsidRPr="00B21A90">
        <w:t>are the directly</w:t>
      </w:r>
      <w:r w:rsidR="00037D72" w:rsidRPr="00B21A90">
        <w:t xml:space="preserve"> attributable </w:t>
      </w:r>
      <w:r w:rsidR="00B21A90" w:rsidRPr="00B21A90">
        <w:t xml:space="preserve">staff time </w:t>
      </w:r>
      <w:r w:rsidR="00995B58">
        <w:t xml:space="preserve">and running costs </w:t>
      </w:r>
      <w:r w:rsidR="00B21A90" w:rsidRPr="00B21A90">
        <w:t xml:space="preserve">for </w:t>
      </w:r>
      <w:r w:rsidR="00037D72" w:rsidRPr="00B21A90">
        <w:t>the R&amp;D activity.</w:t>
      </w:r>
      <w:r w:rsidR="00243AEE">
        <w:t xml:space="preserve"> These are set by the iCT and form the basis of the other income elements.</w:t>
      </w:r>
      <w:r w:rsidR="004D356E">
        <w:br/>
      </w:r>
    </w:p>
    <w:p w14:paraId="06237F5E" w14:textId="4F630776" w:rsidR="00B21A90" w:rsidRDefault="00D27C66" w:rsidP="004D356E">
      <w:pPr>
        <w:pStyle w:val="ListParagraph"/>
        <w:numPr>
          <w:ilvl w:val="0"/>
          <w:numId w:val="4"/>
        </w:numPr>
      </w:pPr>
      <w:r w:rsidRPr="00B21A90">
        <w:t>Capacity Building</w:t>
      </w:r>
      <w:r w:rsidR="00037D72" w:rsidRPr="00B21A90">
        <w:t>: The funds that are to be designated f</w:t>
      </w:r>
      <w:r w:rsidR="00B21A90">
        <w:t>or</w:t>
      </w:r>
      <w:r w:rsidR="00B21A90" w:rsidRPr="00B21A90">
        <w:t xml:space="preserve"> system optimisation to deliver research as part of care provision.</w:t>
      </w:r>
      <w:r w:rsidR="00B21A90">
        <w:t xml:space="preserve"> This may include building sustainable research infrastructure, building capacity to innovate, retaining skills, and </w:t>
      </w:r>
      <w:r w:rsidR="00B21A90" w:rsidRPr="00B21A90">
        <w:t>strengthening organisational capacity and eligibility for projects</w:t>
      </w:r>
      <w:r w:rsidR="00B21A90">
        <w:t>.</w:t>
      </w:r>
      <w:r w:rsidR="00EA4541">
        <w:t xml:space="preserve"> This is currently set at 20% of the direct costs.</w:t>
      </w:r>
      <w:r w:rsidR="004D356E">
        <w:br/>
      </w:r>
    </w:p>
    <w:p w14:paraId="144AF7B5" w14:textId="3C622071" w:rsidR="004D356E" w:rsidRDefault="00A3417D" w:rsidP="004D356E">
      <w:pPr>
        <w:pStyle w:val="ListParagraph"/>
        <w:numPr>
          <w:ilvl w:val="0"/>
          <w:numId w:val="4"/>
        </w:numPr>
      </w:pPr>
      <w:r>
        <w:t>Indirect costs</w:t>
      </w:r>
      <w:r w:rsidR="00037D72" w:rsidRPr="00B21A90">
        <w:t xml:space="preserve">: The portion of the income that </w:t>
      </w:r>
      <w:r w:rsidR="00B21A90" w:rsidRPr="00B21A90">
        <w:t xml:space="preserve">represents the real cost of carrying out a research activity, outside of the direct costs. These </w:t>
      </w:r>
      <w:r>
        <w:t>indirect costs</w:t>
      </w:r>
      <w:r w:rsidR="00B21A90">
        <w:t xml:space="preserve"> include traditional </w:t>
      </w:r>
      <w:r>
        <w:t>overheads,</w:t>
      </w:r>
      <w:r w:rsidR="00B21A90">
        <w:t xml:space="preserve"> such as human resources and management oversight, but also g</w:t>
      </w:r>
      <w:r w:rsidR="00B21A90" w:rsidRPr="00B21A90">
        <w:t>eneral study oversight and administration</w:t>
      </w:r>
      <w:r w:rsidR="00B21A90">
        <w:t xml:space="preserve">. </w:t>
      </w:r>
      <w:r w:rsidR="004D356E">
        <w:t xml:space="preserve">The indirect cost element is only applied to procedural costs as per the iCT. </w:t>
      </w:r>
      <w:r w:rsidR="00B21A90">
        <w:t xml:space="preserve">The distribution of the indirect </w:t>
      </w:r>
      <w:r>
        <w:t>cost</w:t>
      </w:r>
      <w:r w:rsidR="00B21A90">
        <w:t xml:space="preserve"> is to cover both NHS organisational overheads as well as the support that is provided through the </w:t>
      </w:r>
      <w:r w:rsidR="00A82AAA">
        <w:t>investigator</w:t>
      </w:r>
      <w:r w:rsidR="00B21A90">
        <w:t xml:space="preserve"> specialty accounts.</w:t>
      </w:r>
      <w:r w:rsidR="00EA4541">
        <w:t xml:space="preserve"> The combination of all indirect costs is set at 70% of the direct costs.</w:t>
      </w:r>
      <w:r w:rsidR="004D356E">
        <w:t xml:space="preserve"> With this policy the indirect cost element is split evenly between an overhead account for the </w:t>
      </w:r>
      <w:r w:rsidR="00463F70">
        <w:t>H</w:t>
      </w:r>
      <w:r w:rsidR="004D356E">
        <w:t xml:space="preserve">ealth </w:t>
      </w:r>
      <w:r w:rsidR="00463F70">
        <w:t>B</w:t>
      </w:r>
      <w:r w:rsidR="004D356E">
        <w:t>oard, and the investigator specialty accounts.</w:t>
      </w:r>
      <w:r w:rsidR="004D356E">
        <w:br/>
      </w:r>
    </w:p>
    <w:p w14:paraId="34574588" w14:textId="0B594DF8" w:rsidR="00F81969" w:rsidRDefault="00D27C66" w:rsidP="00F81969">
      <w:pPr>
        <w:pStyle w:val="ListParagraph"/>
        <w:numPr>
          <w:ilvl w:val="0"/>
          <w:numId w:val="4"/>
        </w:numPr>
      </w:pPr>
      <w:r w:rsidRPr="00EA4541">
        <w:t xml:space="preserve">Market </w:t>
      </w:r>
      <w:r w:rsidR="00037D72" w:rsidRPr="00EA4541">
        <w:t>F</w:t>
      </w:r>
      <w:r w:rsidRPr="00EA4541">
        <w:t xml:space="preserve">orces </w:t>
      </w:r>
      <w:r w:rsidR="00037D72" w:rsidRPr="00EA4541">
        <w:t>F</w:t>
      </w:r>
      <w:r w:rsidRPr="00EA4541">
        <w:t>actor</w:t>
      </w:r>
      <w:r w:rsidR="00037D72" w:rsidRPr="00EA4541">
        <w:t xml:space="preserve">: The MFF </w:t>
      </w:r>
      <w:r w:rsidR="00243AEE" w:rsidRPr="00EA4541">
        <w:t>is a</w:t>
      </w:r>
      <w:r w:rsidR="00243AEE" w:rsidRPr="00243AEE">
        <w:t xml:space="preserve"> multiplier designed to accommodate the unavoidable cost differences of providing healthcare across the country</w:t>
      </w:r>
      <w:r w:rsidR="00243AEE">
        <w:t xml:space="preserve">. </w:t>
      </w:r>
      <w:r w:rsidR="004D356E">
        <w:t xml:space="preserve">It is applied to the aggregate of the direct, capacity building, and indirect elements. </w:t>
      </w:r>
      <w:r w:rsidR="00243AEE">
        <w:t xml:space="preserve">The </w:t>
      </w:r>
      <w:r w:rsidR="004D356E">
        <w:t xml:space="preserve">all-Wales </w:t>
      </w:r>
      <w:r w:rsidR="00243AEE">
        <w:t xml:space="preserve">MFF is 20%, however historically has been lower, with the previous MFF </w:t>
      </w:r>
      <w:r w:rsidR="00EA4541">
        <w:t>being</w:t>
      </w:r>
      <w:r w:rsidR="00243AEE">
        <w:t xml:space="preserve"> </w:t>
      </w:r>
      <w:r w:rsidR="00A55360">
        <w:t>9.43</w:t>
      </w:r>
      <w:r w:rsidR="00243AEE">
        <w:t xml:space="preserve">%. The MFF was drastically increased with the </w:t>
      </w:r>
      <w:r w:rsidR="00EA4541">
        <w:t>mandating</w:t>
      </w:r>
      <w:r w:rsidR="00243AEE">
        <w:t xml:space="preserve"> of NCVR to act as a buffer to cover any costs that may be higher than an individual itemised cost within the iCT. </w:t>
      </w:r>
      <w:r w:rsidR="00EA4541">
        <w:t xml:space="preserve">As such, when arriving at the income distribution, the MFF element of the income has been further disaggregated into a </w:t>
      </w:r>
      <w:r w:rsidR="00171DDB">
        <w:t>10</w:t>
      </w:r>
      <w:r w:rsidR="00EA4541">
        <w:t xml:space="preserve">% factor to be applied to each of the other income elements, </w:t>
      </w:r>
      <w:r w:rsidR="00995B58">
        <w:t xml:space="preserve">reflecting the relative local costs of providing healthcare, </w:t>
      </w:r>
      <w:r w:rsidR="00EA4541">
        <w:t xml:space="preserve">and the residual </w:t>
      </w:r>
      <w:r w:rsidR="00A55360">
        <w:t>1</w:t>
      </w:r>
      <w:r w:rsidR="00171DDB">
        <w:t>0</w:t>
      </w:r>
      <w:r w:rsidR="00EA4541">
        <w:t xml:space="preserve">% of the MFF to </w:t>
      </w:r>
      <w:r w:rsidR="007444B4">
        <w:t>supplement</w:t>
      </w:r>
      <w:r w:rsidR="00EA4541">
        <w:t xml:space="preserve"> the R&amp;D capacity building element in order to support the any such itemised costs that are </w:t>
      </w:r>
      <w:r w:rsidR="00EA4541">
        <w:lastRenderedPageBreak/>
        <w:t>misaligned</w:t>
      </w:r>
      <w:r w:rsidR="00995B58">
        <w:t>.</w:t>
      </w:r>
      <w:r w:rsidR="00EA4541">
        <w:t xml:space="preserve"> </w:t>
      </w:r>
      <w:r w:rsidR="004D356E">
        <w:t>This additional contribution to the capacity building element</w:t>
      </w:r>
      <w:r w:rsidR="00EA4541">
        <w:t xml:space="preserve"> is to be used to cover any shortfall in the contract value</w:t>
      </w:r>
      <w:r w:rsidR="00995B58">
        <w:t xml:space="preserve"> of R&amp;D studies</w:t>
      </w:r>
      <w:r w:rsidR="00EA4541">
        <w:t>.</w:t>
      </w:r>
    </w:p>
    <w:p w14:paraId="78E915E1" w14:textId="77777777" w:rsidR="00675009" w:rsidRDefault="00675009" w:rsidP="00F81969"/>
    <w:p w14:paraId="0E33E1BE" w14:textId="7E980118" w:rsidR="00675009" w:rsidRDefault="00675009" w:rsidP="00675009">
      <w:r>
        <w:rPr>
          <w:b/>
          <w:bCs/>
          <w:u w:val="single"/>
        </w:rPr>
        <w:t>A1.2 Application of Procedural Costs and Comparison to the Old Policy</w:t>
      </w:r>
    </w:p>
    <w:p w14:paraId="1BFFAFDD" w14:textId="2F8CD119" w:rsidR="00675009" w:rsidRDefault="00475E92" w:rsidP="00F81969">
      <w:r>
        <w:t>When</w:t>
      </w:r>
      <w:r w:rsidR="00F81969">
        <w:t xml:space="preserve"> producing the overall billable amount</w:t>
      </w:r>
      <w:r>
        <w:t xml:space="preserve"> for procedural costs</w:t>
      </w:r>
      <w:r w:rsidR="00F81969">
        <w:t>, the initial activity pricing is grossed up by 90% (being 20% for capacity building and 70% for indirect costs</w:t>
      </w:r>
      <w:r w:rsidR="00675009">
        <w:t>, comprising of both the overhead and investigator specialty amount</w:t>
      </w:r>
      <w:r w:rsidR="00F81969">
        <w:t xml:space="preserve">), and subsequently this total is grossed up by an additional 20%, giving an overall cost of 228% of the initial activity cost as per the iCT. </w:t>
      </w:r>
    </w:p>
    <w:p w14:paraId="61395DD2" w14:textId="25B3044A" w:rsidR="00675009" w:rsidRDefault="00F81969" w:rsidP="00F81969">
      <w:r>
        <w:t xml:space="preserve">Then, when internally distributing this income, we split each element into </w:t>
      </w:r>
      <w:r w:rsidR="00675009">
        <w:t>its</w:t>
      </w:r>
      <w:r>
        <w:t xml:space="preserve"> base cost, multiply each of these by 10%, representing the disaggregated MFF portion, and then add the residual MFF portion into the R&amp;D capacity building account</w:t>
      </w:r>
      <w:r w:rsidR="00475E92">
        <w:t>, as seen in the table below:</w:t>
      </w:r>
    </w:p>
    <w:tbl>
      <w:tblPr>
        <w:tblW w:w="9351" w:type="dxa"/>
        <w:tblLook w:val="04A0" w:firstRow="1" w:lastRow="0" w:firstColumn="1" w:lastColumn="0" w:noHBand="0" w:noVBand="1"/>
      </w:tblPr>
      <w:tblGrid>
        <w:gridCol w:w="3397"/>
        <w:gridCol w:w="1985"/>
        <w:gridCol w:w="1984"/>
        <w:gridCol w:w="1985"/>
      </w:tblGrid>
      <w:tr w:rsidR="000D0826" w:rsidRPr="000D0826" w14:paraId="2BA80901" w14:textId="77777777" w:rsidTr="000D0826">
        <w:trPr>
          <w:trHeight w:val="300"/>
        </w:trPr>
        <w:tc>
          <w:tcPr>
            <w:tcW w:w="3397" w:type="dxa"/>
            <w:tcBorders>
              <w:top w:val="single" w:sz="4" w:space="0" w:color="auto"/>
              <w:left w:val="single" w:sz="4" w:space="0" w:color="auto"/>
              <w:bottom w:val="single" w:sz="4" w:space="0" w:color="auto"/>
              <w:right w:val="single" w:sz="4" w:space="0" w:color="auto"/>
            </w:tcBorders>
            <w:noWrap/>
            <w:vAlign w:val="bottom"/>
            <w:hideMark/>
          </w:tcPr>
          <w:p w14:paraId="0481AC7C" w14:textId="77777777" w:rsidR="000D0826" w:rsidRPr="000D0826" w:rsidRDefault="000D0826" w:rsidP="000D0826">
            <w:pPr>
              <w:spacing w:after="0" w:line="240" w:lineRule="auto"/>
              <w:rPr>
                <w:rFonts w:ascii="Calibri" w:hAnsi="Calibri" w:cs="Calibri"/>
                <w:color w:val="000000"/>
                <w:kern w:val="0"/>
                <w:sz w:val="22"/>
                <w:szCs w:val="22"/>
              </w:rPr>
            </w:pPr>
            <w:r w:rsidRPr="000D0826">
              <w:rPr>
                <w:rFonts w:ascii="Calibri" w:hAnsi="Calibri" w:cs="Calibri"/>
                <w:color w:val="000000"/>
                <w:kern w:val="0"/>
                <w:sz w:val="22"/>
                <w:szCs w:val="22"/>
              </w:rPr>
              <w:t> </w:t>
            </w:r>
          </w:p>
        </w:tc>
        <w:tc>
          <w:tcPr>
            <w:tcW w:w="1985" w:type="dxa"/>
            <w:tcBorders>
              <w:top w:val="single" w:sz="4" w:space="0" w:color="auto"/>
              <w:left w:val="nil"/>
              <w:bottom w:val="single" w:sz="4" w:space="0" w:color="auto"/>
              <w:right w:val="single" w:sz="4" w:space="0" w:color="auto"/>
            </w:tcBorders>
            <w:noWrap/>
            <w:vAlign w:val="bottom"/>
            <w:hideMark/>
          </w:tcPr>
          <w:p w14:paraId="7DC2CCFC" w14:textId="3D675BEB" w:rsidR="000D0826" w:rsidRPr="000D0826" w:rsidRDefault="000D0826" w:rsidP="000D0826">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Base Amount</w:t>
            </w:r>
          </w:p>
        </w:tc>
        <w:tc>
          <w:tcPr>
            <w:tcW w:w="1984" w:type="dxa"/>
            <w:tcBorders>
              <w:top w:val="single" w:sz="4" w:space="0" w:color="auto"/>
              <w:left w:val="nil"/>
              <w:bottom w:val="single" w:sz="4" w:space="0" w:color="auto"/>
              <w:right w:val="single" w:sz="4" w:space="0" w:color="auto"/>
            </w:tcBorders>
            <w:noWrap/>
            <w:vAlign w:val="bottom"/>
            <w:hideMark/>
          </w:tcPr>
          <w:p w14:paraId="353EEBBD" w14:textId="4AB17B12" w:rsidR="000D0826" w:rsidRPr="000D0826" w:rsidRDefault="000D0826" w:rsidP="000D0826">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Adding Split MFF Element</w:t>
            </w:r>
            <w:r>
              <w:rPr>
                <w:rFonts w:ascii="Calibri" w:hAnsi="Calibri" w:cs="Calibri"/>
                <w:color w:val="000000"/>
                <w:kern w:val="0"/>
                <w:sz w:val="22"/>
                <w:szCs w:val="22"/>
              </w:rPr>
              <w:t xml:space="preserve"> (10%)</w:t>
            </w:r>
          </w:p>
        </w:tc>
        <w:tc>
          <w:tcPr>
            <w:tcW w:w="1985" w:type="dxa"/>
            <w:tcBorders>
              <w:top w:val="single" w:sz="4" w:space="0" w:color="auto"/>
              <w:left w:val="nil"/>
              <w:bottom w:val="single" w:sz="4" w:space="0" w:color="auto"/>
              <w:right w:val="single" w:sz="4" w:space="0" w:color="auto"/>
            </w:tcBorders>
            <w:noWrap/>
            <w:vAlign w:val="bottom"/>
            <w:hideMark/>
          </w:tcPr>
          <w:p w14:paraId="49E685CE" w14:textId="229DF839" w:rsidR="000D0826" w:rsidRPr="000D0826" w:rsidRDefault="000D0826" w:rsidP="000D0826">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Addin</w:t>
            </w:r>
            <w:r>
              <w:rPr>
                <w:rFonts w:ascii="Calibri" w:hAnsi="Calibri" w:cs="Calibri"/>
                <w:color w:val="000000"/>
                <w:kern w:val="0"/>
                <w:sz w:val="22"/>
                <w:szCs w:val="22"/>
              </w:rPr>
              <w:t>g</w:t>
            </w:r>
            <w:r w:rsidRPr="000D0826">
              <w:rPr>
                <w:rFonts w:ascii="Calibri" w:hAnsi="Calibri" w:cs="Calibri"/>
                <w:color w:val="000000"/>
                <w:kern w:val="0"/>
                <w:sz w:val="22"/>
                <w:szCs w:val="22"/>
              </w:rPr>
              <w:t xml:space="preserve"> Residual MFF Element</w:t>
            </w:r>
            <w:r>
              <w:rPr>
                <w:rFonts w:ascii="Calibri" w:hAnsi="Calibri" w:cs="Calibri"/>
                <w:color w:val="000000"/>
                <w:kern w:val="0"/>
                <w:sz w:val="22"/>
                <w:szCs w:val="22"/>
              </w:rPr>
              <w:t xml:space="preserve"> (10%)</w:t>
            </w:r>
          </w:p>
        </w:tc>
      </w:tr>
      <w:tr w:rsidR="000D0826" w:rsidRPr="000D0826" w14:paraId="24059C29" w14:textId="77777777" w:rsidTr="000D0826">
        <w:trPr>
          <w:trHeight w:val="300"/>
        </w:trPr>
        <w:tc>
          <w:tcPr>
            <w:tcW w:w="3397" w:type="dxa"/>
            <w:tcBorders>
              <w:top w:val="nil"/>
              <w:left w:val="single" w:sz="4" w:space="0" w:color="auto"/>
              <w:bottom w:val="single" w:sz="4" w:space="0" w:color="auto"/>
              <w:right w:val="single" w:sz="4" w:space="0" w:color="auto"/>
            </w:tcBorders>
            <w:noWrap/>
            <w:vAlign w:val="bottom"/>
            <w:hideMark/>
          </w:tcPr>
          <w:p w14:paraId="686E24AE" w14:textId="77777777" w:rsidR="000D0826" w:rsidRPr="000D0826" w:rsidRDefault="000D0826" w:rsidP="000D0826">
            <w:pPr>
              <w:spacing w:after="0" w:line="240" w:lineRule="auto"/>
              <w:rPr>
                <w:rFonts w:ascii="Calibri" w:hAnsi="Calibri" w:cs="Calibri"/>
                <w:color w:val="000000"/>
                <w:kern w:val="0"/>
                <w:sz w:val="22"/>
                <w:szCs w:val="22"/>
              </w:rPr>
            </w:pPr>
            <w:r w:rsidRPr="000D0826">
              <w:rPr>
                <w:rFonts w:ascii="Calibri" w:hAnsi="Calibri" w:cs="Calibri"/>
                <w:color w:val="000000"/>
                <w:kern w:val="0"/>
                <w:sz w:val="22"/>
                <w:szCs w:val="22"/>
              </w:rPr>
              <w:t>Direct (Research Activity Account)</w:t>
            </w:r>
          </w:p>
        </w:tc>
        <w:tc>
          <w:tcPr>
            <w:tcW w:w="1985" w:type="dxa"/>
            <w:tcBorders>
              <w:top w:val="nil"/>
              <w:left w:val="nil"/>
              <w:bottom w:val="single" w:sz="4" w:space="0" w:color="auto"/>
              <w:right w:val="single" w:sz="4" w:space="0" w:color="auto"/>
            </w:tcBorders>
            <w:noWrap/>
            <w:vAlign w:val="bottom"/>
            <w:hideMark/>
          </w:tcPr>
          <w:p w14:paraId="648225B0" w14:textId="77777777" w:rsidR="000D0826" w:rsidRPr="000D0826" w:rsidRDefault="000D0826" w:rsidP="000D0826">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100</w:t>
            </w:r>
          </w:p>
        </w:tc>
        <w:tc>
          <w:tcPr>
            <w:tcW w:w="1984" w:type="dxa"/>
            <w:tcBorders>
              <w:top w:val="nil"/>
              <w:left w:val="nil"/>
              <w:bottom w:val="single" w:sz="4" w:space="0" w:color="auto"/>
              <w:right w:val="single" w:sz="4" w:space="0" w:color="auto"/>
            </w:tcBorders>
            <w:noWrap/>
            <w:vAlign w:val="bottom"/>
            <w:hideMark/>
          </w:tcPr>
          <w:p w14:paraId="6FECC227" w14:textId="77777777" w:rsidR="000D0826" w:rsidRPr="000D0826" w:rsidRDefault="000D0826" w:rsidP="000D0826">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110</w:t>
            </w:r>
          </w:p>
        </w:tc>
        <w:tc>
          <w:tcPr>
            <w:tcW w:w="1985" w:type="dxa"/>
            <w:tcBorders>
              <w:top w:val="nil"/>
              <w:left w:val="nil"/>
              <w:bottom w:val="single" w:sz="4" w:space="0" w:color="auto"/>
              <w:right w:val="single" w:sz="4" w:space="0" w:color="auto"/>
            </w:tcBorders>
            <w:noWrap/>
            <w:vAlign w:val="bottom"/>
            <w:hideMark/>
          </w:tcPr>
          <w:p w14:paraId="68E13D9D" w14:textId="77777777" w:rsidR="000D0826" w:rsidRPr="000D0826" w:rsidRDefault="000D0826" w:rsidP="000D0826">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110</w:t>
            </w:r>
          </w:p>
        </w:tc>
      </w:tr>
      <w:tr w:rsidR="000D0826" w:rsidRPr="000D0826" w14:paraId="5F74DE8D" w14:textId="77777777" w:rsidTr="000D0826">
        <w:trPr>
          <w:trHeight w:val="300"/>
        </w:trPr>
        <w:tc>
          <w:tcPr>
            <w:tcW w:w="3397" w:type="dxa"/>
            <w:tcBorders>
              <w:top w:val="nil"/>
              <w:left w:val="single" w:sz="4" w:space="0" w:color="auto"/>
              <w:bottom w:val="single" w:sz="4" w:space="0" w:color="auto"/>
              <w:right w:val="single" w:sz="4" w:space="0" w:color="auto"/>
            </w:tcBorders>
            <w:noWrap/>
            <w:vAlign w:val="bottom"/>
            <w:hideMark/>
          </w:tcPr>
          <w:p w14:paraId="0644887F" w14:textId="77777777" w:rsidR="000D0826" w:rsidRPr="000D0826" w:rsidRDefault="000D0826" w:rsidP="000D0826">
            <w:pPr>
              <w:spacing w:after="0" w:line="240" w:lineRule="auto"/>
              <w:rPr>
                <w:rFonts w:ascii="Calibri" w:hAnsi="Calibri" w:cs="Calibri"/>
                <w:color w:val="000000"/>
                <w:kern w:val="0"/>
                <w:sz w:val="22"/>
                <w:szCs w:val="22"/>
              </w:rPr>
            </w:pPr>
            <w:r w:rsidRPr="000D0826">
              <w:rPr>
                <w:rFonts w:ascii="Calibri" w:hAnsi="Calibri" w:cs="Calibri"/>
                <w:color w:val="000000"/>
                <w:kern w:val="0"/>
                <w:sz w:val="22"/>
                <w:szCs w:val="22"/>
              </w:rPr>
              <w:t>Capacity Building Account</w:t>
            </w:r>
          </w:p>
        </w:tc>
        <w:tc>
          <w:tcPr>
            <w:tcW w:w="1985" w:type="dxa"/>
            <w:tcBorders>
              <w:top w:val="nil"/>
              <w:left w:val="nil"/>
              <w:bottom w:val="single" w:sz="4" w:space="0" w:color="auto"/>
              <w:right w:val="single" w:sz="4" w:space="0" w:color="auto"/>
            </w:tcBorders>
            <w:noWrap/>
            <w:vAlign w:val="bottom"/>
            <w:hideMark/>
          </w:tcPr>
          <w:p w14:paraId="0E351B13" w14:textId="77777777" w:rsidR="000D0826" w:rsidRPr="000D0826" w:rsidRDefault="000D0826" w:rsidP="000D0826">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20</w:t>
            </w:r>
          </w:p>
        </w:tc>
        <w:tc>
          <w:tcPr>
            <w:tcW w:w="1984" w:type="dxa"/>
            <w:tcBorders>
              <w:top w:val="nil"/>
              <w:left w:val="nil"/>
              <w:bottom w:val="single" w:sz="4" w:space="0" w:color="auto"/>
              <w:right w:val="single" w:sz="4" w:space="0" w:color="auto"/>
            </w:tcBorders>
            <w:noWrap/>
            <w:vAlign w:val="bottom"/>
            <w:hideMark/>
          </w:tcPr>
          <w:p w14:paraId="265C5E74" w14:textId="77777777" w:rsidR="000D0826" w:rsidRPr="000D0826" w:rsidRDefault="000D0826" w:rsidP="000D0826">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22</w:t>
            </w:r>
          </w:p>
        </w:tc>
        <w:tc>
          <w:tcPr>
            <w:tcW w:w="1985" w:type="dxa"/>
            <w:tcBorders>
              <w:top w:val="nil"/>
              <w:left w:val="nil"/>
              <w:bottom w:val="single" w:sz="4" w:space="0" w:color="auto"/>
              <w:right w:val="single" w:sz="4" w:space="0" w:color="auto"/>
            </w:tcBorders>
            <w:noWrap/>
            <w:vAlign w:val="bottom"/>
            <w:hideMark/>
          </w:tcPr>
          <w:p w14:paraId="40A0449C" w14:textId="77777777" w:rsidR="000D0826" w:rsidRPr="000D0826" w:rsidRDefault="000D0826" w:rsidP="000D0826">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41</w:t>
            </w:r>
          </w:p>
        </w:tc>
      </w:tr>
      <w:tr w:rsidR="000D0826" w:rsidRPr="000D0826" w14:paraId="3EB94D36" w14:textId="77777777" w:rsidTr="000D0826">
        <w:trPr>
          <w:trHeight w:val="300"/>
        </w:trPr>
        <w:tc>
          <w:tcPr>
            <w:tcW w:w="3397" w:type="dxa"/>
            <w:tcBorders>
              <w:top w:val="nil"/>
              <w:left w:val="single" w:sz="4" w:space="0" w:color="auto"/>
              <w:bottom w:val="single" w:sz="4" w:space="0" w:color="auto"/>
              <w:right w:val="single" w:sz="4" w:space="0" w:color="auto"/>
            </w:tcBorders>
            <w:noWrap/>
            <w:vAlign w:val="bottom"/>
            <w:hideMark/>
          </w:tcPr>
          <w:p w14:paraId="218AA4CF" w14:textId="77777777" w:rsidR="000D0826" w:rsidRPr="000D0826" w:rsidRDefault="000D0826" w:rsidP="000D0826">
            <w:pPr>
              <w:spacing w:after="0" w:line="240" w:lineRule="auto"/>
              <w:rPr>
                <w:rFonts w:ascii="Calibri" w:hAnsi="Calibri" w:cs="Calibri"/>
                <w:color w:val="000000"/>
                <w:kern w:val="0"/>
                <w:sz w:val="22"/>
                <w:szCs w:val="22"/>
              </w:rPr>
            </w:pPr>
            <w:r w:rsidRPr="000D0826">
              <w:rPr>
                <w:rFonts w:ascii="Calibri" w:hAnsi="Calibri" w:cs="Calibri"/>
                <w:color w:val="000000"/>
                <w:kern w:val="0"/>
                <w:sz w:val="22"/>
                <w:szCs w:val="22"/>
              </w:rPr>
              <w:t>Investigator Specialty Account</w:t>
            </w:r>
          </w:p>
        </w:tc>
        <w:tc>
          <w:tcPr>
            <w:tcW w:w="1985" w:type="dxa"/>
            <w:tcBorders>
              <w:top w:val="nil"/>
              <w:left w:val="nil"/>
              <w:bottom w:val="single" w:sz="4" w:space="0" w:color="auto"/>
              <w:right w:val="single" w:sz="4" w:space="0" w:color="auto"/>
            </w:tcBorders>
            <w:noWrap/>
            <w:vAlign w:val="bottom"/>
            <w:hideMark/>
          </w:tcPr>
          <w:p w14:paraId="5EE16E04" w14:textId="77777777" w:rsidR="000D0826" w:rsidRPr="000D0826" w:rsidRDefault="000D0826" w:rsidP="000D0826">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35</w:t>
            </w:r>
          </w:p>
        </w:tc>
        <w:tc>
          <w:tcPr>
            <w:tcW w:w="1984" w:type="dxa"/>
            <w:tcBorders>
              <w:top w:val="nil"/>
              <w:left w:val="nil"/>
              <w:bottom w:val="single" w:sz="4" w:space="0" w:color="auto"/>
              <w:right w:val="single" w:sz="4" w:space="0" w:color="auto"/>
            </w:tcBorders>
            <w:noWrap/>
            <w:vAlign w:val="bottom"/>
            <w:hideMark/>
          </w:tcPr>
          <w:p w14:paraId="094680F9" w14:textId="77777777" w:rsidR="000D0826" w:rsidRPr="000D0826" w:rsidRDefault="000D0826" w:rsidP="000D0826">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38.5</w:t>
            </w:r>
          </w:p>
        </w:tc>
        <w:tc>
          <w:tcPr>
            <w:tcW w:w="1985" w:type="dxa"/>
            <w:tcBorders>
              <w:top w:val="nil"/>
              <w:left w:val="nil"/>
              <w:bottom w:val="single" w:sz="4" w:space="0" w:color="auto"/>
              <w:right w:val="single" w:sz="4" w:space="0" w:color="auto"/>
            </w:tcBorders>
            <w:noWrap/>
            <w:vAlign w:val="bottom"/>
            <w:hideMark/>
          </w:tcPr>
          <w:p w14:paraId="70CE8B0C" w14:textId="77777777" w:rsidR="000D0826" w:rsidRPr="000D0826" w:rsidRDefault="000D0826" w:rsidP="000D0826">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38.5</w:t>
            </w:r>
          </w:p>
        </w:tc>
      </w:tr>
      <w:tr w:rsidR="000D0826" w:rsidRPr="000D0826" w14:paraId="2DAF40A1" w14:textId="77777777" w:rsidTr="000D0826">
        <w:trPr>
          <w:trHeight w:val="300"/>
        </w:trPr>
        <w:tc>
          <w:tcPr>
            <w:tcW w:w="3397" w:type="dxa"/>
            <w:tcBorders>
              <w:top w:val="nil"/>
              <w:left w:val="single" w:sz="4" w:space="0" w:color="auto"/>
              <w:bottom w:val="single" w:sz="4" w:space="0" w:color="auto"/>
              <w:right w:val="single" w:sz="4" w:space="0" w:color="auto"/>
            </w:tcBorders>
            <w:noWrap/>
            <w:vAlign w:val="bottom"/>
            <w:hideMark/>
          </w:tcPr>
          <w:p w14:paraId="65D3E236" w14:textId="77777777" w:rsidR="000D0826" w:rsidRPr="000D0826" w:rsidRDefault="000D0826" w:rsidP="000D0826">
            <w:pPr>
              <w:spacing w:after="0" w:line="240" w:lineRule="auto"/>
              <w:rPr>
                <w:rFonts w:ascii="Calibri" w:hAnsi="Calibri" w:cs="Calibri"/>
                <w:color w:val="000000"/>
                <w:kern w:val="0"/>
                <w:sz w:val="22"/>
                <w:szCs w:val="22"/>
              </w:rPr>
            </w:pPr>
            <w:r w:rsidRPr="000D0826">
              <w:rPr>
                <w:rFonts w:ascii="Calibri" w:hAnsi="Calibri" w:cs="Calibri"/>
                <w:color w:val="000000"/>
                <w:kern w:val="0"/>
                <w:sz w:val="22"/>
                <w:szCs w:val="22"/>
              </w:rPr>
              <w:t>Overhead Allocation</w:t>
            </w:r>
          </w:p>
        </w:tc>
        <w:tc>
          <w:tcPr>
            <w:tcW w:w="1985" w:type="dxa"/>
            <w:tcBorders>
              <w:top w:val="nil"/>
              <w:left w:val="nil"/>
              <w:bottom w:val="single" w:sz="4" w:space="0" w:color="auto"/>
              <w:right w:val="single" w:sz="4" w:space="0" w:color="auto"/>
            </w:tcBorders>
            <w:noWrap/>
            <w:vAlign w:val="bottom"/>
            <w:hideMark/>
          </w:tcPr>
          <w:p w14:paraId="0C9A2A68" w14:textId="77777777" w:rsidR="000D0826" w:rsidRPr="000D0826" w:rsidRDefault="000D0826" w:rsidP="000D0826">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35</w:t>
            </w:r>
          </w:p>
        </w:tc>
        <w:tc>
          <w:tcPr>
            <w:tcW w:w="1984" w:type="dxa"/>
            <w:tcBorders>
              <w:top w:val="nil"/>
              <w:left w:val="nil"/>
              <w:bottom w:val="single" w:sz="4" w:space="0" w:color="auto"/>
              <w:right w:val="single" w:sz="4" w:space="0" w:color="auto"/>
            </w:tcBorders>
            <w:noWrap/>
            <w:vAlign w:val="bottom"/>
            <w:hideMark/>
          </w:tcPr>
          <w:p w14:paraId="115983C4" w14:textId="77777777" w:rsidR="000D0826" w:rsidRPr="000D0826" w:rsidRDefault="000D0826" w:rsidP="000D0826">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38.5</w:t>
            </w:r>
          </w:p>
        </w:tc>
        <w:tc>
          <w:tcPr>
            <w:tcW w:w="1985" w:type="dxa"/>
            <w:tcBorders>
              <w:top w:val="nil"/>
              <w:left w:val="nil"/>
              <w:bottom w:val="single" w:sz="4" w:space="0" w:color="auto"/>
              <w:right w:val="single" w:sz="4" w:space="0" w:color="auto"/>
            </w:tcBorders>
            <w:noWrap/>
            <w:vAlign w:val="bottom"/>
            <w:hideMark/>
          </w:tcPr>
          <w:p w14:paraId="3220C195" w14:textId="77777777" w:rsidR="000D0826" w:rsidRPr="000D0826" w:rsidRDefault="000D0826" w:rsidP="000D0826">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38.5</w:t>
            </w:r>
          </w:p>
        </w:tc>
      </w:tr>
    </w:tbl>
    <w:p w14:paraId="0099EBDA" w14:textId="471D4F2E" w:rsidR="00475E92" w:rsidRDefault="000D0826" w:rsidP="00F81969">
      <w:r>
        <w:br/>
      </w:r>
      <w:r w:rsidR="00675009" w:rsidRPr="00475E92">
        <w:t xml:space="preserve">The old policy acted as a rough approximation of this system, </w:t>
      </w:r>
      <w:r w:rsidR="00475E92" w:rsidRPr="00475E92">
        <w:t>and</w:t>
      </w:r>
      <w:r w:rsidR="00475E92">
        <w:t xml:space="preserve"> whilst the overall amount that was billed was constructed the same way, due to the requirements of the NCVR, the way it has been distributed within the Health Board is different. </w:t>
      </w:r>
    </w:p>
    <w:p w14:paraId="478314EF" w14:textId="24C080BC" w:rsidR="00475E92" w:rsidRDefault="00475E92" w:rsidP="00F81969">
      <w:r>
        <w:t>The overall amount billed had the MFF element removed, to be held by the R&amp;D office, and then split the residual amount up according to the following percentages:</w:t>
      </w:r>
    </w:p>
    <w:tbl>
      <w:tblPr>
        <w:tblW w:w="3256" w:type="dxa"/>
        <w:tblLook w:val="04A0" w:firstRow="1" w:lastRow="0" w:firstColumn="1" w:lastColumn="0" w:noHBand="0" w:noVBand="1"/>
      </w:tblPr>
      <w:tblGrid>
        <w:gridCol w:w="2405"/>
        <w:gridCol w:w="851"/>
      </w:tblGrid>
      <w:tr w:rsidR="00475E92" w:rsidRPr="00475E92" w14:paraId="3E11153B" w14:textId="77777777" w:rsidTr="00260F19">
        <w:trPr>
          <w:trHeight w:val="300"/>
        </w:trPr>
        <w:tc>
          <w:tcPr>
            <w:tcW w:w="2405" w:type="dxa"/>
            <w:tcBorders>
              <w:top w:val="single" w:sz="4" w:space="0" w:color="auto"/>
              <w:left w:val="single" w:sz="4" w:space="0" w:color="auto"/>
              <w:bottom w:val="single" w:sz="4" w:space="0" w:color="auto"/>
              <w:right w:val="single" w:sz="4" w:space="0" w:color="auto"/>
            </w:tcBorders>
            <w:noWrap/>
            <w:vAlign w:val="bottom"/>
            <w:hideMark/>
          </w:tcPr>
          <w:p w14:paraId="0AC6F7A9" w14:textId="77777777" w:rsidR="00475E92" w:rsidRPr="00475E92" w:rsidRDefault="00475E92" w:rsidP="00475E92">
            <w:pPr>
              <w:spacing w:after="0" w:line="240" w:lineRule="auto"/>
              <w:rPr>
                <w:rFonts w:ascii="Aptos Narrow" w:hAnsi="Aptos Narrow"/>
                <w:color w:val="000000"/>
                <w:kern w:val="0"/>
                <w:sz w:val="22"/>
                <w:szCs w:val="22"/>
              </w:rPr>
            </w:pPr>
            <w:r w:rsidRPr="00475E92">
              <w:rPr>
                <w:rFonts w:ascii="Aptos Narrow" w:hAnsi="Aptos Narrow"/>
                <w:color w:val="000000"/>
                <w:kern w:val="0"/>
                <w:sz w:val="22"/>
                <w:szCs w:val="22"/>
              </w:rPr>
              <w:t>Research Team</w:t>
            </w:r>
          </w:p>
        </w:tc>
        <w:tc>
          <w:tcPr>
            <w:tcW w:w="851" w:type="dxa"/>
            <w:tcBorders>
              <w:top w:val="single" w:sz="4" w:space="0" w:color="auto"/>
              <w:left w:val="nil"/>
              <w:bottom w:val="single" w:sz="4" w:space="0" w:color="auto"/>
              <w:right w:val="single" w:sz="4" w:space="0" w:color="auto"/>
            </w:tcBorders>
            <w:noWrap/>
            <w:vAlign w:val="bottom"/>
            <w:hideMark/>
          </w:tcPr>
          <w:p w14:paraId="0E17B1EA" w14:textId="77777777" w:rsidR="00475E92" w:rsidRPr="00475E92" w:rsidRDefault="00475E92" w:rsidP="00475E92">
            <w:pPr>
              <w:spacing w:after="0" w:line="240" w:lineRule="auto"/>
              <w:jc w:val="right"/>
              <w:rPr>
                <w:rFonts w:ascii="Aptos Narrow" w:hAnsi="Aptos Narrow"/>
                <w:color w:val="000000"/>
                <w:kern w:val="0"/>
                <w:sz w:val="22"/>
                <w:szCs w:val="22"/>
              </w:rPr>
            </w:pPr>
            <w:r w:rsidRPr="00475E92">
              <w:rPr>
                <w:rFonts w:ascii="Aptos Narrow" w:hAnsi="Aptos Narrow"/>
                <w:color w:val="000000"/>
                <w:kern w:val="0"/>
                <w:sz w:val="22"/>
                <w:szCs w:val="22"/>
              </w:rPr>
              <w:t>40%</w:t>
            </w:r>
          </w:p>
        </w:tc>
      </w:tr>
      <w:tr w:rsidR="00475E92" w:rsidRPr="00475E92" w14:paraId="40471D29" w14:textId="77777777" w:rsidTr="00260F19">
        <w:trPr>
          <w:trHeight w:val="300"/>
        </w:trPr>
        <w:tc>
          <w:tcPr>
            <w:tcW w:w="2405" w:type="dxa"/>
            <w:tcBorders>
              <w:top w:val="nil"/>
              <w:left w:val="single" w:sz="4" w:space="0" w:color="auto"/>
              <w:bottom w:val="single" w:sz="4" w:space="0" w:color="auto"/>
              <w:right w:val="single" w:sz="4" w:space="0" w:color="auto"/>
            </w:tcBorders>
            <w:noWrap/>
            <w:vAlign w:val="bottom"/>
            <w:hideMark/>
          </w:tcPr>
          <w:p w14:paraId="30684D41" w14:textId="3C8F1E75" w:rsidR="00475E92" w:rsidRPr="00475E92" w:rsidRDefault="00475E92" w:rsidP="00475E92">
            <w:pPr>
              <w:spacing w:after="0" w:line="240" w:lineRule="auto"/>
              <w:rPr>
                <w:rFonts w:ascii="Aptos Narrow" w:hAnsi="Aptos Narrow"/>
                <w:color w:val="000000"/>
                <w:kern w:val="0"/>
                <w:sz w:val="22"/>
                <w:szCs w:val="22"/>
              </w:rPr>
            </w:pPr>
            <w:r w:rsidRPr="00475E92">
              <w:rPr>
                <w:rFonts w:ascii="Aptos Narrow" w:hAnsi="Aptos Narrow"/>
                <w:color w:val="000000"/>
                <w:kern w:val="0"/>
                <w:sz w:val="22"/>
                <w:szCs w:val="22"/>
              </w:rPr>
              <w:t xml:space="preserve">R&amp;D Office </w:t>
            </w:r>
          </w:p>
        </w:tc>
        <w:tc>
          <w:tcPr>
            <w:tcW w:w="851" w:type="dxa"/>
            <w:tcBorders>
              <w:top w:val="nil"/>
              <w:left w:val="nil"/>
              <w:bottom w:val="single" w:sz="4" w:space="0" w:color="auto"/>
              <w:right w:val="single" w:sz="4" w:space="0" w:color="auto"/>
            </w:tcBorders>
            <w:noWrap/>
            <w:vAlign w:val="bottom"/>
            <w:hideMark/>
          </w:tcPr>
          <w:p w14:paraId="2C6881C5" w14:textId="77777777" w:rsidR="00475E92" w:rsidRPr="00475E92" w:rsidRDefault="00475E92" w:rsidP="00475E92">
            <w:pPr>
              <w:spacing w:after="0" w:line="240" w:lineRule="auto"/>
              <w:jc w:val="right"/>
              <w:rPr>
                <w:rFonts w:ascii="Aptos Narrow" w:hAnsi="Aptos Narrow"/>
                <w:color w:val="000000"/>
                <w:kern w:val="0"/>
                <w:sz w:val="22"/>
                <w:szCs w:val="22"/>
              </w:rPr>
            </w:pPr>
            <w:r w:rsidRPr="00475E92">
              <w:rPr>
                <w:rFonts w:ascii="Aptos Narrow" w:hAnsi="Aptos Narrow"/>
                <w:color w:val="000000"/>
                <w:kern w:val="0"/>
                <w:sz w:val="22"/>
                <w:szCs w:val="22"/>
              </w:rPr>
              <w:t>25%</w:t>
            </w:r>
          </w:p>
        </w:tc>
      </w:tr>
      <w:tr w:rsidR="00475E92" w:rsidRPr="00475E92" w14:paraId="092C0515" w14:textId="77777777" w:rsidTr="00260F19">
        <w:trPr>
          <w:trHeight w:val="300"/>
        </w:trPr>
        <w:tc>
          <w:tcPr>
            <w:tcW w:w="2405" w:type="dxa"/>
            <w:tcBorders>
              <w:top w:val="nil"/>
              <w:left w:val="single" w:sz="4" w:space="0" w:color="auto"/>
              <w:bottom w:val="single" w:sz="4" w:space="0" w:color="auto"/>
              <w:right w:val="single" w:sz="4" w:space="0" w:color="auto"/>
            </w:tcBorders>
            <w:noWrap/>
            <w:vAlign w:val="bottom"/>
            <w:hideMark/>
          </w:tcPr>
          <w:p w14:paraId="03368963" w14:textId="59904D10" w:rsidR="00475E92" w:rsidRPr="00475E92" w:rsidRDefault="00475E92" w:rsidP="00475E92">
            <w:pPr>
              <w:spacing w:after="0" w:line="240" w:lineRule="auto"/>
              <w:rPr>
                <w:rFonts w:ascii="Aptos Narrow" w:hAnsi="Aptos Narrow"/>
                <w:color w:val="000000"/>
                <w:kern w:val="0"/>
                <w:sz w:val="22"/>
                <w:szCs w:val="22"/>
              </w:rPr>
            </w:pPr>
            <w:r w:rsidRPr="00475E92">
              <w:rPr>
                <w:rFonts w:ascii="Aptos Narrow" w:hAnsi="Aptos Narrow"/>
                <w:color w:val="000000"/>
                <w:kern w:val="0"/>
                <w:sz w:val="22"/>
                <w:szCs w:val="22"/>
              </w:rPr>
              <w:t>PI Account</w:t>
            </w:r>
          </w:p>
        </w:tc>
        <w:tc>
          <w:tcPr>
            <w:tcW w:w="851" w:type="dxa"/>
            <w:tcBorders>
              <w:top w:val="nil"/>
              <w:left w:val="nil"/>
              <w:bottom w:val="single" w:sz="4" w:space="0" w:color="auto"/>
              <w:right w:val="single" w:sz="4" w:space="0" w:color="auto"/>
            </w:tcBorders>
            <w:noWrap/>
            <w:vAlign w:val="bottom"/>
            <w:hideMark/>
          </w:tcPr>
          <w:p w14:paraId="5E41461F" w14:textId="77777777" w:rsidR="00475E92" w:rsidRPr="00475E92" w:rsidRDefault="00475E92" w:rsidP="00475E92">
            <w:pPr>
              <w:spacing w:after="0" w:line="240" w:lineRule="auto"/>
              <w:jc w:val="right"/>
              <w:rPr>
                <w:rFonts w:ascii="Aptos Narrow" w:hAnsi="Aptos Narrow"/>
                <w:color w:val="000000"/>
                <w:kern w:val="0"/>
                <w:sz w:val="22"/>
                <w:szCs w:val="22"/>
              </w:rPr>
            </w:pPr>
            <w:r w:rsidRPr="00475E92">
              <w:rPr>
                <w:rFonts w:ascii="Aptos Narrow" w:hAnsi="Aptos Narrow"/>
                <w:color w:val="000000"/>
                <w:kern w:val="0"/>
                <w:sz w:val="22"/>
                <w:szCs w:val="22"/>
              </w:rPr>
              <w:t>25%</w:t>
            </w:r>
          </w:p>
        </w:tc>
      </w:tr>
      <w:tr w:rsidR="00475E92" w:rsidRPr="00475E92" w14:paraId="57886A6D" w14:textId="77777777" w:rsidTr="00260F19">
        <w:trPr>
          <w:trHeight w:val="300"/>
        </w:trPr>
        <w:tc>
          <w:tcPr>
            <w:tcW w:w="2405" w:type="dxa"/>
            <w:tcBorders>
              <w:top w:val="nil"/>
              <w:left w:val="single" w:sz="4" w:space="0" w:color="auto"/>
              <w:bottom w:val="single" w:sz="4" w:space="0" w:color="auto"/>
              <w:right w:val="single" w:sz="4" w:space="0" w:color="auto"/>
            </w:tcBorders>
            <w:noWrap/>
            <w:vAlign w:val="bottom"/>
            <w:hideMark/>
          </w:tcPr>
          <w:p w14:paraId="78CBBDBC" w14:textId="0E88A421" w:rsidR="00475E92" w:rsidRPr="00475E92" w:rsidRDefault="00475E92" w:rsidP="00475E92">
            <w:pPr>
              <w:spacing w:after="0" w:line="240" w:lineRule="auto"/>
              <w:rPr>
                <w:rFonts w:ascii="Aptos Narrow" w:hAnsi="Aptos Narrow"/>
                <w:color w:val="000000"/>
                <w:kern w:val="0"/>
                <w:sz w:val="22"/>
                <w:szCs w:val="22"/>
              </w:rPr>
            </w:pPr>
            <w:r w:rsidRPr="00475E92">
              <w:rPr>
                <w:rFonts w:ascii="Aptos Narrow" w:hAnsi="Aptos Narrow"/>
                <w:color w:val="000000"/>
                <w:kern w:val="0"/>
                <w:sz w:val="22"/>
                <w:szCs w:val="22"/>
              </w:rPr>
              <w:t>Overhead Allocation</w:t>
            </w:r>
          </w:p>
        </w:tc>
        <w:tc>
          <w:tcPr>
            <w:tcW w:w="851" w:type="dxa"/>
            <w:tcBorders>
              <w:top w:val="nil"/>
              <w:left w:val="nil"/>
              <w:bottom w:val="single" w:sz="4" w:space="0" w:color="auto"/>
              <w:right w:val="single" w:sz="4" w:space="0" w:color="auto"/>
            </w:tcBorders>
            <w:noWrap/>
            <w:vAlign w:val="bottom"/>
            <w:hideMark/>
          </w:tcPr>
          <w:p w14:paraId="3B3ABD99" w14:textId="77777777" w:rsidR="00475E92" w:rsidRPr="00475E92" w:rsidRDefault="00475E92" w:rsidP="00475E92">
            <w:pPr>
              <w:spacing w:after="0" w:line="240" w:lineRule="auto"/>
              <w:jc w:val="right"/>
              <w:rPr>
                <w:rFonts w:ascii="Aptos Narrow" w:hAnsi="Aptos Narrow"/>
                <w:color w:val="000000"/>
                <w:kern w:val="0"/>
                <w:sz w:val="22"/>
                <w:szCs w:val="22"/>
              </w:rPr>
            </w:pPr>
            <w:r w:rsidRPr="00475E92">
              <w:rPr>
                <w:rFonts w:ascii="Aptos Narrow" w:hAnsi="Aptos Narrow"/>
                <w:color w:val="000000"/>
                <w:kern w:val="0"/>
                <w:sz w:val="22"/>
                <w:szCs w:val="22"/>
              </w:rPr>
              <w:t>10%</w:t>
            </w:r>
          </w:p>
        </w:tc>
      </w:tr>
    </w:tbl>
    <w:p w14:paraId="5E31CD99" w14:textId="446D00B2" w:rsidR="00F81969" w:rsidRDefault="00475E92" w:rsidP="00F81969">
      <w:r>
        <w:br/>
      </w:r>
      <w:r w:rsidR="00675009">
        <w:t>Comparing the two policies results in the following distributions</w:t>
      </w:r>
      <w:r>
        <w:t>, represented here as the percentage of the overall bill</w:t>
      </w:r>
      <w:r w:rsidR="00675009">
        <w:t>:</w:t>
      </w:r>
    </w:p>
    <w:tbl>
      <w:tblPr>
        <w:tblW w:w="7083" w:type="dxa"/>
        <w:tblLook w:val="04A0" w:firstRow="1" w:lastRow="0" w:firstColumn="1" w:lastColumn="0" w:noHBand="0" w:noVBand="1"/>
      </w:tblPr>
      <w:tblGrid>
        <w:gridCol w:w="4531"/>
        <w:gridCol w:w="1276"/>
        <w:gridCol w:w="1276"/>
      </w:tblGrid>
      <w:tr w:rsidR="00260F19" w:rsidRPr="00475E92" w14:paraId="58CD82ED" w14:textId="77777777" w:rsidTr="00260F19">
        <w:trPr>
          <w:trHeight w:val="300"/>
        </w:trPr>
        <w:tc>
          <w:tcPr>
            <w:tcW w:w="4531" w:type="dxa"/>
            <w:tcBorders>
              <w:top w:val="single" w:sz="4" w:space="0" w:color="auto"/>
              <w:left w:val="single" w:sz="4" w:space="0" w:color="auto"/>
              <w:bottom w:val="single" w:sz="4" w:space="0" w:color="auto"/>
              <w:right w:val="single" w:sz="4" w:space="0" w:color="auto"/>
            </w:tcBorders>
            <w:noWrap/>
            <w:vAlign w:val="bottom"/>
            <w:hideMark/>
          </w:tcPr>
          <w:p w14:paraId="517B2015" w14:textId="77777777" w:rsidR="00475E92" w:rsidRPr="00475E92" w:rsidRDefault="00475E92" w:rsidP="00475E92">
            <w:pPr>
              <w:spacing w:after="0" w:line="240" w:lineRule="auto"/>
              <w:rPr>
                <w:rFonts w:ascii="Calibri" w:hAnsi="Calibri" w:cs="Calibri"/>
                <w:color w:val="000000"/>
                <w:kern w:val="0"/>
                <w:sz w:val="22"/>
                <w:szCs w:val="22"/>
              </w:rPr>
            </w:pPr>
            <w:r w:rsidRPr="00475E92">
              <w:rPr>
                <w:rFonts w:ascii="Calibri" w:hAnsi="Calibri" w:cs="Calibri"/>
                <w:color w:val="000000"/>
                <w:kern w:val="0"/>
                <w:sz w:val="22"/>
                <w:szCs w:val="22"/>
              </w:rPr>
              <w:t> </w:t>
            </w:r>
          </w:p>
        </w:tc>
        <w:tc>
          <w:tcPr>
            <w:tcW w:w="1276" w:type="dxa"/>
            <w:tcBorders>
              <w:top w:val="single" w:sz="4" w:space="0" w:color="auto"/>
              <w:left w:val="nil"/>
              <w:bottom w:val="single" w:sz="4" w:space="0" w:color="auto"/>
              <w:right w:val="single" w:sz="4" w:space="0" w:color="auto"/>
            </w:tcBorders>
            <w:noWrap/>
            <w:vAlign w:val="bottom"/>
            <w:hideMark/>
          </w:tcPr>
          <w:p w14:paraId="7B8A9559" w14:textId="77777777" w:rsidR="00475E92" w:rsidRPr="00475E92" w:rsidRDefault="00475E92" w:rsidP="00475E92">
            <w:pPr>
              <w:spacing w:after="0" w:line="240" w:lineRule="auto"/>
              <w:jc w:val="right"/>
              <w:rPr>
                <w:rFonts w:ascii="Calibri" w:hAnsi="Calibri" w:cs="Calibri"/>
                <w:color w:val="000000"/>
                <w:kern w:val="0"/>
                <w:sz w:val="22"/>
                <w:szCs w:val="22"/>
              </w:rPr>
            </w:pPr>
            <w:r w:rsidRPr="00475E92">
              <w:rPr>
                <w:rFonts w:ascii="Calibri" w:hAnsi="Calibri" w:cs="Calibri"/>
                <w:color w:val="000000"/>
                <w:kern w:val="0"/>
                <w:sz w:val="22"/>
                <w:szCs w:val="22"/>
              </w:rPr>
              <w:t>Old Policy</w:t>
            </w:r>
          </w:p>
        </w:tc>
        <w:tc>
          <w:tcPr>
            <w:tcW w:w="1276" w:type="dxa"/>
            <w:tcBorders>
              <w:top w:val="single" w:sz="4" w:space="0" w:color="auto"/>
              <w:left w:val="nil"/>
              <w:bottom w:val="single" w:sz="4" w:space="0" w:color="auto"/>
              <w:right w:val="single" w:sz="4" w:space="0" w:color="auto"/>
            </w:tcBorders>
            <w:noWrap/>
            <w:vAlign w:val="bottom"/>
            <w:hideMark/>
          </w:tcPr>
          <w:p w14:paraId="0E9081BA" w14:textId="77777777" w:rsidR="00475E92" w:rsidRPr="00475E92" w:rsidRDefault="00475E92" w:rsidP="00475E92">
            <w:pPr>
              <w:spacing w:after="0" w:line="240" w:lineRule="auto"/>
              <w:jc w:val="right"/>
              <w:rPr>
                <w:rFonts w:ascii="Calibri" w:hAnsi="Calibri" w:cs="Calibri"/>
                <w:color w:val="000000"/>
                <w:kern w:val="0"/>
                <w:sz w:val="22"/>
                <w:szCs w:val="22"/>
              </w:rPr>
            </w:pPr>
            <w:r w:rsidRPr="00475E92">
              <w:rPr>
                <w:rFonts w:ascii="Calibri" w:hAnsi="Calibri" w:cs="Calibri"/>
                <w:color w:val="000000"/>
                <w:kern w:val="0"/>
                <w:sz w:val="22"/>
                <w:szCs w:val="22"/>
              </w:rPr>
              <w:t>New Policy</w:t>
            </w:r>
          </w:p>
        </w:tc>
      </w:tr>
      <w:tr w:rsidR="00260F19" w:rsidRPr="00475E92" w14:paraId="75F59D7B" w14:textId="77777777" w:rsidTr="00260F19">
        <w:trPr>
          <w:trHeight w:val="300"/>
        </w:trPr>
        <w:tc>
          <w:tcPr>
            <w:tcW w:w="4531" w:type="dxa"/>
            <w:tcBorders>
              <w:top w:val="nil"/>
              <w:left w:val="single" w:sz="4" w:space="0" w:color="auto"/>
              <w:bottom w:val="single" w:sz="4" w:space="0" w:color="auto"/>
              <w:right w:val="single" w:sz="4" w:space="0" w:color="auto"/>
            </w:tcBorders>
            <w:noWrap/>
            <w:vAlign w:val="bottom"/>
            <w:hideMark/>
          </w:tcPr>
          <w:p w14:paraId="5F24AD71" w14:textId="77777777" w:rsidR="00475E92" w:rsidRPr="00475E92" w:rsidRDefault="00475E92" w:rsidP="00475E92">
            <w:pPr>
              <w:spacing w:after="0" w:line="240" w:lineRule="auto"/>
              <w:rPr>
                <w:rFonts w:ascii="Calibri" w:hAnsi="Calibri" w:cs="Calibri"/>
                <w:color w:val="000000"/>
                <w:kern w:val="0"/>
                <w:sz w:val="22"/>
                <w:szCs w:val="22"/>
              </w:rPr>
            </w:pPr>
            <w:r w:rsidRPr="00475E92">
              <w:rPr>
                <w:rFonts w:ascii="Calibri" w:hAnsi="Calibri" w:cs="Calibri"/>
                <w:color w:val="000000"/>
                <w:kern w:val="0"/>
                <w:sz w:val="22"/>
                <w:szCs w:val="22"/>
              </w:rPr>
              <w:t>Research Team</w:t>
            </w:r>
          </w:p>
        </w:tc>
        <w:tc>
          <w:tcPr>
            <w:tcW w:w="1276" w:type="dxa"/>
            <w:tcBorders>
              <w:top w:val="nil"/>
              <w:left w:val="nil"/>
              <w:bottom w:val="single" w:sz="4" w:space="0" w:color="auto"/>
              <w:right w:val="single" w:sz="4" w:space="0" w:color="auto"/>
            </w:tcBorders>
            <w:noWrap/>
            <w:vAlign w:val="bottom"/>
            <w:hideMark/>
          </w:tcPr>
          <w:p w14:paraId="1D1E9EBF" w14:textId="2B648AEA" w:rsidR="00475E92" w:rsidRPr="00475E92" w:rsidRDefault="00475E92" w:rsidP="00475E92">
            <w:pPr>
              <w:spacing w:after="0" w:line="240" w:lineRule="auto"/>
              <w:jc w:val="right"/>
              <w:rPr>
                <w:rFonts w:ascii="Calibri" w:hAnsi="Calibri" w:cs="Calibri"/>
                <w:color w:val="000000"/>
                <w:kern w:val="0"/>
                <w:sz w:val="22"/>
                <w:szCs w:val="22"/>
              </w:rPr>
            </w:pPr>
            <w:r w:rsidRPr="00475E92">
              <w:rPr>
                <w:rFonts w:ascii="Calibri" w:hAnsi="Calibri" w:cs="Calibri"/>
                <w:color w:val="000000"/>
                <w:kern w:val="0"/>
                <w:sz w:val="22"/>
                <w:szCs w:val="22"/>
              </w:rPr>
              <w:t>33%</w:t>
            </w:r>
          </w:p>
        </w:tc>
        <w:tc>
          <w:tcPr>
            <w:tcW w:w="1276" w:type="dxa"/>
            <w:tcBorders>
              <w:top w:val="nil"/>
              <w:left w:val="nil"/>
              <w:bottom w:val="single" w:sz="4" w:space="0" w:color="auto"/>
              <w:right w:val="single" w:sz="4" w:space="0" w:color="auto"/>
            </w:tcBorders>
            <w:noWrap/>
            <w:vAlign w:val="bottom"/>
            <w:hideMark/>
          </w:tcPr>
          <w:p w14:paraId="3ABCBEEF" w14:textId="7E396CA7" w:rsidR="00475E92" w:rsidRPr="00475E92" w:rsidRDefault="00475E92" w:rsidP="00475E92">
            <w:pPr>
              <w:spacing w:after="0" w:line="240" w:lineRule="auto"/>
              <w:jc w:val="right"/>
              <w:rPr>
                <w:rFonts w:ascii="Calibri" w:hAnsi="Calibri" w:cs="Calibri"/>
                <w:color w:val="000000"/>
                <w:kern w:val="0"/>
                <w:sz w:val="22"/>
                <w:szCs w:val="22"/>
              </w:rPr>
            </w:pPr>
            <w:r w:rsidRPr="00475E92">
              <w:rPr>
                <w:rFonts w:ascii="Calibri" w:hAnsi="Calibri" w:cs="Calibri"/>
                <w:color w:val="000000"/>
                <w:kern w:val="0"/>
                <w:sz w:val="22"/>
                <w:szCs w:val="22"/>
              </w:rPr>
              <w:t>48%</w:t>
            </w:r>
          </w:p>
        </w:tc>
      </w:tr>
      <w:tr w:rsidR="00260F19" w:rsidRPr="00475E92" w14:paraId="5DF364CE" w14:textId="77777777" w:rsidTr="00260F19">
        <w:trPr>
          <w:trHeight w:val="300"/>
        </w:trPr>
        <w:tc>
          <w:tcPr>
            <w:tcW w:w="4531" w:type="dxa"/>
            <w:tcBorders>
              <w:top w:val="nil"/>
              <w:left w:val="single" w:sz="4" w:space="0" w:color="auto"/>
              <w:bottom w:val="single" w:sz="4" w:space="0" w:color="auto"/>
              <w:right w:val="single" w:sz="4" w:space="0" w:color="auto"/>
            </w:tcBorders>
            <w:noWrap/>
            <w:vAlign w:val="bottom"/>
            <w:hideMark/>
          </w:tcPr>
          <w:p w14:paraId="6AA75C89" w14:textId="77777777" w:rsidR="00475E92" w:rsidRPr="00475E92" w:rsidRDefault="00475E92" w:rsidP="00475E92">
            <w:pPr>
              <w:spacing w:after="0" w:line="240" w:lineRule="auto"/>
              <w:rPr>
                <w:rFonts w:ascii="Calibri" w:hAnsi="Calibri" w:cs="Calibri"/>
                <w:color w:val="000000"/>
                <w:kern w:val="0"/>
                <w:sz w:val="22"/>
                <w:szCs w:val="22"/>
              </w:rPr>
            </w:pPr>
            <w:r w:rsidRPr="00475E92">
              <w:rPr>
                <w:rFonts w:ascii="Calibri" w:hAnsi="Calibri" w:cs="Calibri"/>
                <w:color w:val="000000"/>
                <w:kern w:val="0"/>
                <w:sz w:val="22"/>
                <w:szCs w:val="22"/>
              </w:rPr>
              <w:t>R&amp;D Office / Capacity Building Account</w:t>
            </w:r>
          </w:p>
        </w:tc>
        <w:tc>
          <w:tcPr>
            <w:tcW w:w="1276" w:type="dxa"/>
            <w:tcBorders>
              <w:top w:val="nil"/>
              <w:left w:val="nil"/>
              <w:bottom w:val="single" w:sz="4" w:space="0" w:color="auto"/>
              <w:right w:val="single" w:sz="4" w:space="0" w:color="auto"/>
            </w:tcBorders>
            <w:noWrap/>
            <w:vAlign w:val="bottom"/>
            <w:hideMark/>
          </w:tcPr>
          <w:p w14:paraId="3195E07E" w14:textId="5A03D73F" w:rsidR="00475E92" w:rsidRPr="00475E92" w:rsidRDefault="00475E92" w:rsidP="00475E92">
            <w:pPr>
              <w:spacing w:after="0" w:line="240" w:lineRule="auto"/>
              <w:jc w:val="right"/>
              <w:rPr>
                <w:rFonts w:ascii="Calibri" w:hAnsi="Calibri" w:cs="Calibri"/>
                <w:color w:val="000000"/>
                <w:kern w:val="0"/>
                <w:sz w:val="22"/>
                <w:szCs w:val="22"/>
              </w:rPr>
            </w:pPr>
            <w:r w:rsidRPr="00475E92">
              <w:rPr>
                <w:rFonts w:ascii="Calibri" w:hAnsi="Calibri" w:cs="Calibri"/>
                <w:color w:val="000000"/>
                <w:kern w:val="0"/>
                <w:sz w:val="22"/>
                <w:szCs w:val="22"/>
              </w:rPr>
              <w:t>3</w:t>
            </w:r>
            <w:r w:rsidR="00221018">
              <w:rPr>
                <w:rFonts w:ascii="Calibri" w:hAnsi="Calibri" w:cs="Calibri"/>
                <w:color w:val="000000"/>
                <w:kern w:val="0"/>
                <w:sz w:val="22"/>
                <w:szCs w:val="22"/>
              </w:rPr>
              <w:t>8</w:t>
            </w:r>
            <w:r w:rsidRPr="00475E92">
              <w:rPr>
                <w:rFonts w:ascii="Calibri" w:hAnsi="Calibri" w:cs="Calibri"/>
                <w:color w:val="000000"/>
                <w:kern w:val="0"/>
                <w:sz w:val="22"/>
                <w:szCs w:val="22"/>
              </w:rPr>
              <w:t>%</w:t>
            </w:r>
          </w:p>
        </w:tc>
        <w:tc>
          <w:tcPr>
            <w:tcW w:w="1276" w:type="dxa"/>
            <w:tcBorders>
              <w:top w:val="nil"/>
              <w:left w:val="nil"/>
              <w:bottom w:val="single" w:sz="4" w:space="0" w:color="auto"/>
              <w:right w:val="single" w:sz="4" w:space="0" w:color="auto"/>
            </w:tcBorders>
            <w:noWrap/>
            <w:vAlign w:val="bottom"/>
            <w:hideMark/>
          </w:tcPr>
          <w:p w14:paraId="5DD20AC1" w14:textId="0B115BD5" w:rsidR="00475E92" w:rsidRPr="00475E92" w:rsidRDefault="00475E92" w:rsidP="00475E92">
            <w:pPr>
              <w:spacing w:after="0" w:line="240" w:lineRule="auto"/>
              <w:jc w:val="right"/>
              <w:rPr>
                <w:rFonts w:ascii="Calibri" w:hAnsi="Calibri" w:cs="Calibri"/>
                <w:color w:val="000000"/>
                <w:kern w:val="0"/>
                <w:sz w:val="22"/>
                <w:szCs w:val="22"/>
              </w:rPr>
            </w:pPr>
            <w:r w:rsidRPr="00475E92">
              <w:rPr>
                <w:rFonts w:ascii="Calibri" w:hAnsi="Calibri" w:cs="Calibri"/>
                <w:color w:val="000000"/>
                <w:kern w:val="0"/>
                <w:sz w:val="22"/>
                <w:szCs w:val="22"/>
              </w:rPr>
              <w:t>1</w:t>
            </w:r>
            <w:r>
              <w:rPr>
                <w:rFonts w:ascii="Calibri" w:hAnsi="Calibri" w:cs="Calibri"/>
                <w:color w:val="000000"/>
                <w:kern w:val="0"/>
                <w:sz w:val="22"/>
                <w:szCs w:val="22"/>
              </w:rPr>
              <w:t>8</w:t>
            </w:r>
            <w:r w:rsidRPr="00475E92">
              <w:rPr>
                <w:rFonts w:ascii="Calibri" w:hAnsi="Calibri" w:cs="Calibri"/>
                <w:color w:val="000000"/>
                <w:kern w:val="0"/>
                <w:sz w:val="22"/>
                <w:szCs w:val="22"/>
              </w:rPr>
              <w:t>%</w:t>
            </w:r>
          </w:p>
        </w:tc>
      </w:tr>
      <w:tr w:rsidR="00260F19" w:rsidRPr="00475E92" w14:paraId="04FC0368" w14:textId="77777777" w:rsidTr="00260F19">
        <w:trPr>
          <w:trHeight w:val="300"/>
        </w:trPr>
        <w:tc>
          <w:tcPr>
            <w:tcW w:w="4531" w:type="dxa"/>
            <w:tcBorders>
              <w:top w:val="nil"/>
              <w:left w:val="single" w:sz="4" w:space="0" w:color="auto"/>
              <w:bottom w:val="single" w:sz="4" w:space="0" w:color="auto"/>
              <w:right w:val="single" w:sz="4" w:space="0" w:color="auto"/>
            </w:tcBorders>
            <w:noWrap/>
            <w:vAlign w:val="bottom"/>
            <w:hideMark/>
          </w:tcPr>
          <w:p w14:paraId="5D6F12BE" w14:textId="0D15B484" w:rsidR="00475E92" w:rsidRPr="00475E92" w:rsidRDefault="00475E92" w:rsidP="00475E92">
            <w:pPr>
              <w:spacing w:after="0" w:line="240" w:lineRule="auto"/>
              <w:rPr>
                <w:rFonts w:ascii="Calibri" w:hAnsi="Calibri" w:cs="Calibri"/>
                <w:color w:val="000000"/>
                <w:kern w:val="0"/>
                <w:sz w:val="22"/>
                <w:szCs w:val="22"/>
              </w:rPr>
            </w:pPr>
            <w:r w:rsidRPr="00475E92">
              <w:rPr>
                <w:rFonts w:ascii="Calibri" w:hAnsi="Calibri" w:cs="Calibri"/>
                <w:color w:val="000000"/>
                <w:kern w:val="0"/>
                <w:sz w:val="22"/>
                <w:szCs w:val="22"/>
              </w:rPr>
              <w:lastRenderedPageBreak/>
              <w:t>PI Account</w:t>
            </w:r>
            <w:r w:rsidR="00260F19">
              <w:rPr>
                <w:rFonts w:ascii="Calibri" w:hAnsi="Calibri" w:cs="Calibri"/>
                <w:color w:val="000000"/>
                <w:kern w:val="0"/>
                <w:sz w:val="22"/>
                <w:szCs w:val="22"/>
              </w:rPr>
              <w:t xml:space="preserve"> </w:t>
            </w:r>
            <w:r w:rsidRPr="00475E92">
              <w:rPr>
                <w:rFonts w:ascii="Calibri" w:hAnsi="Calibri" w:cs="Calibri"/>
                <w:color w:val="000000"/>
                <w:kern w:val="0"/>
                <w:sz w:val="22"/>
                <w:szCs w:val="22"/>
              </w:rPr>
              <w:t>/</w:t>
            </w:r>
            <w:r w:rsidR="00260F19">
              <w:rPr>
                <w:rFonts w:ascii="Calibri" w:hAnsi="Calibri" w:cs="Calibri"/>
                <w:color w:val="000000"/>
                <w:kern w:val="0"/>
                <w:sz w:val="22"/>
                <w:szCs w:val="22"/>
              </w:rPr>
              <w:t xml:space="preserve"> </w:t>
            </w:r>
            <w:r w:rsidRPr="00475E92">
              <w:rPr>
                <w:rFonts w:ascii="Calibri" w:hAnsi="Calibri" w:cs="Calibri"/>
                <w:color w:val="000000"/>
                <w:kern w:val="0"/>
                <w:sz w:val="22"/>
                <w:szCs w:val="22"/>
              </w:rPr>
              <w:t>Investigator</w:t>
            </w:r>
            <w:r w:rsidR="00260F19">
              <w:rPr>
                <w:rFonts w:ascii="Calibri" w:hAnsi="Calibri" w:cs="Calibri"/>
                <w:color w:val="000000"/>
                <w:kern w:val="0"/>
                <w:sz w:val="22"/>
                <w:szCs w:val="22"/>
              </w:rPr>
              <w:t xml:space="preserve"> Specialty</w:t>
            </w:r>
            <w:r w:rsidRPr="00475E92">
              <w:rPr>
                <w:rFonts w:ascii="Calibri" w:hAnsi="Calibri" w:cs="Calibri"/>
                <w:color w:val="000000"/>
                <w:kern w:val="0"/>
                <w:sz w:val="22"/>
                <w:szCs w:val="22"/>
              </w:rPr>
              <w:t xml:space="preserve"> Account</w:t>
            </w:r>
          </w:p>
        </w:tc>
        <w:tc>
          <w:tcPr>
            <w:tcW w:w="1276" w:type="dxa"/>
            <w:tcBorders>
              <w:top w:val="nil"/>
              <w:left w:val="nil"/>
              <w:bottom w:val="single" w:sz="4" w:space="0" w:color="auto"/>
              <w:right w:val="single" w:sz="4" w:space="0" w:color="auto"/>
            </w:tcBorders>
            <w:noWrap/>
            <w:vAlign w:val="bottom"/>
            <w:hideMark/>
          </w:tcPr>
          <w:p w14:paraId="092EF00C" w14:textId="4CDFF40C" w:rsidR="00475E92" w:rsidRPr="00475E92" w:rsidRDefault="00475E92" w:rsidP="00475E92">
            <w:pPr>
              <w:spacing w:after="0" w:line="240" w:lineRule="auto"/>
              <w:jc w:val="right"/>
              <w:rPr>
                <w:rFonts w:ascii="Calibri" w:hAnsi="Calibri" w:cs="Calibri"/>
                <w:color w:val="000000"/>
                <w:kern w:val="0"/>
                <w:sz w:val="22"/>
                <w:szCs w:val="22"/>
              </w:rPr>
            </w:pPr>
            <w:r w:rsidRPr="00475E92">
              <w:rPr>
                <w:rFonts w:ascii="Calibri" w:hAnsi="Calibri" w:cs="Calibri"/>
                <w:color w:val="000000"/>
                <w:kern w:val="0"/>
                <w:sz w:val="22"/>
                <w:szCs w:val="22"/>
              </w:rPr>
              <w:t>2</w:t>
            </w:r>
            <w:r w:rsidR="00221018">
              <w:rPr>
                <w:rFonts w:ascii="Calibri" w:hAnsi="Calibri" w:cs="Calibri"/>
                <w:color w:val="000000"/>
                <w:kern w:val="0"/>
                <w:sz w:val="22"/>
                <w:szCs w:val="22"/>
              </w:rPr>
              <w:t>1</w:t>
            </w:r>
            <w:r w:rsidRPr="00475E92">
              <w:rPr>
                <w:rFonts w:ascii="Calibri" w:hAnsi="Calibri" w:cs="Calibri"/>
                <w:color w:val="000000"/>
                <w:kern w:val="0"/>
                <w:sz w:val="22"/>
                <w:szCs w:val="22"/>
              </w:rPr>
              <w:t>%</w:t>
            </w:r>
          </w:p>
        </w:tc>
        <w:tc>
          <w:tcPr>
            <w:tcW w:w="1276" w:type="dxa"/>
            <w:tcBorders>
              <w:top w:val="nil"/>
              <w:left w:val="nil"/>
              <w:bottom w:val="single" w:sz="4" w:space="0" w:color="auto"/>
              <w:right w:val="single" w:sz="4" w:space="0" w:color="auto"/>
            </w:tcBorders>
            <w:noWrap/>
            <w:vAlign w:val="bottom"/>
            <w:hideMark/>
          </w:tcPr>
          <w:p w14:paraId="68BBBAD9" w14:textId="00B2AE99" w:rsidR="00475E92" w:rsidRPr="00475E92" w:rsidRDefault="00475E92" w:rsidP="00475E92">
            <w:pPr>
              <w:spacing w:after="0" w:line="240" w:lineRule="auto"/>
              <w:jc w:val="right"/>
              <w:rPr>
                <w:rFonts w:ascii="Calibri" w:hAnsi="Calibri" w:cs="Calibri"/>
                <w:color w:val="000000"/>
                <w:kern w:val="0"/>
                <w:sz w:val="22"/>
                <w:szCs w:val="22"/>
              </w:rPr>
            </w:pPr>
            <w:r w:rsidRPr="00475E92">
              <w:rPr>
                <w:rFonts w:ascii="Calibri" w:hAnsi="Calibri" w:cs="Calibri"/>
                <w:color w:val="000000"/>
                <w:kern w:val="0"/>
                <w:sz w:val="22"/>
                <w:szCs w:val="22"/>
              </w:rPr>
              <w:t>1</w:t>
            </w:r>
            <w:r w:rsidR="00221018">
              <w:rPr>
                <w:rFonts w:ascii="Calibri" w:hAnsi="Calibri" w:cs="Calibri"/>
                <w:color w:val="000000"/>
                <w:kern w:val="0"/>
                <w:sz w:val="22"/>
                <w:szCs w:val="22"/>
              </w:rPr>
              <w:t>7</w:t>
            </w:r>
            <w:r w:rsidRPr="00475E92">
              <w:rPr>
                <w:rFonts w:ascii="Calibri" w:hAnsi="Calibri" w:cs="Calibri"/>
                <w:color w:val="000000"/>
                <w:kern w:val="0"/>
                <w:sz w:val="22"/>
                <w:szCs w:val="22"/>
              </w:rPr>
              <w:t>%</w:t>
            </w:r>
          </w:p>
        </w:tc>
      </w:tr>
      <w:tr w:rsidR="00260F19" w:rsidRPr="00475E92" w14:paraId="146B515F" w14:textId="77777777" w:rsidTr="00260F19">
        <w:trPr>
          <w:trHeight w:val="300"/>
        </w:trPr>
        <w:tc>
          <w:tcPr>
            <w:tcW w:w="4531" w:type="dxa"/>
            <w:tcBorders>
              <w:top w:val="nil"/>
              <w:left w:val="single" w:sz="4" w:space="0" w:color="auto"/>
              <w:bottom w:val="single" w:sz="4" w:space="0" w:color="auto"/>
              <w:right w:val="single" w:sz="4" w:space="0" w:color="auto"/>
            </w:tcBorders>
            <w:noWrap/>
            <w:vAlign w:val="bottom"/>
            <w:hideMark/>
          </w:tcPr>
          <w:p w14:paraId="531B67D3" w14:textId="2B0D4D06" w:rsidR="00475E92" w:rsidRPr="00475E92" w:rsidRDefault="00475E92" w:rsidP="00475E92">
            <w:pPr>
              <w:spacing w:after="0" w:line="240" w:lineRule="auto"/>
              <w:rPr>
                <w:rFonts w:ascii="Calibri" w:hAnsi="Calibri" w:cs="Calibri"/>
                <w:color w:val="000000"/>
                <w:kern w:val="0"/>
                <w:sz w:val="22"/>
                <w:szCs w:val="22"/>
              </w:rPr>
            </w:pPr>
            <w:r w:rsidRPr="00475E92">
              <w:rPr>
                <w:rFonts w:ascii="Calibri" w:hAnsi="Calibri" w:cs="Calibri"/>
                <w:color w:val="000000"/>
                <w:kern w:val="0"/>
                <w:sz w:val="22"/>
                <w:szCs w:val="22"/>
              </w:rPr>
              <w:t>Overhead Allocation</w:t>
            </w:r>
          </w:p>
        </w:tc>
        <w:tc>
          <w:tcPr>
            <w:tcW w:w="1276" w:type="dxa"/>
            <w:tcBorders>
              <w:top w:val="nil"/>
              <w:left w:val="nil"/>
              <w:bottom w:val="single" w:sz="4" w:space="0" w:color="auto"/>
              <w:right w:val="single" w:sz="4" w:space="0" w:color="auto"/>
            </w:tcBorders>
            <w:noWrap/>
            <w:vAlign w:val="bottom"/>
            <w:hideMark/>
          </w:tcPr>
          <w:p w14:paraId="5D6AE896" w14:textId="5E35B378" w:rsidR="00475E92" w:rsidRPr="00475E92" w:rsidRDefault="00475E92" w:rsidP="00475E92">
            <w:pPr>
              <w:spacing w:after="0" w:line="240" w:lineRule="auto"/>
              <w:jc w:val="right"/>
              <w:rPr>
                <w:rFonts w:ascii="Calibri" w:hAnsi="Calibri" w:cs="Calibri"/>
                <w:color w:val="000000"/>
                <w:kern w:val="0"/>
                <w:sz w:val="22"/>
                <w:szCs w:val="22"/>
              </w:rPr>
            </w:pPr>
            <w:r w:rsidRPr="00475E92">
              <w:rPr>
                <w:rFonts w:ascii="Calibri" w:hAnsi="Calibri" w:cs="Calibri"/>
                <w:color w:val="000000"/>
                <w:kern w:val="0"/>
                <w:sz w:val="22"/>
                <w:szCs w:val="22"/>
              </w:rPr>
              <w:t>8%</w:t>
            </w:r>
          </w:p>
        </w:tc>
        <w:tc>
          <w:tcPr>
            <w:tcW w:w="1276" w:type="dxa"/>
            <w:tcBorders>
              <w:top w:val="nil"/>
              <w:left w:val="nil"/>
              <w:bottom w:val="single" w:sz="4" w:space="0" w:color="auto"/>
              <w:right w:val="single" w:sz="4" w:space="0" w:color="auto"/>
            </w:tcBorders>
            <w:noWrap/>
            <w:vAlign w:val="bottom"/>
            <w:hideMark/>
          </w:tcPr>
          <w:p w14:paraId="6969A1A6" w14:textId="233453A7" w:rsidR="00475E92" w:rsidRPr="00475E92" w:rsidRDefault="00475E92" w:rsidP="00475E92">
            <w:pPr>
              <w:spacing w:after="0" w:line="240" w:lineRule="auto"/>
              <w:jc w:val="right"/>
              <w:rPr>
                <w:rFonts w:ascii="Calibri" w:hAnsi="Calibri" w:cs="Calibri"/>
                <w:color w:val="000000"/>
                <w:kern w:val="0"/>
                <w:sz w:val="22"/>
                <w:szCs w:val="22"/>
              </w:rPr>
            </w:pPr>
            <w:r w:rsidRPr="00475E92">
              <w:rPr>
                <w:rFonts w:ascii="Calibri" w:hAnsi="Calibri" w:cs="Calibri"/>
                <w:color w:val="000000"/>
                <w:kern w:val="0"/>
                <w:sz w:val="22"/>
                <w:szCs w:val="22"/>
              </w:rPr>
              <w:t>1</w:t>
            </w:r>
            <w:r w:rsidR="00221018">
              <w:rPr>
                <w:rFonts w:ascii="Calibri" w:hAnsi="Calibri" w:cs="Calibri"/>
                <w:color w:val="000000"/>
                <w:kern w:val="0"/>
                <w:sz w:val="22"/>
                <w:szCs w:val="22"/>
              </w:rPr>
              <w:t>7</w:t>
            </w:r>
            <w:r w:rsidRPr="00475E92">
              <w:rPr>
                <w:rFonts w:ascii="Calibri" w:hAnsi="Calibri" w:cs="Calibri"/>
                <w:color w:val="000000"/>
                <w:kern w:val="0"/>
                <w:sz w:val="22"/>
                <w:szCs w:val="22"/>
              </w:rPr>
              <w:t>%</w:t>
            </w:r>
          </w:p>
        </w:tc>
      </w:tr>
    </w:tbl>
    <w:p w14:paraId="4D1F4050" w14:textId="227C73DF" w:rsidR="00675009" w:rsidRPr="00EA4541" w:rsidRDefault="000D0826" w:rsidP="00F81969">
      <w:r>
        <w:br/>
        <w:t>It is worth highlighting that the overhead portion here would only be allocated centrally under the old policy if the research took place outside of one of the dedicated research facilities and be passed on to the dedicated research facility if the research activity occurred there instead. Under the revised policy this would be allocated centrally for all commercial trial activity.</w:t>
      </w:r>
    </w:p>
    <w:p w14:paraId="35747C4E" w14:textId="73E38446" w:rsidR="00675009" w:rsidRDefault="00675009">
      <w:r>
        <w:rPr>
          <w:b/>
          <w:bCs/>
          <w:u w:val="single"/>
        </w:rPr>
        <w:t>A1.3 Application of Investigational and Comparison to the Old Policy</w:t>
      </w:r>
    </w:p>
    <w:p w14:paraId="6BB9EDF2" w14:textId="66405941" w:rsidR="000D0826" w:rsidRDefault="000D0826">
      <w:r w:rsidRPr="000D0826">
        <w:t xml:space="preserve">When producing the overall billable amount for </w:t>
      </w:r>
      <w:r>
        <w:t>investigation</w:t>
      </w:r>
      <w:r w:rsidRPr="000D0826">
        <w:t xml:space="preserve"> costs, the initial activity pricing is grossed up by </w:t>
      </w:r>
      <w:r>
        <w:t>2</w:t>
      </w:r>
      <w:r w:rsidRPr="000D0826">
        <w:t xml:space="preserve">0% for capacity building and </w:t>
      </w:r>
      <w:r>
        <w:t>subsequently both the direct element and capacity building element are grossed up by a further 20% for the MFF. This gives</w:t>
      </w:r>
      <w:r w:rsidRPr="000D0826">
        <w:t xml:space="preserve"> an overall cost of </w:t>
      </w:r>
      <w:r>
        <w:t>144</w:t>
      </w:r>
      <w:r w:rsidRPr="000D0826">
        <w:t xml:space="preserve">% of the initial activity cost as per the iCT. </w:t>
      </w:r>
    </w:p>
    <w:p w14:paraId="003F7590" w14:textId="11181FB2" w:rsidR="000D0826" w:rsidRDefault="000D0826">
      <w:r>
        <w:t>As with the distribution of the income for procedural costs, the base elements are to be grossed up by 10%, with the residual 10% of the market forces factor being added to the capacity building element, as seen in the table below:</w:t>
      </w:r>
    </w:p>
    <w:tbl>
      <w:tblPr>
        <w:tblW w:w="9351" w:type="dxa"/>
        <w:tblLook w:val="04A0" w:firstRow="1" w:lastRow="0" w:firstColumn="1" w:lastColumn="0" w:noHBand="0" w:noVBand="1"/>
      </w:tblPr>
      <w:tblGrid>
        <w:gridCol w:w="3397"/>
        <w:gridCol w:w="1985"/>
        <w:gridCol w:w="1984"/>
        <w:gridCol w:w="1985"/>
      </w:tblGrid>
      <w:tr w:rsidR="000D0826" w:rsidRPr="000D0826" w14:paraId="25DD4AAD" w14:textId="77777777" w:rsidTr="00654ADB">
        <w:trPr>
          <w:trHeight w:val="300"/>
        </w:trPr>
        <w:tc>
          <w:tcPr>
            <w:tcW w:w="3397" w:type="dxa"/>
            <w:tcBorders>
              <w:top w:val="single" w:sz="4" w:space="0" w:color="auto"/>
              <w:left w:val="single" w:sz="4" w:space="0" w:color="auto"/>
              <w:bottom w:val="single" w:sz="4" w:space="0" w:color="auto"/>
              <w:right w:val="single" w:sz="4" w:space="0" w:color="auto"/>
            </w:tcBorders>
            <w:noWrap/>
            <w:vAlign w:val="bottom"/>
            <w:hideMark/>
          </w:tcPr>
          <w:p w14:paraId="37468044" w14:textId="77777777" w:rsidR="000D0826" w:rsidRPr="000D0826" w:rsidRDefault="000D0826" w:rsidP="00654ADB">
            <w:pPr>
              <w:spacing w:after="0" w:line="240" w:lineRule="auto"/>
              <w:rPr>
                <w:rFonts w:ascii="Calibri" w:hAnsi="Calibri" w:cs="Calibri"/>
                <w:color w:val="000000"/>
                <w:kern w:val="0"/>
                <w:sz w:val="22"/>
                <w:szCs w:val="22"/>
              </w:rPr>
            </w:pPr>
            <w:r w:rsidRPr="000D0826">
              <w:rPr>
                <w:rFonts w:ascii="Calibri" w:hAnsi="Calibri" w:cs="Calibri"/>
                <w:color w:val="000000"/>
                <w:kern w:val="0"/>
                <w:sz w:val="22"/>
                <w:szCs w:val="22"/>
              </w:rPr>
              <w:t> </w:t>
            </w:r>
          </w:p>
        </w:tc>
        <w:tc>
          <w:tcPr>
            <w:tcW w:w="1985" w:type="dxa"/>
            <w:tcBorders>
              <w:top w:val="single" w:sz="4" w:space="0" w:color="auto"/>
              <w:left w:val="nil"/>
              <w:bottom w:val="single" w:sz="4" w:space="0" w:color="auto"/>
              <w:right w:val="single" w:sz="4" w:space="0" w:color="auto"/>
            </w:tcBorders>
            <w:noWrap/>
            <w:vAlign w:val="bottom"/>
            <w:hideMark/>
          </w:tcPr>
          <w:p w14:paraId="26B373C4" w14:textId="77777777" w:rsidR="000D0826" w:rsidRPr="000D0826" w:rsidRDefault="000D0826" w:rsidP="00654ADB">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Base Amount</w:t>
            </w:r>
          </w:p>
        </w:tc>
        <w:tc>
          <w:tcPr>
            <w:tcW w:w="1984" w:type="dxa"/>
            <w:tcBorders>
              <w:top w:val="single" w:sz="4" w:space="0" w:color="auto"/>
              <w:left w:val="nil"/>
              <w:bottom w:val="single" w:sz="4" w:space="0" w:color="auto"/>
              <w:right w:val="single" w:sz="4" w:space="0" w:color="auto"/>
            </w:tcBorders>
            <w:noWrap/>
            <w:vAlign w:val="bottom"/>
            <w:hideMark/>
          </w:tcPr>
          <w:p w14:paraId="4D6CEF7C" w14:textId="77777777" w:rsidR="000D0826" w:rsidRPr="000D0826" w:rsidRDefault="000D0826" w:rsidP="00654ADB">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Adding Split MFF Element</w:t>
            </w:r>
            <w:r>
              <w:rPr>
                <w:rFonts w:ascii="Calibri" w:hAnsi="Calibri" w:cs="Calibri"/>
                <w:color w:val="000000"/>
                <w:kern w:val="0"/>
                <w:sz w:val="22"/>
                <w:szCs w:val="22"/>
              </w:rPr>
              <w:t xml:space="preserve"> (10%)</w:t>
            </w:r>
          </w:p>
        </w:tc>
        <w:tc>
          <w:tcPr>
            <w:tcW w:w="1985" w:type="dxa"/>
            <w:tcBorders>
              <w:top w:val="single" w:sz="4" w:space="0" w:color="auto"/>
              <w:left w:val="nil"/>
              <w:bottom w:val="single" w:sz="4" w:space="0" w:color="auto"/>
              <w:right w:val="single" w:sz="4" w:space="0" w:color="auto"/>
            </w:tcBorders>
            <w:noWrap/>
            <w:vAlign w:val="bottom"/>
            <w:hideMark/>
          </w:tcPr>
          <w:p w14:paraId="672C343F" w14:textId="77777777" w:rsidR="000D0826" w:rsidRPr="000D0826" w:rsidRDefault="000D0826" w:rsidP="00654ADB">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Addin</w:t>
            </w:r>
            <w:r>
              <w:rPr>
                <w:rFonts w:ascii="Calibri" w:hAnsi="Calibri" w:cs="Calibri"/>
                <w:color w:val="000000"/>
                <w:kern w:val="0"/>
                <w:sz w:val="22"/>
                <w:szCs w:val="22"/>
              </w:rPr>
              <w:t>g</w:t>
            </w:r>
            <w:r w:rsidRPr="000D0826">
              <w:rPr>
                <w:rFonts w:ascii="Calibri" w:hAnsi="Calibri" w:cs="Calibri"/>
                <w:color w:val="000000"/>
                <w:kern w:val="0"/>
                <w:sz w:val="22"/>
                <w:szCs w:val="22"/>
              </w:rPr>
              <w:t xml:space="preserve"> Residual MFF Element</w:t>
            </w:r>
            <w:r>
              <w:rPr>
                <w:rFonts w:ascii="Calibri" w:hAnsi="Calibri" w:cs="Calibri"/>
                <w:color w:val="000000"/>
                <w:kern w:val="0"/>
                <w:sz w:val="22"/>
                <w:szCs w:val="22"/>
              </w:rPr>
              <w:t xml:space="preserve"> (10%)</w:t>
            </w:r>
          </w:p>
        </w:tc>
      </w:tr>
      <w:tr w:rsidR="000D0826" w:rsidRPr="000D0826" w14:paraId="52DC4B4D" w14:textId="77777777" w:rsidTr="00654ADB">
        <w:trPr>
          <w:trHeight w:val="300"/>
        </w:trPr>
        <w:tc>
          <w:tcPr>
            <w:tcW w:w="3397" w:type="dxa"/>
            <w:tcBorders>
              <w:top w:val="nil"/>
              <w:left w:val="single" w:sz="4" w:space="0" w:color="auto"/>
              <w:bottom w:val="single" w:sz="4" w:space="0" w:color="auto"/>
              <w:right w:val="single" w:sz="4" w:space="0" w:color="auto"/>
            </w:tcBorders>
            <w:noWrap/>
            <w:vAlign w:val="bottom"/>
            <w:hideMark/>
          </w:tcPr>
          <w:p w14:paraId="35869701" w14:textId="77777777" w:rsidR="000D0826" w:rsidRPr="000D0826" w:rsidRDefault="000D0826" w:rsidP="00654ADB">
            <w:pPr>
              <w:spacing w:after="0" w:line="240" w:lineRule="auto"/>
              <w:rPr>
                <w:rFonts w:ascii="Calibri" w:hAnsi="Calibri" w:cs="Calibri"/>
                <w:color w:val="000000"/>
                <w:kern w:val="0"/>
                <w:sz w:val="22"/>
                <w:szCs w:val="22"/>
              </w:rPr>
            </w:pPr>
            <w:r w:rsidRPr="000D0826">
              <w:rPr>
                <w:rFonts w:ascii="Calibri" w:hAnsi="Calibri" w:cs="Calibri"/>
                <w:color w:val="000000"/>
                <w:kern w:val="0"/>
                <w:sz w:val="22"/>
                <w:szCs w:val="22"/>
              </w:rPr>
              <w:t>Direct (Research Activity Account)</w:t>
            </w:r>
          </w:p>
        </w:tc>
        <w:tc>
          <w:tcPr>
            <w:tcW w:w="1985" w:type="dxa"/>
            <w:tcBorders>
              <w:top w:val="nil"/>
              <w:left w:val="nil"/>
              <w:bottom w:val="single" w:sz="4" w:space="0" w:color="auto"/>
              <w:right w:val="single" w:sz="4" w:space="0" w:color="auto"/>
            </w:tcBorders>
            <w:noWrap/>
            <w:vAlign w:val="bottom"/>
            <w:hideMark/>
          </w:tcPr>
          <w:p w14:paraId="075BD822" w14:textId="77777777" w:rsidR="000D0826" w:rsidRPr="000D0826" w:rsidRDefault="000D0826" w:rsidP="00654ADB">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100</w:t>
            </w:r>
          </w:p>
        </w:tc>
        <w:tc>
          <w:tcPr>
            <w:tcW w:w="1984" w:type="dxa"/>
            <w:tcBorders>
              <w:top w:val="nil"/>
              <w:left w:val="nil"/>
              <w:bottom w:val="single" w:sz="4" w:space="0" w:color="auto"/>
              <w:right w:val="single" w:sz="4" w:space="0" w:color="auto"/>
            </w:tcBorders>
            <w:noWrap/>
            <w:vAlign w:val="bottom"/>
            <w:hideMark/>
          </w:tcPr>
          <w:p w14:paraId="697F50DD" w14:textId="77777777" w:rsidR="000D0826" w:rsidRPr="000D0826" w:rsidRDefault="000D0826" w:rsidP="00654ADB">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110</w:t>
            </w:r>
          </w:p>
        </w:tc>
        <w:tc>
          <w:tcPr>
            <w:tcW w:w="1985" w:type="dxa"/>
            <w:tcBorders>
              <w:top w:val="nil"/>
              <w:left w:val="nil"/>
              <w:bottom w:val="single" w:sz="4" w:space="0" w:color="auto"/>
              <w:right w:val="single" w:sz="4" w:space="0" w:color="auto"/>
            </w:tcBorders>
            <w:noWrap/>
            <w:vAlign w:val="bottom"/>
            <w:hideMark/>
          </w:tcPr>
          <w:p w14:paraId="544E172F" w14:textId="77777777" w:rsidR="000D0826" w:rsidRPr="000D0826" w:rsidRDefault="000D0826" w:rsidP="00654ADB">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110</w:t>
            </w:r>
          </w:p>
        </w:tc>
      </w:tr>
      <w:tr w:rsidR="000D0826" w:rsidRPr="000D0826" w14:paraId="29F6B26B" w14:textId="77777777" w:rsidTr="00654ADB">
        <w:trPr>
          <w:trHeight w:val="300"/>
        </w:trPr>
        <w:tc>
          <w:tcPr>
            <w:tcW w:w="3397" w:type="dxa"/>
            <w:tcBorders>
              <w:top w:val="nil"/>
              <w:left w:val="single" w:sz="4" w:space="0" w:color="auto"/>
              <w:bottom w:val="single" w:sz="4" w:space="0" w:color="auto"/>
              <w:right w:val="single" w:sz="4" w:space="0" w:color="auto"/>
            </w:tcBorders>
            <w:noWrap/>
            <w:vAlign w:val="bottom"/>
            <w:hideMark/>
          </w:tcPr>
          <w:p w14:paraId="6841B205" w14:textId="77777777" w:rsidR="000D0826" w:rsidRPr="000D0826" w:rsidRDefault="000D0826" w:rsidP="00654ADB">
            <w:pPr>
              <w:spacing w:after="0" w:line="240" w:lineRule="auto"/>
              <w:rPr>
                <w:rFonts w:ascii="Calibri" w:hAnsi="Calibri" w:cs="Calibri"/>
                <w:color w:val="000000"/>
                <w:kern w:val="0"/>
                <w:sz w:val="22"/>
                <w:szCs w:val="22"/>
              </w:rPr>
            </w:pPr>
            <w:r w:rsidRPr="000D0826">
              <w:rPr>
                <w:rFonts w:ascii="Calibri" w:hAnsi="Calibri" w:cs="Calibri"/>
                <w:color w:val="000000"/>
                <w:kern w:val="0"/>
                <w:sz w:val="22"/>
                <w:szCs w:val="22"/>
              </w:rPr>
              <w:t>Capacity Building Account</w:t>
            </w:r>
          </w:p>
        </w:tc>
        <w:tc>
          <w:tcPr>
            <w:tcW w:w="1985" w:type="dxa"/>
            <w:tcBorders>
              <w:top w:val="nil"/>
              <w:left w:val="nil"/>
              <w:bottom w:val="single" w:sz="4" w:space="0" w:color="auto"/>
              <w:right w:val="single" w:sz="4" w:space="0" w:color="auto"/>
            </w:tcBorders>
            <w:noWrap/>
            <w:vAlign w:val="bottom"/>
            <w:hideMark/>
          </w:tcPr>
          <w:p w14:paraId="3B575CFB" w14:textId="77777777" w:rsidR="000D0826" w:rsidRPr="000D0826" w:rsidRDefault="000D0826" w:rsidP="00654ADB">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20</w:t>
            </w:r>
          </w:p>
        </w:tc>
        <w:tc>
          <w:tcPr>
            <w:tcW w:w="1984" w:type="dxa"/>
            <w:tcBorders>
              <w:top w:val="nil"/>
              <w:left w:val="nil"/>
              <w:bottom w:val="single" w:sz="4" w:space="0" w:color="auto"/>
              <w:right w:val="single" w:sz="4" w:space="0" w:color="auto"/>
            </w:tcBorders>
            <w:noWrap/>
            <w:vAlign w:val="bottom"/>
            <w:hideMark/>
          </w:tcPr>
          <w:p w14:paraId="2196E9FE" w14:textId="77777777" w:rsidR="000D0826" w:rsidRPr="000D0826" w:rsidRDefault="000D0826" w:rsidP="00654ADB">
            <w:pPr>
              <w:spacing w:after="0" w:line="240" w:lineRule="auto"/>
              <w:jc w:val="right"/>
              <w:rPr>
                <w:rFonts w:ascii="Calibri" w:hAnsi="Calibri" w:cs="Calibri"/>
                <w:color w:val="000000"/>
                <w:kern w:val="0"/>
                <w:sz w:val="22"/>
                <w:szCs w:val="22"/>
              </w:rPr>
            </w:pPr>
            <w:r w:rsidRPr="000D0826">
              <w:rPr>
                <w:rFonts w:ascii="Calibri" w:hAnsi="Calibri" w:cs="Calibri"/>
                <w:color w:val="000000"/>
                <w:kern w:val="0"/>
                <w:sz w:val="22"/>
                <w:szCs w:val="22"/>
              </w:rPr>
              <w:t>22</w:t>
            </w:r>
          </w:p>
        </w:tc>
        <w:tc>
          <w:tcPr>
            <w:tcW w:w="1985" w:type="dxa"/>
            <w:tcBorders>
              <w:top w:val="nil"/>
              <w:left w:val="nil"/>
              <w:bottom w:val="single" w:sz="4" w:space="0" w:color="auto"/>
              <w:right w:val="single" w:sz="4" w:space="0" w:color="auto"/>
            </w:tcBorders>
            <w:noWrap/>
            <w:vAlign w:val="bottom"/>
            <w:hideMark/>
          </w:tcPr>
          <w:p w14:paraId="359B82D3" w14:textId="43430069" w:rsidR="000D0826" w:rsidRPr="000D0826" w:rsidRDefault="00CC35D1" w:rsidP="00654ADB">
            <w:pPr>
              <w:spacing w:after="0" w:line="240" w:lineRule="auto"/>
              <w:jc w:val="right"/>
              <w:rPr>
                <w:rFonts w:ascii="Calibri" w:hAnsi="Calibri" w:cs="Calibri"/>
                <w:color w:val="000000"/>
                <w:kern w:val="0"/>
                <w:sz w:val="22"/>
                <w:szCs w:val="22"/>
              </w:rPr>
            </w:pPr>
            <w:r>
              <w:rPr>
                <w:rFonts w:ascii="Calibri" w:hAnsi="Calibri" w:cs="Calibri"/>
                <w:color w:val="000000"/>
                <w:kern w:val="0"/>
                <w:sz w:val="22"/>
                <w:szCs w:val="22"/>
              </w:rPr>
              <w:t>34</w:t>
            </w:r>
          </w:p>
        </w:tc>
      </w:tr>
    </w:tbl>
    <w:p w14:paraId="1BB2D949" w14:textId="1F6EE823" w:rsidR="000D0826" w:rsidRDefault="00CC35D1">
      <w:r>
        <w:br/>
        <w:t>The old policy acted as a simpler version of this system, with the MFF element being allocated to the R&amp;D office, and the remaining amount being allocated to the area where the research activity had taken place.</w:t>
      </w:r>
    </w:p>
    <w:p w14:paraId="4C09199E" w14:textId="77777777" w:rsidR="00CC35D1" w:rsidRDefault="00CC35D1" w:rsidP="00CC35D1">
      <w:r>
        <w:t>Comparing the two policies results in the following distributions, represented here as the percentage of the overall bill:</w:t>
      </w:r>
    </w:p>
    <w:tbl>
      <w:tblPr>
        <w:tblW w:w="6374" w:type="dxa"/>
        <w:tblLook w:val="04A0" w:firstRow="1" w:lastRow="0" w:firstColumn="1" w:lastColumn="0" w:noHBand="0" w:noVBand="1"/>
      </w:tblPr>
      <w:tblGrid>
        <w:gridCol w:w="3823"/>
        <w:gridCol w:w="1275"/>
        <w:gridCol w:w="1276"/>
      </w:tblGrid>
      <w:tr w:rsidR="00CC35D1" w:rsidRPr="00475E92" w14:paraId="3DFDC518" w14:textId="77777777" w:rsidTr="00654ADB">
        <w:trPr>
          <w:trHeight w:val="300"/>
        </w:trPr>
        <w:tc>
          <w:tcPr>
            <w:tcW w:w="3823" w:type="dxa"/>
            <w:tcBorders>
              <w:top w:val="single" w:sz="4" w:space="0" w:color="auto"/>
              <w:left w:val="single" w:sz="4" w:space="0" w:color="auto"/>
              <w:bottom w:val="single" w:sz="4" w:space="0" w:color="auto"/>
              <w:right w:val="single" w:sz="4" w:space="0" w:color="auto"/>
            </w:tcBorders>
            <w:noWrap/>
            <w:vAlign w:val="bottom"/>
            <w:hideMark/>
          </w:tcPr>
          <w:p w14:paraId="79E089A4" w14:textId="77777777" w:rsidR="00CC35D1" w:rsidRPr="00475E92" w:rsidRDefault="00CC35D1" w:rsidP="00654ADB">
            <w:pPr>
              <w:spacing w:after="0" w:line="240" w:lineRule="auto"/>
              <w:rPr>
                <w:rFonts w:ascii="Calibri" w:hAnsi="Calibri" w:cs="Calibri"/>
                <w:color w:val="000000"/>
                <w:kern w:val="0"/>
                <w:sz w:val="22"/>
                <w:szCs w:val="22"/>
              </w:rPr>
            </w:pPr>
            <w:r w:rsidRPr="00475E92">
              <w:rPr>
                <w:rFonts w:ascii="Calibri" w:hAnsi="Calibri" w:cs="Calibri"/>
                <w:color w:val="000000"/>
                <w:kern w:val="0"/>
                <w:sz w:val="22"/>
                <w:szCs w:val="22"/>
              </w:rPr>
              <w:t> </w:t>
            </w:r>
          </w:p>
        </w:tc>
        <w:tc>
          <w:tcPr>
            <w:tcW w:w="1275" w:type="dxa"/>
            <w:tcBorders>
              <w:top w:val="single" w:sz="4" w:space="0" w:color="auto"/>
              <w:left w:val="nil"/>
              <w:bottom w:val="single" w:sz="4" w:space="0" w:color="auto"/>
              <w:right w:val="single" w:sz="4" w:space="0" w:color="auto"/>
            </w:tcBorders>
            <w:noWrap/>
            <w:vAlign w:val="bottom"/>
            <w:hideMark/>
          </w:tcPr>
          <w:p w14:paraId="360D6179" w14:textId="77777777" w:rsidR="00CC35D1" w:rsidRPr="00475E92" w:rsidRDefault="00CC35D1" w:rsidP="00654ADB">
            <w:pPr>
              <w:spacing w:after="0" w:line="240" w:lineRule="auto"/>
              <w:jc w:val="right"/>
              <w:rPr>
                <w:rFonts w:ascii="Calibri" w:hAnsi="Calibri" w:cs="Calibri"/>
                <w:color w:val="000000"/>
                <w:kern w:val="0"/>
                <w:sz w:val="22"/>
                <w:szCs w:val="22"/>
              </w:rPr>
            </w:pPr>
            <w:r w:rsidRPr="00475E92">
              <w:rPr>
                <w:rFonts w:ascii="Calibri" w:hAnsi="Calibri" w:cs="Calibri"/>
                <w:color w:val="000000"/>
                <w:kern w:val="0"/>
                <w:sz w:val="22"/>
                <w:szCs w:val="22"/>
              </w:rPr>
              <w:t>Old Policy</w:t>
            </w:r>
          </w:p>
        </w:tc>
        <w:tc>
          <w:tcPr>
            <w:tcW w:w="1276" w:type="dxa"/>
            <w:tcBorders>
              <w:top w:val="single" w:sz="4" w:space="0" w:color="auto"/>
              <w:left w:val="nil"/>
              <w:bottom w:val="single" w:sz="4" w:space="0" w:color="auto"/>
              <w:right w:val="single" w:sz="4" w:space="0" w:color="auto"/>
            </w:tcBorders>
            <w:noWrap/>
            <w:vAlign w:val="bottom"/>
            <w:hideMark/>
          </w:tcPr>
          <w:p w14:paraId="3A613367" w14:textId="77777777" w:rsidR="00CC35D1" w:rsidRPr="00475E92" w:rsidRDefault="00CC35D1" w:rsidP="00654ADB">
            <w:pPr>
              <w:spacing w:after="0" w:line="240" w:lineRule="auto"/>
              <w:jc w:val="right"/>
              <w:rPr>
                <w:rFonts w:ascii="Calibri" w:hAnsi="Calibri" w:cs="Calibri"/>
                <w:color w:val="000000"/>
                <w:kern w:val="0"/>
                <w:sz w:val="22"/>
                <w:szCs w:val="22"/>
              </w:rPr>
            </w:pPr>
            <w:r w:rsidRPr="00475E92">
              <w:rPr>
                <w:rFonts w:ascii="Calibri" w:hAnsi="Calibri" w:cs="Calibri"/>
                <w:color w:val="000000"/>
                <w:kern w:val="0"/>
                <w:sz w:val="22"/>
                <w:szCs w:val="22"/>
              </w:rPr>
              <w:t>New Policy</w:t>
            </w:r>
          </w:p>
        </w:tc>
      </w:tr>
      <w:tr w:rsidR="00CC35D1" w:rsidRPr="00475E92" w14:paraId="58F88899" w14:textId="77777777" w:rsidTr="00654ADB">
        <w:trPr>
          <w:trHeight w:val="300"/>
        </w:trPr>
        <w:tc>
          <w:tcPr>
            <w:tcW w:w="3823" w:type="dxa"/>
            <w:tcBorders>
              <w:top w:val="nil"/>
              <w:left w:val="single" w:sz="4" w:space="0" w:color="auto"/>
              <w:bottom w:val="single" w:sz="4" w:space="0" w:color="auto"/>
              <w:right w:val="single" w:sz="4" w:space="0" w:color="auto"/>
            </w:tcBorders>
            <w:noWrap/>
            <w:vAlign w:val="bottom"/>
            <w:hideMark/>
          </w:tcPr>
          <w:p w14:paraId="4B7EF8EB" w14:textId="77777777" w:rsidR="00CC35D1" w:rsidRPr="00475E92" w:rsidRDefault="00CC35D1" w:rsidP="00654ADB">
            <w:pPr>
              <w:spacing w:after="0" w:line="240" w:lineRule="auto"/>
              <w:rPr>
                <w:rFonts w:ascii="Calibri" w:hAnsi="Calibri" w:cs="Calibri"/>
                <w:color w:val="000000"/>
                <w:kern w:val="0"/>
                <w:sz w:val="22"/>
                <w:szCs w:val="22"/>
              </w:rPr>
            </w:pPr>
            <w:r w:rsidRPr="00475E92">
              <w:rPr>
                <w:rFonts w:ascii="Calibri" w:hAnsi="Calibri" w:cs="Calibri"/>
                <w:color w:val="000000"/>
                <w:kern w:val="0"/>
                <w:sz w:val="22"/>
                <w:szCs w:val="22"/>
              </w:rPr>
              <w:t>Research Team</w:t>
            </w:r>
          </w:p>
        </w:tc>
        <w:tc>
          <w:tcPr>
            <w:tcW w:w="1275" w:type="dxa"/>
            <w:tcBorders>
              <w:top w:val="nil"/>
              <w:left w:val="nil"/>
              <w:bottom w:val="single" w:sz="4" w:space="0" w:color="auto"/>
              <w:right w:val="single" w:sz="4" w:space="0" w:color="auto"/>
            </w:tcBorders>
            <w:noWrap/>
            <w:vAlign w:val="bottom"/>
            <w:hideMark/>
          </w:tcPr>
          <w:p w14:paraId="612028FC" w14:textId="76C6D742" w:rsidR="00CC35D1" w:rsidRPr="00475E92" w:rsidRDefault="00CC35D1" w:rsidP="00654ADB">
            <w:pPr>
              <w:spacing w:after="0" w:line="240" w:lineRule="auto"/>
              <w:jc w:val="right"/>
              <w:rPr>
                <w:rFonts w:ascii="Calibri" w:hAnsi="Calibri" w:cs="Calibri"/>
                <w:color w:val="000000"/>
                <w:kern w:val="0"/>
                <w:sz w:val="22"/>
                <w:szCs w:val="22"/>
              </w:rPr>
            </w:pPr>
            <w:r>
              <w:rPr>
                <w:rFonts w:ascii="Calibri" w:hAnsi="Calibri" w:cs="Calibri"/>
                <w:color w:val="000000"/>
                <w:kern w:val="0"/>
                <w:sz w:val="22"/>
                <w:szCs w:val="22"/>
              </w:rPr>
              <w:t>8</w:t>
            </w:r>
            <w:r w:rsidRPr="00475E92">
              <w:rPr>
                <w:rFonts w:ascii="Calibri" w:hAnsi="Calibri" w:cs="Calibri"/>
                <w:color w:val="000000"/>
                <w:kern w:val="0"/>
                <w:sz w:val="22"/>
                <w:szCs w:val="22"/>
              </w:rPr>
              <w:t>3%</w:t>
            </w:r>
          </w:p>
        </w:tc>
        <w:tc>
          <w:tcPr>
            <w:tcW w:w="1276" w:type="dxa"/>
            <w:tcBorders>
              <w:top w:val="nil"/>
              <w:left w:val="nil"/>
              <w:bottom w:val="single" w:sz="4" w:space="0" w:color="auto"/>
              <w:right w:val="single" w:sz="4" w:space="0" w:color="auto"/>
            </w:tcBorders>
            <w:noWrap/>
            <w:vAlign w:val="bottom"/>
            <w:hideMark/>
          </w:tcPr>
          <w:p w14:paraId="29D12EAE" w14:textId="4D98362B" w:rsidR="00CC35D1" w:rsidRPr="00475E92" w:rsidRDefault="00CC35D1" w:rsidP="00654ADB">
            <w:pPr>
              <w:spacing w:after="0" w:line="240" w:lineRule="auto"/>
              <w:jc w:val="right"/>
              <w:rPr>
                <w:rFonts w:ascii="Calibri" w:hAnsi="Calibri" w:cs="Calibri"/>
                <w:color w:val="000000"/>
                <w:kern w:val="0"/>
                <w:sz w:val="22"/>
                <w:szCs w:val="22"/>
              </w:rPr>
            </w:pPr>
            <w:r>
              <w:rPr>
                <w:rFonts w:ascii="Calibri" w:hAnsi="Calibri" w:cs="Calibri"/>
                <w:color w:val="000000"/>
                <w:kern w:val="0"/>
                <w:sz w:val="22"/>
                <w:szCs w:val="22"/>
              </w:rPr>
              <w:t>76</w:t>
            </w:r>
            <w:r w:rsidRPr="00475E92">
              <w:rPr>
                <w:rFonts w:ascii="Calibri" w:hAnsi="Calibri" w:cs="Calibri"/>
                <w:color w:val="000000"/>
                <w:kern w:val="0"/>
                <w:sz w:val="22"/>
                <w:szCs w:val="22"/>
              </w:rPr>
              <w:t>%</w:t>
            </w:r>
          </w:p>
        </w:tc>
      </w:tr>
      <w:tr w:rsidR="00CC35D1" w:rsidRPr="00475E92" w14:paraId="4942AE0E" w14:textId="77777777" w:rsidTr="00654ADB">
        <w:trPr>
          <w:trHeight w:val="300"/>
        </w:trPr>
        <w:tc>
          <w:tcPr>
            <w:tcW w:w="3823" w:type="dxa"/>
            <w:tcBorders>
              <w:top w:val="nil"/>
              <w:left w:val="single" w:sz="4" w:space="0" w:color="auto"/>
              <w:bottom w:val="single" w:sz="4" w:space="0" w:color="auto"/>
              <w:right w:val="single" w:sz="4" w:space="0" w:color="auto"/>
            </w:tcBorders>
            <w:noWrap/>
            <w:vAlign w:val="bottom"/>
            <w:hideMark/>
          </w:tcPr>
          <w:p w14:paraId="519D490C" w14:textId="77777777" w:rsidR="00CC35D1" w:rsidRPr="00475E92" w:rsidRDefault="00CC35D1" w:rsidP="00654ADB">
            <w:pPr>
              <w:spacing w:after="0" w:line="240" w:lineRule="auto"/>
              <w:rPr>
                <w:rFonts w:ascii="Calibri" w:hAnsi="Calibri" w:cs="Calibri"/>
                <w:color w:val="000000"/>
                <w:kern w:val="0"/>
                <w:sz w:val="22"/>
                <w:szCs w:val="22"/>
              </w:rPr>
            </w:pPr>
            <w:r w:rsidRPr="00475E92">
              <w:rPr>
                <w:rFonts w:ascii="Calibri" w:hAnsi="Calibri" w:cs="Calibri"/>
                <w:color w:val="000000"/>
                <w:kern w:val="0"/>
                <w:sz w:val="22"/>
                <w:szCs w:val="22"/>
              </w:rPr>
              <w:t>R&amp;D Office / Capacity Building Account</w:t>
            </w:r>
          </w:p>
        </w:tc>
        <w:tc>
          <w:tcPr>
            <w:tcW w:w="1275" w:type="dxa"/>
            <w:tcBorders>
              <w:top w:val="nil"/>
              <w:left w:val="nil"/>
              <w:bottom w:val="single" w:sz="4" w:space="0" w:color="auto"/>
              <w:right w:val="single" w:sz="4" w:space="0" w:color="auto"/>
            </w:tcBorders>
            <w:noWrap/>
            <w:vAlign w:val="bottom"/>
            <w:hideMark/>
          </w:tcPr>
          <w:p w14:paraId="1A0827AE" w14:textId="4BA5D265" w:rsidR="00CC35D1" w:rsidRPr="00475E92" w:rsidRDefault="00CC35D1" w:rsidP="00654ADB">
            <w:pPr>
              <w:spacing w:after="0" w:line="240" w:lineRule="auto"/>
              <w:jc w:val="right"/>
              <w:rPr>
                <w:rFonts w:ascii="Calibri" w:hAnsi="Calibri" w:cs="Calibri"/>
                <w:color w:val="000000"/>
                <w:kern w:val="0"/>
                <w:sz w:val="22"/>
                <w:szCs w:val="22"/>
              </w:rPr>
            </w:pPr>
            <w:r>
              <w:rPr>
                <w:rFonts w:ascii="Calibri" w:hAnsi="Calibri" w:cs="Calibri"/>
                <w:color w:val="000000"/>
                <w:kern w:val="0"/>
                <w:sz w:val="22"/>
                <w:szCs w:val="22"/>
              </w:rPr>
              <w:t>1</w:t>
            </w:r>
            <w:r w:rsidR="00221018">
              <w:rPr>
                <w:rFonts w:ascii="Calibri" w:hAnsi="Calibri" w:cs="Calibri"/>
                <w:color w:val="000000"/>
                <w:kern w:val="0"/>
                <w:sz w:val="22"/>
                <w:szCs w:val="22"/>
              </w:rPr>
              <w:t>7</w:t>
            </w:r>
            <w:r w:rsidRPr="00475E92">
              <w:rPr>
                <w:rFonts w:ascii="Calibri" w:hAnsi="Calibri" w:cs="Calibri"/>
                <w:color w:val="000000"/>
                <w:kern w:val="0"/>
                <w:sz w:val="22"/>
                <w:szCs w:val="22"/>
              </w:rPr>
              <w:t>%</w:t>
            </w:r>
          </w:p>
        </w:tc>
        <w:tc>
          <w:tcPr>
            <w:tcW w:w="1276" w:type="dxa"/>
            <w:tcBorders>
              <w:top w:val="nil"/>
              <w:left w:val="nil"/>
              <w:bottom w:val="single" w:sz="4" w:space="0" w:color="auto"/>
              <w:right w:val="single" w:sz="4" w:space="0" w:color="auto"/>
            </w:tcBorders>
            <w:noWrap/>
            <w:vAlign w:val="bottom"/>
            <w:hideMark/>
          </w:tcPr>
          <w:p w14:paraId="45E6FB47" w14:textId="1F70CCBB" w:rsidR="00CC35D1" w:rsidRPr="00475E92" w:rsidRDefault="00CC35D1" w:rsidP="00654ADB">
            <w:pPr>
              <w:spacing w:after="0" w:line="240" w:lineRule="auto"/>
              <w:jc w:val="right"/>
              <w:rPr>
                <w:rFonts w:ascii="Calibri" w:hAnsi="Calibri" w:cs="Calibri"/>
                <w:color w:val="000000"/>
                <w:kern w:val="0"/>
                <w:sz w:val="22"/>
                <w:szCs w:val="22"/>
              </w:rPr>
            </w:pPr>
            <w:r>
              <w:rPr>
                <w:rFonts w:ascii="Calibri" w:hAnsi="Calibri" w:cs="Calibri"/>
                <w:color w:val="000000"/>
                <w:kern w:val="0"/>
                <w:sz w:val="22"/>
                <w:szCs w:val="22"/>
              </w:rPr>
              <w:t>2</w:t>
            </w:r>
            <w:r w:rsidR="00221018">
              <w:rPr>
                <w:rFonts w:ascii="Calibri" w:hAnsi="Calibri" w:cs="Calibri"/>
                <w:color w:val="000000"/>
                <w:kern w:val="0"/>
                <w:sz w:val="22"/>
                <w:szCs w:val="22"/>
              </w:rPr>
              <w:t>4</w:t>
            </w:r>
            <w:r w:rsidRPr="00475E92">
              <w:rPr>
                <w:rFonts w:ascii="Calibri" w:hAnsi="Calibri" w:cs="Calibri"/>
                <w:color w:val="000000"/>
                <w:kern w:val="0"/>
                <w:sz w:val="22"/>
                <w:szCs w:val="22"/>
              </w:rPr>
              <w:t>%</w:t>
            </w:r>
          </w:p>
        </w:tc>
      </w:tr>
    </w:tbl>
    <w:p w14:paraId="768E4C11" w14:textId="77777777" w:rsidR="00CC35D1" w:rsidRDefault="00CC35D1"/>
    <w:p w14:paraId="2D2DEB35" w14:textId="22CB6979" w:rsidR="00675009" w:rsidRDefault="00675009">
      <w:r>
        <w:rPr>
          <w:b/>
          <w:bCs/>
          <w:u w:val="single"/>
        </w:rPr>
        <w:t>A1.4 Example</w:t>
      </w:r>
      <w:r w:rsidR="00260F19">
        <w:rPr>
          <w:b/>
          <w:bCs/>
          <w:u w:val="single"/>
        </w:rPr>
        <w:t xml:space="preserve"> &amp; Key Points</w:t>
      </w:r>
    </w:p>
    <w:p w14:paraId="42FE61BA" w14:textId="46A1BCB0" w:rsidR="00EA2B4B" w:rsidRDefault="000D0826">
      <w:r>
        <w:t>For a</w:t>
      </w:r>
      <w:r w:rsidR="00013A04">
        <w:t xml:space="preserve"> simple</w:t>
      </w:r>
      <w:r>
        <w:t xml:space="preserve"> example</w:t>
      </w:r>
      <w:r w:rsidR="00D27C66">
        <w:t xml:space="preserve">, </w:t>
      </w:r>
      <w:r w:rsidR="00545F7E">
        <w:t>consider</w:t>
      </w:r>
      <w:r w:rsidR="00D27C66">
        <w:t xml:space="preserve"> the scenarios where we have an investigation </w:t>
      </w:r>
      <w:r w:rsidR="00037D72">
        <w:t>activity</w:t>
      </w:r>
      <w:r w:rsidR="00D27C66">
        <w:t xml:space="preserve"> and a </w:t>
      </w:r>
      <w:r w:rsidR="00037D72">
        <w:t>procedural</w:t>
      </w:r>
      <w:r w:rsidR="00D27C66">
        <w:t xml:space="preserve"> </w:t>
      </w:r>
      <w:r w:rsidR="00037D72">
        <w:t xml:space="preserve">activity </w:t>
      </w:r>
      <w:r w:rsidR="00D27C66">
        <w:t xml:space="preserve">that </w:t>
      </w:r>
      <w:r w:rsidR="004D356E">
        <w:t>both have a direct cost</w:t>
      </w:r>
      <w:r w:rsidR="00037D72">
        <w:t xml:space="preserve"> </w:t>
      </w:r>
      <w:r w:rsidR="004D356E">
        <w:t>of</w:t>
      </w:r>
      <w:r w:rsidR="00037D72">
        <w:t xml:space="preserve"> </w:t>
      </w:r>
      <w:r w:rsidR="00D27C66">
        <w:t>£1,000 in the iCT</w:t>
      </w:r>
      <w:r w:rsidR="00545F7E">
        <w:t xml:space="preserve">. </w:t>
      </w:r>
      <w:r>
        <w:t>Then by following both the old policy and the new proposed methodology</w:t>
      </w:r>
      <w:r w:rsidR="00545F7E">
        <w:t>,</w:t>
      </w:r>
      <w:r w:rsidR="00D27C66">
        <w:t xml:space="preserve"> the following amounts would be </w:t>
      </w:r>
      <w:r w:rsidR="00D27C66" w:rsidRPr="00675009">
        <w:t>billed and distributed:</w:t>
      </w:r>
    </w:p>
    <w:p w14:paraId="0357E6DE" w14:textId="61B8E698" w:rsidR="00675009" w:rsidRDefault="00127573">
      <w:r>
        <w:rPr>
          <w:noProof/>
        </w:rPr>
        <w:lastRenderedPageBreak/>
        <w:drawing>
          <wp:inline distT="0" distB="0" distL="0" distR="0" wp14:anchorId="0D734D7B" wp14:editId="7D08D4BE">
            <wp:extent cx="5867400" cy="3324225"/>
            <wp:effectExtent l="0" t="0" r="0" b="9525"/>
            <wp:docPr id="1070913738" name="Chart 1">
              <a:extLst xmlns:a="http://schemas.openxmlformats.org/drawingml/2006/main">
                <a:ext uri="{FF2B5EF4-FFF2-40B4-BE49-F238E27FC236}">
                  <a16:creationId xmlns:a16="http://schemas.microsoft.com/office/drawing/2014/main" id="{76BE4365-6600-7DA1-7382-5F814A63CC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2A16F6E" w14:textId="77777777" w:rsidR="00B3620D" w:rsidRDefault="00260F19">
      <w:r>
        <w:t xml:space="preserve">The key movements here focus around </w:t>
      </w:r>
      <w:r w:rsidR="00B3620D">
        <w:t>two areas:</w:t>
      </w:r>
    </w:p>
    <w:p w14:paraId="5EB05FEB" w14:textId="488391D3" w:rsidR="00260F19" w:rsidRDefault="00B3620D">
      <w:r>
        <w:t>1) A</w:t>
      </w:r>
      <w:r w:rsidR="00260F19">
        <w:t xml:space="preserve"> larger and more consistent contribution to general overheads with </w:t>
      </w:r>
      <w:r>
        <w:t xml:space="preserve">both the removal of the different treatment of specific research facilities, and </w:t>
      </w:r>
      <w:r w:rsidR="00260F19">
        <w:t xml:space="preserve">the even split </w:t>
      </w:r>
      <w:r>
        <w:t>of the indirect cost element being applied between the PI/research specialty account and the overhead contribution.</w:t>
      </w:r>
    </w:p>
    <w:p w14:paraId="52CD7753" w14:textId="2554424E" w:rsidR="00B3620D" w:rsidRDefault="00B3620D">
      <w:r>
        <w:t>2) Redistribution between the R&amp;D central allocation and the research activity accounts, with a significantly smaller portion of the income landing in the central R&amp;D fund, and more being placed in the applicable research activity account. This should allow teams to run more independently with less reliance on central support and funding. With the research activity account seeking to be brought centrally, the risks around potential overspend, alongside the benefit of underspend, would land collectively alongside the central R&amp;D costs, allowing for management of the consolidated R&amp;D position and more efficient utilisation of collective R&amp;D funds.</w:t>
      </w:r>
    </w:p>
    <w:p w14:paraId="2CA47AAF" w14:textId="6B6C594A" w:rsidR="00013A04" w:rsidRDefault="00013A04">
      <w:r>
        <w:t xml:space="preserve">Building this into a more complex scenario, consider a </w:t>
      </w:r>
      <w:r w:rsidR="003236B2">
        <w:t xml:space="preserve">fuller scenario, where the following costs are presented </w:t>
      </w:r>
      <w:r w:rsidR="00B25BDF">
        <w:t>as billable following the NCVR and study activity:</w:t>
      </w:r>
    </w:p>
    <w:tbl>
      <w:tblPr>
        <w:tblStyle w:val="TableGrid"/>
        <w:tblW w:w="6374" w:type="dxa"/>
        <w:tblLook w:val="04A0" w:firstRow="1" w:lastRow="0" w:firstColumn="1" w:lastColumn="0" w:noHBand="0" w:noVBand="1"/>
      </w:tblPr>
      <w:tblGrid>
        <w:gridCol w:w="3964"/>
        <w:gridCol w:w="2410"/>
      </w:tblGrid>
      <w:tr w:rsidR="00B25BDF" w:rsidRPr="00475E92" w14:paraId="5E34AE55" w14:textId="77777777" w:rsidTr="00B25BDF">
        <w:trPr>
          <w:trHeight w:val="300"/>
        </w:trPr>
        <w:tc>
          <w:tcPr>
            <w:tcW w:w="3964" w:type="dxa"/>
            <w:noWrap/>
            <w:hideMark/>
          </w:tcPr>
          <w:p w14:paraId="331A5DE1" w14:textId="42A35AB1" w:rsidR="00B25BDF" w:rsidRPr="00475E92" w:rsidRDefault="00B25BDF" w:rsidP="003B5AD1">
            <w:pPr>
              <w:spacing w:after="0" w:line="240" w:lineRule="auto"/>
              <w:rPr>
                <w:rFonts w:ascii="Aptos Narrow" w:hAnsi="Aptos Narrow"/>
                <w:color w:val="000000"/>
                <w:kern w:val="0"/>
                <w:sz w:val="22"/>
                <w:szCs w:val="22"/>
              </w:rPr>
            </w:pPr>
            <w:r>
              <w:rPr>
                <w:rFonts w:ascii="Aptos Narrow" w:hAnsi="Aptos Narrow"/>
                <w:color w:val="000000"/>
                <w:kern w:val="0"/>
                <w:sz w:val="22"/>
                <w:szCs w:val="22"/>
              </w:rPr>
              <w:t>Costing Element</w:t>
            </w:r>
          </w:p>
        </w:tc>
        <w:tc>
          <w:tcPr>
            <w:tcW w:w="2410" w:type="dxa"/>
            <w:noWrap/>
            <w:hideMark/>
          </w:tcPr>
          <w:p w14:paraId="15905C61" w14:textId="29C173BA" w:rsidR="00B25BDF" w:rsidRPr="00475E92" w:rsidRDefault="00B25BDF" w:rsidP="00B25BDF">
            <w:pPr>
              <w:spacing w:after="0" w:line="240" w:lineRule="auto"/>
              <w:rPr>
                <w:rFonts w:ascii="Aptos Narrow" w:hAnsi="Aptos Narrow"/>
                <w:color w:val="000000"/>
                <w:kern w:val="0"/>
                <w:sz w:val="22"/>
                <w:szCs w:val="22"/>
              </w:rPr>
            </w:pPr>
            <w:r>
              <w:rPr>
                <w:rFonts w:ascii="Aptos Narrow" w:hAnsi="Aptos Narrow"/>
                <w:color w:val="000000"/>
                <w:kern w:val="0"/>
                <w:sz w:val="22"/>
                <w:szCs w:val="22"/>
              </w:rPr>
              <w:t>Total Billable Amount</w:t>
            </w:r>
          </w:p>
        </w:tc>
      </w:tr>
      <w:tr w:rsidR="00B25BDF" w:rsidRPr="00475E92" w14:paraId="34F5BE59" w14:textId="77777777" w:rsidTr="00B25BDF">
        <w:trPr>
          <w:trHeight w:val="300"/>
        </w:trPr>
        <w:tc>
          <w:tcPr>
            <w:tcW w:w="3964" w:type="dxa"/>
            <w:noWrap/>
          </w:tcPr>
          <w:p w14:paraId="00C0B1F4" w14:textId="50C592D7" w:rsidR="00B25BDF" w:rsidRPr="00475E92" w:rsidRDefault="00B25BDF" w:rsidP="003B5AD1">
            <w:pPr>
              <w:spacing w:after="0" w:line="240" w:lineRule="auto"/>
              <w:rPr>
                <w:rFonts w:ascii="Aptos Narrow" w:hAnsi="Aptos Narrow"/>
                <w:color w:val="000000"/>
                <w:kern w:val="0"/>
                <w:sz w:val="22"/>
                <w:szCs w:val="22"/>
              </w:rPr>
            </w:pPr>
            <w:r>
              <w:rPr>
                <w:rFonts w:ascii="Aptos Narrow" w:hAnsi="Aptos Narrow"/>
                <w:color w:val="000000"/>
                <w:kern w:val="0"/>
                <w:sz w:val="22"/>
                <w:szCs w:val="22"/>
              </w:rPr>
              <w:t>Total Investigation Costs</w:t>
            </w:r>
          </w:p>
        </w:tc>
        <w:tc>
          <w:tcPr>
            <w:tcW w:w="2410" w:type="dxa"/>
            <w:noWrap/>
          </w:tcPr>
          <w:p w14:paraId="7B7790AA" w14:textId="093459E6" w:rsidR="00B25BDF" w:rsidRPr="00475E92" w:rsidRDefault="00B25BDF" w:rsidP="00B25BDF">
            <w:pPr>
              <w:spacing w:after="0" w:line="240" w:lineRule="auto"/>
              <w:rPr>
                <w:rFonts w:ascii="Aptos Narrow" w:hAnsi="Aptos Narrow"/>
                <w:color w:val="000000"/>
                <w:kern w:val="0"/>
                <w:sz w:val="22"/>
                <w:szCs w:val="22"/>
              </w:rPr>
            </w:pPr>
            <w:r>
              <w:rPr>
                <w:rFonts w:ascii="Aptos Narrow" w:hAnsi="Aptos Narrow"/>
                <w:color w:val="000000"/>
                <w:kern w:val="0"/>
                <w:sz w:val="22"/>
                <w:szCs w:val="22"/>
              </w:rPr>
              <w:t>£25,164</w:t>
            </w:r>
          </w:p>
        </w:tc>
      </w:tr>
      <w:tr w:rsidR="00B25BDF" w:rsidRPr="00475E92" w14:paraId="6B33FE61" w14:textId="77777777" w:rsidTr="00B25BDF">
        <w:trPr>
          <w:trHeight w:val="300"/>
        </w:trPr>
        <w:tc>
          <w:tcPr>
            <w:tcW w:w="3964" w:type="dxa"/>
            <w:noWrap/>
            <w:hideMark/>
          </w:tcPr>
          <w:p w14:paraId="2610DC74" w14:textId="48FD0425" w:rsidR="00B25BDF" w:rsidRPr="00475E92" w:rsidRDefault="00B25BDF" w:rsidP="003B5AD1">
            <w:pPr>
              <w:spacing w:after="0" w:line="240" w:lineRule="auto"/>
              <w:rPr>
                <w:rFonts w:ascii="Aptos Narrow" w:hAnsi="Aptos Narrow"/>
                <w:color w:val="000000"/>
                <w:kern w:val="0"/>
                <w:sz w:val="22"/>
                <w:szCs w:val="22"/>
              </w:rPr>
            </w:pPr>
            <w:r>
              <w:rPr>
                <w:rFonts w:ascii="Aptos Narrow" w:hAnsi="Aptos Narrow"/>
                <w:color w:val="000000"/>
                <w:kern w:val="0"/>
                <w:sz w:val="22"/>
                <w:szCs w:val="22"/>
              </w:rPr>
              <w:t>Total Procedural Costs</w:t>
            </w:r>
          </w:p>
        </w:tc>
        <w:tc>
          <w:tcPr>
            <w:tcW w:w="2410" w:type="dxa"/>
            <w:noWrap/>
            <w:hideMark/>
          </w:tcPr>
          <w:p w14:paraId="6FE6255B" w14:textId="33DEE909" w:rsidR="00B25BDF" w:rsidRPr="00475E92" w:rsidRDefault="00B25BDF" w:rsidP="00B25BDF">
            <w:pPr>
              <w:spacing w:after="0" w:line="240" w:lineRule="auto"/>
              <w:rPr>
                <w:rFonts w:ascii="Aptos Narrow" w:hAnsi="Aptos Narrow"/>
                <w:color w:val="000000"/>
                <w:kern w:val="0"/>
                <w:sz w:val="22"/>
                <w:szCs w:val="22"/>
              </w:rPr>
            </w:pPr>
            <w:r>
              <w:rPr>
                <w:rFonts w:ascii="Aptos Narrow" w:hAnsi="Aptos Narrow"/>
                <w:color w:val="000000"/>
                <w:kern w:val="0"/>
                <w:sz w:val="22"/>
                <w:szCs w:val="22"/>
              </w:rPr>
              <w:t>£602,157</w:t>
            </w:r>
          </w:p>
        </w:tc>
      </w:tr>
      <w:tr w:rsidR="00B25BDF" w:rsidRPr="00475E92" w14:paraId="207CC777" w14:textId="77777777" w:rsidTr="00B25BDF">
        <w:trPr>
          <w:trHeight w:val="300"/>
        </w:trPr>
        <w:tc>
          <w:tcPr>
            <w:tcW w:w="3964" w:type="dxa"/>
            <w:noWrap/>
            <w:hideMark/>
          </w:tcPr>
          <w:p w14:paraId="44B2C5DA" w14:textId="089ADC47" w:rsidR="00B25BDF" w:rsidRPr="00475E92" w:rsidRDefault="00B25BDF" w:rsidP="003B5AD1">
            <w:pPr>
              <w:spacing w:after="0" w:line="240" w:lineRule="auto"/>
              <w:rPr>
                <w:rFonts w:ascii="Aptos Narrow" w:hAnsi="Aptos Narrow"/>
                <w:color w:val="000000"/>
                <w:kern w:val="0"/>
                <w:sz w:val="22"/>
                <w:szCs w:val="22"/>
              </w:rPr>
            </w:pPr>
            <w:r>
              <w:rPr>
                <w:rFonts w:ascii="Aptos Narrow" w:hAnsi="Aptos Narrow"/>
                <w:color w:val="000000"/>
                <w:kern w:val="0"/>
                <w:sz w:val="22"/>
                <w:szCs w:val="22"/>
              </w:rPr>
              <w:t>R&amp;D Set-Up &amp; Archiving Fee (Other Costs)</w:t>
            </w:r>
          </w:p>
        </w:tc>
        <w:tc>
          <w:tcPr>
            <w:tcW w:w="2410" w:type="dxa"/>
            <w:noWrap/>
            <w:hideMark/>
          </w:tcPr>
          <w:p w14:paraId="195D045B" w14:textId="00E9E8C1" w:rsidR="00B25BDF" w:rsidRPr="00475E92" w:rsidRDefault="00B25BDF" w:rsidP="00B25BDF">
            <w:pPr>
              <w:spacing w:after="0" w:line="240" w:lineRule="auto"/>
              <w:rPr>
                <w:rFonts w:ascii="Aptos Narrow" w:hAnsi="Aptos Narrow"/>
                <w:color w:val="000000"/>
                <w:kern w:val="0"/>
                <w:sz w:val="22"/>
                <w:szCs w:val="22"/>
              </w:rPr>
            </w:pPr>
            <w:r>
              <w:rPr>
                <w:rFonts w:ascii="Aptos Narrow" w:hAnsi="Aptos Narrow"/>
                <w:color w:val="000000"/>
                <w:kern w:val="0"/>
                <w:sz w:val="22"/>
                <w:szCs w:val="22"/>
              </w:rPr>
              <w:t>£2,508</w:t>
            </w:r>
          </w:p>
        </w:tc>
      </w:tr>
      <w:tr w:rsidR="00B25BDF" w:rsidRPr="00475E92" w14:paraId="4A8A5FF6" w14:textId="77777777" w:rsidTr="00B25BDF">
        <w:trPr>
          <w:trHeight w:val="300"/>
        </w:trPr>
        <w:tc>
          <w:tcPr>
            <w:tcW w:w="3964" w:type="dxa"/>
            <w:noWrap/>
            <w:hideMark/>
          </w:tcPr>
          <w:p w14:paraId="6DFCE0BE" w14:textId="1935F545" w:rsidR="00B25BDF" w:rsidRPr="00475E92" w:rsidRDefault="00B25BDF" w:rsidP="003B5AD1">
            <w:pPr>
              <w:spacing w:after="0" w:line="240" w:lineRule="auto"/>
              <w:rPr>
                <w:rFonts w:ascii="Aptos Narrow" w:hAnsi="Aptos Narrow"/>
                <w:color w:val="000000"/>
                <w:kern w:val="0"/>
                <w:sz w:val="22"/>
                <w:szCs w:val="22"/>
              </w:rPr>
            </w:pPr>
            <w:r>
              <w:rPr>
                <w:rFonts w:ascii="Aptos Narrow" w:hAnsi="Aptos Narrow"/>
                <w:color w:val="000000"/>
                <w:kern w:val="0"/>
                <w:sz w:val="22"/>
                <w:szCs w:val="22"/>
              </w:rPr>
              <w:t>Total</w:t>
            </w:r>
          </w:p>
        </w:tc>
        <w:tc>
          <w:tcPr>
            <w:tcW w:w="2410" w:type="dxa"/>
            <w:noWrap/>
            <w:hideMark/>
          </w:tcPr>
          <w:p w14:paraId="1946C1ED" w14:textId="0FB7C84D" w:rsidR="00B25BDF" w:rsidRPr="00475E92" w:rsidRDefault="00B25BDF" w:rsidP="00B25BDF">
            <w:pPr>
              <w:spacing w:after="0" w:line="240" w:lineRule="auto"/>
              <w:rPr>
                <w:rFonts w:ascii="Aptos Narrow" w:hAnsi="Aptos Narrow"/>
                <w:color w:val="000000"/>
                <w:kern w:val="0"/>
                <w:sz w:val="22"/>
                <w:szCs w:val="22"/>
              </w:rPr>
            </w:pPr>
            <w:r>
              <w:rPr>
                <w:rFonts w:ascii="Aptos Narrow" w:hAnsi="Aptos Narrow"/>
                <w:color w:val="000000"/>
                <w:kern w:val="0"/>
                <w:sz w:val="22"/>
                <w:szCs w:val="22"/>
              </w:rPr>
              <w:t>£629,829</w:t>
            </w:r>
          </w:p>
        </w:tc>
      </w:tr>
    </w:tbl>
    <w:p w14:paraId="78A01921" w14:textId="4830B27F" w:rsidR="00B25BDF" w:rsidRDefault="00B25BDF">
      <w:r>
        <w:lastRenderedPageBreak/>
        <w:t>This would get split up as follows:</w:t>
      </w:r>
    </w:p>
    <w:tbl>
      <w:tblPr>
        <w:tblW w:w="9714" w:type="dxa"/>
        <w:tblLook w:val="04A0" w:firstRow="1" w:lastRow="0" w:firstColumn="1" w:lastColumn="0" w:noHBand="0" w:noVBand="1"/>
      </w:tblPr>
      <w:tblGrid>
        <w:gridCol w:w="4673"/>
        <w:gridCol w:w="1498"/>
        <w:gridCol w:w="1269"/>
        <w:gridCol w:w="999"/>
        <w:gridCol w:w="1275"/>
      </w:tblGrid>
      <w:tr w:rsidR="00B40498" w:rsidRPr="00B40498" w14:paraId="341B5E53" w14:textId="77777777" w:rsidTr="00B40498">
        <w:trPr>
          <w:trHeight w:val="300"/>
        </w:trPr>
        <w:tc>
          <w:tcPr>
            <w:tcW w:w="4673" w:type="dxa"/>
            <w:tcBorders>
              <w:top w:val="single" w:sz="4" w:space="0" w:color="auto"/>
              <w:left w:val="single" w:sz="4" w:space="0" w:color="auto"/>
              <w:bottom w:val="single" w:sz="4" w:space="0" w:color="auto"/>
              <w:right w:val="single" w:sz="4" w:space="0" w:color="auto"/>
            </w:tcBorders>
            <w:noWrap/>
            <w:vAlign w:val="bottom"/>
            <w:hideMark/>
          </w:tcPr>
          <w:p w14:paraId="51E9A05D" w14:textId="77777777"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w:t>
            </w:r>
          </w:p>
        </w:tc>
        <w:tc>
          <w:tcPr>
            <w:tcW w:w="1498" w:type="dxa"/>
            <w:tcBorders>
              <w:top w:val="single" w:sz="4" w:space="0" w:color="auto"/>
              <w:left w:val="nil"/>
              <w:bottom w:val="single" w:sz="4" w:space="0" w:color="auto"/>
              <w:right w:val="single" w:sz="4" w:space="0" w:color="auto"/>
            </w:tcBorders>
            <w:noWrap/>
            <w:vAlign w:val="bottom"/>
            <w:hideMark/>
          </w:tcPr>
          <w:p w14:paraId="0AB9FB16" w14:textId="77777777"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Investigation</w:t>
            </w:r>
          </w:p>
        </w:tc>
        <w:tc>
          <w:tcPr>
            <w:tcW w:w="1269" w:type="dxa"/>
            <w:tcBorders>
              <w:top w:val="single" w:sz="4" w:space="0" w:color="auto"/>
              <w:left w:val="nil"/>
              <w:bottom w:val="single" w:sz="4" w:space="0" w:color="auto"/>
              <w:right w:val="single" w:sz="4" w:space="0" w:color="auto"/>
            </w:tcBorders>
            <w:noWrap/>
            <w:vAlign w:val="bottom"/>
            <w:hideMark/>
          </w:tcPr>
          <w:p w14:paraId="1BE23E21" w14:textId="77777777"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Procedural</w:t>
            </w:r>
          </w:p>
        </w:tc>
        <w:tc>
          <w:tcPr>
            <w:tcW w:w="999" w:type="dxa"/>
            <w:tcBorders>
              <w:top w:val="single" w:sz="4" w:space="0" w:color="auto"/>
              <w:left w:val="nil"/>
              <w:bottom w:val="single" w:sz="4" w:space="0" w:color="auto"/>
              <w:right w:val="single" w:sz="4" w:space="0" w:color="auto"/>
            </w:tcBorders>
            <w:noWrap/>
            <w:vAlign w:val="bottom"/>
            <w:hideMark/>
          </w:tcPr>
          <w:p w14:paraId="5176483C" w14:textId="77777777"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Other</w:t>
            </w:r>
          </w:p>
        </w:tc>
        <w:tc>
          <w:tcPr>
            <w:tcW w:w="1275" w:type="dxa"/>
            <w:tcBorders>
              <w:top w:val="single" w:sz="4" w:space="0" w:color="auto"/>
              <w:left w:val="nil"/>
              <w:bottom w:val="single" w:sz="4" w:space="0" w:color="auto"/>
              <w:right w:val="single" w:sz="4" w:space="0" w:color="auto"/>
            </w:tcBorders>
            <w:noWrap/>
            <w:vAlign w:val="bottom"/>
            <w:hideMark/>
          </w:tcPr>
          <w:p w14:paraId="41BE143E" w14:textId="77777777"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Total</w:t>
            </w:r>
          </w:p>
        </w:tc>
      </w:tr>
      <w:tr w:rsidR="00B40498" w:rsidRPr="00B40498" w14:paraId="4B4FE848" w14:textId="77777777" w:rsidTr="00B40498">
        <w:trPr>
          <w:trHeight w:val="300"/>
        </w:trPr>
        <w:tc>
          <w:tcPr>
            <w:tcW w:w="4673" w:type="dxa"/>
            <w:tcBorders>
              <w:top w:val="nil"/>
              <w:left w:val="single" w:sz="4" w:space="0" w:color="auto"/>
              <w:bottom w:val="single" w:sz="4" w:space="0" w:color="auto"/>
              <w:right w:val="single" w:sz="4" w:space="0" w:color="auto"/>
            </w:tcBorders>
            <w:noWrap/>
            <w:vAlign w:val="bottom"/>
            <w:hideMark/>
          </w:tcPr>
          <w:p w14:paraId="18FE5ACA" w14:textId="77777777"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Research Activity Account (Procedural)</w:t>
            </w:r>
          </w:p>
        </w:tc>
        <w:tc>
          <w:tcPr>
            <w:tcW w:w="1498" w:type="dxa"/>
            <w:tcBorders>
              <w:top w:val="nil"/>
              <w:left w:val="nil"/>
              <w:bottom w:val="single" w:sz="4" w:space="0" w:color="auto"/>
              <w:right w:val="single" w:sz="4" w:space="0" w:color="auto"/>
            </w:tcBorders>
            <w:noWrap/>
            <w:vAlign w:val="bottom"/>
            <w:hideMark/>
          </w:tcPr>
          <w:p w14:paraId="70EDB98B" w14:textId="1EA99DB6"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w:t>
            </w:r>
            <w:r w:rsidR="002E7301">
              <w:rPr>
                <w:rFonts w:ascii="Calibri" w:hAnsi="Calibri" w:cs="Calibri"/>
                <w:color w:val="000000"/>
                <w:kern w:val="0"/>
                <w:sz w:val="22"/>
                <w:szCs w:val="22"/>
              </w:rPr>
              <w:t>-</w:t>
            </w:r>
          </w:p>
        </w:tc>
        <w:tc>
          <w:tcPr>
            <w:tcW w:w="1269" w:type="dxa"/>
            <w:tcBorders>
              <w:top w:val="nil"/>
              <w:left w:val="nil"/>
              <w:bottom w:val="single" w:sz="4" w:space="0" w:color="auto"/>
              <w:right w:val="single" w:sz="4" w:space="0" w:color="auto"/>
            </w:tcBorders>
            <w:noWrap/>
            <w:vAlign w:val="bottom"/>
            <w:hideMark/>
          </w:tcPr>
          <w:p w14:paraId="6AF3F23E" w14:textId="32D1334B"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xml:space="preserve"> £ 290,514 </w:t>
            </w:r>
          </w:p>
        </w:tc>
        <w:tc>
          <w:tcPr>
            <w:tcW w:w="999" w:type="dxa"/>
            <w:tcBorders>
              <w:top w:val="nil"/>
              <w:left w:val="nil"/>
              <w:bottom w:val="single" w:sz="4" w:space="0" w:color="auto"/>
              <w:right w:val="single" w:sz="4" w:space="0" w:color="auto"/>
            </w:tcBorders>
            <w:noWrap/>
            <w:vAlign w:val="bottom"/>
            <w:hideMark/>
          </w:tcPr>
          <w:p w14:paraId="2BA13254" w14:textId="5CD2BBFA"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w:t>
            </w:r>
            <w:r w:rsidR="002E7301">
              <w:rPr>
                <w:rFonts w:ascii="Calibri" w:hAnsi="Calibri" w:cs="Calibri"/>
                <w:color w:val="000000"/>
                <w:kern w:val="0"/>
                <w:sz w:val="22"/>
                <w:szCs w:val="22"/>
              </w:rPr>
              <w:t>-</w:t>
            </w:r>
          </w:p>
        </w:tc>
        <w:tc>
          <w:tcPr>
            <w:tcW w:w="1275" w:type="dxa"/>
            <w:tcBorders>
              <w:top w:val="nil"/>
              <w:left w:val="nil"/>
              <w:bottom w:val="single" w:sz="4" w:space="0" w:color="auto"/>
              <w:right w:val="single" w:sz="4" w:space="0" w:color="auto"/>
            </w:tcBorders>
            <w:noWrap/>
            <w:vAlign w:val="bottom"/>
            <w:hideMark/>
          </w:tcPr>
          <w:p w14:paraId="62149974" w14:textId="1B5C57A2"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xml:space="preserve"> £ 290,514 </w:t>
            </w:r>
          </w:p>
        </w:tc>
      </w:tr>
      <w:tr w:rsidR="00B40498" w:rsidRPr="00B40498" w14:paraId="7D06D0DD" w14:textId="77777777" w:rsidTr="00B40498">
        <w:trPr>
          <w:trHeight w:val="300"/>
        </w:trPr>
        <w:tc>
          <w:tcPr>
            <w:tcW w:w="4673" w:type="dxa"/>
            <w:tcBorders>
              <w:top w:val="nil"/>
              <w:left w:val="single" w:sz="4" w:space="0" w:color="auto"/>
              <w:bottom w:val="single" w:sz="4" w:space="0" w:color="auto"/>
              <w:right w:val="single" w:sz="4" w:space="0" w:color="auto"/>
            </w:tcBorders>
            <w:noWrap/>
            <w:vAlign w:val="bottom"/>
            <w:hideMark/>
          </w:tcPr>
          <w:p w14:paraId="538EF6A2" w14:textId="77777777"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Research Activity Account (Investigation)</w:t>
            </w:r>
          </w:p>
        </w:tc>
        <w:tc>
          <w:tcPr>
            <w:tcW w:w="1498" w:type="dxa"/>
            <w:tcBorders>
              <w:top w:val="nil"/>
              <w:left w:val="nil"/>
              <w:bottom w:val="single" w:sz="4" w:space="0" w:color="auto"/>
              <w:right w:val="single" w:sz="4" w:space="0" w:color="auto"/>
            </w:tcBorders>
            <w:noWrap/>
            <w:vAlign w:val="bottom"/>
            <w:hideMark/>
          </w:tcPr>
          <w:p w14:paraId="2E9894F2" w14:textId="79EF4345"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xml:space="preserve"> £</w:t>
            </w:r>
            <w:r w:rsidR="002E7301">
              <w:rPr>
                <w:rFonts w:ascii="Calibri" w:hAnsi="Calibri" w:cs="Calibri"/>
                <w:color w:val="000000"/>
                <w:kern w:val="0"/>
                <w:sz w:val="22"/>
                <w:szCs w:val="22"/>
              </w:rPr>
              <w:t xml:space="preserve"> </w:t>
            </w:r>
            <w:r w:rsidRPr="00B40498">
              <w:rPr>
                <w:rFonts w:ascii="Calibri" w:hAnsi="Calibri" w:cs="Calibri"/>
                <w:color w:val="000000"/>
                <w:kern w:val="0"/>
                <w:sz w:val="22"/>
                <w:szCs w:val="22"/>
              </w:rPr>
              <w:t xml:space="preserve">19,223 </w:t>
            </w:r>
          </w:p>
        </w:tc>
        <w:tc>
          <w:tcPr>
            <w:tcW w:w="1269" w:type="dxa"/>
            <w:tcBorders>
              <w:top w:val="nil"/>
              <w:left w:val="nil"/>
              <w:bottom w:val="single" w:sz="4" w:space="0" w:color="auto"/>
              <w:right w:val="single" w:sz="4" w:space="0" w:color="auto"/>
            </w:tcBorders>
            <w:noWrap/>
            <w:vAlign w:val="bottom"/>
            <w:hideMark/>
          </w:tcPr>
          <w:p w14:paraId="2E96D790" w14:textId="74B44DFC"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w:t>
            </w:r>
            <w:r w:rsidR="002E7301">
              <w:rPr>
                <w:rFonts w:ascii="Calibri" w:hAnsi="Calibri" w:cs="Calibri"/>
                <w:color w:val="000000"/>
                <w:kern w:val="0"/>
                <w:sz w:val="22"/>
                <w:szCs w:val="22"/>
              </w:rPr>
              <w:t>-</w:t>
            </w:r>
          </w:p>
        </w:tc>
        <w:tc>
          <w:tcPr>
            <w:tcW w:w="999" w:type="dxa"/>
            <w:tcBorders>
              <w:top w:val="nil"/>
              <w:left w:val="nil"/>
              <w:bottom w:val="single" w:sz="4" w:space="0" w:color="auto"/>
              <w:right w:val="single" w:sz="4" w:space="0" w:color="auto"/>
            </w:tcBorders>
            <w:noWrap/>
            <w:vAlign w:val="bottom"/>
            <w:hideMark/>
          </w:tcPr>
          <w:p w14:paraId="6BD88C5F" w14:textId="2A7B720A"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w:t>
            </w:r>
            <w:r w:rsidR="002E7301">
              <w:rPr>
                <w:rFonts w:ascii="Calibri" w:hAnsi="Calibri" w:cs="Calibri"/>
                <w:color w:val="000000"/>
                <w:kern w:val="0"/>
                <w:sz w:val="22"/>
                <w:szCs w:val="22"/>
              </w:rPr>
              <w:t>-</w:t>
            </w:r>
          </w:p>
        </w:tc>
        <w:tc>
          <w:tcPr>
            <w:tcW w:w="1275" w:type="dxa"/>
            <w:tcBorders>
              <w:top w:val="nil"/>
              <w:left w:val="nil"/>
              <w:bottom w:val="single" w:sz="4" w:space="0" w:color="auto"/>
              <w:right w:val="single" w:sz="4" w:space="0" w:color="auto"/>
            </w:tcBorders>
            <w:noWrap/>
            <w:vAlign w:val="bottom"/>
            <w:hideMark/>
          </w:tcPr>
          <w:p w14:paraId="6D8E0947" w14:textId="52F7B05B"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xml:space="preserve"> £ 19,223 </w:t>
            </w:r>
          </w:p>
        </w:tc>
      </w:tr>
      <w:tr w:rsidR="00B40498" w:rsidRPr="00B40498" w14:paraId="3E3A418F" w14:textId="77777777" w:rsidTr="00B40498">
        <w:trPr>
          <w:trHeight w:val="300"/>
        </w:trPr>
        <w:tc>
          <w:tcPr>
            <w:tcW w:w="4673" w:type="dxa"/>
            <w:tcBorders>
              <w:top w:val="nil"/>
              <w:left w:val="single" w:sz="4" w:space="0" w:color="auto"/>
              <w:bottom w:val="single" w:sz="4" w:space="0" w:color="auto"/>
              <w:right w:val="single" w:sz="4" w:space="0" w:color="auto"/>
            </w:tcBorders>
            <w:noWrap/>
            <w:vAlign w:val="bottom"/>
            <w:hideMark/>
          </w:tcPr>
          <w:p w14:paraId="0987BA08" w14:textId="77777777"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R&amp;D Office Cost Account</w:t>
            </w:r>
          </w:p>
        </w:tc>
        <w:tc>
          <w:tcPr>
            <w:tcW w:w="1498" w:type="dxa"/>
            <w:tcBorders>
              <w:top w:val="nil"/>
              <w:left w:val="nil"/>
              <w:bottom w:val="single" w:sz="4" w:space="0" w:color="auto"/>
              <w:right w:val="single" w:sz="4" w:space="0" w:color="auto"/>
            </w:tcBorders>
            <w:noWrap/>
            <w:vAlign w:val="bottom"/>
            <w:hideMark/>
          </w:tcPr>
          <w:p w14:paraId="36F86F3E" w14:textId="051B8E41"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w:t>
            </w:r>
            <w:r w:rsidR="002E7301">
              <w:rPr>
                <w:rFonts w:ascii="Calibri" w:hAnsi="Calibri" w:cs="Calibri"/>
                <w:color w:val="000000"/>
                <w:kern w:val="0"/>
                <w:sz w:val="22"/>
                <w:szCs w:val="22"/>
              </w:rPr>
              <w:t>-</w:t>
            </w:r>
          </w:p>
        </w:tc>
        <w:tc>
          <w:tcPr>
            <w:tcW w:w="1269" w:type="dxa"/>
            <w:tcBorders>
              <w:top w:val="nil"/>
              <w:left w:val="nil"/>
              <w:bottom w:val="single" w:sz="4" w:space="0" w:color="auto"/>
              <w:right w:val="single" w:sz="4" w:space="0" w:color="auto"/>
            </w:tcBorders>
            <w:noWrap/>
            <w:vAlign w:val="bottom"/>
            <w:hideMark/>
          </w:tcPr>
          <w:p w14:paraId="73D0690C" w14:textId="0D5443A8"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w:t>
            </w:r>
            <w:r w:rsidR="002E7301">
              <w:rPr>
                <w:rFonts w:ascii="Calibri" w:hAnsi="Calibri" w:cs="Calibri"/>
                <w:color w:val="000000"/>
                <w:kern w:val="0"/>
                <w:sz w:val="22"/>
                <w:szCs w:val="22"/>
              </w:rPr>
              <w:t>-</w:t>
            </w:r>
          </w:p>
        </w:tc>
        <w:tc>
          <w:tcPr>
            <w:tcW w:w="999" w:type="dxa"/>
            <w:tcBorders>
              <w:top w:val="nil"/>
              <w:left w:val="nil"/>
              <w:bottom w:val="single" w:sz="4" w:space="0" w:color="auto"/>
              <w:right w:val="single" w:sz="4" w:space="0" w:color="auto"/>
            </w:tcBorders>
            <w:noWrap/>
            <w:vAlign w:val="bottom"/>
            <w:hideMark/>
          </w:tcPr>
          <w:p w14:paraId="1D5AF529" w14:textId="48882836"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xml:space="preserve"> £</w:t>
            </w:r>
            <w:r w:rsidR="002E7301">
              <w:rPr>
                <w:rFonts w:ascii="Calibri" w:hAnsi="Calibri" w:cs="Calibri"/>
                <w:color w:val="000000"/>
                <w:kern w:val="0"/>
                <w:sz w:val="22"/>
                <w:szCs w:val="22"/>
              </w:rPr>
              <w:t xml:space="preserve"> </w:t>
            </w:r>
            <w:r w:rsidRPr="00B40498">
              <w:rPr>
                <w:rFonts w:ascii="Calibri" w:hAnsi="Calibri" w:cs="Calibri"/>
                <w:color w:val="000000"/>
                <w:kern w:val="0"/>
                <w:sz w:val="22"/>
                <w:szCs w:val="22"/>
              </w:rPr>
              <w:t xml:space="preserve">2,508 </w:t>
            </w:r>
          </w:p>
        </w:tc>
        <w:tc>
          <w:tcPr>
            <w:tcW w:w="1275" w:type="dxa"/>
            <w:tcBorders>
              <w:top w:val="nil"/>
              <w:left w:val="nil"/>
              <w:bottom w:val="single" w:sz="4" w:space="0" w:color="auto"/>
              <w:right w:val="single" w:sz="4" w:space="0" w:color="auto"/>
            </w:tcBorders>
            <w:noWrap/>
            <w:vAlign w:val="bottom"/>
            <w:hideMark/>
          </w:tcPr>
          <w:p w14:paraId="457BECDA" w14:textId="27DD9718"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xml:space="preserve"> £</w:t>
            </w:r>
            <w:r w:rsidR="002E7301">
              <w:rPr>
                <w:rFonts w:ascii="Calibri" w:hAnsi="Calibri" w:cs="Calibri"/>
                <w:color w:val="000000"/>
                <w:kern w:val="0"/>
                <w:sz w:val="22"/>
                <w:szCs w:val="22"/>
              </w:rPr>
              <w:t xml:space="preserve"> </w:t>
            </w:r>
            <w:r w:rsidRPr="00B40498">
              <w:rPr>
                <w:rFonts w:ascii="Calibri" w:hAnsi="Calibri" w:cs="Calibri"/>
                <w:color w:val="000000"/>
                <w:kern w:val="0"/>
                <w:sz w:val="22"/>
                <w:szCs w:val="22"/>
              </w:rPr>
              <w:t xml:space="preserve">2,508 </w:t>
            </w:r>
          </w:p>
        </w:tc>
      </w:tr>
      <w:tr w:rsidR="00B40498" w:rsidRPr="00B40498" w14:paraId="6798F334" w14:textId="77777777" w:rsidTr="00B40498">
        <w:trPr>
          <w:trHeight w:val="300"/>
        </w:trPr>
        <w:tc>
          <w:tcPr>
            <w:tcW w:w="4673" w:type="dxa"/>
            <w:tcBorders>
              <w:top w:val="nil"/>
              <w:left w:val="single" w:sz="4" w:space="0" w:color="auto"/>
              <w:bottom w:val="single" w:sz="4" w:space="0" w:color="auto"/>
              <w:right w:val="single" w:sz="4" w:space="0" w:color="auto"/>
            </w:tcBorders>
            <w:noWrap/>
            <w:vAlign w:val="bottom"/>
            <w:hideMark/>
          </w:tcPr>
          <w:p w14:paraId="5BF1E709" w14:textId="77777777"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R&amp;D Capacity Building Account</w:t>
            </w:r>
          </w:p>
        </w:tc>
        <w:tc>
          <w:tcPr>
            <w:tcW w:w="1498" w:type="dxa"/>
            <w:tcBorders>
              <w:top w:val="nil"/>
              <w:left w:val="nil"/>
              <w:bottom w:val="single" w:sz="4" w:space="0" w:color="auto"/>
              <w:right w:val="single" w:sz="4" w:space="0" w:color="auto"/>
            </w:tcBorders>
            <w:noWrap/>
            <w:vAlign w:val="bottom"/>
            <w:hideMark/>
          </w:tcPr>
          <w:p w14:paraId="6A39272C" w14:textId="72475F52" w:rsidR="00B40498"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w:t>
            </w:r>
            <w:r>
              <w:rPr>
                <w:rFonts w:ascii="Calibri" w:hAnsi="Calibri" w:cs="Calibri"/>
                <w:color w:val="000000"/>
                <w:kern w:val="0"/>
                <w:sz w:val="22"/>
                <w:szCs w:val="22"/>
              </w:rPr>
              <w:t xml:space="preserve">£ </w:t>
            </w:r>
            <w:r w:rsidR="00B40498" w:rsidRPr="002E7301">
              <w:rPr>
                <w:rFonts w:ascii="Calibri" w:hAnsi="Calibri" w:cs="Calibri"/>
                <w:color w:val="000000"/>
                <w:kern w:val="0"/>
                <w:sz w:val="22"/>
                <w:szCs w:val="22"/>
              </w:rPr>
              <w:t xml:space="preserve">5,942 </w:t>
            </w:r>
          </w:p>
        </w:tc>
        <w:tc>
          <w:tcPr>
            <w:tcW w:w="1269" w:type="dxa"/>
            <w:tcBorders>
              <w:top w:val="nil"/>
              <w:left w:val="nil"/>
              <w:bottom w:val="single" w:sz="4" w:space="0" w:color="auto"/>
              <w:right w:val="single" w:sz="4" w:space="0" w:color="auto"/>
            </w:tcBorders>
            <w:noWrap/>
            <w:vAlign w:val="bottom"/>
            <w:hideMark/>
          </w:tcPr>
          <w:p w14:paraId="2DA0BA32" w14:textId="2282C1DF"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xml:space="preserve"> £ 108,283 </w:t>
            </w:r>
          </w:p>
        </w:tc>
        <w:tc>
          <w:tcPr>
            <w:tcW w:w="999" w:type="dxa"/>
            <w:tcBorders>
              <w:top w:val="nil"/>
              <w:left w:val="nil"/>
              <w:bottom w:val="single" w:sz="4" w:space="0" w:color="auto"/>
              <w:right w:val="single" w:sz="4" w:space="0" w:color="auto"/>
            </w:tcBorders>
            <w:noWrap/>
            <w:vAlign w:val="bottom"/>
            <w:hideMark/>
          </w:tcPr>
          <w:p w14:paraId="0A13E9A2" w14:textId="1B825790"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w:t>
            </w:r>
            <w:r w:rsidR="002E7301">
              <w:rPr>
                <w:rFonts w:ascii="Calibri" w:hAnsi="Calibri" w:cs="Calibri"/>
                <w:color w:val="000000"/>
                <w:kern w:val="0"/>
                <w:sz w:val="22"/>
                <w:szCs w:val="22"/>
              </w:rPr>
              <w:t>-</w:t>
            </w:r>
          </w:p>
        </w:tc>
        <w:tc>
          <w:tcPr>
            <w:tcW w:w="1275" w:type="dxa"/>
            <w:tcBorders>
              <w:top w:val="nil"/>
              <w:left w:val="nil"/>
              <w:bottom w:val="single" w:sz="4" w:space="0" w:color="auto"/>
              <w:right w:val="single" w:sz="4" w:space="0" w:color="auto"/>
            </w:tcBorders>
            <w:noWrap/>
            <w:vAlign w:val="bottom"/>
            <w:hideMark/>
          </w:tcPr>
          <w:p w14:paraId="38F69AAF" w14:textId="623C1762"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xml:space="preserve"> £ 114,224 </w:t>
            </w:r>
          </w:p>
        </w:tc>
      </w:tr>
      <w:tr w:rsidR="00B40498" w:rsidRPr="00B40498" w14:paraId="1822EA79" w14:textId="77777777" w:rsidTr="00B40498">
        <w:trPr>
          <w:trHeight w:val="300"/>
        </w:trPr>
        <w:tc>
          <w:tcPr>
            <w:tcW w:w="4673" w:type="dxa"/>
            <w:tcBorders>
              <w:top w:val="nil"/>
              <w:left w:val="single" w:sz="4" w:space="0" w:color="auto"/>
              <w:bottom w:val="single" w:sz="4" w:space="0" w:color="auto"/>
              <w:right w:val="single" w:sz="4" w:space="0" w:color="auto"/>
            </w:tcBorders>
            <w:noWrap/>
            <w:vAlign w:val="bottom"/>
            <w:hideMark/>
          </w:tcPr>
          <w:p w14:paraId="71B7049A" w14:textId="77777777"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Investigator Specialty Account</w:t>
            </w:r>
          </w:p>
        </w:tc>
        <w:tc>
          <w:tcPr>
            <w:tcW w:w="1498" w:type="dxa"/>
            <w:tcBorders>
              <w:top w:val="nil"/>
              <w:left w:val="nil"/>
              <w:bottom w:val="single" w:sz="4" w:space="0" w:color="auto"/>
              <w:right w:val="single" w:sz="4" w:space="0" w:color="auto"/>
            </w:tcBorders>
            <w:noWrap/>
            <w:vAlign w:val="bottom"/>
            <w:hideMark/>
          </w:tcPr>
          <w:p w14:paraId="15388BAC" w14:textId="1E7BF75A"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w:t>
            </w:r>
            <w:r w:rsidR="002E7301">
              <w:rPr>
                <w:rFonts w:ascii="Calibri" w:hAnsi="Calibri" w:cs="Calibri"/>
                <w:color w:val="000000"/>
                <w:kern w:val="0"/>
                <w:sz w:val="22"/>
                <w:szCs w:val="22"/>
              </w:rPr>
              <w:t>-</w:t>
            </w:r>
          </w:p>
        </w:tc>
        <w:tc>
          <w:tcPr>
            <w:tcW w:w="1269" w:type="dxa"/>
            <w:tcBorders>
              <w:top w:val="nil"/>
              <w:left w:val="nil"/>
              <w:bottom w:val="single" w:sz="4" w:space="0" w:color="auto"/>
              <w:right w:val="single" w:sz="4" w:space="0" w:color="auto"/>
            </w:tcBorders>
            <w:noWrap/>
            <w:vAlign w:val="bottom"/>
            <w:hideMark/>
          </w:tcPr>
          <w:p w14:paraId="3553058D" w14:textId="51A715FC"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xml:space="preserve"> £ 101,680 </w:t>
            </w:r>
          </w:p>
        </w:tc>
        <w:tc>
          <w:tcPr>
            <w:tcW w:w="999" w:type="dxa"/>
            <w:tcBorders>
              <w:top w:val="nil"/>
              <w:left w:val="nil"/>
              <w:bottom w:val="single" w:sz="4" w:space="0" w:color="auto"/>
              <w:right w:val="single" w:sz="4" w:space="0" w:color="auto"/>
            </w:tcBorders>
            <w:noWrap/>
            <w:vAlign w:val="bottom"/>
            <w:hideMark/>
          </w:tcPr>
          <w:p w14:paraId="4D08B150" w14:textId="7265FECF"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w:t>
            </w:r>
            <w:r w:rsidR="002E7301">
              <w:rPr>
                <w:rFonts w:ascii="Calibri" w:hAnsi="Calibri" w:cs="Calibri"/>
                <w:color w:val="000000"/>
                <w:kern w:val="0"/>
                <w:sz w:val="22"/>
                <w:szCs w:val="22"/>
              </w:rPr>
              <w:t>-</w:t>
            </w:r>
          </w:p>
        </w:tc>
        <w:tc>
          <w:tcPr>
            <w:tcW w:w="1275" w:type="dxa"/>
            <w:tcBorders>
              <w:top w:val="nil"/>
              <w:left w:val="nil"/>
              <w:bottom w:val="single" w:sz="4" w:space="0" w:color="auto"/>
              <w:right w:val="single" w:sz="4" w:space="0" w:color="auto"/>
            </w:tcBorders>
            <w:noWrap/>
            <w:vAlign w:val="bottom"/>
            <w:hideMark/>
          </w:tcPr>
          <w:p w14:paraId="618721A7" w14:textId="0097FFC7"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xml:space="preserve"> £ 101,680 </w:t>
            </w:r>
          </w:p>
        </w:tc>
      </w:tr>
      <w:tr w:rsidR="00B40498" w:rsidRPr="00B40498" w14:paraId="34C424BD" w14:textId="77777777" w:rsidTr="00B40498">
        <w:trPr>
          <w:trHeight w:val="300"/>
        </w:trPr>
        <w:tc>
          <w:tcPr>
            <w:tcW w:w="4673" w:type="dxa"/>
            <w:tcBorders>
              <w:top w:val="nil"/>
              <w:left w:val="single" w:sz="4" w:space="0" w:color="auto"/>
              <w:bottom w:val="single" w:sz="4" w:space="0" w:color="auto"/>
              <w:right w:val="single" w:sz="4" w:space="0" w:color="auto"/>
            </w:tcBorders>
            <w:noWrap/>
            <w:vAlign w:val="bottom"/>
            <w:hideMark/>
          </w:tcPr>
          <w:p w14:paraId="0E89DF87" w14:textId="77777777"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R&amp;D Overhead Account</w:t>
            </w:r>
          </w:p>
        </w:tc>
        <w:tc>
          <w:tcPr>
            <w:tcW w:w="1498" w:type="dxa"/>
            <w:tcBorders>
              <w:top w:val="nil"/>
              <w:left w:val="nil"/>
              <w:bottom w:val="single" w:sz="4" w:space="0" w:color="auto"/>
              <w:right w:val="single" w:sz="4" w:space="0" w:color="auto"/>
            </w:tcBorders>
            <w:noWrap/>
            <w:vAlign w:val="bottom"/>
            <w:hideMark/>
          </w:tcPr>
          <w:p w14:paraId="5A510107" w14:textId="14CD08C5"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w:t>
            </w:r>
            <w:r w:rsidR="002E7301">
              <w:rPr>
                <w:rFonts w:ascii="Calibri" w:hAnsi="Calibri" w:cs="Calibri"/>
                <w:color w:val="000000"/>
                <w:kern w:val="0"/>
                <w:sz w:val="22"/>
                <w:szCs w:val="22"/>
              </w:rPr>
              <w:t>-</w:t>
            </w:r>
          </w:p>
        </w:tc>
        <w:tc>
          <w:tcPr>
            <w:tcW w:w="1269" w:type="dxa"/>
            <w:tcBorders>
              <w:top w:val="nil"/>
              <w:left w:val="nil"/>
              <w:bottom w:val="single" w:sz="4" w:space="0" w:color="auto"/>
              <w:right w:val="single" w:sz="4" w:space="0" w:color="auto"/>
            </w:tcBorders>
            <w:noWrap/>
            <w:vAlign w:val="bottom"/>
            <w:hideMark/>
          </w:tcPr>
          <w:p w14:paraId="70A15237" w14:textId="3D6A8DDA"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xml:space="preserve"> £ 101,680 </w:t>
            </w:r>
          </w:p>
        </w:tc>
        <w:tc>
          <w:tcPr>
            <w:tcW w:w="999" w:type="dxa"/>
            <w:tcBorders>
              <w:top w:val="nil"/>
              <w:left w:val="nil"/>
              <w:bottom w:val="single" w:sz="4" w:space="0" w:color="auto"/>
              <w:right w:val="single" w:sz="4" w:space="0" w:color="auto"/>
            </w:tcBorders>
            <w:noWrap/>
            <w:vAlign w:val="bottom"/>
            <w:hideMark/>
          </w:tcPr>
          <w:p w14:paraId="77DBFEAA" w14:textId="4DED40B0"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w:t>
            </w:r>
            <w:r w:rsidR="002E7301">
              <w:rPr>
                <w:rFonts w:ascii="Calibri" w:hAnsi="Calibri" w:cs="Calibri"/>
                <w:color w:val="000000"/>
                <w:kern w:val="0"/>
                <w:sz w:val="22"/>
                <w:szCs w:val="22"/>
              </w:rPr>
              <w:t>-</w:t>
            </w:r>
          </w:p>
        </w:tc>
        <w:tc>
          <w:tcPr>
            <w:tcW w:w="1275" w:type="dxa"/>
            <w:tcBorders>
              <w:top w:val="nil"/>
              <w:left w:val="nil"/>
              <w:bottom w:val="single" w:sz="4" w:space="0" w:color="auto"/>
              <w:right w:val="single" w:sz="4" w:space="0" w:color="auto"/>
            </w:tcBorders>
            <w:noWrap/>
            <w:vAlign w:val="bottom"/>
            <w:hideMark/>
          </w:tcPr>
          <w:p w14:paraId="4DC5B52C" w14:textId="767EFC0A"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xml:space="preserve"> £ 101,680 </w:t>
            </w:r>
          </w:p>
        </w:tc>
      </w:tr>
      <w:tr w:rsidR="00B40498" w:rsidRPr="00B40498" w14:paraId="64A95D46" w14:textId="77777777" w:rsidTr="00B40498">
        <w:trPr>
          <w:trHeight w:val="300"/>
        </w:trPr>
        <w:tc>
          <w:tcPr>
            <w:tcW w:w="4673" w:type="dxa"/>
            <w:tcBorders>
              <w:top w:val="nil"/>
              <w:left w:val="single" w:sz="4" w:space="0" w:color="auto"/>
              <w:bottom w:val="single" w:sz="4" w:space="0" w:color="auto"/>
              <w:right w:val="single" w:sz="4" w:space="0" w:color="auto"/>
            </w:tcBorders>
            <w:noWrap/>
            <w:vAlign w:val="bottom"/>
            <w:hideMark/>
          </w:tcPr>
          <w:p w14:paraId="63C232A3" w14:textId="77777777"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Total</w:t>
            </w:r>
          </w:p>
        </w:tc>
        <w:tc>
          <w:tcPr>
            <w:tcW w:w="1498" w:type="dxa"/>
            <w:tcBorders>
              <w:top w:val="nil"/>
              <w:left w:val="nil"/>
              <w:bottom w:val="single" w:sz="4" w:space="0" w:color="auto"/>
              <w:right w:val="single" w:sz="4" w:space="0" w:color="auto"/>
            </w:tcBorders>
            <w:noWrap/>
            <w:vAlign w:val="bottom"/>
            <w:hideMark/>
          </w:tcPr>
          <w:p w14:paraId="2C1D7819" w14:textId="663E0BDA"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xml:space="preserve"> £ 25,164 </w:t>
            </w:r>
          </w:p>
        </w:tc>
        <w:tc>
          <w:tcPr>
            <w:tcW w:w="1269" w:type="dxa"/>
            <w:tcBorders>
              <w:top w:val="nil"/>
              <w:left w:val="nil"/>
              <w:bottom w:val="single" w:sz="4" w:space="0" w:color="auto"/>
              <w:right w:val="single" w:sz="4" w:space="0" w:color="auto"/>
            </w:tcBorders>
            <w:noWrap/>
            <w:vAlign w:val="bottom"/>
            <w:hideMark/>
          </w:tcPr>
          <w:p w14:paraId="01952B9B" w14:textId="3B4D07BD"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xml:space="preserve"> £</w:t>
            </w:r>
            <w:r w:rsidR="002E7301">
              <w:rPr>
                <w:rFonts w:ascii="Calibri" w:hAnsi="Calibri" w:cs="Calibri"/>
                <w:color w:val="000000"/>
                <w:kern w:val="0"/>
                <w:sz w:val="22"/>
                <w:szCs w:val="22"/>
              </w:rPr>
              <w:t xml:space="preserve"> </w:t>
            </w:r>
            <w:r w:rsidRPr="00B40498">
              <w:rPr>
                <w:rFonts w:ascii="Calibri" w:hAnsi="Calibri" w:cs="Calibri"/>
                <w:color w:val="000000"/>
                <w:kern w:val="0"/>
                <w:sz w:val="22"/>
                <w:szCs w:val="22"/>
              </w:rPr>
              <w:t xml:space="preserve">602,157 </w:t>
            </w:r>
          </w:p>
        </w:tc>
        <w:tc>
          <w:tcPr>
            <w:tcW w:w="999" w:type="dxa"/>
            <w:tcBorders>
              <w:top w:val="nil"/>
              <w:left w:val="nil"/>
              <w:bottom w:val="single" w:sz="4" w:space="0" w:color="auto"/>
              <w:right w:val="single" w:sz="4" w:space="0" w:color="auto"/>
            </w:tcBorders>
            <w:noWrap/>
            <w:vAlign w:val="bottom"/>
            <w:hideMark/>
          </w:tcPr>
          <w:p w14:paraId="52B68896" w14:textId="21D77296"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xml:space="preserve"> £ 2,508 </w:t>
            </w:r>
          </w:p>
        </w:tc>
        <w:tc>
          <w:tcPr>
            <w:tcW w:w="1275" w:type="dxa"/>
            <w:tcBorders>
              <w:top w:val="nil"/>
              <w:left w:val="nil"/>
              <w:bottom w:val="single" w:sz="4" w:space="0" w:color="auto"/>
              <w:right w:val="single" w:sz="4" w:space="0" w:color="auto"/>
            </w:tcBorders>
            <w:noWrap/>
            <w:vAlign w:val="bottom"/>
            <w:hideMark/>
          </w:tcPr>
          <w:p w14:paraId="3FA2D3EF" w14:textId="52F0AF39" w:rsidR="00B40498" w:rsidRPr="00B40498" w:rsidRDefault="00B40498" w:rsidP="00B40498">
            <w:pPr>
              <w:spacing w:after="0" w:line="240" w:lineRule="auto"/>
              <w:rPr>
                <w:rFonts w:ascii="Calibri" w:hAnsi="Calibri" w:cs="Calibri"/>
                <w:color w:val="000000"/>
                <w:kern w:val="0"/>
                <w:sz w:val="22"/>
                <w:szCs w:val="22"/>
              </w:rPr>
            </w:pPr>
            <w:r w:rsidRPr="00B40498">
              <w:rPr>
                <w:rFonts w:ascii="Calibri" w:hAnsi="Calibri" w:cs="Calibri"/>
                <w:color w:val="000000"/>
                <w:kern w:val="0"/>
                <w:sz w:val="22"/>
                <w:szCs w:val="22"/>
              </w:rPr>
              <w:t xml:space="preserve"> £ 629,829 </w:t>
            </w:r>
          </w:p>
        </w:tc>
      </w:tr>
    </w:tbl>
    <w:p w14:paraId="6FFD9FB6" w14:textId="39A9DB58" w:rsidR="00B25BDF" w:rsidRDefault="002E7301">
      <w:r>
        <w:br/>
        <w:t>Meanwhile under the historic convention, it would be split up as follows:</w:t>
      </w:r>
    </w:p>
    <w:tbl>
      <w:tblPr>
        <w:tblW w:w="9634" w:type="dxa"/>
        <w:tblLook w:val="04A0" w:firstRow="1" w:lastRow="0" w:firstColumn="1" w:lastColumn="0" w:noHBand="0" w:noVBand="1"/>
      </w:tblPr>
      <w:tblGrid>
        <w:gridCol w:w="3256"/>
        <w:gridCol w:w="1371"/>
        <w:gridCol w:w="1189"/>
        <w:gridCol w:w="983"/>
        <w:gridCol w:w="1276"/>
        <w:gridCol w:w="1676"/>
      </w:tblGrid>
      <w:tr w:rsidR="002E7301" w:rsidRPr="002E7301" w14:paraId="4FE28D51" w14:textId="77777777" w:rsidTr="002E7301">
        <w:trPr>
          <w:trHeight w:val="328"/>
        </w:trPr>
        <w:tc>
          <w:tcPr>
            <w:tcW w:w="3256" w:type="dxa"/>
            <w:tcBorders>
              <w:top w:val="single" w:sz="4" w:space="0" w:color="auto"/>
              <w:left w:val="single" w:sz="4" w:space="0" w:color="auto"/>
              <w:bottom w:val="single" w:sz="4" w:space="0" w:color="auto"/>
              <w:right w:val="single" w:sz="4" w:space="0" w:color="auto"/>
            </w:tcBorders>
            <w:noWrap/>
            <w:vAlign w:val="bottom"/>
            <w:hideMark/>
          </w:tcPr>
          <w:p w14:paraId="262D022A" w14:textId="77777777"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w:t>
            </w:r>
          </w:p>
        </w:tc>
        <w:tc>
          <w:tcPr>
            <w:tcW w:w="1371" w:type="dxa"/>
            <w:tcBorders>
              <w:top w:val="single" w:sz="4" w:space="0" w:color="auto"/>
              <w:left w:val="nil"/>
              <w:bottom w:val="single" w:sz="4" w:space="0" w:color="auto"/>
              <w:right w:val="single" w:sz="4" w:space="0" w:color="auto"/>
            </w:tcBorders>
            <w:noWrap/>
            <w:vAlign w:val="bottom"/>
            <w:hideMark/>
          </w:tcPr>
          <w:p w14:paraId="27B8CAF1" w14:textId="77777777"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Investigation</w:t>
            </w:r>
          </w:p>
        </w:tc>
        <w:tc>
          <w:tcPr>
            <w:tcW w:w="1189" w:type="dxa"/>
            <w:tcBorders>
              <w:top w:val="single" w:sz="4" w:space="0" w:color="auto"/>
              <w:left w:val="nil"/>
              <w:bottom w:val="single" w:sz="4" w:space="0" w:color="auto"/>
              <w:right w:val="single" w:sz="4" w:space="0" w:color="auto"/>
            </w:tcBorders>
            <w:noWrap/>
            <w:vAlign w:val="bottom"/>
            <w:hideMark/>
          </w:tcPr>
          <w:p w14:paraId="774E568A" w14:textId="77777777"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Procedural</w:t>
            </w:r>
          </w:p>
        </w:tc>
        <w:tc>
          <w:tcPr>
            <w:tcW w:w="983" w:type="dxa"/>
            <w:tcBorders>
              <w:top w:val="single" w:sz="4" w:space="0" w:color="auto"/>
              <w:left w:val="nil"/>
              <w:bottom w:val="single" w:sz="4" w:space="0" w:color="auto"/>
              <w:right w:val="single" w:sz="4" w:space="0" w:color="auto"/>
            </w:tcBorders>
            <w:noWrap/>
            <w:vAlign w:val="bottom"/>
            <w:hideMark/>
          </w:tcPr>
          <w:p w14:paraId="135AE7EB" w14:textId="77777777"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Other</w:t>
            </w:r>
          </w:p>
        </w:tc>
        <w:tc>
          <w:tcPr>
            <w:tcW w:w="1276" w:type="dxa"/>
            <w:tcBorders>
              <w:top w:val="single" w:sz="4" w:space="0" w:color="auto"/>
              <w:left w:val="nil"/>
              <w:bottom w:val="single" w:sz="4" w:space="0" w:color="auto"/>
              <w:right w:val="single" w:sz="4" w:space="0" w:color="auto"/>
            </w:tcBorders>
            <w:noWrap/>
            <w:vAlign w:val="bottom"/>
            <w:hideMark/>
          </w:tcPr>
          <w:p w14:paraId="217FD88C" w14:textId="77777777"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Total</w:t>
            </w:r>
          </w:p>
        </w:tc>
        <w:tc>
          <w:tcPr>
            <w:tcW w:w="1559" w:type="dxa"/>
            <w:tcBorders>
              <w:top w:val="single" w:sz="4" w:space="0" w:color="auto"/>
              <w:left w:val="nil"/>
              <w:bottom w:val="single" w:sz="4" w:space="0" w:color="auto"/>
              <w:right w:val="single" w:sz="4" w:space="0" w:color="auto"/>
            </w:tcBorders>
            <w:noWrap/>
            <w:vAlign w:val="bottom"/>
            <w:hideMark/>
          </w:tcPr>
          <w:p w14:paraId="40A332D9" w14:textId="1C485A9C"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Surplus/(Deficit) from New Allocation</w:t>
            </w:r>
          </w:p>
        </w:tc>
      </w:tr>
      <w:tr w:rsidR="002E7301" w:rsidRPr="002E7301" w14:paraId="5F7E58BF" w14:textId="77777777" w:rsidTr="002E7301">
        <w:trPr>
          <w:trHeight w:val="328"/>
        </w:trPr>
        <w:tc>
          <w:tcPr>
            <w:tcW w:w="3256" w:type="dxa"/>
            <w:tcBorders>
              <w:top w:val="nil"/>
              <w:left w:val="single" w:sz="4" w:space="0" w:color="auto"/>
              <w:bottom w:val="single" w:sz="4" w:space="0" w:color="auto"/>
              <w:right w:val="single" w:sz="4" w:space="0" w:color="auto"/>
            </w:tcBorders>
            <w:noWrap/>
            <w:vAlign w:val="bottom"/>
            <w:hideMark/>
          </w:tcPr>
          <w:p w14:paraId="41543823" w14:textId="77777777"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Research Activity Account (Procedural)</w:t>
            </w:r>
          </w:p>
        </w:tc>
        <w:tc>
          <w:tcPr>
            <w:tcW w:w="1371" w:type="dxa"/>
            <w:tcBorders>
              <w:top w:val="nil"/>
              <w:left w:val="nil"/>
              <w:bottom w:val="single" w:sz="4" w:space="0" w:color="auto"/>
              <w:right w:val="single" w:sz="4" w:space="0" w:color="auto"/>
            </w:tcBorders>
            <w:noWrap/>
            <w:vAlign w:val="bottom"/>
            <w:hideMark/>
          </w:tcPr>
          <w:p w14:paraId="56FA7D24" w14:textId="654F85E9"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w:t>
            </w:r>
            <w:r>
              <w:rPr>
                <w:rFonts w:ascii="Calibri" w:hAnsi="Calibri" w:cs="Calibri"/>
                <w:color w:val="000000"/>
                <w:kern w:val="0"/>
                <w:sz w:val="22"/>
                <w:szCs w:val="22"/>
              </w:rPr>
              <w:t>-</w:t>
            </w:r>
          </w:p>
        </w:tc>
        <w:tc>
          <w:tcPr>
            <w:tcW w:w="1189" w:type="dxa"/>
            <w:tcBorders>
              <w:top w:val="nil"/>
              <w:left w:val="nil"/>
              <w:bottom w:val="single" w:sz="4" w:space="0" w:color="auto"/>
              <w:right w:val="single" w:sz="4" w:space="0" w:color="auto"/>
            </w:tcBorders>
            <w:noWrap/>
            <w:vAlign w:val="bottom"/>
            <w:hideMark/>
          </w:tcPr>
          <w:p w14:paraId="629FB387" w14:textId="1325AEB0"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w:t>
            </w:r>
            <w:r>
              <w:rPr>
                <w:rFonts w:ascii="Calibri" w:hAnsi="Calibri" w:cs="Calibri"/>
                <w:color w:val="000000"/>
                <w:kern w:val="0"/>
                <w:sz w:val="22"/>
                <w:szCs w:val="22"/>
              </w:rPr>
              <w:t xml:space="preserve"> </w:t>
            </w:r>
            <w:r w:rsidRPr="002E7301">
              <w:rPr>
                <w:rFonts w:ascii="Calibri" w:hAnsi="Calibri" w:cs="Calibri"/>
                <w:color w:val="000000"/>
                <w:kern w:val="0"/>
                <w:sz w:val="22"/>
                <w:szCs w:val="22"/>
              </w:rPr>
              <w:t xml:space="preserve">200,719 </w:t>
            </w:r>
          </w:p>
        </w:tc>
        <w:tc>
          <w:tcPr>
            <w:tcW w:w="983" w:type="dxa"/>
            <w:tcBorders>
              <w:top w:val="nil"/>
              <w:left w:val="nil"/>
              <w:bottom w:val="single" w:sz="4" w:space="0" w:color="auto"/>
              <w:right w:val="single" w:sz="4" w:space="0" w:color="auto"/>
            </w:tcBorders>
            <w:noWrap/>
            <w:vAlign w:val="bottom"/>
            <w:hideMark/>
          </w:tcPr>
          <w:p w14:paraId="23B74000" w14:textId="0C868B38"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w:t>
            </w:r>
            <w:r>
              <w:rPr>
                <w:rFonts w:ascii="Calibri" w:hAnsi="Calibri" w:cs="Calibri"/>
                <w:color w:val="000000"/>
                <w:kern w:val="0"/>
                <w:sz w:val="22"/>
                <w:szCs w:val="22"/>
              </w:rPr>
              <w:t>-</w:t>
            </w:r>
          </w:p>
        </w:tc>
        <w:tc>
          <w:tcPr>
            <w:tcW w:w="1276" w:type="dxa"/>
            <w:tcBorders>
              <w:top w:val="nil"/>
              <w:left w:val="nil"/>
              <w:bottom w:val="single" w:sz="4" w:space="0" w:color="auto"/>
              <w:right w:val="single" w:sz="4" w:space="0" w:color="auto"/>
            </w:tcBorders>
            <w:noWrap/>
            <w:vAlign w:val="bottom"/>
            <w:hideMark/>
          </w:tcPr>
          <w:p w14:paraId="481F0070" w14:textId="209796C0"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£ 200,719 </w:t>
            </w:r>
          </w:p>
        </w:tc>
        <w:tc>
          <w:tcPr>
            <w:tcW w:w="1559" w:type="dxa"/>
            <w:tcBorders>
              <w:top w:val="nil"/>
              <w:left w:val="nil"/>
              <w:bottom w:val="single" w:sz="4" w:space="0" w:color="auto"/>
              <w:right w:val="single" w:sz="4" w:space="0" w:color="auto"/>
            </w:tcBorders>
            <w:noWrap/>
            <w:vAlign w:val="bottom"/>
            <w:hideMark/>
          </w:tcPr>
          <w:p w14:paraId="6860AA9E" w14:textId="3DA43751" w:rsidR="002E7301" w:rsidRPr="002E7301" w:rsidRDefault="000479C3" w:rsidP="002E7301">
            <w:pPr>
              <w:spacing w:after="0" w:line="240" w:lineRule="auto"/>
              <w:rPr>
                <w:rFonts w:ascii="Calibri" w:hAnsi="Calibri" w:cs="Calibri"/>
                <w:color w:val="000000"/>
                <w:kern w:val="0"/>
                <w:sz w:val="22"/>
                <w:szCs w:val="22"/>
              </w:rPr>
            </w:pPr>
            <w:r>
              <w:rPr>
                <w:rFonts w:ascii="Calibri" w:hAnsi="Calibri" w:cs="Calibri"/>
                <w:color w:val="000000"/>
                <w:kern w:val="0"/>
                <w:sz w:val="22"/>
                <w:szCs w:val="22"/>
              </w:rPr>
              <w:t>(</w:t>
            </w:r>
            <w:r w:rsidR="002E7301" w:rsidRPr="002E7301">
              <w:rPr>
                <w:rFonts w:ascii="Calibri" w:hAnsi="Calibri" w:cs="Calibri"/>
                <w:color w:val="000000"/>
                <w:kern w:val="0"/>
                <w:sz w:val="22"/>
                <w:szCs w:val="22"/>
              </w:rPr>
              <w:t>£ 89,795</w:t>
            </w:r>
            <w:r>
              <w:rPr>
                <w:rFonts w:ascii="Calibri" w:hAnsi="Calibri" w:cs="Calibri"/>
                <w:color w:val="000000"/>
                <w:kern w:val="0"/>
                <w:sz w:val="22"/>
                <w:szCs w:val="22"/>
              </w:rPr>
              <w:t>)</w:t>
            </w:r>
          </w:p>
        </w:tc>
      </w:tr>
      <w:tr w:rsidR="002E7301" w:rsidRPr="002E7301" w14:paraId="3D12D57E" w14:textId="77777777" w:rsidTr="002E7301">
        <w:trPr>
          <w:trHeight w:val="328"/>
        </w:trPr>
        <w:tc>
          <w:tcPr>
            <w:tcW w:w="3256" w:type="dxa"/>
            <w:tcBorders>
              <w:top w:val="nil"/>
              <w:left w:val="single" w:sz="4" w:space="0" w:color="auto"/>
              <w:bottom w:val="single" w:sz="4" w:space="0" w:color="auto"/>
              <w:right w:val="single" w:sz="4" w:space="0" w:color="auto"/>
            </w:tcBorders>
            <w:noWrap/>
            <w:vAlign w:val="bottom"/>
            <w:hideMark/>
          </w:tcPr>
          <w:p w14:paraId="0D1F8011" w14:textId="77777777"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Research Activity Account (Investigation)</w:t>
            </w:r>
          </w:p>
        </w:tc>
        <w:tc>
          <w:tcPr>
            <w:tcW w:w="1371" w:type="dxa"/>
            <w:tcBorders>
              <w:top w:val="nil"/>
              <w:left w:val="nil"/>
              <w:bottom w:val="single" w:sz="4" w:space="0" w:color="auto"/>
              <w:right w:val="single" w:sz="4" w:space="0" w:color="auto"/>
            </w:tcBorders>
            <w:noWrap/>
            <w:vAlign w:val="bottom"/>
            <w:hideMark/>
          </w:tcPr>
          <w:p w14:paraId="0C80B624" w14:textId="4661ED6B"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£ 20,970 </w:t>
            </w:r>
          </w:p>
        </w:tc>
        <w:tc>
          <w:tcPr>
            <w:tcW w:w="1189" w:type="dxa"/>
            <w:tcBorders>
              <w:top w:val="nil"/>
              <w:left w:val="nil"/>
              <w:bottom w:val="single" w:sz="4" w:space="0" w:color="auto"/>
              <w:right w:val="single" w:sz="4" w:space="0" w:color="auto"/>
            </w:tcBorders>
            <w:noWrap/>
            <w:vAlign w:val="bottom"/>
            <w:hideMark/>
          </w:tcPr>
          <w:p w14:paraId="40D82BC4" w14:textId="27AB6104"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w:t>
            </w:r>
            <w:r>
              <w:rPr>
                <w:rFonts w:ascii="Calibri" w:hAnsi="Calibri" w:cs="Calibri"/>
                <w:color w:val="000000"/>
                <w:kern w:val="0"/>
                <w:sz w:val="22"/>
                <w:szCs w:val="22"/>
              </w:rPr>
              <w:t>-</w:t>
            </w:r>
          </w:p>
        </w:tc>
        <w:tc>
          <w:tcPr>
            <w:tcW w:w="983" w:type="dxa"/>
            <w:tcBorders>
              <w:top w:val="nil"/>
              <w:left w:val="nil"/>
              <w:bottom w:val="single" w:sz="4" w:space="0" w:color="auto"/>
              <w:right w:val="single" w:sz="4" w:space="0" w:color="auto"/>
            </w:tcBorders>
            <w:noWrap/>
            <w:vAlign w:val="bottom"/>
            <w:hideMark/>
          </w:tcPr>
          <w:p w14:paraId="4013C9E2" w14:textId="02A845B3"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w:t>
            </w:r>
            <w:r>
              <w:rPr>
                <w:rFonts w:ascii="Calibri" w:hAnsi="Calibri" w:cs="Calibri"/>
                <w:color w:val="000000"/>
                <w:kern w:val="0"/>
                <w:sz w:val="22"/>
                <w:szCs w:val="22"/>
              </w:rPr>
              <w:t>-</w:t>
            </w:r>
          </w:p>
        </w:tc>
        <w:tc>
          <w:tcPr>
            <w:tcW w:w="1276" w:type="dxa"/>
            <w:tcBorders>
              <w:top w:val="nil"/>
              <w:left w:val="nil"/>
              <w:bottom w:val="single" w:sz="4" w:space="0" w:color="auto"/>
              <w:right w:val="single" w:sz="4" w:space="0" w:color="auto"/>
            </w:tcBorders>
            <w:noWrap/>
            <w:vAlign w:val="bottom"/>
            <w:hideMark/>
          </w:tcPr>
          <w:p w14:paraId="5234A81C" w14:textId="3B6978B8"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£ 20,970 </w:t>
            </w:r>
          </w:p>
        </w:tc>
        <w:tc>
          <w:tcPr>
            <w:tcW w:w="1559" w:type="dxa"/>
            <w:tcBorders>
              <w:top w:val="nil"/>
              <w:left w:val="nil"/>
              <w:bottom w:val="single" w:sz="4" w:space="0" w:color="auto"/>
              <w:right w:val="single" w:sz="4" w:space="0" w:color="auto"/>
            </w:tcBorders>
            <w:noWrap/>
            <w:vAlign w:val="bottom"/>
            <w:hideMark/>
          </w:tcPr>
          <w:p w14:paraId="49221F2D" w14:textId="6421F546"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w:t>
            </w:r>
            <w:r>
              <w:rPr>
                <w:rFonts w:ascii="Calibri" w:hAnsi="Calibri" w:cs="Calibri"/>
                <w:color w:val="000000"/>
                <w:kern w:val="0"/>
                <w:sz w:val="22"/>
                <w:szCs w:val="22"/>
              </w:rPr>
              <w:t xml:space="preserve"> </w:t>
            </w:r>
            <w:r w:rsidRPr="002E7301">
              <w:rPr>
                <w:rFonts w:ascii="Calibri" w:hAnsi="Calibri" w:cs="Calibri"/>
                <w:color w:val="000000"/>
                <w:kern w:val="0"/>
                <w:sz w:val="22"/>
                <w:szCs w:val="22"/>
              </w:rPr>
              <w:t xml:space="preserve">1,748 </w:t>
            </w:r>
          </w:p>
        </w:tc>
      </w:tr>
      <w:tr w:rsidR="002E7301" w:rsidRPr="002E7301" w14:paraId="2D78A244" w14:textId="77777777" w:rsidTr="002E7301">
        <w:trPr>
          <w:trHeight w:val="328"/>
        </w:trPr>
        <w:tc>
          <w:tcPr>
            <w:tcW w:w="3256" w:type="dxa"/>
            <w:tcBorders>
              <w:top w:val="nil"/>
              <w:left w:val="single" w:sz="4" w:space="0" w:color="auto"/>
              <w:bottom w:val="single" w:sz="4" w:space="0" w:color="auto"/>
              <w:right w:val="single" w:sz="4" w:space="0" w:color="auto"/>
            </w:tcBorders>
            <w:noWrap/>
            <w:vAlign w:val="bottom"/>
            <w:hideMark/>
          </w:tcPr>
          <w:p w14:paraId="16951BF1" w14:textId="77777777"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R&amp;D Office Cost Account</w:t>
            </w:r>
          </w:p>
        </w:tc>
        <w:tc>
          <w:tcPr>
            <w:tcW w:w="1371" w:type="dxa"/>
            <w:tcBorders>
              <w:top w:val="nil"/>
              <w:left w:val="nil"/>
              <w:bottom w:val="single" w:sz="4" w:space="0" w:color="auto"/>
              <w:right w:val="single" w:sz="4" w:space="0" w:color="auto"/>
            </w:tcBorders>
            <w:noWrap/>
            <w:vAlign w:val="bottom"/>
            <w:hideMark/>
          </w:tcPr>
          <w:p w14:paraId="715DA5DE" w14:textId="45D0B2BE"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£ 4,194 </w:t>
            </w:r>
          </w:p>
        </w:tc>
        <w:tc>
          <w:tcPr>
            <w:tcW w:w="1189" w:type="dxa"/>
            <w:tcBorders>
              <w:top w:val="nil"/>
              <w:left w:val="nil"/>
              <w:bottom w:val="single" w:sz="4" w:space="0" w:color="auto"/>
              <w:right w:val="single" w:sz="4" w:space="0" w:color="auto"/>
            </w:tcBorders>
            <w:noWrap/>
            <w:vAlign w:val="bottom"/>
            <w:hideMark/>
          </w:tcPr>
          <w:p w14:paraId="30B13421" w14:textId="7FE1D176"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£ 225,809 </w:t>
            </w:r>
          </w:p>
        </w:tc>
        <w:tc>
          <w:tcPr>
            <w:tcW w:w="983" w:type="dxa"/>
            <w:tcBorders>
              <w:top w:val="nil"/>
              <w:left w:val="nil"/>
              <w:bottom w:val="single" w:sz="4" w:space="0" w:color="auto"/>
              <w:right w:val="single" w:sz="4" w:space="0" w:color="auto"/>
            </w:tcBorders>
            <w:noWrap/>
            <w:vAlign w:val="bottom"/>
            <w:hideMark/>
          </w:tcPr>
          <w:p w14:paraId="1929A0D8" w14:textId="414016FB"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£ 2,508 </w:t>
            </w:r>
          </w:p>
        </w:tc>
        <w:tc>
          <w:tcPr>
            <w:tcW w:w="1276" w:type="dxa"/>
            <w:tcBorders>
              <w:top w:val="nil"/>
              <w:left w:val="nil"/>
              <w:bottom w:val="single" w:sz="4" w:space="0" w:color="auto"/>
              <w:right w:val="single" w:sz="4" w:space="0" w:color="auto"/>
            </w:tcBorders>
            <w:noWrap/>
            <w:vAlign w:val="bottom"/>
            <w:hideMark/>
          </w:tcPr>
          <w:p w14:paraId="6D0C438D" w14:textId="5848F82B"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£ 232,511 </w:t>
            </w:r>
          </w:p>
        </w:tc>
        <w:tc>
          <w:tcPr>
            <w:tcW w:w="1559" w:type="dxa"/>
            <w:tcBorders>
              <w:top w:val="nil"/>
              <w:left w:val="nil"/>
              <w:bottom w:val="single" w:sz="4" w:space="0" w:color="auto"/>
              <w:right w:val="single" w:sz="4" w:space="0" w:color="auto"/>
            </w:tcBorders>
            <w:noWrap/>
            <w:vAlign w:val="bottom"/>
            <w:hideMark/>
          </w:tcPr>
          <w:p w14:paraId="0A886433" w14:textId="05CB768B"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£ 115,778.76 </w:t>
            </w:r>
          </w:p>
        </w:tc>
      </w:tr>
      <w:tr w:rsidR="002E7301" w:rsidRPr="002E7301" w14:paraId="640D68F7" w14:textId="77777777" w:rsidTr="002E7301">
        <w:trPr>
          <w:trHeight w:val="328"/>
        </w:trPr>
        <w:tc>
          <w:tcPr>
            <w:tcW w:w="3256" w:type="dxa"/>
            <w:tcBorders>
              <w:top w:val="nil"/>
              <w:left w:val="single" w:sz="4" w:space="0" w:color="auto"/>
              <w:bottom w:val="single" w:sz="4" w:space="0" w:color="auto"/>
              <w:right w:val="single" w:sz="4" w:space="0" w:color="auto"/>
            </w:tcBorders>
            <w:noWrap/>
            <w:vAlign w:val="bottom"/>
            <w:hideMark/>
          </w:tcPr>
          <w:p w14:paraId="07F5C4DA" w14:textId="77777777"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PI Account</w:t>
            </w:r>
          </w:p>
        </w:tc>
        <w:tc>
          <w:tcPr>
            <w:tcW w:w="1371" w:type="dxa"/>
            <w:tcBorders>
              <w:top w:val="nil"/>
              <w:left w:val="nil"/>
              <w:bottom w:val="single" w:sz="4" w:space="0" w:color="auto"/>
              <w:right w:val="single" w:sz="4" w:space="0" w:color="auto"/>
            </w:tcBorders>
            <w:noWrap/>
            <w:vAlign w:val="bottom"/>
            <w:hideMark/>
          </w:tcPr>
          <w:p w14:paraId="7A8D90DF" w14:textId="3E47D8A8"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w:t>
            </w:r>
            <w:r>
              <w:rPr>
                <w:rFonts w:ascii="Calibri" w:hAnsi="Calibri" w:cs="Calibri"/>
                <w:color w:val="000000"/>
                <w:kern w:val="0"/>
                <w:sz w:val="22"/>
                <w:szCs w:val="22"/>
              </w:rPr>
              <w:t>-</w:t>
            </w:r>
          </w:p>
        </w:tc>
        <w:tc>
          <w:tcPr>
            <w:tcW w:w="1189" w:type="dxa"/>
            <w:tcBorders>
              <w:top w:val="nil"/>
              <w:left w:val="nil"/>
              <w:bottom w:val="single" w:sz="4" w:space="0" w:color="auto"/>
              <w:right w:val="single" w:sz="4" w:space="0" w:color="auto"/>
            </w:tcBorders>
            <w:noWrap/>
            <w:vAlign w:val="bottom"/>
            <w:hideMark/>
          </w:tcPr>
          <w:p w14:paraId="23FBA543" w14:textId="0F92E9D7"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£ 125,449 </w:t>
            </w:r>
          </w:p>
        </w:tc>
        <w:tc>
          <w:tcPr>
            <w:tcW w:w="983" w:type="dxa"/>
            <w:tcBorders>
              <w:top w:val="nil"/>
              <w:left w:val="nil"/>
              <w:bottom w:val="single" w:sz="4" w:space="0" w:color="auto"/>
              <w:right w:val="single" w:sz="4" w:space="0" w:color="auto"/>
            </w:tcBorders>
            <w:noWrap/>
            <w:vAlign w:val="bottom"/>
            <w:hideMark/>
          </w:tcPr>
          <w:p w14:paraId="07FFC4B3" w14:textId="6F289350"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w:t>
            </w:r>
            <w:r>
              <w:rPr>
                <w:rFonts w:ascii="Calibri" w:hAnsi="Calibri" w:cs="Calibri"/>
                <w:color w:val="000000"/>
                <w:kern w:val="0"/>
                <w:sz w:val="22"/>
                <w:szCs w:val="22"/>
              </w:rPr>
              <w:t>-</w:t>
            </w:r>
          </w:p>
        </w:tc>
        <w:tc>
          <w:tcPr>
            <w:tcW w:w="1276" w:type="dxa"/>
            <w:tcBorders>
              <w:top w:val="nil"/>
              <w:left w:val="nil"/>
              <w:bottom w:val="single" w:sz="4" w:space="0" w:color="auto"/>
              <w:right w:val="single" w:sz="4" w:space="0" w:color="auto"/>
            </w:tcBorders>
            <w:noWrap/>
            <w:vAlign w:val="bottom"/>
            <w:hideMark/>
          </w:tcPr>
          <w:p w14:paraId="7A29B3D5" w14:textId="026574D9"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£ 125,449 </w:t>
            </w:r>
          </w:p>
        </w:tc>
        <w:tc>
          <w:tcPr>
            <w:tcW w:w="1559" w:type="dxa"/>
            <w:tcBorders>
              <w:top w:val="nil"/>
              <w:left w:val="nil"/>
              <w:bottom w:val="single" w:sz="4" w:space="0" w:color="auto"/>
              <w:right w:val="single" w:sz="4" w:space="0" w:color="auto"/>
            </w:tcBorders>
            <w:noWrap/>
            <w:vAlign w:val="bottom"/>
            <w:hideMark/>
          </w:tcPr>
          <w:p w14:paraId="2CE4E40C" w14:textId="68A8B52F"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w:t>
            </w:r>
            <w:r>
              <w:rPr>
                <w:rFonts w:ascii="Calibri" w:hAnsi="Calibri" w:cs="Calibri"/>
                <w:color w:val="000000"/>
                <w:kern w:val="0"/>
                <w:sz w:val="22"/>
                <w:szCs w:val="22"/>
              </w:rPr>
              <w:t xml:space="preserve"> </w:t>
            </w:r>
            <w:r w:rsidRPr="002E7301">
              <w:rPr>
                <w:rFonts w:ascii="Calibri" w:hAnsi="Calibri" w:cs="Calibri"/>
                <w:color w:val="000000"/>
                <w:kern w:val="0"/>
                <w:sz w:val="22"/>
                <w:szCs w:val="22"/>
              </w:rPr>
              <w:t xml:space="preserve">23,769 </w:t>
            </w:r>
          </w:p>
        </w:tc>
      </w:tr>
      <w:tr w:rsidR="002E7301" w:rsidRPr="002E7301" w14:paraId="0462059D" w14:textId="77777777" w:rsidTr="002E7301">
        <w:trPr>
          <w:trHeight w:val="328"/>
        </w:trPr>
        <w:tc>
          <w:tcPr>
            <w:tcW w:w="3256" w:type="dxa"/>
            <w:tcBorders>
              <w:top w:val="nil"/>
              <w:left w:val="single" w:sz="4" w:space="0" w:color="auto"/>
              <w:bottom w:val="single" w:sz="4" w:space="0" w:color="auto"/>
              <w:right w:val="single" w:sz="4" w:space="0" w:color="auto"/>
            </w:tcBorders>
            <w:noWrap/>
            <w:vAlign w:val="bottom"/>
            <w:hideMark/>
          </w:tcPr>
          <w:p w14:paraId="7180A5F1" w14:textId="77777777"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Corporate Overhead / Research Facility Overhead</w:t>
            </w:r>
          </w:p>
        </w:tc>
        <w:tc>
          <w:tcPr>
            <w:tcW w:w="1371" w:type="dxa"/>
            <w:tcBorders>
              <w:top w:val="nil"/>
              <w:left w:val="nil"/>
              <w:bottom w:val="single" w:sz="4" w:space="0" w:color="auto"/>
              <w:right w:val="single" w:sz="4" w:space="0" w:color="auto"/>
            </w:tcBorders>
            <w:noWrap/>
            <w:vAlign w:val="bottom"/>
            <w:hideMark/>
          </w:tcPr>
          <w:p w14:paraId="6F6B0310" w14:textId="40635886"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w:t>
            </w:r>
            <w:r>
              <w:rPr>
                <w:rFonts w:ascii="Calibri" w:hAnsi="Calibri" w:cs="Calibri"/>
                <w:color w:val="000000"/>
                <w:kern w:val="0"/>
                <w:sz w:val="22"/>
                <w:szCs w:val="22"/>
              </w:rPr>
              <w:t>-</w:t>
            </w:r>
          </w:p>
        </w:tc>
        <w:tc>
          <w:tcPr>
            <w:tcW w:w="1189" w:type="dxa"/>
            <w:tcBorders>
              <w:top w:val="nil"/>
              <w:left w:val="nil"/>
              <w:bottom w:val="single" w:sz="4" w:space="0" w:color="auto"/>
              <w:right w:val="single" w:sz="4" w:space="0" w:color="auto"/>
            </w:tcBorders>
            <w:noWrap/>
            <w:vAlign w:val="bottom"/>
            <w:hideMark/>
          </w:tcPr>
          <w:p w14:paraId="77616808" w14:textId="73FEDBD6"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£ 50,180 </w:t>
            </w:r>
          </w:p>
        </w:tc>
        <w:tc>
          <w:tcPr>
            <w:tcW w:w="983" w:type="dxa"/>
            <w:tcBorders>
              <w:top w:val="nil"/>
              <w:left w:val="nil"/>
              <w:bottom w:val="single" w:sz="4" w:space="0" w:color="auto"/>
              <w:right w:val="single" w:sz="4" w:space="0" w:color="auto"/>
            </w:tcBorders>
            <w:noWrap/>
            <w:vAlign w:val="bottom"/>
            <w:hideMark/>
          </w:tcPr>
          <w:p w14:paraId="6EE0F869" w14:textId="6DE46CA3"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w:t>
            </w:r>
            <w:r>
              <w:rPr>
                <w:rFonts w:ascii="Calibri" w:hAnsi="Calibri" w:cs="Calibri"/>
                <w:color w:val="000000"/>
                <w:kern w:val="0"/>
                <w:sz w:val="22"/>
                <w:szCs w:val="22"/>
              </w:rPr>
              <w:t>-</w:t>
            </w:r>
          </w:p>
        </w:tc>
        <w:tc>
          <w:tcPr>
            <w:tcW w:w="1276" w:type="dxa"/>
            <w:tcBorders>
              <w:top w:val="nil"/>
              <w:left w:val="nil"/>
              <w:bottom w:val="single" w:sz="4" w:space="0" w:color="auto"/>
              <w:right w:val="single" w:sz="4" w:space="0" w:color="auto"/>
            </w:tcBorders>
            <w:noWrap/>
            <w:vAlign w:val="bottom"/>
            <w:hideMark/>
          </w:tcPr>
          <w:p w14:paraId="47A6B793" w14:textId="174722F1"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£ 50,180 </w:t>
            </w:r>
          </w:p>
        </w:tc>
        <w:tc>
          <w:tcPr>
            <w:tcW w:w="1559" w:type="dxa"/>
            <w:tcBorders>
              <w:top w:val="nil"/>
              <w:left w:val="nil"/>
              <w:bottom w:val="single" w:sz="4" w:space="0" w:color="auto"/>
              <w:right w:val="single" w:sz="4" w:space="0" w:color="auto"/>
            </w:tcBorders>
            <w:noWrap/>
            <w:vAlign w:val="bottom"/>
            <w:hideMark/>
          </w:tcPr>
          <w:p w14:paraId="61DD5DBD" w14:textId="03A8CCCD" w:rsidR="002E7301" w:rsidRPr="002E7301" w:rsidRDefault="002E7301" w:rsidP="002E7301">
            <w:pPr>
              <w:spacing w:after="0" w:line="240" w:lineRule="auto"/>
              <w:rPr>
                <w:rFonts w:ascii="Calibri" w:hAnsi="Calibri" w:cs="Calibri"/>
                <w:color w:val="000000"/>
                <w:kern w:val="0"/>
                <w:sz w:val="22"/>
                <w:szCs w:val="22"/>
              </w:rPr>
            </w:pPr>
            <w:r>
              <w:rPr>
                <w:rFonts w:ascii="Calibri" w:hAnsi="Calibri" w:cs="Calibri"/>
                <w:color w:val="000000"/>
                <w:kern w:val="0"/>
                <w:sz w:val="22"/>
                <w:szCs w:val="22"/>
              </w:rPr>
              <w:t>(</w:t>
            </w:r>
            <w:r w:rsidRPr="002E7301">
              <w:rPr>
                <w:rFonts w:ascii="Calibri" w:hAnsi="Calibri" w:cs="Calibri"/>
                <w:color w:val="000000"/>
                <w:kern w:val="0"/>
                <w:sz w:val="22"/>
                <w:szCs w:val="22"/>
              </w:rPr>
              <w:t>£ 51,500</w:t>
            </w:r>
            <w:r>
              <w:rPr>
                <w:rFonts w:ascii="Calibri" w:hAnsi="Calibri" w:cs="Calibri"/>
                <w:color w:val="000000"/>
                <w:kern w:val="0"/>
                <w:sz w:val="22"/>
                <w:szCs w:val="22"/>
              </w:rPr>
              <w:t>)</w:t>
            </w:r>
          </w:p>
        </w:tc>
      </w:tr>
      <w:tr w:rsidR="002E7301" w:rsidRPr="002E7301" w14:paraId="3AE60B60" w14:textId="77777777" w:rsidTr="002E7301">
        <w:trPr>
          <w:trHeight w:val="328"/>
        </w:trPr>
        <w:tc>
          <w:tcPr>
            <w:tcW w:w="3256" w:type="dxa"/>
            <w:tcBorders>
              <w:top w:val="nil"/>
              <w:left w:val="single" w:sz="4" w:space="0" w:color="auto"/>
              <w:bottom w:val="single" w:sz="4" w:space="0" w:color="auto"/>
              <w:right w:val="single" w:sz="4" w:space="0" w:color="auto"/>
            </w:tcBorders>
            <w:noWrap/>
            <w:vAlign w:val="bottom"/>
            <w:hideMark/>
          </w:tcPr>
          <w:p w14:paraId="3F7E055E" w14:textId="77777777"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Total</w:t>
            </w:r>
          </w:p>
        </w:tc>
        <w:tc>
          <w:tcPr>
            <w:tcW w:w="1371" w:type="dxa"/>
            <w:tcBorders>
              <w:top w:val="nil"/>
              <w:left w:val="nil"/>
              <w:bottom w:val="single" w:sz="4" w:space="0" w:color="auto"/>
              <w:right w:val="single" w:sz="4" w:space="0" w:color="auto"/>
            </w:tcBorders>
            <w:noWrap/>
            <w:vAlign w:val="bottom"/>
            <w:hideMark/>
          </w:tcPr>
          <w:p w14:paraId="60A0BCDD" w14:textId="0B7FC98A"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w:t>
            </w:r>
            <w:r>
              <w:rPr>
                <w:rFonts w:ascii="Calibri" w:hAnsi="Calibri" w:cs="Calibri"/>
                <w:color w:val="000000"/>
                <w:kern w:val="0"/>
                <w:sz w:val="22"/>
                <w:szCs w:val="22"/>
              </w:rPr>
              <w:t xml:space="preserve"> </w:t>
            </w:r>
            <w:r w:rsidRPr="002E7301">
              <w:rPr>
                <w:rFonts w:ascii="Calibri" w:hAnsi="Calibri" w:cs="Calibri"/>
                <w:color w:val="000000"/>
                <w:kern w:val="0"/>
                <w:sz w:val="22"/>
                <w:szCs w:val="22"/>
              </w:rPr>
              <w:t xml:space="preserve">25,164 </w:t>
            </w:r>
          </w:p>
        </w:tc>
        <w:tc>
          <w:tcPr>
            <w:tcW w:w="1189" w:type="dxa"/>
            <w:tcBorders>
              <w:top w:val="nil"/>
              <w:left w:val="nil"/>
              <w:bottom w:val="single" w:sz="4" w:space="0" w:color="auto"/>
              <w:right w:val="single" w:sz="4" w:space="0" w:color="auto"/>
            </w:tcBorders>
            <w:noWrap/>
            <w:vAlign w:val="bottom"/>
            <w:hideMark/>
          </w:tcPr>
          <w:p w14:paraId="117A62B3" w14:textId="47F3D749"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£ 602,157 </w:t>
            </w:r>
          </w:p>
        </w:tc>
        <w:tc>
          <w:tcPr>
            <w:tcW w:w="983" w:type="dxa"/>
            <w:tcBorders>
              <w:top w:val="nil"/>
              <w:left w:val="nil"/>
              <w:bottom w:val="single" w:sz="4" w:space="0" w:color="auto"/>
              <w:right w:val="single" w:sz="4" w:space="0" w:color="auto"/>
            </w:tcBorders>
            <w:noWrap/>
            <w:vAlign w:val="bottom"/>
            <w:hideMark/>
          </w:tcPr>
          <w:p w14:paraId="1F291C89" w14:textId="52BE698F"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£ 2,508 </w:t>
            </w:r>
          </w:p>
        </w:tc>
        <w:tc>
          <w:tcPr>
            <w:tcW w:w="1276" w:type="dxa"/>
            <w:tcBorders>
              <w:top w:val="nil"/>
              <w:left w:val="nil"/>
              <w:bottom w:val="single" w:sz="4" w:space="0" w:color="auto"/>
              <w:right w:val="single" w:sz="4" w:space="0" w:color="auto"/>
            </w:tcBorders>
            <w:noWrap/>
            <w:vAlign w:val="bottom"/>
            <w:hideMark/>
          </w:tcPr>
          <w:p w14:paraId="07386D65" w14:textId="1F1445F5"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£ 629,829 </w:t>
            </w:r>
          </w:p>
        </w:tc>
        <w:tc>
          <w:tcPr>
            <w:tcW w:w="1559" w:type="dxa"/>
            <w:tcBorders>
              <w:top w:val="nil"/>
              <w:left w:val="nil"/>
              <w:bottom w:val="single" w:sz="4" w:space="0" w:color="auto"/>
              <w:right w:val="single" w:sz="4" w:space="0" w:color="auto"/>
            </w:tcBorders>
            <w:noWrap/>
            <w:vAlign w:val="bottom"/>
            <w:hideMark/>
          </w:tcPr>
          <w:p w14:paraId="1AC962F5" w14:textId="4EEDC284" w:rsidR="002E7301" w:rsidRPr="002E7301" w:rsidRDefault="002E7301" w:rsidP="002E7301">
            <w:pPr>
              <w:spacing w:after="0" w:line="240" w:lineRule="auto"/>
              <w:rPr>
                <w:rFonts w:ascii="Calibri" w:hAnsi="Calibri" w:cs="Calibri"/>
                <w:color w:val="000000"/>
                <w:kern w:val="0"/>
                <w:sz w:val="22"/>
                <w:szCs w:val="22"/>
              </w:rPr>
            </w:pPr>
            <w:r w:rsidRPr="002E7301">
              <w:rPr>
                <w:rFonts w:ascii="Calibri" w:hAnsi="Calibri" w:cs="Calibri"/>
                <w:color w:val="000000"/>
                <w:kern w:val="0"/>
                <w:sz w:val="22"/>
                <w:szCs w:val="22"/>
              </w:rPr>
              <w:t xml:space="preserve"> -</w:t>
            </w:r>
          </w:p>
        </w:tc>
      </w:tr>
    </w:tbl>
    <w:p w14:paraId="096139F5" w14:textId="77777777" w:rsidR="002E7301" w:rsidRPr="005E7B16" w:rsidRDefault="002E7301"/>
    <w:p w14:paraId="3F6A3468" w14:textId="2B641F5B" w:rsidR="005F7050" w:rsidRPr="00863F82" w:rsidRDefault="005F7050">
      <w:pPr>
        <w:rPr>
          <w:b/>
          <w:bCs/>
          <w:sz w:val="28"/>
          <w:szCs w:val="28"/>
          <w:u w:val="single"/>
        </w:rPr>
      </w:pPr>
      <w:r w:rsidRPr="005E7B16">
        <w:rPr>
          <w:b/>
          <w:bCs/>
          <w:sz w:val="28"/>
          <w:szCs w:val="28"/>
          <w:u w:val="single"/>
        </w:rPr>
        <w:t xml:space="preserve">Appendix 2 – </w:t>
      </w:r>
      <w:r w:rsidR="005E7B16" w:rsidRPr="005E7B16">
        <w:rPr>
          <w:b/>
          <w:bCs/>
          <w:sz w:val="28"/>
          <w:szCs w:val="28"/>
          <w:u w:val="single"/>
        </w:rPr>
        <w:t>Adherence to the Financial Reporting Framework (</w:t>
      </w:r>
      <w:r w:rsidRPr="005E7B16">
        <w:rPr>
          <w:b/>
          <w:bCs/>
          <w:sz w:val="28"/>
          <w:szCs w:val="28"/>
          <w:u w:val="single"/>
        </w:rPr>
        <w:t xml:space="preserve">IFRS 15 </w:t>
      </w:r>
      <w:r w:rsidR="005D7E63">
        <w:rPr>
          <w:b/>
          <w:bCs/>
          <w:sz w:val="28"/>
          <w:szCs w:val="28"/>
          <w:u w:val="single"/>
        </w:rPr>
        <w:t>C</w:t>
      </w:r>
      <w:r w:rsidRPr="005E7B16">
        <w:rPr>
          <w:b/>
          <w:bCs/>
          <w:sz w:val="28"/>
          <w:szCs w:val="28"/>
          <w:u w:val="single"/>
        </w:rPr>
        <w:t>ompliance</w:t>
      </w:r>
      <w:r w:rsidR="005E7B16" w:rsidRPr="005E7B16">
        <w:rPr>
          <w:b/>
          <w:bCs/>
          <w:sz w:val="28"/>
          <w:szCs w:val="28"/>
          <w:u w:val="single"/>
        </w:rPr>
        <w:t>)</w:t>
      </w:r>
      <w:r w:rsidRPr="00863F82">
        <w:rPr>
          <w:b/>
          <w:bCs/>
          <w:sz w:val="28"/>
          <w:szCs w:val="28"/>
          <w:u w:val="single"/>
        </w:rPr>
        <w:t xml:space="preserve"> </w:t>
      </w:r>
    </w:p>
    <w:p w14:paraId="1E6C81D9" w14:textId="77777777" w:rsidR="00F12897" w:rsidRDefault="00F12897" w:rsidP="00F12897">
      <w:r>
        <w:t xml:space="preserve">IFRS 15 provides the following principles-based 5 step model to be applied to all contracts with customers. </w:t>
      </w:r>
    </w:p>
    <w:p w14:paraId="05534887" w14:textId="77777777" w:rsidR="00F12897" w:rsidRDefault="00F12897" w:rsidP="00F12897">
      <w:pPr>
        <w:numPr>
          <w:ilvl w:val="0"/>
          <w:numId w:val="9"/>
        </w:numPr>
        <w:spacing w:after="244" w:line="268" w:lineRule="auto"/>
        <w:ind w:hanging="360"/>
      </w:pPr>
      <w:r>
        <w:t xml:space="preserve">Identify the contract(s) with a customer. </w:t>
      </w:r>
    </w:p>
    <w:p w14:paraId="67121518" w14:textId="77777777" w:rsidR="00F12897" w:rsidRDefault="00F12897" w:rsidP="00F12897">
      <w:pPr>
        <w:numPr>
          <w:ilvl w:val="0"/>
          <w:numId w:val="9"/>
        </w:numPr>
        <w:spacing w:after="243" w:line="268" w:lineRule="auto"/>
        <w:ind w:hanging="360"/>
      </w:pPr>
      <w:r>
        <w:t xml:space="preserve">Identify the performance obligations in the contract. </w:t>
      </w:r>
    </w:p>
    <w:p w14:paraId="3BC02072" w14:textId="77777777" w:rsidR="00F12897" w:rsidRDefault="00F12897" w:rsidP="00F12897">
      <w:pPr>
        <w:numPr>
          <w:ilvl w:val="0"/>
          <w:numId w:val="9"/>
        </w:numPr>
        <w:spacing w:after="244" w:line="268" w:lineRule="auto"/>
        <w:ind w:hanging="360"/>
      </w:pPr>
      <w:r>
        <w:t xml:space="preserve">Determine the transaction price. </w:t>
      </w:r>
    </w:p>
    <w:p w14:paraId="54A99060" w14:textId="77777777" w:rsidR="00F12897" w:rsidRDefault="00F12897" w:rsidP="00F12897">
      <w:pPr>
        <w:numPr>
          <w:ilvl w:val="0"/>
          <w:numId w:val="9"/>
        </w:numPr>
        <w:spacing w:after="243" w:line="268" w:lineRule="auto"/>
        <w:ind w:hanging="360"/>
      </w:pPr>
      <w:r>
        <w:t xml:space="preserve">Allocate the transaction price to the performance obligations in the contract. </w:t>
      </w:r>
    </w:p>
    <w:p w14:paraId="0814A059" w14:textId="77777777" w:rsidR="00F12897" w:rsidRDefault="00F12897" w:rsidP="00F12897">
      <w:pPr>
        <w:numPr>
          <w:ilvl w:val="0"/>
          <w:numId w:val="9"/>
        </w:numPr>
        <w:spacing w:after="207" w:line="268" w:lineRule="auto"/>
        <w:ind w:hanging="360"/>
      </w:pPr>
      <w:r>
        <w:t xml:space="preserve">Recognise revenue when (or as) the entity satisfies a performance obligation. </w:t>
      </w:r>
    </w:p>
    <w:p w14:paraId="0D7257BD" w14:textId="77777777" w:rsidR="00F12897" w:rsidRDefault="00F12897" w:rsidP="00F12897">
      <w:r>
        <w:lastRenderedPageBreak/>
        <w:t xml:space="preserve">IFRS 15 should not be used as a mechanism to recognise income on a cost accounting basis. The income can be recognised as and when the performance obligations have been completed – for example, agreed research activities have been completed, or capacity related improvements have been achieved. At that point, the Health Board should determine an appropriate measure of progress to determine how much revenue should be recognised in accordance with IFRS 15. </w:t>
      </w:r>
    </w:p>
    <w:p w14:paraId="769C9718" w14:textId="77777777" w:rsidR="00F12897" w:rsidRDefault="00F12897" w:rsidP="00F12897">
      <w:r>
        <w:t xml:space="preserve">Income from the delivery of commercial contract studies covers the costs of undertaking the activities required and funds the building of the capacity and capability for further research in Cardiff and Vale UHB. </w:t>
      </w:r>
    </w:p>
    <w:p w14:paraId="705D5EB7" w14:textId="77777777" w:rsidR="00F12897" w:rsidRDefault="00F12897" w:rsidP="00F12897">
      <w:r>
        <w:t>Income recognition in statutory accounts in respect of commercial contract research must follow IFRS 15.  An NHS organisation has a contract to carry out obligations (the research and increasing research capacity) for a customer for an agreed price. Although Commercial research income is generally received in arrears to pay for activity already completed, it is 'recognised' once the performance obligations have been completed e.g. increasing capacity or ending the study.</w:t>
      </w:r>
    </w:p>
    <w:p w14:paraId="45AEAB3F" w14:textId="0AA5B4FF" w:rsidR="00FD7FB3" w:rsidRDefault="00F12897" w:rsidP="00F12897">
      <w:r>
        <w:t>The income should therefore be recognised as or when the Health Board fulfils the performance obligations, not when an invoice is issued. Funding for commercial contract research can therefore be deferred to future financial years where performance obligations remain outstanding at year-end.</w:t>
      </w:r>
    </w:p>
    <w:sectPr w:rsidR="00FD7FB3" w:rsidSect="00F353D8">
      <w:headerReference w:type="default" r:id="rId9"/>
      <w:pgSz w:w="12240" w:h="15840"/>
      <w:pgMar w:top="1440" w:right="1440" w:bottom="1440" w:left="1440" w:header="284"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442D56" w14:textId="77777777" w:rsidR="008573C0" w:rsidRDefault="008573C0" w:rsidP="008573C0">
      <w:pPr>
        <w:spacing w:after="0" w:line="240" w:lineRule="auto"/>
      </w:pPr>
      <w:r>
        <w:separator/>
      </w:r>
    </w:p>
  </w:endnote>
  <w:endnote w:type="continuationSeparator" w:id="0">
    <w:p w14:paraId="33C3D2DC" w14:textId="77777777" w:rsidR="008573C0" w:rsidRDefault="008573C0" w:rsidP="008573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711044" w14:textId="77777777" w:rsidR="008573C0" w:rsidRDefault="008573C0" w:rsidP="008573C0">
      <w:pPr>
        <w:spacing w:after="0" w:line="240" w:lineRule="auto"/>
      </w:pPr>
      <w:r>
        <w:separator/>
      </w:r>
    </w:p>
  </w:footnote>
  <w:footnote w:type="continuationSeparator" w:id="0">
    <w:p w14:paraId="5D73EFB9" w14:textId="77777777" w:rsidR="008573C0" w:rsidRDefault="008573C0" w:rsidP="008573C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9E01FB" w14:textId="456F8E66" w:rsidR="00F353D8" w:rsidRDefault="00F353D8" w:rsidP="00F353D8">
    <w:pPr>
      <w:pStyle w:val="Header"/>
      <w:jc w:val="right"/>
    </w:pPr>
    <w:r>
      <w:rPr>
        <w:noProof/>
      </w:rPr>
      <w:drawing>
        <wp:inline distT="0" distB="0" distL="0" distR="0" wp14:anchorId="63B6AA5B" wp14:editId="71B253F3">
          <wp:extent cx="2600325" cy="671757"/>
          <wp:effectExtent l="0" t="0" r="0" b="0"/>
          <wp:docPr id="577078232" name="Picture 1"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8817602" name="Picture 1" descr="A close-up of a logo&#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1182" cy="68231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FD0994"/>
    <w:multiLevelType w:val="hybridMultilevel"/>
    <w:tmpl w:val="18BAFB38"/>
    <w:lvl w:ilvl="0" w:tplc="2990E854">
      <w:start w:val="5"/>
      <w:numFmt w:val="bullet"/>
      <w:lvlText w:val="-"/>
      <w:lvlJc w:val="left"/>
      <w:pPr>
        <w:ind w:left="720" w:hanging="360"/>
      </w:pPr>
      <w:rPr>
        <w:rFonts w:ascii="Aptos" w:eastAsia="Times New Roman" w:hAnsi="Apto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A876B3"/>
    <w:multiLevelType w:val="hybridMultilevel"/>
    <w:tmpl w:val="47F037E6"/>
    <w:lvl w:ilvl="0" w:tplc="31387642">
      <w:numFmt w:val="bullet"/>
      <w:lvlText w:val="£"/>
      <w:lvlJc w:val="left"/>
      <w:pPr>
        <w:ind w:left="405" w:hanging="360"/>
      </w:pPr>
      <w:rPr>
        <w:rFonts w:ascii="Calibri" w:eastAsia="Times New Roman" w:hAnsi="Calibri" w:cs="Calibr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2" w15:restartNumberingAfterBreak="0">
    <w:nsid w:val="2585133B"/>
    <w:multiLevelType w:val="hybridMultilevel"/>
    <w:tmpl w:val="8B969AB0"/>
    <w:lvl w:ilvl="0" w:tplc="4C34BDEC">
      <w:start w:val="2"/>
      <w:numFmt w:val="bullet"/>
      <w:lvlText w:val="-"/>
      <w:lvlJc w:val="left"/>
      <w:pPr>
        <w:ind w:left="1080" w:hanging="360"/>
      </w:pPr>
      <w:rPr>
        <w:rFonts w:ascii="Aptos" w:eastAsia="Times New Roman" w:hAnsi="Aptos"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59A0B55"/>
    <w:multiLevelType w:val="hybridMultilevel"/>
    <w:tmpl w:val="9A74E450"/>
    <w:lvl w:ilvl="0" w:tplc="5BE0FE34">
      <w:start w:val="3"/>
      <w:numFmt w:val="bullet"/>
      <w:lvlText w:val="-"/>
      <w:lvlJc w:val="left"/>
      <w:pPr>
        <w:ind w:left="1080" w:hanging="360"/>
      </w:pPr>
      <w:rPr>
        <w:rFonts w:ascii="Aptos" w:eastAsia="Times New Roman" w:hAnsi="Aptos"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C0D7F3E"/>
    <w:multiLevelType w:val="hybridMultilevel"/>
    <w:tmpl w:val="88F46F38"/>
    <w:lvl w:ilvl="0" w:tplc="2990E854">
      <w:start w:val="1"/>
      <w:numFmt w:val="bullet"/>
      <w:lvlText w:val="-"/>
      <w:lvlJc w:val="left"/>
      <w:pPr>
        <w:ind w:left="720" w:hanging="360"/>
      </w:pPr>
      <w:rPr>
        <w:rFonts w:ascii="Aptos" w:eastAsia="Times New Roman" w:hAnsi="Apto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8FE0500"/>
    <w:multiLevelType w:val="hybridMultilevel"/>
    <w:tmpl w:val="89E8007A"/>
    <w:lvl w:ilvl="0" w:tplc="2990E854">
      <w:start w:val="1"/>
      <w:numFmt w:val="bullet"/>
      <w:lvlText w:val="-"/>
      <w:lvlJc w:val="left"/>
      <w:pPr>
        <w:ind w:left="720" w:hanging="360"/>
      </w:pPr>
      <w:rPr>
        <w:rFonts w:ascii="Aptos" w:eastAsia="Times New Roman" w:hAnsi="Apto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A2E5790"/>
    <w:multiLevelType w:val="multilevel"/>
    <w:tmpl w:val="F62239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714414A"/>
    <w:multiLevelType w:val="hybridMultilevel"/>
    <w:tmpl w:val="03FC5606"/>
    <w:lvl w:ilvl="0" w:tplc="98FC90B0">
      <w:start w:val="1"/>
      <w:numFmt w:val="decimal"/>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1DC214D0">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3380C40">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B407FB8">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950F212">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45A0F7A">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4A89F78">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4D4C31E">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F4AAA32">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6A621219"/>
    <w:multiLevelType w:val="hybridMultilevel"/>
    <w:tmpl w:val="6E563CE2"/>
    <w:lvl w:ilvl="0" w:tplc="0480F108">
      <w:start w:val="5"/>
      <w:numFmt w:val="bullet"/>
      <w:lvlText w:val="-"/>
      <w:lvlJc w:val="left"/>
      <w:pPr>
        <w:ind w:left="720" w:hanging="360"/>
      </w:pPr>
      <w:rPr>
        <w:rFonts w:ascii="Aptos" w:eastAsia="Times New Roman" w:hAnsi="Apto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95194440">
    <w:abstractNumId w:val="6"/>
  </w:num>
  <w:num w:numId="2" w16cid:durableId="2053722865">
    <w:abstractNumId w:val="2"/>
  </w:num>
  <w:num w:numId="3" w16cid:durableId="2042314256">
    <w:abstractNumId w:val="3"/>
  </w:num>
  <w:num w:numId="4" w16cid:durableId="63190456">
    <w:abstractNumId w:val="5"/>
  </w:num>
  <w:num w:numId="5" w16cid:durableId="1131217300">
    <w:abstractNumId w:val="4"/>
  </w:num>
  <w:num w:numId="6" w16cid:durableId="294259098">
    <w:abstractNumId w:val="0"/>
  </w:num>
  <w:num w:numId="7" w16cid:durableId="1076124164">
    <w:abstractNumId w:val="8"/>
  </w:num>
  <w:num w:numId="8" w16cid:durableId="187304176">
    <w:abstractNumId w:val="1"/>
  </w:num>
  <w:num w:numId="9" w16cid:durableId="44068897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6417"/>
    <w:rsid w:val="00013A04"/>
    <w:rsid w:val="00020031"/>
    <w:rsid w:val="00024E4D"/>
    <w:rsid w:val="00027C91"/>
    <w:rsid w:val="00037D72"/>
    <w:rsid w:val="000479C3"/>
    <w:rsid w:val="00062E1E"/>
    <w:rsid w:val="0006649B"/>
    <w:rsid w:val="00066DDF"/>
    <w:rsid w:val="00075322"/>
    <w:rsid w:val="00083F4E"/>
    <w:rsid w:val="0009015D"/>
    <w:rsid w:val="00093D1B"/>
    <w:rsid w:val="000B6167"/>
    <w:rsid w:val="000D0826"/>
    <w:rsid w:val="000F4401"/>
    <w:rsid w:val="000F7F5C"/>
    <w:rsid w:val="00103A51"/>
    <w:rsid w:val="00127573"/>
    <w:rsid w:val="00134F0E"/>
    <w:rsid w:val="00153314"/>
    <w:rsid w:val="00160858"/>
    <w:rsid w:val="00171DDB"/>
    <w:rsid w:val="00175EFE"/>
    <w:rsid w:val="001B3304"/>
    <w:rsid w:val="001E2BE7"/>
    <w:rsid w:val="001E32B7"/>
    <w:rsid w:val="00215F3A"/>
    <w:rsid w:val="00221018"/>
    <w:rsid w:val="00243AEE"/>
    <w:rsid w:val="00260F19"/>
    <w:rsid w:val="00262A14"/>
    <w:rsid w:val="00271800"/>
    <w:rsid w:val="002A2331"/>
    <w:rsid w:val="002E7301"/>
    <w:rsid w:val="002F5E1B"/>
    <w:rsid w:val="00300F0A"/>
    <w:rsid w:val="00317827"/>
    <w:rsid w:val="003236B2"/>
    <w:rsid w:val="003762F1"/>
    <w:rsid w:val="003B5E2B"/>
    <w:rsid w:val="003C18A8"/>
    <w:rsid w:val="003E598A"/>
    <w:rsid w:val="004130DA"/>
    <w:rsid w:val="00443DF0"/>
    <w:rsid w:val="00463F70"/>
    <w:rsid w:val="00475BF9"/>
    <w:rsid w:val="00475E92"/>
    <w:rsid w:val="00493C64"/>
    <w:rsid w:val="00495EB3"/>
    <w:rsid w:val="004A2BAA"/>
    <w:rsid w:val="004B00FE"/>
    <w:rsid w:val="004B29A8"/>
    <w:rsid w:val="004D356E"/>
    <w:rsid w:val="004E3A0B"/>
    <w:rsid w:val="005013C0"/>
    <w:rsid w:val="00504A49"/>
    <w:rsid w:val="005061DB"/>
    <w:rsid w:val="005204FE"/>
    <w:rsid w:val="00535441"/>
    <w:rsid w:val="00545F7E"/>
    <w:rsid w:val="00560DB7"/>
    <w:rsid w:val="00566206"/>
    <w:rsid w:val="00574162"/>
    <w:rsid w:val="00593DC2"/>
    <w:rsid w:val="005C6AF1"/>
    <w:rsid w:val="005D7E63"/>
    <w:rsid w:val="005E473B"/>
    <w:rsid w:val="005E7B16"/>
    <w:rsid w:val="005F7050"/>
    <w:rsid w:val="0062726B"/>
    <w:rsid w:val="00630C22"/>
    <w:rsid w:val="006562C5"/>
    <w:rsid w:val="00664A57"/>
    <w:rsid w:val="00675009"/>
    <w:rsid w:val="00676249"/>
    <w:rsid w:val="006B4946"/>
    <w:rsid w:val="00717DAA"/>
    <w:rsid w:val="007444B4"/>
    <w:rsid w:val="007655B1"/>
    <w:rsid w:val="00772DA5"/>
    <w:rsid w:val="00780323"/>
    <w:rsid w:val="007D61F6"/>
    <w:rsid w:val="00804AD1"/>
    <w:rsid w:val="00804B63"/>
    <w:rsid w:val="00811B2F"/>
    <w:rsid w:val="00817F83"/>
    <w:rsid w:val="008218D8"/>
    <w:rsid w:val="00832939"/>
    <w:rsid w:val="008410C2"/>
    <w:rsid w:val="008415A7"/>
    <w:rsid w:val="00854886"/>
    <w:rsid w:val="008573C0"/>
    <w:rsid w:val="00860D4E"/>
    <w:rsid w:val="00863F82"/>
    <w:rsid w:val="0088019C"/>
    <w:rsid w:val="00881B52"/>
    <w:rsid w:val="008922F6"/>
    <w:rsid w:val="00895D67"/>
    <w:rsid w:val="008B3485"/>
    <w:rsid w:val="008C40FD"/>
    <w:rsid w:val="008C4991"/>
    <w:rsid w:val="008E1C73"/>
    <w:rsid w:val="00912909"/>
    <w:rsid w:val="00920B95"/>
    <w:rsid w:val="00920C77"/>
    <w:rsid w:val="00921BC9"/>
    <w:rsid w:val="00930FA4"/>
    <w:rsid w:val="00950DA7"/>
    <w:rsid w:val="009527E3"/>
    <w:rsid w:val="00953600"/>
    <w:rsid w:val="0095625A"/>
    <w:rsid w:val="009567FA"/>
    <w:rsid w:val="00957801"/>
    <w:rsid w:val="00964FC3"/>
    <w:rsid w:val="00970E7A"/>
    <w:rsid w:val="00991FDF"/>
    <w:rsid w:val="00992962"/>
    <w:rsid w:val="00995B58"/>
    <w:rsid w:val="009C51A7"/>
    <w:rsid w:val="009D08D7"/>
    <w:rsid w:val="009D4CB3"/>
    <w:rsid w:val="00A004F5"/>
    <w:rsid w:val="00A00C62"/>
    <w:rsid w:val="00A15C77"/>
    <w:rsid w:val="00A3417D"/>
    <w:rsid w:val="00A34211"/>
    <w:rsid w:val="00A351BE"/>
    <w:rsid w:val="00A55360"/>
    <w:rsid w:val="00A6747F"/>
    <w:rsid w:val="00A82AAA"/>
    <w:rsid w:val="00A86C2F"/>
    <w:rsid w:val="00A93955"/>
    <w:rsid w:val="00AA3C2F"/>
    <w:rsid w:val="00AE35ED"/>
    <w:rsid w:val="00AE6D1D"/>
    <w:rsid w:val="00AF46C8"/>
    <w:rsid w:val="00B11EB7"/>
    <w:rsid w:val="00B16417"/>
    <w:rsid w:val="00B20CA4"/>
    <w:rsid w:val="00B21A90"/>
    <w:rsid w:val="00B2263D"/>
    <w:rsid w:val="00B23351"/>
    <w:rsid w:val="00B25BDF"/>
    <w:rsid w:val="00B3620D"/>
    <w:rsid w:val="00B40498"/>
    <w:rsid w:val="00B47857"/>
    <w:rsid w:val="00B8644A"/>
    <w:rsid w:val="00B95E47"/>
    <w:rsid w:val="00BA6D2C"/>
    <w:rsid w:val="00BD18CC"/>
    <w:rsid w:val="00BE2588"/>
    <w:rsid w:val="00C225E2"/>
    <w:rsid w:val="00C26CF2"/>
    <w:rsid w:val="00C73BAC"/>
    <w:rsid w:val="00C74D4A"/>
    <w:rsid w:val="00CC35D1"/>
    <w:rsid w:val="00CD1735"/>
    <w:rsid w:val="00CD29BF"/>
    <w:rsid w:val="00D02ED3"/>
    <w:rsid w:val="00D0795A"/>
    <w:rsid w:val="00D128A3"/>
    <w:rsid w:val="00D13E5F"/>
    <w:rsid w:val="00D20C8A"/>
    <w:rsid w:val="00D27C66"/>
    <w:rsid w:val="00D436B1"/>
    <w:rsid w:val="00D50835"/>
    <w:rsid w:val="00D60A0B"/>
    <w:rsid w:val="00D627B3"/>
    <w:rsid w:val="00D97884"/>
    <w:rsid w:val="00DA59BA"/>
    <w:rsid w:val="00DA66AE"/>
    <w:rsid w:val="00DC0F56"/>
    <w:rsid w:val="00DD1C6C"/>
    <w:rsid w:val="00DF533D"/>
    <w:rsid w:val="00E1242E"/>
    <w:rsid w:val="00E21176"/>
    <w:rsid w:val="00E21A93"/>
    <w:rsid w:val="00E246DC"/>
    <w:rsid w:val="00E350F7"/>
    <w:rsid w:val="00E425D7"/>
    <w:rsid w:val="00E43D31"/>
    <w:rsid w:val="00E67B70"/>
    <w:rsid w:val="00EA2B4B"/>
    <w:rsid w:val="00EA4541"/>
    <w:rsid w:val="00EB2890"/>
    <w:rsid w:val="00EB58A5"/>
    <w:rsid w:val="00EC30BC"/>
    <w:rsid w:val="00EC33D1"/>
    <w:rsid w:val="00EC5093"/>
    <w:rsid w:val="00EC7904"/>
    <w:rsid w:val="00ED45F5"/>
    <w:rsid w:val="00F12897"/>
    <w:rsid w:val="00F14192"/>
    <w:rsid w:val="00F179D9"/>
    <w:rsid w:val="00F353D8"/>
    <w:rsid w:val="00F41FD0"/>
    <w:rsid w:val="00F62B1D"/>
    <w:rsid w:val="00F6716C"/>
    <w:rsid w:val="00F77D94"/>
    <w:rsid w:val="00F8073B"/>
    <w:rsid w:val="00F80D11"/>
    <w:rsid w:val="00F80F18"/>
    <w:rsid w:val="00F81969"/>
    <w:rsid w:val="00FB7EBB"/>
    <w:rsid w:val="00FD2705"/>
    <w:rsid w:val="00FD7F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0F6A458B"/>
  <w14:defaultImageDpi w14:val="0"/>
  <w15:docId w15:val="{E925B37F-C8E3-438E-998A-4AC79190D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Times New Roman" w:hAnsi="Aptos" w:cs="Aptos"/>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1176"/>
    <w:pPr>
      <w:spacing w:after="160" w:line="278" w:lineRule="auto"/>
    </w:pPr>
    <w:rPr>
      <w:rFonts w:cs="Times New Roman"/>
      <w:kern w:val="2"/>
      <w:sz w:val="24"/>
      <w:szCs w:val="24"/>
    </w:rPr>
  </w:style>
  <w:style w:type="paragraph" w:styleId="Heading1">
    <w:name w:val="heading 1"/>
    <w:basedOn w:val="Normal"/>
    <w:next w:val="Normal"/>
    <w:link w:val="Heading1Char"/>
    <w:uiPriority w:val="9"/>
    <w:qFormat/>
    <w:rsid w:val="00B16417"/>
    <w:pPr>
      <w:keepNext/>
      <w:spacing w:before="240" w:after="60"/>
      <w:outlineLvl w:val="0"/>
    </w:pPr>
    <w:rPr>
      <w:rFonts w:ascii="Aptos Display" w:hAnsi="Aptos Display"/>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6417"/>
    <w:rPr>
      <w:rFonts w:ascii="Aptos Display" w:hAnsi="Aptos Display"/>
      <w:b/>
      <w:kern w:val="32"/>
      <w:sz w:val="32"/>
    </w:rPr>
  </w:style>
  <w:style w:type="paragraph" w:styleId="TOCHeading">
    <w:name w:val="TOC Heading"/>
    <w:basedOn w:val="Heading1"/>
    <w:next w:val="Normal"/>
    <w:uiPriority w:val="39"/>
    <w:unhideWhenUsed/>
    <w:qFormat/>
    <w:rsid w:val="00B16417"/>
    <w:pPr>
      <w:keepLines/>
      <w:spacing w:after="0" w:line="259" w:lineRule="auto"/>
      <w:outlineLvl w:val="9"/>
    </w:pPr>
    <w:rPr>
      <w:b w:val="0"/>
      <w:bCs w:val="0"/>
      <w:color w:val="0F4761"/>
      <w:kern w:val="0"/>
    </w:rPr>
  </w:style>
  <w:style w:type="paragraph" w:styleId="FootnoteText">
    <w:name w:val="footnote text"/>
    <w:basedOn w:val="Normal"/>
    <w:link w:val="FootnoteTextChar"/>
    <w:uiPriority w:val="99"/>
    <w:semiHidden/>
    <w:unhideWhenUsed/>
    <w:rsid w:val="008573C0"/>
    <w:rPr>
      <w:sz w:val="20"/>
      <w:szCs w:val="20"/>
    </w:rPr>
  </w:style>
  <w:style w:type="character" w:customStyle="1" w:styleId="FootnoteTextChar">
    <w:name w:val="Footnote Text Char"/>
    <w:basedOn w:val="DefaultParagraphFont"/>
    <w:link w:val="FootnoteText"/>
    <w:uiPriority w:val="99"/>
    <w:semiHidden/>
    <w:rsid w:val="008573C0"/>
    <w:rPr>
      <w:rFonts w:cs="Times New Roman"/>
      <w:kern w:val="2"/>
    </w:rPr>
  </w:style>
  <w:style w:type="character" w:styleId="FootnoteReference">
    <w:name w:val="footnote reference"/>
    <w:basedOn w:val="DefaultParagraphFont"/>
    <w:uiPriority w:val="99"/>
    <w:semiHidden/>
    <w:unhideWhenUsed/>
    <w:rsid w:val="008573C0"/>
    <w:rPr>
      <w:vertAlign w:val="superscript"/>
    </w:rPr>
  </w:style>
  <w:style w:type="character" w:styleId="Hyperlink">
    <w:name w:val="Hyperlink"/>
    <w:basedOn w:val="DefaultParagraphFont"/>
    <w:uiPriority w:val="99"/>
    <w:unhideWhenUsed/>
    <w:rsid w:val="008573C0"/>
    <w:rPr>
      <w:color w:val="467886" w:themeColor="hyperlink"/>
      <w:u w:val="single"/>
    </w:rPr>
  </w:style>
  <w:style w:type="character" w:styleId="UnresolvedMention">
    <w:name w:val="Unresolved Mention"/>
    <w:basedOn w:val="DefaultParagraphFont"/>
    <w:uiPriority w:val="99"/>
    <w:semiHidden/>
    <w:unhideWhenUsed/>
    <w:rsid w:val="008573C0"/>
    <w:rPr>
      <w:color w:val="605E5C"/>
      <w:shd w:val="clear" w:color="auto" w:fill="E1DFDD"/>
    </w:rPr>
  </w:style>
  <w:style w:type="character" w:styleId="FollowedHyperlink">
    <w:name w:val="FollowedHyperlink"/>
    <w:basedOn w:val="DefaultParagraphFont"/>
    <w:uiPriority w:val="99"/>
    <w:semiHidden/>
    <w:unhideWhenUsed/>
    <w:rsid w:val="008573C0"/>
    <w:rPr>
      <w:color w:val="96607D" w:themeColor="followedHyperlink"/>
      <w:u w:val="single"/>
    </w:rPr>
  </w:style>
  <w:style w:type="character" w:styleId="CommentReference">
    <w:name w:val="annotation reference"/>
    <w:basedOn w:val="DefaultParagraphFont"/>
    <w:uiPriority w:val="99"/>
    <w:semiHidden/>
    <w:unhideWhenUsed/>
    <w:rsid w:val="00B47857"/>
    <w:rPr>
      <w:sz w:val="16"/>
      <w:szCs w:val="16"/>
    </w:rPr>
  </w:style>
  <w:style w:type="paragraph" w:styleId="CommentText">
    <w:name w:val="annotation text"/>
    <w:basedOn w:val="Normal"/>
    <w:link w:val="CommentTextChar"/>
    <w:uiPriority w:val="99"/>
    <w:unhideWhenUsed/>
    <w:rsid w:val="00B47857"/>
    <w:rPr>
      <w:sz w:val="20"/>
      <w:szCs w:val="20"/>
    </w:rPr>
  </w:style>
  <w:style w:type="character" w:customStyle="1" w:styleId="CommentTextChar">
    <w:name w:val="Comment Text Char"/>
    <w:basedOn w:val="DefaultParagraphFont"/>
    <w:link w:val="CommentText"/>
    <w:uiPriority w:val="99"/>
    <w:rsid w:val="00B47857"/>
    <w:rPr>
      <w:rFonts w:cs="Times New Roman"/>
      <w:kern w:val="2"/>
    </w:rPr>
  </w:style>
  <w:style w:type="paragraph" w:styleId="CommentSubject">
    <w:name w:val="annotation subject"/>
    <w:basedOn w:val="CommentText"/>
    <w:next w:val="CommentText"/>
    <w:link w:val="CommentSubjectChar"/>
    <w:uiPriority w:val="99"/>
    <w:semiHidden/>
    <w:unhideWhenUsed/>
    <w:rsid w:val="00B47857"/>
    <w:rPr>
      <w:b/>
      <w:bCs/>
    </w:rPr>
  </w:style>
  <w:style w:type="character" w:customStyle="1" w:styleId="CommentSubjectChar">
    <w:name w:val="Comment Subject Char"/>
    <w:basedOn w:val="CommentTextChar"/>
    <w:link w:val="CommentSubject"/>
    <w:uiPriority w:val="99"/>
    <w:semiHidden/>
    <w:rsid w:val="00B47857"/>
    <w:rPr>
      <w:rFonts w:cs="Times New Roman"/>
      <w:b/>
      <w:bCs/>
      <w:kern w:val="2"/>
    </w:rPr>
  </w:style>
  <w:style w:type="paragraph" w:styleId="ListParagraph">
    <w:name w:val="List Paragraph"/>
    <w:basedOn w:val="Normal"/>
    <w:uiPriority w:val="34"/>
    <w:qFormat/>
    <w:rsid w:val="0006649B"/>
    <w:pPr>
      <w:ind w:left="720"/>
      <w:contextualSpacing/>
    </w:pPr>
  </w:style>
  <w:style w:type="table" w:styleId="TableGrid">
    <w:name w:val="Table Grid"/>
    <w:basedOn w:val="TableNormal"/>
    <w:uiPriority w:val="39"/>
    <w:rsid w:val="003236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353D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53D8"/>
    <w:rPr>
      <w:rFonts w:cs="Times New Roman"/>
      <w:kern w:val="2"/>
      <w:sz w:val="24"/>
      <w:szCs w:val="24"/>
    </w:rPr>
  </w:style>
  <w:style w:type="paragraph" w:styleId="Footer">
    <w:name w:val="footer"/>
    <w:basedOn w:val="Normal"/>
    <w:link w:val="FooterChar"/>
    <w:uiPriority w:val="99"/>
    <w:unhideWhenUsed/>
    <w:rsid w:val="00F353D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53D8"/>
    <w:rPr>
      <w:rFonts w:cs="Times New Roman"/>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10500">
      <w:bodyDiv w:val="1"/>
      <w:marLeft w:val="0"/>
      <w:marRight w:val="0"/>
      <w:marTop w:val="0"/>
      <w:marBottom w:val="0"/>
      <w:divBdr>
        <w:top w:val="none" w:sz="0" w:space="0" w:color="auto"/>
        <w:left w:val="none" w:sz="0" w:space="0" w:color="auto"/>
        <w:bottom w:val="none" w:sz="0" w:space="0" w:color="auto"/>
        <w:right w:val="none" w:sz="0" w:space="0" w:color="auto"/>
      </w:divBdr>
    </w:div>
    <w:div w:id="300884764">
      <w:bodyDiv w:val="1"/>
      <w:marLeft w:val="0"/>
      <w:marRight w:val="0"/>
      <w:marTop w:val="0"/>
      <w:marBottom w:val="0"/>
      <w:divBdr>
        <w:top w:val="none" w:sz="0" w:space="0" w:color="auto"/>
        <w:left w:val="none" w:sz="0" w:space="0" w:color="auto"/>
        <w:bottom w:val="none" w:sz="0" w:space="0" w:color="auto"/>
        <w:right w:val="none" w:sz="0" w:space="0" w:color="auto"/>
      </w:divBdr>
    </w:div>
    <w:div w:id="393041987">
      <w:bodyDiv w:val="1"/>
      <w:marLeft w:val="0"/>
      <w:marRight w:val="0"/>
      <w:marTop w:val="0"/>
      <w:marBottom w:val="0"/>
      <w:divBdr>
        <w:top w:val="none" w:sz="0" w:space="0" w:color="auto"/>
        <w:left w:val="none" w:sz="0" w:space="0" w:color="auto"/>
        <w:bottom w:val="none" w:sz="0" w:space="0" w:color="auto"/>
        <w:right w:val="none" w:sz="0" w:space="0" w:color="auto"/>
      </w:divBdr>
    </w:div>
    <w:div w:id="492259258">
      <w:bodyDiv w:val="1"/>
      <w:marLeft w:val="0"/>
      <w:marRight w:val="0"/>
      <w:marTop w:val="0"/>
      <w:marBottom w:val="0"/>
      <w:divBdr>
        <w:top w:val="none" w:sz="0" w:space="0" w:color="auto"/>
        <w:left w:val="none" w:sz="0" w:space="0" w:color="auto"/>
        <w:bottom w:val="none" w:sz="0" w:space="0" w:color="auto"/>
        <w:right w:val="none" w:sz="0" w:space="0" w:color="auto"/>
      </w:divBdr>
    </w:div>
    <w:div w:id="903224147">
      <w:bodyDiv w:val="1"/>
      <w:marLeft w:val="0"/>
      <w:marRight w:val="0"/>
      <w:marTop w:val="0"/>
      <w:marBottom w:val="0"/>
      <w:divBdr>
        <w:top w:val="none" w:sz="0" w:space="0" w:color="auto"/>
        <w:left w:val="none" w:sz="0" w:space="0" w:color="auto"/>
        <w:bottom w:val="none" w:sz="0" w:space="0" w:color="auto"/>
        <w:right w:val="none" w:sz="0" w:space="0" w:color="auto"/>
      </w:divBdr>
    </w:div>
    <w:div w:id="938561140">
      <w:bodyDiv w:val="1"/>
      <w:marLeft w:val="0"/>
      <w:marRight w:val="0"/>
      <w:marTop w:val="0"/>
      <w:marBottom w:val="0"/>
      <w:divBdr>
        <w:top w:val="none" w:sz="0" w:space="0" w:color="auto"/>
        <w:left w:val="none" w:sz="0" w:space="0" w:color="auto"/>
        <w:bottom w:val="none" w:sz="0" w:space="0" w:color="auto"/>
        <w:right w:val="none" w:sz="0" w:space="0" w:color="auto"/>
      </w:divBdr>
    </w:div>
    <w:div w:id="1471822053">
      <w:bodyDiv w:val="1"/>
      <w:marLeft w:val="0"/>
      <w:marRight w:val="0"/>
      <w:marTop w:val="0"/>
      <w:marBottom w:val="0"/>
      <w:divBdr>
        <w:top w:val="none" w:sz="0" w:space="0" w:color="auto"/>
        <w:left w:val="none" w:sz="0" w:space="0" w:color="auto"/>
        <w:bottom w:val="none" w:sz="0" w:space="0" w:color="auto"/>
        <w:right w:val="none" w:sz="0" w:space="0" w:color="auto"/>
      </w:divBdr>
    </w:div>
    <w:div w:id="1663267425">
      <w:bodyDiv w:val="1"/>
      <w:marLeft w:val="0"/>
      <w:marRight w:val="0"/>
      <w:marTop w:val="0"/>
      <w:marBottom w:val="0"/>
      <w:divBdr>
        <w:top w:val="none" w:sz="0" w:space="0" w:color="auto"/>
        <w:left w:val="none" w:sz="0" w:space="0" w:color="auto"/>
        <w:bottom w:val="none" w:sz="0" w:space="0" w:color="auto"/>
        <w:right w:val="none" w:sz="0" w:space="0" w:color="auto"/>
      </w:divBdr>
    </w:div>
    <w:div w:id="1774325506">
      <w:bodyDiv w:val="1"/>
      <w:marLeft w:val="0"/>
      <w:marRight w:val="0"/>
      <w:marTop w:val="0"/>
      <w:marBottom w:val="0"/>
      <w:divBdr>
        <w:top w:val="none" w:sz="0" w:space="0" w:color="auto"/>
        <w:left w:val="none" w:sz="0" w:space="0" w:color="auto"/>
        <w:bottom w:val="none" w:sz="0" w:space="0" w:color="auto"/>
        <w:right w:val="none" w:sz="0" w:space="0" w:color="auto"/>
      </w:divBdr>
    </w:div>
    <w:div w:id="1807121129">
      <w:bodyDiv w:val="1"/>
      <w:marLeft w:val="0"/>
      <w:marRight w:val="0"/>
      <w:marTop w:val="0"/>
      <w:marBottom w:val="0"/>
      <w:divBdr>
        <w:top w:val="none" w:sz="0" w:space="0" w:color="auto"/>
        <w:left w:val="none" w:sz="0" w:space="0" w:color="auto"/>
        <w:bottom w:val="none" w:sz="0" w:space="0" w:color="auto"/>
        <w:right w:val="none" w:sz="0" w:space="0" w:color="auto"/>
      </w:divBdr>
    </w:div>
    <w:div w:id="1851555357">
      <w:bodyDiv w:val="1"/>
      <w:marLeft w:val="0"/>
      <w:marRight w:val="0"/>
      <w:marTop w:val="0"/>
      <w:marBottom w:val="0"/>
      <w:divBdr>
        <w:top w:val="none" w:sz="0" w:space="0" w:color="auto"/>
        <w:left w:val="none" w:sz="0" w:space="0" w:color="auto"/>
        <w:bottom w:val="none" w:sz="0" w:space="0" w:color="auto"/>
        <w:right w:val="none" w:sz="0" w:space="0" w:color="auto"/>
      </w:divBdr>
    </w:div>
    <w:div w:id="1983388000">
      <w:bodyDiv w:val="1"/>
      <w:marLeft w:val="0"/>
      <w:marRight w:val="0"/>
      <w:marTop w:val="0"/>
      <w:marBottom w:val="0"/>
      <w:divBdr>
        <w:top w:val="none" w:sz="0" w:space="0" w:color="auto"/>
        <w:left w:val="none" w:sz="0" w:space="0" w:color="auto"/>
        <w:bottom w:val="none" w:sz="0" w:space="0" w:color="auto"/>
        <w:right w:val="none" w:sz="0" w:space="0" w:color="auto"/>
      </w:divBdr>
    </w:div>
    <w:div w:id="2046326800">
      <w:bodyDiv w:val="1"/>
      <w:marLeft w:val="0"/>
      <w:marRight w:val="0"/>
      <w:marTop w:val="0"/>
      <w:marBottom w:val="0"/>
      <w:divBdr>
        <w:top w:val="none" w:sz="0" w:space="0" w:color="auto"/>
        <w:left w:val="none" w:sz="0" w:space="0" w:color="auto"/>
        <w:bottom w:val="none" w:sz="0" w:space="0" w:color="auto"/>
        <w:right w:val="none" w:sz="0" w:space="0" w:color="auto"/>
      </w:divBdr>
    </w:div>
    <w:div w:id="2129617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ustomXml" Target="../customXml/item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RWMBVSRVUSRDT19\UserData$\Ro345659\Desktop\RYM%20Local\Finance%20Policy\v6\NOT%20FOR%20CIRC%20Graph%20for%20worked%20example.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GB" sz="1400" b="0" i="0" u="none" strike="noStrike" kern="1200" spc="0" baseline="0">
                <a:solidFill>
                  <a:sysClr val="windowText" lastClr="000000">
                    <a:lumMod val="65000"/>
                    <a:lumOff val="35000"/>
                  </a:sysClr>
                </a:solidFill>
              </a:rPr>
              <a:t>Commercial Income Distribution Comparison</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barChart>
        <c:barDir val="col"/>
        <c:grouping val="stacked"/>
        <c:varyColors val="0"/>
        <c:ser>
          <c:idx val="0"/>
          <c:order val="0"/>
          <c:tx>
            <c:strRef>
              <c:f>'v6.0'!$A$3</c:f>
              <c:strCache>
                <c:ptCount val="1"/>
                <c:pt idx="0">
                  <c:v>Research Activity Account</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'v6.0'!$B$1:$E$2</c:f>
              <c:multiLvlStrCache>
                <c:ptCount val="4"/>
                <c:lvl>
                  <c:pt idx="0">
                    <c:v>Old Policy</c:v>
                  </c:pt>
                  <c:pt idx="1">
                    <c:v>New Policy</c:v>
                  </c:pt>
                  <c:pt idx="2">
                    <c:v>Old Policy</c:v>
                  </c:pt>
                  <c:pt idx="3">
                    <c:v>New Policy</c:v>
                  </c:pt>
                </c:lvl>
                <c:lvl>
                  <c:pt idx="0">
                    <c:v>Procedural</c:v>
                  </c:pt>
                  <c:pt idx="2">
                    <c:v>Investigational</c:v>
                  </c:pt>
                </c:lvl>
              </c:multiLvlStrCache>
            </c:multiLvlStrRef>
          </c:cat>
          <c:val>
            <c:numRef>
              <c:f>'v6.0'!$B$3:$E$3</c:f>
              <c:numCache>
                <c:formatCode>_-"£"* #,##0_-;\-"£"* #,##0_-;_-"£"* "-"??_-;_-@_-</c:formatCode>
                <c:ptCount val="4"/>
                <c:pt idx="0">
                  <c:v>760</c:v>
                </c:pt>
                <c:pt idx="1">
                  <c:v>1100</c:v>
                </c:pt>
                <c:pt idx="2">
                  <c:v>1200</c:v>
                </c:pt>
                <c:pt idx="3">
                  <c:v>1100</c:v>
                </c:pt>
              </c:numCache>
            </c:numRef>
          </c:val>
          <c:extLst>
            <c:ext xmlns:c16="http://schemas.microsoft.com/office/drawing/2014/chart" uri="{C3380CC4-5D6E-409C-BE32-E72D297353CC}">
              <c16:uniqueId val="{00000000-4C5D-4DD4-BFE7-A1F22F0811F5}"/>
            </c:ext>
          </c:extLst>
        </c:ser>
        <c:ser>
          <c:idx val="1"/>
          <c:order val="1"/>
          <c:tx>
            <c:strRef>
              <c:f>'v6.0'!$A$4</c:f>
              <c:strCache>
                <c:ptCount val="1"/>
                <c:pt idx="0">
                  <c:v>R&amp;D Office / Capacity Building Account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'v6.0'!$B$1:$E$2</c:f>
              <c:multiLvlStrCache>
                <c:ptCount val="4"/>
                <c:lvl>
                  <c:pt idx="0">
                    <c:v>Old Policy</c:v>
                  </c:pt>
                  <c:pt idx="1">
                    <c:v>New Policy</c:v>
                  </c:pt>
                  <c:pt idx="2">
                    <c:v>Old Policy</c:v>
                  </c:pt>
                  <c:pt idx="3">
                    <c:v>New Policy</c:v>
                  </c:pt>
                </c:lvl>
                <c:lvl>
                  <c:pt idx="0">
                    <c:v>Procedural</c:v>
                  </c:pt>
                  <c:pt idx="2">
                    <c:v>Investigational</c:v>
                  </c:pt>
                </c:lvl>
              </c:multiLvlStrCache>
            </c:multiLvlStrRef>
          </c:cat>
          <c:val>
            <c:numRef>
              <c:f>'v6.0'!$B$4:$E$4</c:f>
              <c:numCache>
                <c:formatCode>_-"£"* #,##0_-;\-"£"* #,##0_-;_-"£"* "-"??_-;_-@_-</c:formatCode>
                <c:ptCount val="4"/>
                <c:pt idx="0">
                  <c:v>855</c:v>
                </c:pt>
                <c:pt idx="1">
                  <c:v>410</c:v>
                </c:pt>
                <c:pt idx="2">
                  <c:v>240</c:v>
                </c:pt>
                <c:pt idx="3">
                  <c:v>340</c:v>
                </c:pt>
              </c:numCache>
            </c:numRef>
          </c:val>
          <c:extLst>
            <c:ext xmlns:c16="http://schemas.microsoft.com/office/drawing/2014/chart" uri="{C3380CC4-5D6E-409C-BE32-E72D297353CC}">
              <c16:uniqueId val="{00000001-4C5D-4DD4-BFE7-A1F22F0811F5}"/>
            </c:ext>
          </c:extLst>
        </c:ser>
        <c:ser>
          <c:idx val="2"/>
          <c:order val="2"/>
          <c:tx>
            <c:strRef>
              <c:f>'v6.0'!$A$5</c:f>
              <c:strCache>
                <c:ptCount val="1"/>
                <c:pt idx="0">
                  <c:v>PI Account / Investigator Specialty Account</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'v6.0'!$B$1:$E$2</c:f>
              <c:multiLvlStrCache>
                <c:ptCount val="4"/>
                <c:lvl>
                  <c:pt idx="0">
                    <c:v>Old Policy</c:v>
                  </c:pt>
                  <c:pt idx="1">
                    <c:v>New Policy</c:v>
                  </c:pt>
                  <c:pt idx="2">
                    <c:v>Old Policy</c:v>
                  </c:pt>
                  <c:pt idx="3">
                    <c:v>New Policy</c:v>
                  </c:pt>
                </c:lvl>
                <c:lvl>
                  <c:pt idx="0">
                    <c:v>Procedural</c:v>
                  </c:pt>
                  <c:pt idx="2">
                    <c:v>Investigational</c:v>
                  </c:pt>
                </c:lvl>
              </c:multiLvlStrCache>
            </c:multiLvlStrRef>
          </c:cat>
          <c:val>
            <c:numRef>
              <c:f>'v6.0'!$B$5:$E$5</c:f>
              <c:numCache>
                <c:formatCode>_-"£"* #,##0_-;\-"£"* #,##0_-;_-"£"* "-"??_-;_-@_-</c:formatCode>
                <c:ptCount val="4"/>
                <c:pt idx="0">
                  <c:v>475</c:v>
                </c:pt>
                <c:pt idx="1">
                  <c:v>385.00000000000006</c:v>
                </c:pt>
              </c:numCache>
            </c:numRef>
          </c:val>
          <c:extLst>
            <c:ext xmlns:c16="http://schemas.microsoft.com/office/drawing/2014/chart" uri="{C3380CC4-5D6E-409C-BE32-E72D297353CC}">
              <c16:uniqueId val="{00000002-4C5D-4DD4-BFE7-A1F22F0811F5}"/>
            </c:ext>
          </c:extLst>
        </c:ser>
        <c:ser>
          <c:idx val="3"/>
          <c:order val="3"/>
          <c:tx>
            <c:strRef>
              <c:f>'v6.0'!$A$6</c:f>
              <c:strCache>
                <c:ptCount val="1"/>
                <c:pt idx="0">
                  <c:v>Overhead Allocation</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'v6.0'!$B$1:$E$2</c:f>
              <c:multiLvlStrCache>
                <c:ptCount val="4"/>
                <c:lvl>
                  <c:pt idx="0">
                    <c:v>Old Policy</c:v>
                  </c:pt>
                  <c:pt idx="1">
                    <c:v>New Policy</c:v>
                  </c:pt>
                  <c:pt idx="2">
                    <c:v>Old Policy</c:v>
                  </c:pt>
                  <c:pt idx="3">
                    <c:v>New Policy</c:v>
                  </c:pt>
                </c:lvl>
                <c:lvl>
                  <c:pt idx="0">
                    <c:v>Procedural</c:v>
                  </c:pt>
                  <c:pt idx="2">
                    <c:v>Investigational</c:v>
                  </c:pt>
                </c:lvl>
              </c:multiLvlStrCache>
            </c:multiLvlStrRef>
          </c:cat>
          <c:val>
            <c:numRef>
              <c:f>'v6.0'!$B$6:$E$6</c:f>
              <c:numCache>
                <c:formatCode>_-"£"* #,##0_-;\-"£"* #,##0_-;_-"£"* "-"??_-;_-@_-</c:formatCode>
                <c:ptCount val="4"/>
                <c:pt idx="0">
                  <c:v>190</c:v>
                </c:pt>
                <c:pt idx="1">
                  <c:v>385.00000000000006</c:v>
                </c:pt>
              </c:numCache>
            </c:numRef>
          </c:val>
          <c:extLst>
            <c:ext xmlns:c16="http://schemas.microsoft.com/office/drawing/2014/chart" uri="{C3380CC4-5D6E-409C-BE32-E72D297353CC}">
              <c16:uniqueId val="{00000003-4C5D-4DD4-BFE7-A1F22F0811F5}"/>
            </c:ext>
          </c:extLst>
        </c:ser>
        <c:dLbls>
          <c:dLblPos val="ctr"/>
          <c:showLegendKey val="0"/>
          <c:showVal val="1"/>
          <c:showCatName val="0"/>
          <c:showSerName val="0"/>
          <c:showPercent val="0"/>
          <c:showBubbleSize val="0"/>
        </c:dLbls>
        <c:gapWidth val="150"/>
        <c:overlap val="100"/>
        <c:axId val="222212832"/>
        <c:axId val="222216192"/>
      </c:barChart>
      <c:catAx>
        <c:axId val="222212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2216192"/>
        <c:crosses val="autoZero"/>
        <c:auto val="1"/>
        <c:lblAlgn val="ctr"/>
        <c:lblOffset val="100"/>
        <c:noMultiLvlLbl val="0"/>
      </c:catAx>
      <c:valAx>
        <c:axId val="222216192"/>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_-;\-&quot;£&quot;* #,##0_-;_-&quot;£&quot;*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22128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F155659F40148449CB3DBC893EB63ED" ma:contentTypeVersion="5" ma:contentTypeDescription="Create a new document." ma:contentTypeScope="" ma:versionID="7bb073aed97ff57f4e6b2ea1c253cc7d">
  <xsd:schema xmlns:xsd="http://www.w3.org/2001/XMLSchema" xmlns:xs="http://www.w3.org/2001/XMLSchema" xmlns:p="http://schemas.microsoft.com/office/2006/metadata/properties" xmlns:ns1="http://schemas.microsoft.com/sharepoint/v3" xmlns:ns2="0aa54b68-3a39-415f-92f6-33282bc58af9" targetNamespace="http://schemas.microsoft.com/office/2006/metadata/properties" ma:root="true" ma:fieldsID="7fca483d19d7a3c8565758bb0627440d" ns1:_="" ns2:_="">
    <xsd:import namespace="http://schemas.microsoft.com/sharepoint/v3"/>
    <xsd:import namespace="0aa54b68-3a39-415f-92f6-33282bc58af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1" nillable="true" ma:displayName="Unified Compliance Policy Properties" ma:hidden="true" ma:internalName="_ip_UnifiedCompliancePolicyProperties">
      <xsd:simpleType>
        <xsd:restriction base="dms:Note"/>
      </xsd:simpleType>
    </xsd:element>
    <xsd:element name="_ip_UnifiedCompliancePolicyUIAction" ma:index="1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aa54b68-3a39-415f-92f6-33282bc58a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AB5F316E-928B-48F3-8F3D-F6F2718410C2}">
  <ds:schemaRefs>
    <ds:schemaRef ds:uri="http://schemas.openxmlformats.org/officeDocument/2006/bibliography"/>
  </ds:schemaRefs>
</ds:datastoreItem>
</file>

<file path=customXml/itemProps2.xml><?xml version="1.0" encoding="utf-8"?>
<ds:datastoreItem xmlns:ds="http://schemas.openxmlformats.org/officeDocument/2006/customXml" ds:itemID="{D07C9B25-44EB-465B-B3E7-830CCB851A6E}"/>
</file>

<file path=customXml/itemProps3.xml><?xml version="1.0" encoding="utf-8"?>
<ds:datastoreItem xmlns:ds="http://schemas.openxmlformats.org/officeDocument/2006/customXml" ds:itemID="{3828C674-E928-4095-A644-C02E3899366C}"/>
</file>

<file path=customXml/itemProps4.xml><?xml version="1.0" encoding="utf-8"?>
<ds:datastoreItem xmlns:ds="http://schemas.openxmlformats.org/officeDocument/2006/customXml" ds:itemID="{9E33B756-F574-422C-B2B2-6C47FA018A38}"/>
</file>

<file path=docProps/app.xml><?xml version="1.0" encoding="utf-8"?>
<Properties xmlns="http://schemas.openxmlformats.org/officeDocument/2006/extended-properties" xmlns:vt="http://schemas.openxmlformats.org/officeDocument/2006/docPropsVTypes">
  <Template>Normal.dotm</Template>
  <TotalTime>8</TotalTime>
  <Pages>13</Pages>
  <Words>4138</Words>
  <Characters>22226</Characters>
  <Application>Microsoft Office Word</Application>
  <DocSecurity>0</DocSecurity>
  <Lines>529</Lines>
  <Paragraphs>313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Moffatt (Cardiff and Vale UHB - Research &amp; Development)</dc:creator>
  <cp:keywords/>
  <dc:description/>
  <cp:lastModifiedBy>Robert Moffatt (Cardiff and Vale UHB - Research &amp; Development)</cp:lastModifiedBy>
  <cp:revision>3</cp:revision>
  <cp:lastPrinted>2025-10-30T15:47:00Z</cp:lastPrinted>
  <dcterms:created xsi:type="dcterms:W3CDTF">2026-03-04T10:32:00Z</dcterms:created>
  <dcterms:modified xsi:type="dcterms:W3CDTF">2026-03-04T10:40:00Z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0x010100EF155659F40148449CB3DBC893EB63ED</vt:lpwstr>
  </property>
</Properties>
</file>