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C9630" w14:textId="3A0AA13A" w:rsidR="007C1765" w:rsidRDefault="007C1765" w:rsidP="007D636E">
      <w:pPr>
        <w:pStyle w:val="Title"/>
        <w:rPr>
          <w:color w:val="000000" w:themeColor="text1"/>
          <w:lang w:val="en-US"/>
        </w:rPr>
      </w:pPr>
    </w:p>
    <w:p w14:paraId="6555951F" w14:textId="64D13ED1" w:rsidR="007C1765" w:rsidRPr="00894D49" w:rsidRDefault="005D0E73" w:rsidP="00B02C87">
      <w:pPr>
        <w:pStyle w:val="Title"/>
        <w:rPr>
          <w:rFonts w:asciiTheme="minorHAnsi" w:hAnsiTheme="minorHAnsi"/>
          <w:color w:val="000000" w:themeColor="text1"/>
          <w:sz w:val="28"/>
          <w:szCs w:val="28"/>
          <w:lang w:val="en-US"/>
        </w:rPr>
      </w:pPr>
      <w:r w:rsidRPr="00894D49">
        <w:rPr>
          <w:rStyle w:val="Strong"/>
          <w:rFonts w:asciiTheme="minorHAnsi" w:hAnsiTheme="minorHAnsi"/>
          <w:b w:val="0"/>
          <w:bCs w:val="0"/>
        </w:rPr>
        <w:t>Cardiology</w:t>
      </w:r>
      <w:r w:rsidRPr="00894D49">
        <w:rPr>
          <w:rFonts w:asciiTheme="minorHAnsi" w:hAnsiTheme="minorHAnsi"/>
          <w:lang w:val="en-US"/>
        </w:rPr>
        <w:t xml:space="preserve"> Review</w:t>
      </w:r>
      <w:r w:rsidR="00DC0B32">
        <w:rPr>
          <w:rFonts w:asciiTheme="minorHAnsi" w:hAnsiTheme="minorHAnsi"/>
          <w:lang w:val="en-US"/>
        </w:rPr>
        <w:t xml:space="preserve">: </w:t>
      </w:r>
      <w:r w:rsidR="00B02C87" w:rsidRPr="00894D49">
        <w:rPr>
          <w:rFonts w:asciiTheme="minorHAnsi" w:hAnsiTheme="minorHAnsi"/>
          <w:lang w:val="en-US"/>
        </w:rPr>
        <w:t xml:space="preserve"> Improvement Plan </w:t>
      </w:r>
    </w:p>
    <w:p w14:paraId="2DCF1685" w14:textId="77777777" w:rsidR="00B02C87" w:rsidRPr="00894D49" w:rsidRDefault="00B02C87" w:rsidP="007C1765">
      <w:pPr>
        <w:jc w:val="both"/>
        <w:rPr>
          <w:b/>
          <w:color w:val="000000" w:themeColor="text1"/>
          <w:sz w:val="28"/>
          <w:szCs w:val="28"/>
          <w:lang w:val="en-US"/>
        </w:rPr>
      </w:pPr>
    </w:p>
    <w:p w14:paraId="1F46BAC7" w14:textId="2A9B95D0" w:rsidR="007C1765" w:rsidRPr="00894D49" w:rsidRDefault="007C1765" w:rsidP="007C1765">
      <w:pPr>
        <w:jc w:val="both"/>
        <w:rPr>
          <w:b/>
          <w:color w:val="000000" w:themeColor="text1"/>
          <w:sz w:val="28"/>
          <w:szCs w:val="28"/>
          <w:lang w:val="en-US"/>
        </w:rPr>
      </w:pPr>
      <w:r w:rsidRPr="00894D49">
        <w:rPr>
          <w:b/>
          <w:color w:val="000000" w:themeColor="text1"/>
          <w:sz w:val="28"/>
          <w:szCs w:val="28"/>
          <w:lang w:val="en-US"/>
        </w:rPr>
        <w:t xml:space="preserve">Version History: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5701"/>
      </w:tblGrid>
      <w:tr w:rsidR="007C1765" w:rsidRPr="00894D49" w14:paraId="6330345E" w14:textId="77777777" w:rsidTr="5CEEB3CE">
        <w:tc>
          <w:tcPr>
            <w:tcW w:w="3369" w:type="dxa"/>
          </w:tcPr>
          <w:p w14:paraId="77782913" w14:textId="77777777" w:rsidR="007C1765" w:rsidRPr="00894D49" w:rsidRDefault="007C1765">
            <w:pPr>
              <w:jc w:val="both"/>
              <w:rPr>
                <w:color w:val="000000" w:themeColor="text1"/>
                <w:sz w:val="28"/>
                <w:szCs w:val="28"/>
                <w:lang w:val="en-US"/>
              </w:rPr>
            </w:pPr>
            <w:r w:rsidRPr="00894D49">
              <w:rPr>
                <w:color w:val="000000" w:themeColor="text1"/>
                <w:sz w:val="28"/>
                <w:szCs w:val="28"/>
                <w:lang w:val="en-US"/>
              </w:rPr>
              <w:t>Date:</w:t>
            </w:r>
          </w:p>
        </w:tc>
        <w:tc>
          <w:tcPr>
            <w:tcW w:w="5701" w:type="dxa"/>
          </w:tcPr>
          <w:p w14:paraId="57CCB45D" w14:textId="4A3CA47B" w:rsidR="007C1765" w:rsidRPr="00894D49" w:rsidRDefault="003C56DC">
            <w:pPr>
              <w:jc w:val="both"/>
              <w:rPr>
                <w:color w:val="000000" w:themeColor="text1"/>
                <w:sz w:val="28"/>
                <w:szCs w:val="28"/>
                <w:lang w:val="en-US"/>
              </w:rPr>
            </w:pPr>
            <w:r>
              <w:rPr>
                <w:color w:val="000000" w:themeColor="text1"/>
                <w:sz w:val="28"/>
                <w:szCs w:val="28"/>
                <w:lang w:val="en-US"/>
              </w:rPr>
              <w:t>20</w:t>
            </w:r>
            <w:r w:rsidR="00AB2F01" w:rsidRPr="00894D49">
              <w:rPr>
                <w:color w:val="000000" w:themeColor="text1"/>
                <w:sz w:val="28"/>
                <w:szCs w:val="28"/>
                <w:vertAlign w:val="superscript"/>
                <w:lang w:val="en-US"/>
              </w:rPr>
              <w:t>th</w:t>
            </w:r>
            <w:r w:rsidR="00AB2F01" w:rsidRPr="00894D49">
              <w:rPr>
                <w:color w:val="000000" w:themeColor="text1"/>
                <w:sz w:val="28"/>
                <w:szCs w:val="28"/>
                <w:lang w:val="en-US"/>
              </w:rPr>
              <w:t xml:space="preserve"> May 2026</w:t>
            </w:r>
          </w:p>
        </w:tc>
      </w:tr>
      <w:tr w:rsidR="007C1765" w:rsidRPr="00894D49" w14:paraId="2D7751FA" w14:textId="77777777" w:rsidTr="5CEEB3CE">
        <w:tc>
          <w:tcPr>
            <w:tcW w:w="3369" w:type="dxa"/>
          </w:tcPr>
          <w:p w14:paraId="4B55D928" w14:textId="77777777" w:rsidR="007C1765" w:rsidRPr="00894D49" w:rsidRDefault="007C1765">
            <w:pPr>
              <w:rPr>
                <w:rFonts w:cs="Arial"/>
                <w:color w:val="000000" w:themeColor="text1"/>
                <w:sz w:val="28"/>
                <w:szCs w:val="28"/>
                <w:lang w:val="en-US" w:eastAsia="en-GB"/>
              </w:rPr>
            </w:pPr>
            <w:r w:rsidRPr="00894D49">
              <w:rPr>
                <w:rFonts w:cs="Arial"/>
                <w:color w:val="000000" w:themeColor="text1"/>
                <w:sz w:val="28"/>
                <w:szCs w:val="28"/>
                <w:lang w:val="en-US" w:eastAsia="en-GB"/>
              </w:rPr>
              <w:t>Author: </w:t>
            </w:r>
          </w:p>
        </w:tc>
        <w:tc>
          <w:tcPr>
            <w:tcW w:w="5701" w:type="dxa"/>
          </w:tcPr>
          <w:p w14:paraId="3778B9A9" w14:textId="68573E4A" w:rsidR="007C1765" w:rsidRPr="00894D49" w:rsidRDefault="006C37C3">
            <w:pPr>
              <w:rPr>
                <w:rFonts w:cs="Arial"/>
                <w:color w:val="000000" w:themeColor="text1"/>
                <w:sz w:val="28"/>
                <w:szCs w:val="28"/>
                <w:lang w:val="en-US" w:eastAsia="en-GB"/>
              </w:rPr>
            </w:pPr>
            <w:r w:rsidRPr="00894D49">
              <w:rPr>
                <w:rFonts w:cs="Arial"/>
                <w:color w:val="000000" w:themeColor="text1"/>
                <w:sz w:val="28"/>
                <w:szCs w:val="28"/>
                <w:lang w:val="en-US" w:eastAsia="en-GB"/>
              </w:rPr>
              <w:t xml:space="preserve">Cardiology </w:t>
            </w:r>
            <w:r w:rsidR="00F24224">
              <w:rPr>
                <w:rFonts w:cs="Arial"/>
                <w:color w:val="000000" w:themeColor="text1"/>
                <w:sz w:val="28"/>
                <w:szCs w:val="28"/>
                <w:lang w:val="en-US" w:eastAsia="en-GB"/>
              </w:rPr>
              <w:t>P</w:t>
            </w:r>
            <w:r w:rsidRPr="00894D49">
              <w:rPr>
                <w:rFonts w:cs="Arial"/>
                <w:color w:val="000000" w:themeColor="text1"/>
                <w:sz w:val="28"/>
                <w:szCs w:val="28"/>
                <w:lang w:val="en-US" w:eastAsia="en-GB"/>
              </w:rPr>
              <w:t xml:space="preserve">roject Team </w:t>
            </w:r>
          </w:p>
        </w:tc>
      </w:tr>
      <w:tr w:rsidR="007C1765" w:rsidRPr="00894D49" w14:paraId="7A050AC5" w14:textId="77777777" w:rsidTr="5CEEB3CE">
        <w:tc>
          <w:tcPr>
            <w:tcW w:w="3369" w:type="dxa"/>
          </w:tcPr>
          <w:p w14:paraId="5590A588" w14:textId="77777777" w:rsidR="007C1765" w:rsidRPr="00894D49" w:rsidRDefault="007C1765">
            <w:pPr>
              <w:rPr>
                <w:rFonts w:cs="Arial"/>
                <w:color w:val="000000" w:themeColor="text1"/>
                <w:sz w:val="28"/>
                <w:szCs w:val="28"/>
                <w:lang w:val="en-US" w:eastAsia="en-GB"/>
              </w:rPr>
            </w:pPr>
            <w:r w:rsidRPr="00894D49">
              <w:rPr>
                <w:rFonts w:cs="Arial"/>
                <w:color w:val="000000" w:themeColor="text1"/>
                <w:sz w:val="28"/>
                <w:szCs w:val="28"/>
                <w:lang w:val="en-US" w:eastAsia="en-GB"/>
              </w:rPr>
              <w:t>Project Exec / SRO: </w:t>
            </w:r>
          </w:p>
        </w:tc>
        <w:tc>
          <w:tcPr>
            <w:tcW w:w="5701" w:type="dxa"/>
          </w:tcPr>
          <w:p w14:paraId="292B37B6" w14:textId="7F0E5913" w:rsidR="007C1765" w:rsidRPr="00894D49" w:rsidRDefault="006D6E99">
            <w:pPr>
              <w:rPr>
                <w:rFonts w:cs="Arial"/>
                <w:color w:val="000000" w:themeColor="text1"/>
                <w:sz w:val="28"/>
                <w:szCs w:val="28"/>
                <w:lang w:val="en-US" w:eastAsia="en-GB"/>
              </w:rPr>
            </w:pPr>
            <w:r w:rsidRPr="00894D49">
              <w:rPr>
                <w:rFonts w:cs="Arial"/>
                <w:color w:val="000000" w:themeColor="text1"/>
                <w:sz w:val="28"/>
                <w:szCs w:val="28"/>
                <w:lang w:val="en-US" w:eastAsia="en-GB"/>
              </w:rPr>
              <w:t xml:space="preserve">Paul Bostock </w:t>
            </w:r>
          </w:p>
        </w:tc>
      </w:tr>
      <w:tr w:rsidR="007C1765" w:rsidRPr="00894D49" w14:paraId="20E73E55" w14:textId="77777777" w:rsidTr="5CEEB3CE">
        <w:tc>
          <w:tcPr>
            <w:tcW w:w="3369" w:type="dxa"/>
          </w:tcPr>
          <w:p w14:paraId="2E7B169D" w14:textId="77777777" w:rsidR="007C1765" w:rsidRPr="00894D49" w:rsidRDefault="007C1765">
            <w:pPr>
              <w:rPr>
                <w:rFonts w:cs="Arial"/>
                <w:color w:val="000000" w:themeColor="text1"/>
                <w:sz w:val="28"/>
                <w:szCs w:val="28"/>
                <w:lang w:val="en-US" w:eastAsia="en-GB"/>
              </w:rPr>
            </w:pPr>
            <w:r w:rsidRPr="00894D49">
              <w:rPr>
                <w:rFonts w:cs="Arial"/>
                <w:color w:val="000000" w:themeColor="text1"/>
                <w:sz w:val="28"/>
                <w:szCs w:val="28"/>
                <w:lang w:val="en-US" w:eastAsia="en-GB"/>
              </w:rPr>
              <w:t>Version No:</w:t>
            </w:r>
          </w:p>
        </w:tc>
        <w:tc>
          <w:tcPr>
            <w:tcW w:w="5701" w:type="dxa"/>
          </w:tcPr>
          <w:p w14:paraId="431F4001" w14:textId="07CFF079" w:rsidR="007C1765" w:rsidRPr="00894D49" w:rsidRDefault="006C37C3">
            <w:pPr>
              <w:rPr>
                <w:rFonts w:cs="Arial"/>
                <w:color w:val="000000" w:themeColor="text1"/>
                <w:sz w:val="28"/>
                <w:szCs w:val="28"/>
                <w:lang w:val="en-US" w:eastAsia="en-GB"/>
              </w:rPr>
            </w:pPr>
            <w:r w:rsidRPr="00894D49">
              <w:rPr>
                <w:rFonts w:cs="Arial"/>
                <w:color w:val="000000" w:themeColor="text1"/>
                <w:sz w:val="28"/>
                <w:szCs w:val="28"/>
                <w:lang w:val="en-US" w:eastAsia="en-GB"/>
              </w:rPr>
              <w:t>1.</w:t>
            </w:r>
            <w:r w:rsidR="003C56DC">
              <w:rPr>
                <w:rFonts w:cs="Arial"/>
                <w:color w:val="000000" w:themeColor="text1"/>
                <w:sz w:val="28"/>
                <w:szCs w:val="28"/>
                <w:lang w:val="en-US" w:eastAsia="en-GB"/>
              </w:rPr>
              <w:t>3</w:t>
            </w:r>
          </w:p>
        </w:tc>
      </w:tr>
      <w:tr w:rsidR="007C1765" w:rsidRPr="00894D49" w14:paraId="2D42478C" w14:textId="77777777" w:rsidTr="5CEEB3CE">
        <w:trPr>
          <w:trHeight w:val="345"/>
        </w:trPr>
        <w:tc>
          <w:tcPr>
            <w:tcW w:w="3369" w:type="dxa"/>
          </w:tcPr>
          <w:p w14:paraId="624EFFCB" w14:textId="77777777" w:rsidR="007C1765" w:rsidRPr="00894D49" w:rsidRDefault="007C1765">
            <w:pPr>
              <w:rPr>
                <w:rFonts w:cs="Arial"/>
                <w:color w:val="000000" w:themeColor="text1"/>
                <w:sz w:val="28"/>
                <w:szCs w:val="28"/>
                <w:lang w:val="en-US" w:eastAsia="en-GB"/>
              </w:rPr>
            </w:pPr>
            <w:r w:rsidRPr="00894D49">
              <w:rPr>
                <w:rFonts w:cs="Arial"/>
                <w:color w:val="000000" w:themeColor="text1"/>
                <w:sz w:val="28"/>
                <w:szCs w:val="28"/>
                <w:lang w:val="en-US" w:eastAsia="en-GB"/>
              </w:rPr>
              <w:t>Status:                            </w:t>
            </w:r>
          </w:p>
        </w:tc>
        <w:tc>
          <w:tcPr>
            <w:tcW w:w="5701" w:type="dxa"/>
          </w:tcPr>
          <w:p w14:paraId="0BB80270" w14:textId="47683C18" w:rsidR="007C1765" w:rsidRPr="00894D49" w:rsidRDefault="006D6E99" w:rsidP="5CEEB3CE">
            <w:pPr>
              <w:rPr>
                <w:sz w:val="28"/>
                <w:szCs w:val="28"/>
              </w:rPr>
            </w:pPr>
            <w:r w:rsidRPr="00894D49">
              <w:rPr>
                <w:sz w:val="28"/>
                <w:szCs w:val="28"/>
              </w:rPr>
              <w:t xml:space="preserve"> </w:t>
            </w:r>
            <w:r w:rsidR="00894D49">
              <w:rPr>
                <w:sz w:val="28"/>
                <w:szCs w:val="28"/>
              </w:rPr>
              <w:t>Issued</w:t>
            </w:r>
          </w:p>
        </w:tc>
      </w:tr>
    </w:tbl>
    <w:p w14:paraId="03309A99" w14:textId="77777777" w:rsidR="007C1765" w:rsidRPr="00894D49" w:rsidRDefault="007C1765" w:rsidP="007C1765">
      <w:pPr>
        <w:rPr>
          <w:lang w:val="en-US"/>
        </w:rPr>
      </w:pPr>
    </w:p>
    <w:p w14:paraId="2797C952" w14:textId="34161DB9" w:rsidR="007C1765" w:rsidRDefault="007C1765"/>
    <w:p w14:paraId="57F6E5F7" w14:textId="77777777" w:rsidR="007C1765" w:rsidRDefault="007C1765"/>
    <w:p w14:paraId="17127C0A" w14:textId="77777777" w:rsidR="007C1765" w:rsidRDefault="007C1765"/>
    <w:p w14:paraId="19A09091" w14:textId="6792EDC0" w:rsidR="36BD7D1B" w:rsidRDefault="36BD7D1B"/>
    <w:p w14:paraId="0EC9686B" w14:textId="482960A7" w:rsidR="7CCB5F8A" w:rsidRDefault="7CCB5F8A"/>
    <w:p w14:paraId="25F6EDBD" w14:textId="52308596" w:rsidR="36BD7D1B" w:rsidRDefault="36BD7D1B"/>
    <w:p w14:paraId="6888B6F7" w14:textId="77777777" w:rsidR="001D32C6" w:rsidRDefault="001D32C6"/>
    <w:p w14:paraId="5FF9C06C" w14:textId="16FE41E6" w:rsidR="6CA4F3A0" w:rsidRDefault="6CA4F3A0" w:rsidP="6CA4F3A0">
      <w:pPr>
        <w:spacing w:after="0" w:line="240" w:lineRule="auto"/>
        <w:rPr>
          <w:b/>
          <w:bCs/>
        </w:rPr>
      </w:pPr>
    </w:p>
    <w:p w14:paraId="510E9B54" w14:textId="35E7249A" w:rsidR="6CA4F3A0" w:rsidRDefault="6CA4F3A0" w:rsidP="6CA4F3A0">
      <w:pPr>
        <w:spacing w:after="0" w:line="240" w:lineRule="auto"/>
        <w:rPr>
          <w:b/>
          <w:bCs/>
        </w:rPr>
      </w:pPr>
    </w:p>
    <w:p w14:paraId="579798E5" w14:textId="156ADA2E" w:rsidR="667DEC86" w:rsidRPr="008514A1" w:rsidRDefault="00E60D10" w:rsidP="00CF1176">
      <w:pPr>
        <w:spacing w:after="0" w:line="240" w:lineRule="auto"/>
        <w:rPr>
          <w:b/>
          <w:bCs/>
          <w:sz w:val="24"/>
          <w:szCs w:val="24"/>
        </w:rPr>
      </w:pPr>
      <w:r w:rsidRPr="008514A1">
        <w:rPr>
          <w:b/>
          <w:bCs/>
          <w:sz w:val="24"/>
          <w:szCs w:val="24"/>
        </w:rPr>
        <w:t xml:space="preserve">Cardiology Executive Summary </w:t>
      </w:r>
    </w:p>
    <w:p w14:paraId="7D62D53A" w14:textId="02D829DF" w:rsidR="001D32C6" w:rsidRPr="00CF1176" w:rsidRDefault="0ED734C3" w:rsidP="00CF1176">
      <w:pPr>
        <w:spacing w:before="100" w:beforeAutospacing="1" w:after="0" w:line="240" w:lineRule="auto"/>
        <w:rPr>
          <w:rFonts w:eastAsia="Arial" w:cs="Arial"/>
          <w:kern w:val="0"/>
          <w:lang w:eastAsia="en-GB"/>
          <w14:ligatures w14:val="none"/>
        </w:rPr>
      </w:pPr>
      <w:r w:rsidRPr="00CF1176">
        <w:rPr>
          <w:rFonts w:eastAsia="Arial" w:cs="Arial"/>
          <w:kern w:val="0"/>
          <w:lang w:eastAsia="en-GB"/>
          <w14:ligatures w14:val="none"/>
        </w:rPr>
        <w:t>The Cardiology Review Project has been established to address longstanding challenges in the delivery of consistently high</w:t>
      </w:r>
      <w:r w:rsidR="001D32C6" w:rsidRPr="00CF1176">
        <w:rPr>
          <w:rFonts w:eastAsia="Times New Roman" w:cs="Segoe UI"/>
          <w:kern w:val="0"/>
          <w:lang w:eastAsia="en-GB"/>
          <w14:ligatures w14:val="none"/>
        </w:rPr>
        <w:noBreakHyphen/>
      </w:r>
      <w:r w:rsidRPr="00CF1176">
        <w:rPr>
          <w:rFonts w:eastAsia="Arial" w:cs="Arial"/>
          <w:kern w:val="0"/>
          <w:lang w:eastAsia="en-GB"/>
          <w14:ligatures w14:val="none"/>
        </w:rPr>
        <w:t>quality care within the Cardiology service. Central to the identified problem is unwarranted variability in care quality alongside a working environment that has not consistently enabled staff to feel supported, valued, and professionally safe. These factors have contributed to service instability and risk to sustainability.</w:t>
      </w:r>
      <w:r w:rsidR="0D1DB5BB" w:rsidRPr="00CF1176">
        <w:rPr>
          <w:rFonts w:eastAsia="Arial" w:cs="Arial"/>
          <w:kern w:val="0"/>
          <w:lang w:eastAsia="en-GB"/>
          <w14:ligatures w14:val="none"/>
        </w:rPr>
        <w:t xml:space="preserve"> </w:t>
      </w:r>
      <w:r w:rsidRPr="00CF1176">
        <w:rPr>
          <w:rFonts w:eastAsia="Arial" w:cs="Arial"/>
          <w:kern w:val="0"/>
          <w:lang w:eastAsia="en-GB"/>
          <w14:ligatures w14:val="none"/>
        </w:rPr>
        <w:t xml:space="preserve">In response, the programme has set an ambitious but necessary aim: by September 2028, to establish a psychologically safe, cohesive, and empowered Cardiology team culture, enabling the consistent delivery of </w:t>
      </w:r>
      <w:r w:rsidR="6052FF2D" w:rsidRPr="00CF1176">
        <w:rPr>
          <w:rFonts w:eastAsia="Arial" w:cs="Arial"/>
          <w:kern w:val="0"/>
          <w:lang w:eastAsia="en-GB"/>
          <w14:ligatures w14:val="none"/>
        </w:rPr>
        <w:t>high-quality</w:t>
      </w:r>
      <w:r w:rsidRPr="00CF1176">
        <w:rPr>
          <w:rFonts w:eastAsia="Arial" w:cs="Arial"/>
          <w:kern w:val="0"/>
          <w:lang w:eastAsia="en-GB"/>
          <w14:ligatures w14:val="none"/>
        </w:rPr>
        <w:t xml:space="preserve">, </w:t>
      </w:r>
      <w:r w:rsidR="1D96519B" w:rsidRPr="00CF1176">
        <w:rPr>
          <w:rFonts w:eastAsia="Arial" w:cs="Arial"/>
          <w:kern w:val="0"/>
          <w:lang w:eastAsia="en-GB"/>
          <w14:ligatures w14:val="none"/>
        </w:rPr>
        <w:t>patient centred</w:t>
      </w:r>
      <w:r w:rsidRPr="00CF1176">
        <w:rPr>
          <w:rFonts w:eastAsia="Arial" w:cs="Arial"/>
          <w:kern w:val="0"/>
          <w:lang w:eastAsia="en-GB"/>
          <w14:ligatures w14:val="none"/>
        </w:rPr>
        <w:t xml:space="preserve"> care across all Cardiology services.</w:t>
      </w:r>
    </w:p>
    <w:p w14:paraId="539B0ADB" w14:textId="77777777" w:rsidR="001D32C6" w:rsidRPr="00CF1176" w:rsidRDefault="001D32C6" w:rsidP="00CF1176">
      <w:pPr>
        <w:spacing w:before="100" w:beforeAutospacing="1" w:after="0" w:line="300" w:lineRule="atLeast"/>
        <w:rPr>
          <w:rFonts w:eastAsia="Arial" w:cs="Arial"/>
          <w:kern w:val="0"/>
          <w:lang w:eastAsia="en-GB"/>
          <w14:ligatures w14:val="none"/>
        </w:rPr>
      </w:pPr>
      <w:r w:rsidRPr="00CF1176">
        <w:rPr>
          <w:rFonts w:eastAsia="Arial" w:cs="Arial"/>
          <w:kern w:val="0"/>
          <w:lang w:eastAsia="en-GB"/>
          <w14:ligatures w14:val="none"/>
        </w:rPr>
        <w:t>Significant progress has already been made in laying the foundations for sustainable improvement. Early programme activity has focused on team engagement and cultural reset, including structured engagement sessions, regular leadership walkabouts, and ongoing meetings with departmental leads. A clear improvement methodology has been agreed, supported by the development of a driver diagram, defined workstreams, and strengthened governance and reporting arrangements. Office 365 tools have been embedded to improve programme visibility, communication, and prioritisation.</w:t>
      </w:r>
    </w:p>
    <w:p w14:paraId="7DFC45E7" w14:textId="77777777" w:rsidR="001D32C6" w:rsidRPr="00CF1176" w:rsidRDefault="001D32C6" w:rsidP="00CF1176">
      <w:pPr>
        <w:spacing w:before="100" w:beforeAutospacing="1" w:after="0" w:line="300" w:lineRule="atLeast"/>
        <w:rPr>
          <w:rFonts w:eastAsia="Arial" w:cs="Arial"/>
          <w:kern w:val="0"/>
          <w:lang w:eastAsia="en-GB"/>
          <w14:ligatures w14:val="none"/>
        </w:rPr>
      </w:pPr>
      <w:r w:rsidRPr="00CF1176">
        <w:rPr>
          <w:rFonts w:eastAsia="Arial" w:cs="Arial"/>
          <w:kern w:val="0"/>
          <w:lang w:eastAsia="en-GB"/>
          <w14:ligatures w14:val="none"/>
        </w:rPr>
        <w:t>Alongside this foundational work, a number of tangible service and quality improvements have been progressed:</w:t>
      </w:r>
    </w:p>
    <w:p w14:paraId="5212A0A9" w14:textId="77777777" w:rsidR="001D32C6" w:rsidRPr="00CF1176" w:rsidRDefault="001D32C6" w:rsidP="1084B38B">
      <w:pPr>
        <w:numPr>
          <w:ilvl w:val="0"/>
          <w:numId w:val="31"/>
        </w:numPr>
        <w:spacing w:before="100" w:beforeAutospacing="1" w:after="100" w:afterAutospacing="1" w:line="300" w:lineRule="atLeast"/>
        <w:rPr>
          <w:rFonts w:eastAsia="Arial" w:cs="Arial"/>
          <w:kern w:val="0"/>
          <w:lang w:eastAsia="en-GB"/>
          <w14:ligatures w14:val="none"/>
        </w:rPr>
      </w:pPr>
      <w:r w:rsidRPr="00CF1176">
        <w:rPr>
          <w:rFonts w:eastAsia="Arial" w:cs="Arial"/>
          <w:b/>
          <w:bCs/>
          <w:kern w:val="0"/>
          <w:lang w:eastAsia="en-GB"/>
          <w14:ligatures w14:val="none"/>
        </w:rPr>
        <w:t>Education and workforce assurance:</w:t>
      </w:r>
      <w:r w:rsidRPr="00CF1176">
        <w:rPr>
          <w:rFonts w:eastAsia="Arial" w:cs="Arial"/>
          <w:kern w:val="0"/>
          <w:lang w:eastAsia="en-GB"/>
          <w14:ligatures w14:val="none"/>
        </w:rPr>
        <w:t xml:space="preserve"> Enhanced monitoring by the GMC relating to the trainee programme for resident doctors has been successfully stepped down, reflecting improved oversight, support, and educational environment.</w:t>
      </w:r>
    </w:p>
    <w:p w14:paraId="07CF92BB" w14:textId="6B4A02F8" w:rsidR="001D32C6" w:rsidRPr="00CF1176" w:rsidRDefault="001D32C6" w:rsidP="6FB144D5">
      <w:pPr>
        <w:numPr>
          <w:ilvl w:val="0"/>
          <w:numId w:val="31"/>
        </w:numPr>
        <w:spacing w:before="100" w:beforeAutospacing="1" w:after="100" w:afterAutospacing="1" w:line="300" w:lineRule="atLeast"/>
        <w:rPr>
          <w:rFonts w:eastAsia="Arial" w:cs="Arial"/>
          <w:kern w:val="0"/>
          <w:lang w:eastAsia="en-GB"/>
          <w14:ligatures w14:val="none"/>
        </w:rPr>
      </w:pPr>
      <w:r w:rsidRPr="00CF1176">
        <w:rPr>
          <w:rFonts w:eastAsia="Arial" w:cs="Arial"/>
          <w:b/>
          <w:bCs/>
          <w:kern w:val="0"/>
          <w:lang w:eastAsia="en-GB"/>
          <w14:ligatures w14:val="none"/>
        </w:rPr>
        <w:t>Quality Management System (QMS):</w:t>
      </w:r>
      <w:r w:rsidRPr="00CF1176">
        <w:rPr>
          <w:rFonts w:eastAsia="Arial" w:cs="Arial"/>
          <w:kern w:val="0"/>
          <w:lang w:eastAsia="en-GB"/>
          <w14:ligatures w14:val="none"/>
        </w:rPr>
        <w:t xml:space="preserve"> Further work is progressing to align Cardiology services into the </w:t>
      </w:r>
      <w:r w:rsidR="00E41B5A" w:rsidRPr="00CF1176">
        <w:rPr>
          <w:rFonts w:eastAsia="Arial" w:cs="Arial"/>
          <w:kern w:val="0"/>
          <w:lang w:eastAsia="en-GB"/>
          <w14:ligatures w14:val="none"/>
        </w:rPr>
        <w:t>Health Board</w:t>
      </w:r>
      <w:r w:rsidR="00A15BFB" w:rsidRPr="00CF1176">
        <w:rPr>
          <w:rFonts w:eastAsia="Arial" w:cs="Arial"/>
          <w:kern w:val="0"/>
          <w:lang w:eastAsia="en-GB"/>
          <w14:ligatures w14:val="none"/>
        </w:rPr>
        <w:t>’s</w:t>
      </w:r>
      <w:r w:rsidRPr="00CF1176">
        <w:rPr>
          <w:rFonts w:eastAsia="Arial" w:cs="Arial"/>
          <w:kern w:val="0"/>
          <w:lang w:eastAsia="en-GB"/>
          <w14:ligatures w14:val="none"/>
        </w:rPr>
        <w:t xml:space="preserve"> QMS programme, </w:t>
      </w:r>
    </w:p>
    <w:p w14:paraId="2FAA430B" w14:textId="391A0807" w:rsidR="001D32C6" w:rsidRPr="00CF1176" w:rsidRDefault="6836EEC6" w:rsidP="1084B38B">
      <w:pPr>
        <w:numPr>
          <w:ilvl w:val="0"/>
          <w:numId w:val="31"/>
        </w:numPr>
        <w:spacing w:before="100" w:beforeAutospacing="1" w:after="100" w:afterAutospacing="1" w:line="300" w:lineRule="atLeast"/>
        <w:rPr>
          <w:rFonts w:eastAsia="Arial" w:cs="Arial"/>
          <w:kern w:val="0"/>
          <w:lang w:eastAsia="en-GB"/>
          <w14:ligatures w14:val="none"/>
        </w:rPr>
      </w:pPr>
      <w:r w:rsidRPr="6FB144D5">
        <w:rPr>
          <w:rFonts w:eastAsia="Arial" w:cs="Arial"/>
          <w:b/>
          <w:bCs/>
          <w:kern w:val="0"/>
          <w:lang w:eastAsia="en-GB"/>
          <w14:ligatures w14:val="none"/>
        </w:rPr>
        <w:t>A</w:t>
      </w:r>
      <w:r w:rsidR="7C147687" w:rsidRPr="6FB144D5">
        <w:rPr>
          <w:rFonts w:eastAsia="Arial" w:cs="Arial"/>
          <w:b/>
          <w:bCs/>
          <w:kern w:val="0"/>
          <w:lang w:eastAsia="en-GB"/>
          <w14:ligatures w14:val="none"/>
        </w:rPr>
        <w:t>ppointment</w:t>
      </w:r>
      <w:r w:rsidR="001D32C6" w:rsidRPr="6CA4F3A0">
        <w:rPr>
          <w:rFonts w:eastAsia="Arial" w:cs="Arial"/>
          <w:b/>
          <w:bCs/>
          <w:kern w:val="0"/>
          <w:lang w:eastAsia="en-GB"/>
          <w14:ligatures w14:val="none"/>
        </w:rPr>
        <w:t xml:space="preserve"> of professional and clinical leads</w:t>
      </w:r>
      <w:r w:rsidR="3B1E0C33" w:rsidRPr="6FB144D5">
        <w:rPr>
          <w:rFonts w:eastAsia="Arial" w:cs="Arial"/>
          <w:b/>
          <w:bCs/>
          <w:kern w:val="0"/>
          <w:lang w:eastAsia="en-GB"/>
          <w14:ligatures w14:val="none"/>
        </w:rPr>
        <w:t>:</w:t>
      </w:r>
      <w:r w:rsidR="001D32C6" w:rsidRPr="00CF1176">
        <w:rPr>
          <w:rFonts w:eastAsia="Arial" w:cs="Arial"/>
          <w:kern w:val="0"/>
          <w:lang w:eastAsia="en-GB"/>
          <w14:ligatures w14:val="none"/>
        </w:rPr>
        <w:t xml:space="preserve"> strengthening accountability for quality, safety, and standards.</w:t>
      </w:r>
    </w:p>
    <w:p w14:paraId="33EC3BDB" w14:textId="0AE4D2F0" w:rsidR="001D32C6" w:rsidRPr="00CF1176" w:rsidRDefault="001D32C6" w:rsidP="1084B38B">
      <w:pPr>
        <w:numPr>
          <w:ilvl w:val="0"/>
          <w:numId w:val="31"/>
        </w:numPr>
        <w:spacing w:before="100" w:beforeAutospacing="1" w:after="100" w:afterAutospacing="1" w:line="300" w:lineRule="atLeast"/>
        <w:rPr>
          <w:rFonts w:eastAsia="Arial" w:cs="Arial"/>
          <w:kern w:val="0"/>
          <w:lang w:eastAsia="en-GB"/>
          <w14:ligatures w14:val="none"/>
        </w:rPr>
      </w:pPr>
      <w:r w:rsidRPr="00CF1176">
        <w:rPr>
          <w:rFonts w:eastAsia="Arial" w:cs="Arial"/>
          <w:b/>
          <w:bCs/>
          <w:kern w:val="0"/>
          <w:lang w:eastAsia="en-GB"/>
          <w14:ligatures w14:val="none"/>
        </w:rPr>
        <w:t>Clinical and operational resilience:</w:t>
      </w:r>
      <w:r w:rsidRPr="00CF1176">
        <w:rPr>
          <w:rFonts w:eastAsia="Arial" w:cs="Arial"/>
          <w:kern w:val="0"/>
          <w:lang w:eastAsia="en-GB"/>
          <w14:ligatures w14:val="none"/>
        </w:rPr>
        <w:t xml:space="preserve"> Successful recruitment of a loc</w:t>
      </w:r>
      <w:r w:rsidR="00687D86" w:rsidRPr="00CF1176">
        <w:rPr>
          <w:rFonts w:eastAsia="Arial" w:cs="Arial"/>
          <w:kern w:val="0"/>
          <w:lang w:eastAsia="en-GB"/>
          <w14:ligatures w14:val="none"/>
        </w:rPr>
        <w:t>um</w:t>
      </w:r>
      <w:r w:rsidRPr="00CF1176">
        <w:rPr>
          <w:rFonts w:eastAsia="Arial" w:cs="Arial"/>
          <w:kern w:val="0"/>
          <w:lang w:eastAsia="en-GB"/>
          <w14:ligatures w14:val="none"/>
        </w:rPr>
        <w:t xml:space="preserve"> Electrophysiologist and two locum Interventional Cardiologists has significantly strengthened clinical capacity, supporting safer patient care and improved ability to meet commissioned service requirements.</w:t>
      </w:r>
    </w:p>
    <w:p w14:paraId="6730C9F5" w14:textId="77777777" w:rsidR="00A11C7D" w:rsidRPr="00CF1176" w:rsidRDefault="001D32C6" w:rsidP="1084B38B">
      <w:pPr>
        <w:numPr>
          <w:ilvl w:val="0"/>
          <w:numId w:val="31"/>
        </w:numPr>
        <w:spacing w:before="100" w:beforeAutospacing="1" w:after="100" w:afterAutospacing="1" w:line="300" w:lineRule="atLeast"/>
        <w:rPr>
          <w:rFonts w:eastAsia="Arial" w:cs="Arial"/>
          <w:kern w:val="0"/>
          <w:lang w:eastAsia="en-GB"/>
          <w14:ligatures w14:val="none"/>
        </w:rPr>
      </w:pPr>
      <w:r w:rsidRPr="00CF1176">
        <w:rPr>
          <w:rFonts w:eastAsia="Arial" w:cs="Arial"/>
          <w:b/>
          <w:bCs/>
          <w:kern w:val="0"/>
          <w:lang w:eastAsia="en-GB"/>
          <w14:ligatures w14:val="none"/>
        </w:rPr>
        <w:t>Workforce and operating model development:</w:t>
      </w:r>
      <w:r w:rsidRPr="00CF1176">
        <w:rPr>
          <w:rFonts w:eastAsia="Arial" w:cs="Arial"/>
          <w:kern w:val="0"/>
          <w:lang w:eastAsia="en-GB"/>
          <w14:ligatures w14:val="none"/>
        </w:rPr>
        <w:t xml:space="preserve"> Job planning is progressing with an agreed programme of work, and a review of roles, responsibilities, and the future operating model for the Directorate Management Team (DMT) is underway to enable clearer accountability and more effective leadership.</w:t>
      </w:r>
    </w:p>
    <w:p w14:paraId="5331FA46" w14:textId="06152E55" w:rsidR="001D32C6" w:rsidRPr="00CF1176" w:rsidRDefault="001D32C6" w:rsidP="1084B38B">
      <w:pPr>
        <w:spacing w:before="100" w:beforeAutospacing="1" w:after="100" w:afterAutospacing="1" w:line="300" w:lineRule="atLeast"/>
        <w:rPr>
          <w:rFonts w:eastAsia="Arial" w:cs="Arial"/>
          <w:kern w:val="0"/>
          <w:lang w:eastAsia="en-GB"/>
          <w14:ligatures w14:val="none"/>
        </w:rPr>
      </w:pPr>
      <w:r w:rsidRPr="00CF1176">
        <w:rPr>
          <w:rFonts w:eastAsia="Arial" w:cs="Arial"/>
          <w:kern w:val="0"/>
          <w:lang w:eastAsia="en-GB"/>
          <w14:ligatures w14:val="none"/>
        </w:rPr>
        <w:t xml:space="preserve">Collectively, these improvements demonstrate early momentum and a clear shift towards stronger governance, safer systems, and a more supportive and professionally accountable working environment. </w:t>
      </w:r>
    </w:p>
    <w:p w14:paraId="797F8B61" w14:textId="18B1D4F8" w:rsidR="00E60D10" w:rsidRDefault="00E60D10"/>
    <w:p w14:paraId="52D63A2C" w14:textId="77777777" w:rsidR="00BF614D" w:rsidRDefault="00BF614D" w:rsidP="74638290">
      <w:pPr>
        <w:rPr>
          <w:rFonts w:eastAsiaTheme="minorEastAsia"/>
          <w:b/>
          <w:bCs/>
        </w:rPr>
      </w:pPr>
    </w:p>
    <w:p w14:paraId="57C289D8" w14:textId="77777777" w:rsidR="00CB1B33" w:rsidRDefault="00CB1B33" w:rsidP="74638290">
      <w:pPr>
        <w:rPr>
          <w:rFonts w:eastAsiaTheme="minorEastAsia"/>
          <w:b/>
          <w:bCs/>
          <w:sz w:val="24"/>
          <w:szCs w:val="24"/>
        </w:rPr>
      </w:pPr>
    </w:p>
    <w:p w14:paraId="234DA654" w14:textId="0173EFC8" w:rsidR="00E60D10" w:rsidRPr="008514A1" w:rsidRDefault="78E5F976" w:rsidP="74638290">
      <w:pPr>
        <w:rPr>
          <w:rFonts w:eastAsiaTheme="minorEastAsia"/>
          <w:b/>
          <w:bCs/>
          <w:sz w:val="24"/>
          <w:szCs w:val="24"/>
        </w:rPr>
      </w:pPr>
      <w:r w:rsidRPr="008514A1">
        <w:rPr>
          <w:rFonts w:eastAsiaTheme="minorEastAsia"/>
          <w:b/>
          <w:bCs/>
          <w:sz w:val="24"/>
          <w:szCs w:val="24"/>
        </w:rPr>
        <w:t>Removal of GMC/HEIW enhanced monitoring</w:t>
      </w:r>
    </w:p>
    <w:p w14:paraId="5DD91407" w14:textId="10CF8065" w:rsidR="7BF8A7F6" w:rsidRPr="00AA15F0" w:rsidRDefault="5AD93294" w:rsidP="1084B38B">
      <w:r w:rsidRPr="00AA15F0">
        <w:rPr>
          <w:rFonts w:ascii="Aptos" w:eastAsia="Aptos" w:hAnsi="Aptos" w:cs="Aptos"/>
        </w:rPr>
        <w:t>In May 2024, Health Education and Improvement Wales (HEIW) undertook a review of the cardiology training environment within Cardiff and Vale University Health Board following adverse trainee feedback relating to training opportunities, culture, and behaviours. As a result, the department was placed under enhanced monitoring in July 2024, with a defined set of requirements and recommendations forming the Cardiology Action Plan.</w:t>
      </w:r>
    </w:p>
    <w:p w14:paraId="0B20F486" w14:textId="19099D14" w:rsidR="7BF8A7F6" w:rsidRPr="00AA15F0" w:rsidRDefault="6ADD883A" w:rsidP="1084B38B">
      <w:r w:rsidRPr="6CA4F3A0">
        <w:rPr>
          <w:rFonts w:ascii="Aptos" w:eastAsia="Aptos" w:hAnsi="Aptos" w:cs="Aptos"/>
        </w:rPr>
        <w:t xml:space="preserve">A </w:t>
      </w:r>
      <w:r w:rsidR="2D659473" w:rsidRPr="6CA4F3A0">
        <w:rPr>
          <w:rFonts w:ascii="Aptos" w:eastAsia="Aptos" w:hAnsi="Aptos" w:cs="Aptos"/>
        </w:rPr>
        <w:t>follow-up</w:t>
      </w:r>
      <w:r w:rsidRPr="6CA4F3A0">
        <w:rPr>
          <w:rFonts w:ascii="Aptos" w:eastAsia="Aptos" w:hAnsi="Aptos" w:cs="Aptos"/>
        </w:rPr>
        <w:t xml:space="preserve"> visit in January 2025 confirmed continued progress, with the HEIW panel noting meaningful improvements in team structure, consultant leadership, and departmental culture. The panel recognised that changes led by the consultant body, supported by senior registrars, had strengthened team cohesion and created a more supportive learning environment</w:t>
      </w:r>
      <w:r w:rsidR="754982D3" w:rsidRPr="6CA4F3A0">
        <w:rPr>
          <w:rFonts w:ascii="Aptos" w:eastAsia="Aptos" w:hAnsi="Aptos" w:cs="Aptos"/>
        </w:rPr>
        <w:t xml:space="preserve">. </w:t>
      </w:r>
      <w:r w:rsidRPr="6CA4F3A0">
        <w:rPr>
          <w:rFonts w:ascii="Aptos" w:eastAsia="Aptos" w:hAnsi="Aptos" w:cs="Aptos"/>
        </w:rPr>
        <w:t>Reflecting this progress, the department’s GMC risk rating improved from 12 (high) to 8 (moderate).</w:t>
      </w:r>
    </w:p>
    <w:p w14:paraId="63A7AD1D" w14:textId="2E661577" w:rsidR="7BF8A7F6" w:rsidRPr="00AA15F0" w:rsidRDefault="6ADD883A" w:rsidP="1084B38B">
      <w:r w:rsidRPr="6CA4F3A0">
        <w:rPr>
          <w:rFonts w:ascii="Aptos" w:eastAsia="Aptos" w:hAnsi="Aptos" w:cs="Aptos"/>
        </w:rPr>
        <w:t xml:space="preserve">Despite this progress, ongoing concerns remained regarding training opportunities in electrophysiology and devices, access to cardiac CT and outpatient clinics, departmental induction, and the educational needs of </w:t>
      </w:r>
      <w:r w:rsidR="0BF0E02B" w:rsidRPr="6CA4F3A0">
        <w:rPr>
          <w:rFonts w:ascii="Aptos" w:eastAsia="Aptos" w:hAnsi="Aptos" w:cs="Aptos"/>
        </w:rPr>
        <w:t>lower grade</w:t>
      </w:r>
      <w:r w:rsidRPr="6CA4F3A0">
        <w:rPr>
          <w:rFonts w:ascii="Aptos" w:eastAsia="Aptos" w:hAnsi="Aptos" w:cs="Aptos"/>
        </w:rPr>
        <w:t xml:space="preserve"> trainees. Enhanced monitoring therefore remained in place</w:t>
      </w:r>
      <w:r w:rsidR="2C3B4381" w:rsidRPr="6CA4F3A0">
        <w:rPr>
          <w:rFonts w:ascii="Aptos" w:eastAsia="Aptos" w:hAnsi="Aptos" w:cs="Aptos"/>
        </w:rPr>
        <w:t xml:space="preserve"> throughout 2025</w:t>
      </w:r>
      <w:r w:rsidRPr="6CA4F3A0">
        <w:rPr>
          <w:rFonts w:ascii="Aptos" w:eastAsia="Aptos" w:hAnsi="Aptos" w:cs="Aptos"/>
        </w:rPr>
        <w:t>.</w:t>
      </w:r>
    </w:p>
    <w:p w14:paraId="1C326D22" w14:textId="5282C5AF" w:rsidR="7BF8A7F6" w:rsidRPr="00AA15F0" w:rsidRDefault="339D49C5" w:rsidP="74638290">
      <w:r w:rsidRPr="6CA4F3A0">
        <w:rPr>
          <w:rFonts w:ascii="Aptos" w:eastAsia="Aptos" w:hAnsi="Aptos" w:cs="Aptos"/>
        </w:rPr>
        <w:t xml:space="preserve">Building on the feedback from the January 2025 visit, additional improvement work was undertaken. </w:t>
      </w:r>
      <w:r w:rsidR="67D94F5D" w:rsidRPr="6CA4F3A0">
        <w:rPr>
          <w:rFonts w:ascii="Aptos" w:eastAsia="Aptos" w:hAnsi="Aptos" w:cs="Aptos"/>
        </w:rPr>
        <w:t>F</w:t>
      </w:r>
      <w:r w:rsidR="300A5357" w:rsidRPr="6CA4F3A0">
        <w:rPr>
          <w:rFonts w:ascii="Aptos" w:eastAsia="Aptos" w:hAnsi="Aptos" w:cs="Aptos"/>
        </w:rPr>
        <w:t xml:space="preserve">urther </w:t>
      </w:r>
      <w:r w:rsidR="3875E281" w:rsidRPr="6CA4F3A0">
        <w:rPr>
          <w:rFonts w:ascii="Aptos" w:eastAsia="Aptos" w:hAnsi="Aptos" w:cs="Aptos"/>
        </w:rPr>
        <w:t>6-monthly</w:t>
      </w:r>
      <w:r w:rsidR="3476B55F" w:rsidRPr="6CA4F3A0">
        <w:rPr>
          <w:rFonts w:ascii="Aptos" w:eastAsia="Aptos" w:hAnsi="Aptos" w:cs="Aptos"/>
        </w:rPr>
        <w:t xml:space="preserve"> </w:t>
      </w:r>
      <w:r w:rsidR="68BC371B" w:rsidRPr="6CA4F3A0">
        <w:rPr>
          <w:rFonts w:ascii="Aptos" w:eastAsia="Aptos" w:hAnsi="Aptos" w:cs="Aptos"/>
        </w:rPr>
        <w:t xml:space="preserve">HEIW </w:t>
      </w:r>
      <w:r w:rsidR="6E30A13E" w:rsidRPr="6CA4F3A0">
        <w:rPr>
          <w:rFonts w:ascii="Aptos" w:eastAsia="Aptos" w:hAnsi="Aptos" w:cs="Aptos"/>
        </w:rPr>
        <w:t>review</w:t>
      </w:r>
      <w:r w:rsidR="27D84E36" w:rsidRPr="6CA4F3A0">
        <w:rPr>
          <w:rFonts w:ascii="Aptos" w:eastAsia="Aptos" w:hAnsi="Aptos" w:cs="Aptos"/>
        </w:rPr>
        <w:t xml:space="preserve">s </w:t>
      </w:r>
      <w:r w:rsidR="7C553B22" w:rsidRPr="6CA4F3A0">
        <w:rPr>
          <w:rFonts w:ascii="Aptos" w:eastAsia="Aptos" w:hAnsi="Aptos" w:cs="Aptos"/>
        </w:rPr>
        <w:t>were</w:t>
      </w:r>
      <w:r w:rsidR="6E30A13E" w:rsidRPr="6CA4F3A0">
        <w:rPr>
          <w:rFonts w:ascii="Aptos" w:eastAsia="Aptos" w:hAnsi="Aptos" w:cs="Aptos"/>
        </w:rPr>
        <w:t xml:space="preserve"> </w:t>
      </w:r>
      <w:r w:rsidR="68BC371B" w:rsidRPr="6CA4F3A0">
        <w:rPr>
          <w:rFonts w:ascii="Aptos" w:eastAsia="Aptos" w:hAnsi="Aptos" w:cs="Aptos"/>
        </w:rPr>
        <w:t xml:space="preserve">undertaken </w:t>
      </w:r>
      <w:r w:rsidR="440D0C83" w:rsidRPr="6CA4F3A0">
        <w:rPr>
          <w:rFonts w:ascii="Aptos" w:eastAsia="Aptos" w:hAnsi="Aptos" w:cs="Aptos"/>
        </w:rPr>
        <w:t xml:space="preserve">and </w:t>
      </w:r>
      <w:r w:rsidR="68BC371B" w:rsidRPr="6CA4F3A0">
        <w:rPr>
          <w:rFonts w:ascii="Aptos" w:eastAsia="Aptos" w:hAnsi="Aptos" w:cs="Aptos"/>
        </w:rPr>
        <w:t>in February 2026 enhanced monitoring</w:t>
      </w:r>
      <w:r w:rsidR="62084C1D" w:rsidRPr="6CA4F3A0">
        <w:rPr>
          <w:rFonts w:ascii="Aptos" w:eastAsia="Aptos" w:hAnsi="Aptos" w:cs="Aptos"/>
        </w:rPr>
        <w:t xml:space="preserve"> status was lifted</w:t>
      </w:r>
      <w:r w:rsidR="6E30A13E" w:rsidRPr="6CA4F3A0">
        <w:rPr>
          <w:rFonts w:ascii="Aptos" w:eastAsia="Aptos" w:hAnsi="Aptos" w:cs="Aptos"/>
        </w:rPr>
        <w:t>.</w:t>
      </w:r>
      <w:r w:rsidR="68BC371B" w:rsidRPr="6CA4F3A0">
        <w:rPr>
          <w:rFonts w:ascii="Aptos" w:eastAsia="Aptos" w:hAnsi="Aptos" w:cs="Aptos"/>
        </w:rPr>
        <w:t xml:space="preserve"> This represents a significant achievement for the department and provides clear evidence of sustained improvement in leadership, governance, culture, and educational delivery. The decision reflects strong assurance that actions have been embedded, the training environment stabilised, and a positive, supportive culture established. It also demonstrates the department’s ongoing commitment to continuous improvement, responsiveness to external scrutiny, and the delivery of </w:t>
      </w:r>
      <w:r w:rsidR="4C1745E9" w:rsidRPr="6CA4F3A0">
        <w:rPr>
          <w:rFonts w:ascii="Aptos" w:eastAsia="Aptos" w:hAnsi="Aptos" w:cs="Aptos"/>
        </w:rPr>
        <w:t>high-quality</w:t>
      </w:r>
      <w:r w:rsidR="68BC371B" w:rsidRPr="6CA4F3A0">
        <w:rPr>
          <w:rFonts w:ascii="Aptos" w:eastAsia="Aptos" w:hAnsi="Aptos" w:cs="Aptos"/>
        </w:rPr>
        <w:t xml:space="preserve"> training and patient care.</w:t>
      </w:r>
    </w:p>
    <w:p w14:paraId="1E3A0502" w14:textId="0FD1D89C" w:rsidR="7BF8A7F6" w:rsidRPr="00BF614D" w:rsidRDefault="5A9ED162" w:rsidP="74638290">
      <w:pPr>
        <w:rPr>
          <w:rFonts w:ascii="Aptos" w:eastAsia="Aptos" w:hAnsi="Aptos" w:cs="Aptos"/>
        </w:rPr>
      </w:pPr>
      <w:r w:rsidRPr="00BF614D">
        <w:rPr>
          <w:rFonts w:ascii="Aptos" w:eastAsia="Aptos" w:hAnsi="Aptos" w:cs="Aptos"/>
          <w:b/>
          <w:bCs/>
        </w:rPr>
        <w:t>Key Actions Delivered</w:t>
      </w:r>
      <w:r w:rsidR="00BF614D">
        <w:rPr>
          <w:rFonts w:ascii="Aptos" w:eastAsia="Aptos" w:hAnsi="Aptos" w:cs="Aptos"/>
        </w:rPr>
        <w:t>:</w:t>
      </w:r>
      <w:r w:rsidRPr="00BF614D">
        <w:rPr>
          <w:rFonts w:ascii="Aptos" w:eastAsia="Aptos" w:hAnsi="Aptos" w:cs="Aptos"/>
        </w:rPr>
        <w:t xml:space="preserve"> </w:t>
      </w:r>
    </w:p>
    <w:p w14:paraId="60009452" w14:textId="675D415B"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Strengthened trainee feedback mechanisms</w:t>
      </w:r>
    </w:p>
    <w:p w14:paraId="18167FC6" w14:textId="47D56536" w:rsidR="7BF8A7F6" w:rsidRPr="00AA15F0" w:rsidRDefault="13F71C55" w:rsidP="74638290">
      <w:pPr>
        <w:pStyle w:val="ListParagraph"/>
        <w:numPr>
          <w:ilvl w:val="0"/>
          <w:numId w:val="31"/>
        </w:numPr>
        <w:rPr>
          <w:rFonts w:ascii="Aptos" w:eastAsia="Aptos" w:hAnsi="Aptos" w:cs="Aptos"/>
        </w:rPr>
      </w:pPr>
      <w:r w:rsidRPr="6CA4F3A0">
        <w:rPr>
          <w:rFonts w:ascii="Aptos" w:eastAsia="Aptos" w:hAnsi="Aptos" w:cs="Aptos"/>
        </w:rPr>
        <w:t xml:space="preserve">Reinforced a safe and transparent </w:t>
      </w:r>
      <w:r w:rsidR="60B9C7A6" w:rsidRPr="6CA4F3A0">
        <w:rPr>
          <w:rFonts w:ascii="Aptos" w:eastAsia="Aptos" w:hAnsi="Aptos" w:cs="Aptos"/>
        </w:rPr>
        <w:t>speaking up</w:t>
      </w:r>
      <w:r w:rsidRPr="6CA4F3A0">
        <w:rPr>
          <w:rFonts w:ascii="Aptos" w:eastAsia="Aptos" w:hAnsi="Aptos" w:cs="Aptos"/>
        </w:rPr>
        <w:t xml:space="preserve"> culture</w:t>
      </w:r>
    </w:p>
    <w:p w14:paraId="3486E239" w14:textId="7FD8554B"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Established regular trainee forums</w:t>
      </w:r>
    </w:p>
    <w:p w14:paraId="2258B013" w14:textId="48DF4E3B"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Improved departmental induction</w:t>
      </w:r>
    </w:p>
    <w:p w14:paraId="6F64CFF4" w14:textId="76C1E9B9"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Enhanced consultant leadership and team structure</w:t>
      </w:r>
    </w:p>
    <w:p w14:paraId="218DAED5" w14:textId="7D90610C"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Improved access to training opportunities</w:t>
      </w:r>
    </w:p>
    <w:p w14:paraId="38D8E88B" w14:textId="6D0D5A9F" w:rsidR="7BF8A7F6" w:rsidRPr="00AA15F0" w:rsidRDefault="5A9ED162" w:rsidP="74638290">
      <w:pPr>
        <w:pStyle w:val="ListParagraph"/>
        <w:numPr>
          <w:ilvl w:val="0"/>
          <w:numId w:val="31"/>
        </w:numPr>
        <w:rPr>
          <w:rFonts w:ascii="Aptos" w:eastAsia="Aptos" w:hAnsi="Aptos" w:cs="Aptos"/>
        </w:rPr>
      </w:pPr>
      <w:r w:rsidRPr="00AA15F0">
        <w:rPr>
          <w:rFonts w:ascii="Aptos" w:eastAsia="Aptos" w:hAnsi="Aptos" w:cs="Aptos"/>
        </w:rPr>
        <w:t>Strengthened departmental culture -Improved cohesion between consultants, registrars, and resident doctors.</w:t>
      </w:r>
    </w:p>
    <w:p w14:paraId="31440689" w14:textId="4CD8627C" w:rsidR="7BF8A7F6" w:rsidRDefault="7BF8A7F6" w:rsidP="74638290">
      <w:pPr>
        <w:rPr>
          <w:rFonts w:ascii="Aptos" w:eastAsia="Aptos" w:hAnsi="Aptos" w:cs="Aptos"/>
        </w:rPr>
      </w:pPr>
    </w:p>
    <w:p w14:paraId="4543C6FE" w14:textId="4C9C7442" w:rsidR="7BF8A7F6" w:rsidRDefault="2010158E" w:rsidP="1084B38B">
      <w:r>
        <w:rPr>
          <w:noProof/>
        </w:rPr>
        <w:drawing>
          <wp:inline distT="0" distB="0" distL="0" distR="0" wp14:anchorId="1075361D" wp14:editId="639C64B0">
            <wp:extent cx="9525" cy="9525"/>
            <wp:effectExtent l="0" t="0" r="0" b="0"/>
            <wp:docPr id="133546974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469749" name="Picture 1335469749"/>
                    <pic:cNvPicPr/>
                  </pic:nvPicPr>
                  <pic:blipFill>
                    <a:blip r:embed="rId11">
                      <a:extLst>
                        <a:ext uri="{28A0092B-C50C-407E-A947-70E740481C1C}">
                          <a14:useLocalDpi xmlns:a14="http://schemas.microsoft.com/office/drawing/2010/main"/>
                        </a:ext>
                      </a:extLst>
                    </a:blip>
                    <a:stretch>
                      <a:fillRect/>
                    </a:stretch>
                  </pic:blipFill>
                  <pic:spPr>
                    <a:xfrm>
                      <a:off x="0" y="0"/>
                      <a:ext cx="9525" cy="9525"/>
                    </a:xfrm>
                    <a:prstGeom prst="rect">
                      <a:avLst/>
                    </a:prstGeom>
                  </pic:spPr>
                </pic:pic>
              </a:graphicData>
            </a:graphic>
          </wp:inline>
        </w:drawing>
      </w:r>
    </w:p>
    <w:p w14:paraId="3FF8C23C" w14:textId="0C914AA6" w:rsidR="7BF8A7F6" w:rsidRDefault="07D0CCB8" w:rsidP="74638290">
      <w:pPr>
        <w:rPr>
          <w:rFonts w:ascii="Aptos" w:eastAsia="Aptos" w:hAnsi="Aptos" w:cs="Aptos"/>
          <w:b/>
          <w:bCs/>
          <w:color w:val="000000" w:themeColor="text1"/>
          <w:sz w:val="24"/>
          <w:szCs w:val="24"/>
        </w:rPr>
      </w:pPr>
      <w:r w:rsidRPr="308A940C">
        <w:rPr>
          <w:rFonts w:ascii="Aptos" w:eastAsia="Aptos" w:hAnsi="Aptos" w:cs="Aptos"/>
          <w:b/>
          <w:bCs/>
          <w:color w:val="000000" w:themeColor="text1"/>
          <w:sz w:val="24"/>
          <w:szCs w:val="24"/>
        </w:rPr>
        <w:t>Physiology Update</w:t>
      </w:r>
      <w:r w:rsidR="00AA15F0">
        <w:rPr>
          <w:rFonts w:ascii="Aptos" w:eastAsia="Aptos" w:hAnsi="Aptos" w:cs="Aptos"/>
          <w:b/>
          <w:bCs/>
          <w:color w:val="000000" w:themeColor="text1"/>
          <w:sz w:val="24"/>
          <w:szCs w:val="24"/>
        </w:rPr>
        <w:t>:</w:t>
      </w:r>
    </w:p>
    <w:p w14:paraId="128BEA98" w14:textId="343584C7" w:rsidR="7BF8A7F6" w:rsidRDefault="00CB1B33" w:rsidP="308A940C">
      <w:r w:rsidRPr="00CB1B33">
        <w:drawing>
          <wp:inline distT="0" distB="0" distL="0" distR="0" wp14:anchorId="0433A5E8" wp14:editId="2E387465">
            <wp:extent cx="9658350" cy="5334000"/>
            <wp:effectExtent l="0" t="0" r="0" b="0"/>
            <wp:docPr id="1830409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409444" name=""/>
                    <pic:cNvPicPr/>
                  </pic:nvPicPr>
                  <pic:blipFill>
                    <a:blip r:embed="rId12"/>
                    <a:stretch>
                      <a:fillRect/>
                    </a:stretch>
                  </pic:blipFill>
                  <pic:spPr>
                    <a:xfrm>
                      <a:off x="0" y="0"/>
                      <a:ext cx="9662459" cy="5336269"/>
                    </a:xfrm>
                    <a:prstGeom prst="rect">
                      <a:avLst/>
                    </a:prstGeom>
                  </pic:spPr>
                </pic:pic>
              </a:graphicData>
            </a:graphic>
          </wp:inline>
        </w:drawing>
      </w:r>
    </w:p>
    <w:p w14:paraId="5E529BFE" w14:textId="46D6106C" w:rsidR="005A685C" w:rsidRPr="008514A1" w:rsidRDefault="00CB1B33" w:rsidP="6CA4F3A0">
      <w:pPr>
        <w:rPr>
          <w:rFonts w:eastAsiaTheme="minorEastAsia"/>
          <w:b/>
          <w:bCs/>
          <w:sz w:val="24"/>
          <w:szCs w:val="24"/>
        </w:rPr>
      </w:pPr>
      <w:r>
        <w:br/>
      </w:r>
      <w:r w:rsidR="6DDBB235" w:rsidRPr="008514A1">
        <w:rPr>
          <w:rFonts w:eastAsiaTheme="minorEastAsia"/>
          <w:b/>
          <w:bCs/>
          <w:sz w:val="24"/>
          <w:szCs w:val="24"/>
        </w:rPr>
        <w:t xml:space="preserve">Cardiology Dashboard </w:t>
      </w:r>
    </w:p>
    <w:p w14:paraId="58FECA93" w14:textId="447303C5" w:rsidR="000C66E2" w:rsidRPr="00AA15F0" w:rsidRDefault="000C66E2" w:rsidP="000C66E2">
      <w:pPr>
        <w:spacing w:after="0" w:line="300" w:lineRule="atLeast"/>
      </w:pPr>
      <w:r w:rsidRPr="00AA15F0">
        <w:rPr>
          <w:rFonts w:eastAsia="Times New Roman" w:cs="Segoe UI"/>
          <w:kern w:val="0"/>
          <w:lang w:eastAsia="en-GB"/>
          <w14:ligatures w14:val="none"/>
        </w:rPr>
        <w:t>A high-level comparison of February 2025 and February 2026 identified measurable improvements across several key workforce performance indicators. This reflects strong engagement and demonstrable progress in addressing</w:t>
      </w:r>
      <w:r w:rsidR="00DC75CE" w:rsidRPr="00AA15F0">
        <w:rPr>
          <w:rFonts w:eastAsia="Times New Roman" w:cs="Segoe UI"/>
          <w:kern w:val="0"/>
          <w:lang w:eastAsia="en-GB"/>
          <w14:ligatures w14:val="none"/>
        </w:rPr>
        <w:t xml:space="preserve"> several</w:t>
      </w:r>
      <w:r w:rsidRPr="00AA15F0">
        <w:rPr>
          <w:rFonts w:eastAsia="Times New Roman" w:cs="Segoe UI"/>
          <w:kern w:val="0"/>
          <w:lang w:eastAsia="en-GB"/>
          <w14:ligatures w14:val="none"/>
        </w:rPr>
        <w:t xml:space="preserve"> agreed recommendations. To sustain momentum and support ongoing oversight, a dashboard is being developed to provide real-time data. This will be routinely reviewed and monitored through the </w:t>
      </w:r>
      <w:r w:rsidR="00241C8C" w:rsidRPr="00AA15F0">
        <w:rPr>
          <w:rFonts w:eastAsia="Times New Roman" w:cs="Segoe UI"/>
          <w:kern w:val="0"/>
          <w:lang w:eastAsia="en-GB"/>
          <w14:ligatures w14:val="none"/>
        </w:rPr>
        <w:t>Directorate</w:t>
      </w:r>
      <w:r w:rsidRPr="00AA15F0">
        <w:rPr>
          <w:rFonts w:eastAsia="Times New Roman" w:cs="Segoe UI"/>
          <w:kern w:val="0"/>
          <w:lang w:eastAsia="en-GB"/>
          <w14:ligatures w14:val="none"/>
        </w:rPr>
        <w:t xml:space="preserve"> Management Team (DMT) forum</w:t>
      </w:r>
      <w:r w:rsidR="008514A1">
        <w:rPr>
          <w:rFonts w:eastAsia="Times New Roman" w:cs="Segoe UI"/>
          <w:kern w:val="0"/>
          <w:lang w:eastAsia="en-GB"/>
          <w14:ligatures w14:val="none"/>
        </w:rPr>
        <w:t>.</w:t>
      </w:r>
      <w:r w:rsidR="00C609D1" w:rsidRPr="00AA15F0">
        <w:t xml:space="preserve">     </w:t>
      </w:r>
    </w:p>
    <w:p w14:paraId="38E7CBF9" w14:textId="3D4969F7" w:rsidR="000C66E2" w:rsidRPr="000C66E2" w:rsidRDefault="008514A1" w:rsidP="000C66E2">
      <w:pPr>
        <w:spacing w:after="0" w:line="300" w:lineRule="atLeast"/>
      </w:pPr>
      <w:r>
        <w:t>.</w:t>
      </w:r>
    </w:p>
    <w:p w14:paraId="4AC3941F" w14:textId="77777777" w:rsidR="00F0531D" w:rsidRPr="007A5C00" w:rsidRDefault="6C23C644" w:rsidP="00F0531D">
      <w:pPr>
        <w:framePr w:hSpace="180" w:wrap="around" w:vAnchor="text" w:hAnchor="margin" w:y="372"/>
        <w:spacing w:after="0" w:line="240" w:lineRule="auto"/>
        <w:rPr>
          <w:rFonts w:ascii="Aptos Narrow" w:eastAsia="Times New Roman" w:hAnsi="Aptos Narrow" w:cs="Times New Roman"/>
          <w:b/>
          <w:bCs/>
          <w:color w:val="000000"/>
          <w:kern w:val="0"/>
          <w:sz w:val="24"/>
          <w:szCs w:val="24"/>
          <w:lang w:eastAsia="en-GB"/>
          <w14:ligatures w14:val="none"/>
        </w:rPr>
      </w:pPr>
      <w:r>
        <w:rPr>
          <w:noProof/>
        </w:rPr>
        <w:drawing>
          <wp:inline distT="0" distB="0" distL="0" distR="0" wp14:anchorId="48085F7F" wp14:editId="26C582A5">
            <wp:extent cx="9464503" cy="4095750"/>
            <wp:effectExtent l="0" t="0" r="0" b="0"/>
            <wp:docPr id="185415378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153785" name="Picture 1854153785"/>
                    <pic:cNvPicPr/>
                  </pic:nvPicPr>
                  <pic:blipFill>
                    <a:blip r:embed="rId13">
                      <a:extLst>
                        <a:ext uri="{28A0092B-C50C-407E-A947-70E740481C1C}">
                          <a14:useLocalDpi xmlns:a14="http://schemas.microsoft.com/office/drawing/2010/main"/>
                        </a:ext>
                      </a:extLst>
                    </a:blip>
                    <a:stretch>
                      <a:fillRect/>
                    </a:stretch>
                  </pic:blipFill>
                  <pic:spPr>
                    <a:xfrm>
                      <a:off x="0" y="0"/>
                      <a:ext cx="9464503" cy="4095750"/>
                    </a:xfrm>
                    <a:prstGeom prst="rect">
                      <a:avLst/>
                    </a:prstGeom>
                  </pic:spPr>
                </pic:pic>
              </a:graphicData>
            </a:graphic>
          </wp:inline>
        </w:drawing>
      </w:r>
    </w:p>
    <w:p w14:paraId="1C9683B6" w14:textId="4A182FF8" w:rsidR="3B790C8A" w:rsidRDefault="00900564" w:rsidP="229DCD9D">
      <w:r>
        <w:rPr>
          <w:noProof/>
        </w:rPr>
        <w:drawing>
          <wp:anchor distT="0" distB="0" distL="114300" distR="114300" simplePos="0" relativeHeight="251658242" behindDoc="0" locked="0" layoutInCell="1" allowOverlap="1" wp14:anchorId="0D3B5C1E" wp14:editId="50E960E6">
            <wp:simplePos x="0" y="0"/>
            <wp:positionH relativeFrom="column">
              <wp:posOffset>157258</wp:posOffset>
            </wp:positionH>
            <wp:positionV relativeFrom="paragraph">
              <wp:posOffset>353695</wp:posOffset>
            </wp:positionV>
            <wp:extent cx="9344025" cy="5404673"/>
            <wp:effectExtent l="0" t="0" r="0" b="5715"/>
            <wp:wrapSquare wrapText="bothSides"/>
            <wp:docPr id="40872808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728087" name="Picture 408728087"/>
                    <pic:cNvPicPr/>
                  </pic:nvPicPr>
                  <pic:blipFill>
                    <a:blip r:embed="rId14">
                      <a:extLst>
                        <a:ext uri="{28A0092B-C50C-407E-A947-70E740481C1C}">
                          <a14:useLocalDpi xmlns:a14="http://schemas.microsoft.com/office/drawing/2010/main" val="0"/>
                        </a:ext>
                      </a:extLst>
                    </a:blip>
                    <a:stretch>
                      <a:fillRect/>
                    </a:stretch>
                  </pic:blipFill>
                  <pic:spPr>
                    <a:xfrm>
                      <a:off x="0" y="0"/>
                      <a:ext cx="9344025" cy="5404673"/>
                    </a:xfrm>
                    <a:prstGeom prst="rect">
                      <a:avLst/>
                    </a:prstGeom>
                  </pic:spPr>
                </pic:pic>
              </a:graphicData>
            </a:graphic>
          </wp:anchor>
        </w:drawing>
      </w:r>
    </w:p>
    <w:p w14:paraId="37FCD4CD" w14:textId="4D5567C6" w:rsidR="005A685C" w:rsidRDefault="003272C7" w:rsidP="0806CA8A">
      <w:pPr>
        <w:rPr>
          <w:rFonts w:eastAsiaTheme="minorEastAsia"/>
          <w:b/>
          <w:bCs/>
          <w:sz w:val="24"/>
          <w:szCs w:val="24"/>
        </w:rPr>
      </w:pPr>
      <w:r>
        <w:rPr>
          <w:rFonts w:eastAsiaTheme="minorEastAsia"/>
          <w:b/>
          <w:bCs/>
          <w:sz w:val="24"/>
          <w:szCs w:val="24"/>
        </w:rPr>
        <w:t xml:space="preserve">                                                                     </w:t>
      </w:r>
    </w:p>
    <w:p w14:paraId="39E6E40B" w14:textId="0266A668" w:rsidR="00397332" w:rsidRPr="008514A1" w:rsidRDefault="00397332" w:rsidP="0806CA8A">
      <w:pPr>
        <w:rPr>
          <w:rFonts w:eastAsiaTheme="minorEastAsia"/>
          <w:b/>
          <w:bCs/>
          <w:sz w:val="24"/>
          <w:szCs w:val="24"/>
        </w:rPr>
      </w:pPr>
      <w:r w:rsidRPr="008514A1">
        <w:rPr>
          <w:rFonts w:eastAsiaTheme="minorEastAsia"/>
          <w:b/>
          <w:bCs/>
          <w:sz w:val="24"/>
          <w:szCs w:val="24"/>
        </w:rPr>
        <w:t xml:space="preserve">Recommendations </w:t>
      </w:r>
      <w:r w:rsidR="00927BAF" w:rsidRPr="008514A1">
        <w:rPr>
          <w:rFonts w:eastAsiaTheme="minorEastAsia"/>
          <w:b/>
          <w:bCs/>
          <w:sz w:val="24"/>
          <w:szCs w:val="24"/>
        </w:rPr>
        <w:t>Summary</w:t>
      </w:r>
    </w:p>
    <w:p w14:paraId="3210A181" w14:textId="0DB02914" w:rsidR="006A05EF" w:rsidRPr="008514A1" w:rsidRDefault="006A05EF" w:rsidP="006A05EF">
      <w:pPr>
        <w:rPr>
          <w:rFonts w:eastAsiaTheme="minorEastAsia" w:cs="Arial"/>
        </w:rPr>
      </w:pPr>
      <w:r w:rsidRPr="008514A1">
        <w:rPr>
          <w:rFonts w:eastAsiaTheme="minorEastAsia" w:cs="Arial"/>
        </w:rPr>
        <w:t>The directorate has moved from recovery to stabilisation, now operating with improved governance, clearer leadership, stronger safety culture, and more consistent workforce processes. The next phase focuses on:</w:t>
      </w:r>
    </w:p>
    <w:p w14:paraId="43109AD8" w14:textId="77777777" w:rsidR="006A05EF" w:rsidRPr="008514A1" w:rsidRDefault="006A05EF" w:rsidP="006A05EF">
      <w:pPr>
        <w:rPr>
          <w:rFonts w:eastAsiaTheme="minorEastAsia" w:cs="Arial"/>
        </w:rPr>
      </w:pPr>
      <w:r w:rsidRPr="008514A1">
        <w:rPr>
          <w:rFonts w:eastAsiaTheme="minorEastAsia" w:cs="Arial"/>
        </w:rPr>
        <w:t>•</w:t>
      </w:r>
      <w:r w:rsidRPr="008514A1">
        <w:rPr>
          <w:rFonts w:eastAsiaTheme="minorEastAsia" w:cs="Arial"/>
        </w:rPr>
        <w:tab/>
        <w:t>Embedding cultural change (engagement charter, behavioural frameworks).</w:t>
      </w:r>
    </w:p>
    <w:p w14:paraId="6F112729" w14:textId="77777777" w:rsidR="006A05EF" w:rsidRPr="008514A1" w:rsidRDefault="006A05EF" w:rsidP="006A05EF">
      <w:pPr>
        <w:rPr>
          <w:rFonts w:eastAsiaTheme="minorEastAsia" w:cs="Arial"/>
        </w:rPr>
      </w:pPr>
      <w:r w:rsidRPr="008514A1">
        <w:rPr>
          <w:rFonts w:eastAsiaTheme="minorEastAsia" w:cs="Arial"/>
        </w:rPr>
        <w:t>•</w:t>
      </w:r>
      <w:r w:rsidRPr="008514A1">
        <w:rPr>
          <w:rFonts w:eastAsiaTheme="minorEastAsia" w:cs="Arial"/>
        </w:rPr>
        <w:tab/>
        <w:t>Completing demand and capacity modelling to inform sustainable service design.</w:t>
      </w:r>
    </w:p>
    <w:p w14:paraId="00182FCF" w14:textId="77777777" w:rsidR="006A05EF" w:rsidRPr="008514A1" w:rsidRDefault="006A05EF" w:rsidP="006A05EF">
      <w:pPr>
        <w:rPr>
          <w:rFonts w:eastAsiaTheme="minorEastAsia" w:cs="Arial"/>
        </w:rPr>
      </w:pPr>
      <w:r w:rsidRPr="008514A1">
        <w:rPr>
          <w:rFonts w:eastAsiaTheme="minorEastAsia" w:cs="Arial"/>
        </w:rPr>
        <w:t>•</w:t>
      </w:r>
      <w:r w:rsidRPr="008514A1">
        <w:rPr>
          <w:rFonts w:eastAsiaTheme="minorEastAsia" w:cs="Arial"/>
        </w:rPr>
        <w:tab/>
        <w:t>Implementing a formal Quality Management System.</w:t>
      </w:r>
    </w:p>
    <w:p w14:paraId="3AEEB87E" w14:textId="77777777" w:rsidR="006A05EF" w:rsidRPr="008514A1" w:rsidRDefault="006A05EF" w:rsidP="006A05EF">
      <w:pPr>
        <w:rPr>
          <w:rFonts w:eastAsiaTheme="minorEastAsia" w:cs="Arial"/>
        </w:rPr>
      </w:pPr>
      <w:r w:rsidRPr="008514A1">
        <w:rPr>
          <w:rFonts w:eastAsiaTheme="minorEastAsia" w:cs="Arial"/>
        </w:rPr>
        <w:t>•</w:t>
      </w:r>
      <w:r w:rsidRPr="008514A1">
        <w:rPr>
          <w:rFonts w:eastAsiaTheme="minorEastAsia" w:cs="Arial"/>
        </w:rPr>
        <w:tab/>
        <w:t>Advancing service redesign in outpatients, Cath labs, and subspecialist areas.</w:t>
      </w:r>
    </w:p>
    <w:p w14:paraId="73289EA0" w14:textId="77777777" w:rsidR="006A05EF" w:rsidRPr="008514A1" w:rsidRDefault="006A05EF" w:rsidP="006A05EF">
      <w:pPr>
        <w:rPr>
          <w:rFonts w:eastAsiaTheme="minorEastAsia" w:cs="Arial"/>
        </w:rPr>
      </w:pPr>
      <w:r w:rsidRPr="008514A1">
        <w:rPr>
          <w:rFonts w:eastAsiaTheme="minorEastAsia" w:cs="Arial"/>
        </w:rPr>
        <w:t>With these foundations in place, the directorate is positioned to achieve the long</w:t>
      </w:r>
      <w:r w:rsidRPr="008514A1">
        <w:rPr>
          <w:rFonts w:ascii="Cambria Math" w:eastAsiaTheme="minorEastAsia" w:hAnsi="Cambria Math" w:cs="Cambria Math"/>
        </w:rPr>
        <w:t>‑</w:t>
      </w:r>
      <w:r w:rsidRPr="008514A1">
        <w:rPr>
          <w:rFonts w:eastAsiaTheme="minorEastAsia" w:cs="Arial"/>
        </w:rPr>
        <w:t>term aim of a psychologically safe, cohesive, high</w:t>
      </w:r>
      <w:r w:rsidRPr="008514A1">
        <w:rPr>
          <w:rFonts w:ascii="Cambria Math" w:eastAsiaTheme="minorEastAsia" w:hAnsi="Cambria Math" w:cs="Cambria Math"/>
        </w:rPr>
        <w:t>‑</w:t>
      </w:r>
      <w:r w:rsidRPr="008514A1">
        <w:rPr>
          <w:rFonts w:eastAsiaTheme="minorEastAsia" w:cs="Arial"/>
        </w:rPr>
        <w:t>performing cardiology service.</w:t>
      </w:r>
    </w:p>
    <w:p w14:paraId="785A5A54" w14:textId="4192BAB6" w:rsidR="006A05EF" w:rsidRPr="00900564" w:rsidRDefault="006A05EF" w:rsidP="006A05EF">
      <w:pPr>
        <w:rPr>
          <w:rFonts w:eastAsiaTheme="minorEastAsia" w:cs="Arial"/>
        </w:rPr>
      </w:pPr>
      <w:r w:rsidRPr="00900564">
        <w:rPr>
          <w:rFonts w:eastAsiaTheme="minorEastAsia" w:cs="Arial"/>
        </w:rPr>
        <w:t>Summary Table</w:t>
      </w:r>
      <w:r w:rsidR="008514A1">
        <w:rPr>
          <w:rFonts w:eastAsiaTheme="minorEastAsia" w:cs="Arial"/>
        </w:rPr>
        <w:t>:</w:t>
      </w:r>
    </w:p>
    <w:tbl>
      <w:tblPr>
        <w:tblStyle w:val="TableGrid"/>
        <w:tblW w:w="0" w:type="auto"/>
        <w:tblLook w:val="06A0" w:firstRow="1" w:lastRow="0" w:firstColumn="1" w:lastColumn="0" w:noHBand="1" w:noVBand="1"/>
      </w:tblPr>
      <w:tblGrid>
        <w:gridCol w:w="2547"/>
        <w:gridCol w:w="2977"/>
      </w:tblGrid>
      <w:tr w:rsidR="00900564" w:rsidRPr="00900564" w14:paraId="12B4EC68" w14:textId="0F532A84" w:rsidTr="549B974B">
        <w:trPr>
          <w:trHeight w:val="300"/>
        </w:trPr>
        <w:tc>
          <w:tcPr>
            <w:tcW w:w="2547" w:type="dxa"/>
            <w:shd w:val="clear" w:color="auto" w:fill="C1E4F5" w:themeFill="accent1" w:themeFillTint="33"/>
          </w:tcPr>
          <w:p w14:paraId="18455747" w14:textId="326324F4" w:rsidR="00900564" w:rsidRPr="008F29BA" w:rsidRDefault="00900564" w:rsidP="005A685C">
            <w:pPr>
              <w:spacing w:after="160" w:line="259" w:lineRule="auto"/>
              <w:jc w:val="center"/>
              <w:rPr>
                <w:rFonts w:eastAsiaTheme="minorEastAsia"/>
                <w:b/>
                <w:bCs/>
              </w:rPr>
            </w:pPr>
            <w:r w:rsidRPr="008F29BA">
              <w:rPr>
                <w:rFonts w:eastAsiaTheme="minorEastAsia"/>
                <w:b/>
                <w:bCs/>
              </w:rPr>
              <w:t>Status</w:t>
            </w:r>
          </w:p>
        </w:tc>
        <w:tc>
          <w:tcPr>
            <w:tcW w:w="2977" w:type="dxa"/>
            <w:shd w:val="clear" w:color="auto" w:fill="C1E4F5" w:themeFill="accent1" w:themeFillTint="33"/>
          </w:tcPr>
          <w:p w14:paraId="3731F5F1" w14:textId="77777777" w:rsidR="00900564" w:rsidRPr="008F29BA" w:rsidRDefault="00900564" w:rsidP="005A685C">
            <w:pPr>
              <w:spacing w:after="160" w:line="259" w:lineRule="auto"/>
              <w:jc w:val="center"/>
              <w:rPr>
                <w:rFonts w:eastAsiaTheme="minorEastAsia"/>
                <w:b/>
                <w:bCs/>
              </w:rPr>
            </w:pPr>
            <w:r w:rsidRPr="008F29BA">
              <w:rPr>
                <w:rFonts w:eastAsiaTheme="minorEastAsia"/>
                <w:b/>
                <w:bCs/>
              </w:rPr>
              <w:t>No. Recommendations</w:t>
            </w:r>
          </w:p>
        </w:tc>
      </w:tr>
      <w:tr w:rsidR="00900564" w:rsidRPr="00900564" w14:paraId="707E151C" w14:textId="68845777" w:rsidTr="549B974B">
        <w:trPr>
          <w:trHeight w:val="300"/>
        </w:trPr>
        <w:tc>
          <w:tcPr>
            <w:tcW w:w="2547" w:type="dxa"/>
          </w:tcPr>
          <w:p w14:paraId="41DDFAB1" w14:textId="208D823A" w:rsidR="00900564" w:rsidRPr="00900564" w:rsidRDefault="00900564" w:rsidP="005A685C">
            <w:pPr>
              <w:spacing w:after="160" w:line="259" w:lineRule="auto"/>
              <w:jc w:val="center"/>
              <w:rPr>
                <w:rFonts w:eastAsiaTheme="minorEastAsia"/>
              </w:rPr>
            </w:pPr>
            <w:r w:rsidRPr="00900564">
              <w:rPr>
                <w:rFonts w:eastAsiaTheme="minorEastAsia"/>
              </w:rPr>
              <w:t>In Progress</w:t>
            </w:r>
          </w:p>
        </w:tc>
        <w:tc>
          <w:tcPr>
            <w:tcW w:w="2977" w:type="dxa"/>
          </w:tcPr>
          <w:p w14:paraId="7BE738E1" w14:textId="5EDD493A" w:rsidR="00900564" w:rsidRPr="00900564" w:rsidRDefault="25D6BDC0" w:rsidP="549B974B">
            <w:pPr>
              <w:spacing w:after="160" w:line="259" w:lineRule="auto"/>
              <w:jc w:val="center"/>
              <w:rPr>
                <w:rFonts w:eastAsiaTheme="minorEastAsia"/>
              </w:rPr>
            </w:pPr>
            <w:r w:rsidRPr="549B974B">
              <w:rPr>
                <w:rFonts w:eastAsiaTheme="minorEastAsia"/>
              </w:rPr>
              <w:t xml:space="preserve"> </w:t>
            </w:r>
            <w:r w:rsidR="2D3ED18E" w:rsidRPr="549B974B">
              <w:rPr>
                <w:rFonts w:eastAsiaTheme="minorEastAsia"/>
              </w:rPr>
              <w:t>32</w:t>
            </w:r>
            <w:r w:rsidR="003272C7" w:rsidRPr="549B974B">
              <w:rPr>
                <w:rFonts w:eastAsiaTheme="minorEastAsia"/>
              </w:rPr>
              <w:t xml:space="preserve">                                                             </w:t>
            </w:r>
          </w:p>
        </w:tc>
      </w:tr>
      <w:tr w:rsidR="00900564" w:rsidRPr="00900564" w14:paraId="584F512B" w14:textId="7310B51F" w:rsidTr="549B974B">
        <w:trPr>
          <w:trHeight w:val="300"/>
        </w:trPr>
        <w:tc>
          <w:tcPr>
            <w:tcW w:w="2547" w:type="dxa"/>
          </w:tcPr>
          <w:p w14:paraId="2FFCB94D" w14:textId="6FC9BFE3" w:rsidR="00900564" w:rsidRPr="00900564" w:rsidRDefault="00900564" w:rsidP="005A685C">
            <w:pPr>
              <w:spacing w:after="160" w:line="259" w:lineRule="auto"/>
              <w:jc w:val="center"/>
              <w:rPr>
                <w:rFonts w:eastAsiaTheme="minorEastAsia"/>
              </w:rPr>
            </w:pPr>
            <w:r w:rsidRPr="00900564">
              <w:rPr>
                <w:rFonts w:eastAsiaTheme="minorEastAsia"/>
              </w:rPr>
              <w:t>Completed</w:t>
            </w:r>
          </w:p>
        </w:tc>
        <w:tc>
          <w:tcPr>
            <w:tcW w:w="2977" w:type="dxa"/>
          </w:tcPr>
          <w:p w14:paraId="0D5D88A1" w14:textId="03D9E26B" w:rsidR="00900564" w:rsidRPr="00900564" w:rsidRDefault="003272C7" w:rsidP="74638290">
            <w:pPr>
              <w:spacing w:after="160" w:line="259" w:lineRule="auto"/>
              <w:jc w:val="center"/>
              <w:rPr>
                <w:rFonts w:eastAsiaTheme="minorEastAsia"/>
              </w:rPr>
            </w:pPr>
            <w:r>
              <w:rPr>
                <w:rFonts w:eastAsiaTheme="minorEastAsia"/>
              </w:rPr>
              <w:t>30</w:t>
            </w:r>
          </w:p>
        </w:tc>
      </w:tr>
      <w:tr w:rsidR="00900564" w:rsidRPr="00900564" w14:paraId="1C8408CF" w14:textId="6128BAAC" w:rsidTr="549B974B">
        <w:trPr>
          <w:trHeight w:val="300"/>
        </w:trPr>
        <w:tc>
          <w:tcPr>
            <w:tcW w:w="2547" w:type="dxa"/>
          </w:tcPr>
          <w:p w14:paraId="75E9BFCD" w14:textId="29D358FC" w:rsidR="00900564" w:rsidRPr="00900564" w:rsidRDefault="00900564" w:rsidP="005A685C">
            <w:pPr>
              <w:spacing w:after="160" w:line="259" w:lineRule="auto"/>
              <w:jc w:val="center"/>
              <w:rPr>
                <w:rFonts w:eastAsiaTheme="minorEastAsia"/>
              </w:rPr>
            </w:pPr>
            <w:r w:rsidRPr="00900564">
              <w:rPr>
                <w:rFonts w:eastAsiaTheme="minorEastAsia"/>
              </w:rPr>
              <w:t>Not Started</w:t>
            </w:r>
          </w:p>
        </w:tc>
        <w:tc>
          <w:tcPr>
            <w:tcW w:w="2977" w:type="dxa"/>
          </w:tcPr>
          <w:p w14:paraId="23700BDE" w14:textId="14F7D628" w:rsidR="00900564" w:rsidRPr="00900564" w:rsidRDefault="00531FD0" w:rsidP="74638290">
            <w:pPr>
              <w:spacing w:after="160" w:line="259" w:lineRule="auto"/>
              <w:jc w:val="center"/>
              <w:rPr>
                <w:rFonts w:eastAsiaTheme="minorEastAsia"/>
              </w:rPr>
            </w:pPr>
            <w:r>
              <w:rPr>
                <w:rFonts w:eastAsiaTheme="minorEastAsia"/>
              </w:rPr>
              <w:t>6</w:t>
            </w:r>
          </w:p>
        </w:tc>
      </w:tr>
      <w:tr w:rsidR="00900564" w:rsidRPr="00900564" w14:paraId="378BFF14" w14:textId="66EA5C7E" w:rsidTr="549B974B">
        <w:trPr>
          <w:trHeight w:val="300"/>
        </w:trPr>
        <w:tc>
          <w:tcPr>
            <w:tcW w:w="2547" w:type="dxa"/>
          </w:tcPr>
          <w:p w14:paraId="1052B9C7" w14:textId="2C097638" w:rsidR="00900564" w:rsidRPr="00900564" w:rsidRDefault="00900564" w:rsidP="005A685C">
            <w:pPr>
              <w:spacing w:after="160" w:line="259" w:lineRule="auto"/>
              <w:jc w:val="center"/>
              <w:rPr>
                <w:rFonts w:eastAsiaTheme="minorEastAsia"/>
              </w:rPr>
            </w:pPr>
            <w:r w:rsidRPr="00900564">
              <w:rPr>
                <w:rFonts w:eastAsiaTheme="minorEastAsia"/>
              </w:rPr>
              <w:t>De-Scoped</w:t>
            </w:r>
          </w:p>
        </w:tc>
        <w:tc>
          <w:tcPr>
            <w:tcW w:w="2977" w:type="dxa"/>
          </w:tcPr>
          <w:p w14:paraId="50ADD332" w14:textId="02DF6D3D" w:rsidR="00900564" w:rsidRPr="00900564" w:rsidRDefault="00531FD0" w:rsidP="74638290">
            <w:pPr>
              <w:spacing w:after="160" w:line="259" w:lineRule="auto"/>
              <w:jc w:val="center"/>
              <w:rPr>
                <w:rFonts w:eastAsiaTheme="minorEastAsia"/>
              </w:rPr>
            </w:pPr>
            <w:r>
              <w:rPr>
                <w:rFonts w:eastAsiaTheme="minorEastAsia"/>
              </w:rPr>
              <w:t>3</w:t>
            </w:r>
          </w:p>
        </w:tc>
      </w:tr>
    </w:tbl>
    <w:p w14:paraId="5557C5EC" w14:textId="77777777" w:rsidR="00927BAF" w:rsidRDefault="00927BAF" w:rsidP="005A685C">
      <w:pPr>
        <w:jc w:val="center"/>
        <w:rPr>
          <w:rFonts w:eastAsiaTheme="minorEastAsia"/>
          <w:sz w:val="28"/>
          <w:szCs w:val="28"/>
        </w:rPr>
      </w:pPr>
    </w:p>
    <w:p w14:paraId="74E545FF" w14:textId="77777777" w:rsidR="00927BAF" w:rsidRDefault="00927BAF" w:rsidP="0806CA8A">
      <w:pPr>
        <w:rPr>
          <w:rFonts w:eastAsiaTheme="minorEastAsia"/>
          <w:sz w:val="28"/>
          <w:szCs w:val="28"/>
        </w:rPr>
      </w:pPr>
    </w:p>
    <w:p w14:paraId="17860475" w14:textId="77777777" w:rsidR="00C85E38" w:rsidRDefault="00C85E38" w:rsidP="5F996B1C">
      <w:pPr>
        <w:rPr>
          <w:rFonts w:eastAsiaTheme="minorEastAsia"/>
          <w:b/>
          <w:bCs/>
          <w:sz w:val="24"/>
          <w:szCs w:val="24"/>
        </w:rPr>
      </w:pPr>
    </w:p>
    <w:p w14:paraId="2D297B87" w14:textId="77777777" w:rsidR="001D4AD5" w:rsidRDefault="001D4AD5" w:rsidP="00C85E38">
      <w:pPr>
        <w:rPr>
          <w:rFonts w:eastAsiaTheme="minorEastAsia"/>
          <w:b/>
          <w:bCs/>
        </w:rPr>
      </w:pPr>
    </w:p>
    <w:p w14:paraId="06062723" w14:textId="77777777" w:rsidR="001D4AD5" w:rsidRDefault="001D4AD5" w:rsidP="00C85E38">
      <w:pPr>
        <w:rPr>
          <w:rFonts w:eastAsiaTheme="minorEastAsia"/>
          <w:b/>
          <w:bCs/>
        </w:rPr>
      </w:pPr>
    </w:p>
    <w:p w14:paraId="1E0A917E" w14:textId="2F310128" w:rsidR="00927BAF" w:rsidRPr="00C85E38" w:rsidRDefault="36DD155C" w:rsidP="00C85E38">
      <w:pPr>
        <w:rPr>
          <w:rFonts w:eastAsiaTheme="minorEastAsia"/>
          <w:b/>
          <w:bCs/>
        </w:rPr>
      </w:pPr>
      <w:r w:rsidRPr="00C85E38">
        <w:rPr>
          <w:rFonts w:eastAsiaTheme="minorEastAsia"/>
          <w:b/>
          <w:bCs/>
        </w:rPr>
        <w:t>Recommendation Updates</w:t>
      </w:r>
    </w:p>
    <w:tbl>
      <w:tblPr>
        <w:tblW w:w="0" w:type="auto"/>
        <w:tblInd w:w="-195" w:type="dxa"/>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Look w:val="06A0" w:firstRow="1" w:lastRow="0" w:firstColumn="1" w:lastColumn="0" w:noHBand="1" w:noVBand="1"/>
      </w:tblPr>
      <w:tblGrid>
        <w:gridCol w:w="492"/>
        <w:gridCol w:w="2001"/>
        <w:gridCol w:w="2489"/>
        <w:gridCol w:w="2640"/>
        <w:gridCol w:w="3515"/>
        <w:gridCol w:w="1097"/>
        <w:gridCol w:w="2549"/>
        <w:gridCol w:w="794"/>
      </w:tblGrid>
      <w:tr w:rsidR="004E7F1B" w14:paraId="03447A26" w14:textId="77777777" w:rsidTr="308A940C">
        <w:trPr>
          <w:trHeight w:val="795"/>
          <w:tblHeader/>
        </w:trPr>
        <w:tc>
          <w:tcPr>
            <w:tcW w:w="492" w:type="dxa"/>
            <w:shd w:val="clear" w:color="auto" w:fill="FFC000"/>
            <w:tcMar>
              <w:top w:w="15" w:type="dxa"/>
              <w:left w:w="15" w:type="dxa"/>
              <w:right w:w="15" w:type="dxa"/>
            </w:tcMar>
            <w:vAlign w:val="center"/>
          </w:tcPr>
          <w:p w14:paraId="5DC47A01"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Rec.</w:t>
            </w:r>
          </w:p>
        </w:tc>
        <w:tc>
          <w:tcPr>
            <w:tcW w:w="2001" w:type="dxa"/>
            <w:shd w:val="clear" w:color="auto" w:fill="FFC000"/>
            <w:tcMar>
              <w:top w:w="15" w:type="dxa"/>
              <w:left w:w="15" w:type="dxa"/>
              <w:right w:w="15" w:type="dxa"/>
            </w:tcMar>
            <w:vAlign w:val="center"/>
          </w:tcPr>
          <w:p w14:paraId="558972DF"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Recommendation</w:t>
            </w:r>
          </w:p>
        </w:tc>
        <w:tc>
          <w:tcPr>
            <w:tcW w:w="2489" w:type="dxa"/>
            <w:shd w:val="clear" w:color="auto" w:fill="FFC000"/>
            <w:tcMar>
              <w:top w:w="15" w:type="dxa"/>
              <w:left w:w="15" w:type="dxa"/>
              <w:right w:w="15" w:type="dxa"/>
            </w:tcMar>
            <w:vAlign w:val="center"/>
          </w:tcPr>
          <w:p w14:paraId="1508AE2E"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Description</w:t>
            </w:r>
          </w:p>
        </w:tc>
        <w:tc>
          <w:tcPr>
            <w:tcW w:w="2640" w:type="dxa"/>
            <w:shd w:val="clear" w:color="auto" w:fill="FFC000"/>
            <w:tcMar>
              <w:top w:w="15" w:type="dxa"/>
              <w:left w:w="15" w:type="dxa"/>
              <w:right w:w="15" w:type="dxa"/>
            </w:tcMar>
            <w:vAlign w:val="center"/>
          </w:tcPr>
          <w:p w14:paraId="090ED409"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Aim</w:t>
            </w:r>
          </w:p>
        </w:tc>
        <w:tc>
          <w:tcPr>
            <w:tcW w:w="3515" w:type="dxa"/>
            <w:shd w:val="clear" w:color="auto" w:fill="FFC000"/>
            <w:tcMar>
              <w:top w:w="15" w:type="dxa"/>
              <w:left w:w="15" w:type="dxa"/>
              <w:right w:w="15" w:type="dxa"/>
            </w:tcMar>
            <w:vAlign w:val="center"/>
          </w:tcPr>
          <w:p w14:paraId="18E90F06"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Deliverable Outcomes</w:t>
            </w:r>
          </w:p>
        </w:tc>
        <w:tc>
          <w:tcPr>
            <w:tcW w:w="1097" w:type="dxa"/>
            <w:shd w:val="clear" w:color="auto" w:fill="FFC000"/>
            <w:tcMar>
              <w:top w:w="15" w:type="dxa"/>
              <w:left w:w="15" w:type="dxa"/>
              <w:right w:w="15" w:type="dxa"/>
            </w:tcMar>
            <w:vAlign w:val="center"/>
          </w:tcPr>
          <w:p w14:paraId="3FF22409"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Expected Completion Date</w:t>
            </w:r>
          </w:p>
        </w:tc>
        <w:tc>
          <w:tcPr>
            <w:tcW w:w="2549" w:type="dxa"/>
            <w:shd w:val="clear" w:color="auto" w:fill="FFC000"/>
            <w:tcMar>
              <w:top w:w="15" w:type="dxa"/>
              <w:left w:w="15" w:type="dxa"/>
              <w:right w:w="15" w:type="dxa"/>
            </w:tcMar>
            <w:vAlign w:val="center"/>
          </w:tcPr>
          <w:p w14:paraId="475D325A"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Updates</w:t>
            </w:r>
          </w:p>
        </w:tc>
        <w:tc>
          <w:tcPr>
            <w:tcW w:w="794" w:type="dxa"/>
            <w:shd w:val="clear" w:color="auto" w:fill="FFC000"/>
            <w:tcMar>
              <w:top w:w="15" w:type="dxa"/>
              <w:left w:w="15" w:type="dxa"/>
              <w:right w:w="15" w:type="dxa"/>
            </w:tcMar>
            <w:vAlign w:val="center"/>
          </w:tcPr>
          <w:p w14:paraId="5D6192AA" w14:textId="77777777" w:rsidR="00800F93" w:rsidRPr="0037794D" w:rsidRDefault="00800F93" w:rsidP="004E2237">
            <w:pPr>
              <w:spacing w:after="0"/>
              <w:jc w:val="center"/>
              <w:rPr>
                <w:rFonts w:ascii="Calibri" w:hAnsi="Calibri" w:cs="Calibri"/>
                <w:sz w:val="15"/>
                <w:szCs w:val="15"/>
              </w:rPr>
            </w:pPr>
            <w:r w:rsidRPr="0037794D">
              <w:rPr>
                <w:rFonts w:ascii="Calibri" w:eastAsia="Calibri" w:hAnsi="Calibri" w:cs="Calibri"/>
                <w:b/>
                <w:bCs/>
                <w:color w:val="000000" w:themeColor="text1"/>
                <w:sz w:val="15"/>
                <w:szCs w:val="15"/>
              </w:rPr>
              <w:t>Status</w:t>
            </w:r>
          </w:p>
        </w:tc>
      </w:tr>
      <w:tr w:rsidR="004E7F1B" w14:paraId="770934DE" w14:textId="77777777" w:rsidTr="001D4AD5">
        <w:trPr>
          <w:trHeight w:val="2494"/>
        </w:trPr>
        <w:tc>
          <w:tcPr>
            <w:tcW w:w="492" w:type="dxa"/>
            <w:tcMar>
              <w:top w:w="15" w:type="dxa"/>
              <w:left w:w="15" w:type="dxa"/>
              <w:right w:w="15" w:type="dxa"/>
            </w:tcMar>
          </w:tcPr>
          <w:p w14:paraId="750EB6F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w:t>
            </w:r>
          </w:p>
        </w:tc>
        <w:tc>
          <w:tcPr>
            <w:tcW w:w="2001" w:type="dxa"/>
            <w:tcMar>
              <w:top w:w="15" w:type="dxa"/>
              <w:left w:w="15" w:type="dxa"/>
              <w:right w:w="15" w:type="dxa"/>
            </w:tcMar>
          </w:tcPr>
          <w:p w14:paraId="508E975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Act on concerns about individuals not aligning with organisational values via appropriate policies.</w:t>
            </w:r>
          </w:p>
        </w:tc>
        <w:tc>
          <w:tcPr>
            <w:tcW w:w="2489" w:type="dxa"/>
            <w:tcMar>
              <w:top w:w="15" w:type="dxa"/>
              <w:left w:w="15" w:type="dxa"/>
              <w:right w:w="15" w:type="dxa"/>
            </w:tcMar>
          </w:tcPr>
          <w:p w14:paraId="09510BED" w14:textId="0CED4950"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Throughout the review, the team have identified a small number of individuals who have worked outside the values and behaviours of the organisation</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 xml:space="preserve">Whilst these individuals will not be individually referred to within the report, an addendum report has been supplied, that outlines the concerning themes and recommendations for action under the appropriate Policies &amp; Procedures. These need to be acted upon. </w:t>
            </w:r>
          </w:p>
        </w:tc>
        <w:tc>
          <w:tcPr>
            <w:tcW w:w="2640" w:type="dxa"/>
            <w:tcMar>
              <w:top w:w="15" w:type="dxa"/>
              <w:left w:w="15" w:type="dxa"/>
              <w:right w:w="15" w:type="dxa"/>
            </w:tcMar>
          </w:tcPr>
          <w:p w14:paraId="0543275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To address and act upon behavioural concerns identified during the organisational review, ensuring alignment with the organisation’s values and behaviours through appropriate policy-driven actions.</w:t>
            </w:r>
          </w:p>
        </w:tc>
        <w:tc>
          <w:tcPr>
            <w:tcW w:w="3515" w:type="dxa"/>
            <w:tcMar>
              <w:top w:w="15" w:type="dxa"/>
              <w:left w:w="15" w:type="dxa"/>
              <w:right w:w="15" w:type="dxa"/>
            </w:tcMar>
          </w:tcPr>
          <w:p w14:paraId="7C49F15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Key behavioural concerns have been identified.</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Organisational values and policies are reinforced.</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Step are taken to improve accountability.</w:t>
            </w:r>
          </w:p>
        </w:tc>
        <w:tc>
          <w:tcPr>
            <w:tcW w:w="1097" w:type="dxa"/>
            <w:tcMar>
              <w:top w:w="15" w:type="dxa"/>
              <w:left w:w="15" w:type="dxa"/>
              <w:right w:w="15" w:type="dxa"/>
            </w:tcMar>
          </w:tcPr>
          <w:p w14:paraId="3BBBF57D"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December 31, 2026</w:t>
            </w:r>
          </w:p>
        </w:tc>
        <w:tc>
          <w:tcPr>
            <w:tcW w:w="2549" w:type="dxa"/>
            <w:tcMar>
              <w:top w:w="15" w:type="dxa"/>
              <w:left w:w="15" w:type="dxa"/>
              <w:right w:w="15" w:type="dxa"/>
            </w:tcMar>
          </w:tcPr>
          <w:p w14:paraId="34C58B7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Ongoing process.</w:t>
            </w:r>
          </w:p>
        </w:tc>
        <w:tc>
          <w:tcPr>
            <w:tcW w:w="794" w:type="dxa"/>
            <w:shd w:val="clear" w:color="auto" w:fill="B3E5A1" w:themeFill="accent6" w:themeFillTint="66"/>
            <w:tcMar>
              <w:top w:w="15" w:type="dxa"/>
              <w:left w:w="15" w:type="dxa"/>
              <w:right w:w="15" w:type="dxa"/>
            </w:tcMar>
          </w:tcPr>
          <w:p w14:paraId="1983F98C"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334B646F" w14:textId="77777777" w:rsidTr="00623585">
        <w:trPr>
          <w:trHeight w:val="2494"/>
        </w:trPr>
        <w:tc>
          <w:tcPr>
            <w:tcW w:w="492" w:type="dxa"/>
            <w:tcMar>
              <w:top w:w="15" w:type="dxa"/>
              <w:left w:w="15" w:type="dxa"/>
              <w:right w:w="15" w:type="dxa"/>
            </w:tcMar>
          </w:tcPr>
          <w:p w14:paraId="373E0DA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2.1</w:t>
            </w:r>
          </w:p>
        </w:tc>
        <w:tc>
          <w:tcPr>
            <w:tcW w:w="2001" w:type="dxa"/>
            <w:tcMar>
              <w:top w:w="15" w:type="dxa"/>
              <w:left w:w="15" w:type="dxa"/>
              <w:right w:w="15" w:type="dxa"/>
            </w:tcMar>
          </w:tcPr>
          <w:p w14:paraId="629E93D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Introduce hot and structured debriefs (e.g. MedTRIM) after challenging clinical events.</w:t>
            </w:r>
          </w:p>
        </w:tc>
        <w:tc>
          <w:tcPr>
            <w:tcW w:w="2489" w:type="dxa"/>
            <w:tcMar>
              <w:top w:w="15" w:type="dxa"/>
              <w:left w:w="15" w:type="dxa"/>
              <w:right w:w="15" w:type="dxa"/>
            </w:tcMar>
          </w:tcPr>
          <w:p w14:paraId="78996BB9" w14:textId="7245313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Cardiology Directorate should implement hot debriefs as well as structured debriefs, such as MedTRIM to support improved management, communication, learning and support for teams and individuals following challenging clinical </w:t>
            </w:r>
            <w:r w:rsidR="00497FD3" w:rsidRPr="0037794D">
              <w:rPr>
                <w:rFonts w:ascii="Calibri" w:eastAsia="Calibri" w:hAnsi="Calibri" w:cs="Calibri"/>
                <w:color w:val="000000" w:themeColor="text1"/>
                <w:sz w:val="15"/>
                <w:szCs w:val="15"/>
              </w:rPr>
              <w:t>situations</w:t>
            </w:r>
            <w:r w:rsidR="00497FD3">
              <w:rPr>
                <w:rFonts w:ascii="Calibri" w:eastAsia="Calibri" w:hAnsi="Calibri" w:cs="Calibri"/>
                <w:color w:val="000000" w:themeColor="text1"/>
                <w:sz w:val="15"/>
                <w:szCs w:val="15"/>
              </w:rPr>
              <w:t>.</w:t>
            </w:r>
          </w:p>
        </w:tc>
        <w:tc>
          <w:tcPr>
            <w:tcW w:w="2640" w:type="dxa"/>
            <w:tcMar>
              <w:top w:w="15" w:type="dxa"/>
              <w:left w:w="15" w:type="dxa"/>
              <w:right w:w="15" w:type="dxa"/>
            </w:tcMar>
          </w:tcPr>
          <w:p w14:paraId="30C69E4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Strengthen team communication, enhance learning from challenging clinical events, and improve emotional and professional support for staff.</w:t>
            </w:r>
          </w:p>
        </w:tc>
        <w:tc>
          <w:tcPr>
            <w:tcW w:w="3515" w:type="dxa"/>
            <w:tcMar>
              <w:top w:w="15" w:type="dxa"/>
              <w:left w:w="15" w:type="dxa"/>
              <w:right w:w="15" w:type="dxa"/>
            </w:tcMar>
          </w:tcPr>
          <w:p w14:paraId="4EB1FBC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consistency and quality of post</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event learning and reflection.</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team communication and shared understanding following critical incidents.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Better emotional wellbeing and support for staff involved in challenging situations.</w:t>
            </w:r>
          </w:p>
        </w:tc>
        <w:tc>
          <w:tcPr>
            <w:tcW w:w="1097" w:type="dxa"/>
            <w:tcMar>
              <w:top w:w="15" w:type="dxa"/>
              <w:left w:w="15" w:type="dxa"/>
              <w:right w:w="15" w:type="dxa"/>
            </w:tcMar>
          </w:tcPr>
          <w:p w14:paraId="1D15DFA9"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September 29, 2026</w:t>
            </w:r>
          </w:p>
        </w:tc>
        <w:tc>
          <w:tcPr>
            <w:tcW w:w="2549" w:type="dxa"/>
            <w:tcMar>
              <w:top w:w="15" w:type="dxa"/>
              <w:left w:w="15" w:type="dxa"/>
              <w:right w:w="15" w:type="dxa"/>
            </w:tcMar>
          </w:tcPr>
          <w:p w14:paraId="6B32175B" w14:textId="4C844E61"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 lead has been identified, with a start date expected within the next 2 - 3 months. A Focus Group will be established once the lead is in post. In the </w:t>
            </w:r>
            <w:r w:rsidR="00995B79" w:rsidRPr="0037794D">
              <w:rPr>
                <w:rFonts w:ascii="Calibri" w:eastAsia="Calibri" w:hAnsi="Calibri" w:cs="Calibri"/>
                <w:color w:val="000000" w:themeColor="text1"/>
                <w:sz w:val="15"/>
                <w:szCs w:val="15"/>
              </w:rPr>
              <w:t>meantime,</w:t>
            </w:r>
            <w:r w:rsidRPr="0037794D">
              <w:rPr>
                <w:rFonts w:ascii="Calibri" w:eastAsia="Calibri" w:hAnsi="Calibri" w:cs="Calibri"/>
                <w:color w:val="000000" w:themeColor="text1"/>
                <w:sz w:val="15"/>
                <w:szCs w:val="15"/>
              </w:rPr>
              <w:t xml:space="preserve"> insight and learning from other areas on structured debrief processes is being gathered, with the aim for the Focus Group to review and tailor an approach for Cardiology. A full implementation plan, will also be developed as part of this focus group.</w:t>
            </w:r>
          </w:p>
        </w:tc>
        <w:tc>
          <w:tcPr>
            <w:tcW w:w="794" w:type="dxa"/>
            <w:shd w:val="clear" w:color="auto" w:fill="B3E5A1" w:themeFill="accent6" w:themeFillTint="66"/>
            <w:tcMar>
              <w:top w:w="15" w:type="dxa"/>
              <w:left w:w="15" w:type="dxa"/>
              <w:right w:w="15" w:type="dxa"/>
            </w:tcMar>
          </w:tcPr>
          <w:p w14:paraId="7BB6EA67"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CEA09BF" w14:textId="77777777" w:rsidTr="308A940C">
        <w:trPr>
          <w:trHeight w:val="4535"/>
        </w:trPr>
        <w:tc>
          <w:tcPr>
            <w:tcW w:w="492" w:type="dxa"/>
            <w:tcMar>
              <w:top w:w="15" w:type="dxa"/>
              <w:left w:w="15" w:type="dxa"/>
              <w:right w:w="15" w:type="dxa"/>
            </w:tcMar>
          </w:tcPr>
          <w:p w14:paraId="6E58C94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2.2</w:t>
            </w:r>
          </w:p>
        </w:tc>
        <w:tc>
          <w:tcPr>
            <w:tcW w:w="2001" w:type="dxa"/>
            <w:tcMar>
              <w:top w:w="15" w:type="dxa"/>
              <w:left w:w="15" w:type="dxa"/>
              <w:right w:w="15" w:type="dxa"/>
            </w:tcMar>
          </w:tcPr>
          <w:p w14:paraId="5F2E38D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Provide Civility Saves Lives training across all cardiology staff groups.</w:t>
            </w:r>
          </w:p>
        </w:tc>
        <w:tc>
          <w:tcPr>
            <w:tcW w:w="2489" w:type="dxa"/>
            <w:tcMar>
              <w:top w:w="15" w:type="dxa"/>
              <w:left w:w="15" w:type="dxa"/>
              <w:right w:w="15" w:type="dxa"/>
            </w:tcMar>
          </w:tcPr>
          <w:p w14:paraId="0B46F210" w14:textId="56EB7AC4"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should implement specific training on Civility Saves Lives across all professional groups within in cardiology</w:t>
            </w:r>
            <w:r w:rsidR="005C3D93"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3BC1098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Promote a consistently respectful, supportive, and high</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performing team culture within the Cardiology Directorate.</w:t>
            </w:r>
          </w:p>
        </w:tc>
        <w:tc>
          <w:tcPr>
            <w:tcW w:w="3515" w:type="dxa"/>
            <w:tcMar>
              <w:top w:w="15" w:type="dxa"/>
              <w:left w:w="15" w:type="dxa"/>
              <w:right w:w="15" w:type="dxa"/>
            </w:tcMar>
          </w:tcPr>
          <w:p w14:paraId="779694D1" w14:textId="6A8AAB0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understanding of the impact of behaviours on team performance and patient safety.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Increased confidence among staff to address incivility constructively</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Strengthened culture of respect, collaboration, and psychological safety.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Reduction </w:t>
            </w:r>
            <w:r w:rsidR="00995B79" w:rsidRPr="0037794D">
              <w:rPr>
                <w:rFonts w:ascii="Calibri" w:eastAsia="Calibri" w:hAnsi="Calibri" w:cs="Calibri"/>
                <w:color w:val="000000" w:themeColor="text1"/>
                <w:sz w:val="15"/>
                <w:szCs w:val="15"/>
              </w:rPr>
              <w:t>in incidents</w:t>
            </w:r>
            <w:r w:rsidRPr="0037794D">
              <w:rPr>
                <w:rFonts w:ascii="Calibri" w:eastAsia="Calibri" w:hAnsi="Calibri" w:cs="Calibri"/>
                <w:color w:val="000000" w:themeColor="text1"/>
                <w:sz w:val="15"/>
                <w:szCs w:val="15"/>
              </w:rPr>
              <w:t xml:space="preserve"> linked to poor communication or unprofessional behaviours.</w:t>
            </w:r>
          </w:p>
        </w:tc>
        <w:tc>
          <w:tcPr>
            <w:tcW w:w="1097" w:type="dxa"/>
            <w:tcMar>
              <w:top w:w="15" w:type="dxa"/>
              <w:left w:w="15" w:type="dxa"/>
              <w:right w:w="15" w:type="dxa"/>
            </w:tcMar>
          </w:tcPr>
          <w:p w14:paraId="66D818E6"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June 28, 2026</w:t>
            </w:r>
          </w:p>
        </w:tc>
        <w:tc>
          <w:tcPr>
            <w:tcW w:w="2549" w:type="dxa"/>
            <w:tcMar>
              <w:top w:w="15" w:type="dxa"/>
              <w:left w:w="15" w:type="dxa"/>
              <w:right w:w="15" w:type="dxa"/>
            </w:tcMar>
          </w:tcPr>
          <w:p w14:paraId="0B401CE1" w14:textId="6C2D011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Task and Finish Group, chaired by people and Culture has been established; with representatives from all disciplines and Trade Union</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The aim of the group is to develop a detailed roll out plan, tailoring the approach to each staff group.</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w:t>
            </w:r>
            <w:r w:rsidRPr="0037794D">
              <w:rPr>
                <w:rFonts w:ascii="Calibri" w:hAnsi="Calibri" w:cs="Calibri"/>
                <w:sz w:val="15"/>
                <w:szCs w:val="15"/>
              </w:rPr>
              <w:br/>
            </w:r>
            <w:r w:rsidRPr="0037794D">
              <w:rPr>
                <w:rFonts w:ascii="Calibri" w:eastAsia="Calibri" w:hAnsi="Calibri" w:cs="Calibri"/>
                <w:color w:val="000000" w:themeColor="text1"/>
                <w:sz w:val="15"/>
                <w:szCs w:val="15"/>
              </w:rPr>
              <w:t>Planned sessions to date: -</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18th May 2026</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GMC session on Professionalism, including Civility Saves Lives to be held for cardiology consultant team.</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7th May 2026</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GMC session on Professionalism, including Civility Saves Lives held for cardiac surgery team including surgeons, anaesthetists, scrub team, ODP, perfusion team &amp; trainees.</w:t>
            </w:r>
          </w:p>
        </w:tc>
        <w:tc>
          <w:tcPr>
            <w:tcW w:w="794" w:type="dxa"/>
            <w:shd w:val="clear" w:color="auto" w:fill="B3E5A1" w:themeFill="accent6" w:themeFillTint="66"/>
            <w:tcMar>
              <w:top w:w="15" w:type="dxa"/>
              <w:left w:w="15" w:type="dxa"/>
              <w:right w:w="15" w:type="dxa"/>
            </w:tcMar>
          </w:tcPr>
          <w:p w14:paraId="35A097BD" w14:textId="77777777" w:rsidR="00800F93" w:rsidRPr="00623585" w:rsidRDefault="00800F93" w:rsidP="00800F93">
            <w:pPr>
              <w:spacing w:after="0"/>
              <w:jc w:val="center"/>
              <w:rPr>
                <w:rFonts w:ascii="Calibri" w:hAnsi="Calibri" w:cs="Calibri"/>
                <w:b/>
                <w:bCs/>
                <w:sz w:val="15"/>
                <w:szCs w:val="15"/>
              </w:rPr>
            </w:pPr>
            <w:r w:rsidRPr="00623585">
              <w:rPr>
                <w:rFonts w:ascii="Calibri" w:eastAsia="Calibri" w:hAnsi="Calibri" w:cs="Calibri"/>
                <w:b/>
                <w:bCs/>
                <w:color w:val="000000" w:themeColor="text1"/>
                <w:sz w:val="15"/>
                <w:szCs w:val="15"/>
              </w:rPr>
              <w:t>In Progress</w:t>
            </w:r>
          </w:p>
        </w:tc>
      </w:tr>
      <w:tr w:rsidR="004E7F1B" w14:paraId="7719F46F" w14:textId="77777777" w:rsidTr="308A940C">
        <w:trPr>
          <w:trHeight w:val="2268"/>
        </w:trPr>
        <w:tc>
          <w:tcPr>
            <w:tcW w:w="492" w:type="dxa"/>
            <w:tcMar>
              <w:top w:w="15" w:type="dxa"/>
              <w:left w:w="15" w:type="dxa"/>
              <w:right w:w="15" w:type="dxa"/>
            </w:tcMar>
          </w:tcPr>
          <w:p w14:paraId="6984C74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2.3</w:t>
            </w:r>
          </w:p>
        </w:tc>
        <w:tc>
          <w:tcPr>
            <w:tcW w:w="2001" w:type="dxa"/>
            <w:tcMar>
              <w:top w:w="15" w:type="dxa"/>
              <w:left w:w="15" w:type="dxa"/>
              <w:right w:w="15" w:type="dxa"/>
            </w:tcMar>
          </w:tcPr>
          <w:p w14:paraId="25DE591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Launch simulation training covering technical and non-technical skills, with anaesthetics collaboration.</w:t>
            </w:r>
          </w:p>
        </w:tc>
        <w:tc>
          <w:tcPr>
            <w:tcW w:w="2489" w:type="dxa"/>
            <w:tcMar>
              <w:top w:w="15" w:type="dxa"/>
              <w:left w:w="15" w:type="dxa"/>
              <w:right w:w="15" w:type="dxa"/>
            </w:tcMar>
          </w:tcPr>
          <w:p w14:paraId="5E0CC72E" w14:textId="60667D8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should introduce a programme of simulation training with a focus both technical and non-technical skills including human factors and crew-resource management. This should be done in collaboration with the department of anaesthetics. Consideration should be given to external facilitation</w:t>
            </w:r>
            <w:r w:rsidR="005C3D93"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2B422B45"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Enhanced clinical performance, teamwork, and patient safety.</w:t>
            </w:r>
          </w:p>
        </w:tc>
        <w:tc>
          <w:tcPr>
            <w:tcW w:w="3515" w:type="dxa"/>
            <w:tcMar>
              <w:top w:w="15" w:type="dxa"/>
              <w:left w:w="15" w:type="dxa"/>
              <w:right w:w="15" w:type="dxa"/>
            </w:tcMar>
          </w:tcPr>
          <w:p w14:paraId="2482BDB3" w14:textId="22D1844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technical competence and confidence in managing complex clinical scenarios. Strengthened 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technical skills, including human factors awareness and crew</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resource management.</w:t>
            </w:r>
          </w:p>
        </w:tc>
        <w:tc>
          <w:tcPr>
            <w:tcW w:w="1097" w:type="dxa"/>
            <w:tcMar>
              <w:top w:w="15" w:type="dxa"/>
              <w:left w:w="15" w:type="dxa"/>
              <w:right w:w="15" w:type="dxa"/>
            </w:tcMar>
          </w:tcPr>
          <w:p w14:paraId="46B44861"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September 29, 2026</w:t>
            </w:r>
          </w:p>
        </w:tc>
        <w:tc>
          <w:tcPr>
            <w:tcW w:w="2549" w:type="dxa"/>
            <w:tcMar>
              <w:top w:w="15" w:type="dxa"/>
              <w:left w:w="15" w:type="dxa"/>
              <w:right w:w="15" w:type="dxa"/>
            </w:tcMar>
          </w:tcPr>
          <w:p w14:paraId="0D498E9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Early planning is underway. Lead and key stakeholders have been confirmed, and a focus group is now being formed to shape the implementation plan.</w:t>
            </w:r>
          </w:p>
        </w:tc>
        <w:tc>
          <w:tcPr>
            <w:tcW w:w="794" w:type="dxa"/>
            <w:tcMar>
              <w:top w:w="15" w:type="dxa"/>
              <w:left w:w="15" w:type="dxa"/>
              <w:right w:w="15" w:type="dxa"/>
            </w:tcMar>
          </w:tcPr>
          <w:p w14:paraId="59F069DC" w14:textId="77777777" w:rsidR="00800F93" w:rsidRPr="00623585" w:rsidRDefault="00800F93" w:rsidP="00800F93">
            <w:pPr>
              <w:spacing w:after="0"/>
              <w:jc w:val="center"/>
              <w:rPr>
                <w:rFonts w:ascii="Calibri" w:hAnsi="Calibri" w:cs="Calibri"/>
                <w:b/>
                <w:bCs/>
                <w:sz w:val="15"/>
                <w:szCs w:val="15"/>
              </w:rPr>
            </w:pPr>
            <w:r w:rsidRPr="00623585">
              <w:rPr>
                <w:rFonts w:ascii="Calibri" w:eastAsia="Calibri" w:hAnsi="Calibri" w:cs="Calibri"/>
                <w:b/>
                <w:bCs/>
                <w:color w:val="000000" w:themeColor="text1"/>
                <w:sz w:val="15"/>
                <w:szCs w:val="15"/>
              </w:rPr>
              <w:t>Not Started</w:t>
            </w:r>
          </w:p>
        </w:tc>
      </w:tr>
      <w:tr w:rsidR="004E7F1B" w14:paraId="4B628427" w14:textId="77777777" w:rsidTr="308A940C">
        <w:trPr>
          <w:trHeight w:val="1155"/>
        </w:trPr>
        <w:tc>
          <w:tcPr>
            <w:tcW w:w="492" w:type="dxa"/>
            <w:tcMar>
              <w:top w:w="15" w:type="dxa"/>
              <w:left w:w="15" w:type="dxa"/>
              <w:right w:w="15" w:type="dxa"/>
            </w:tcMar>
          </w:tcPr>
          <w:p w14:paraId="39C34C8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2.4</w:t>
            </w:r>
          </w:p>
        </w:tc>
        <w:tc>
          <w:tcPr>
            <w:tcW w:w="2001" w:type="dxa"/>
            <w:tcMar>
              <w:top w:w="15" w:type="dxa"/>
              <w:left w:w="15" w:type="dxa"/>
              <w:right w:w="15" w:type="dxa"/>
            </w:tcMar>
          </w:tcPr>
          <w:p w14:paraId="145B707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Reinforce mandatory WHO checklist use in Cath labs and audit compliance.</w:t>
            </w:r>
          </w:p>
        </w:tc>
        <w:tc>
          <w:tcPr>
            <w:tcW w:w="2489" w:type="dxa"/>
            <w:tcMar>
              <w:top w:w="15" w:type="dxa"/>
              <w:left w:w="15" w:type="dxa"/>
              <w:right w:w="15" w:type="dxa"/>
            </w:tcMar>
          </w:tcPr>
          <w:p w14:paraId="12F58EF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review team recommends that the mandatory use of a WHO checklist is reinforced as standard practice for the Cath labs moving forward and that compliance is audited and monitored. </w:t>
            </w:r>
          </w:p>
        </w:tc>
        <w:tc>
          <w:tcPr>
            <w:tcW w:w="2640" w:type="dxa"/>
            <w:tcMar>
              <w:top w:w="15" w:type="dxa"/>
              <w:left w:w="15" w:type="dxa"/>
              <w:right w:w="15" w:type="dxa"/>
            </w:tcMar>
          </w:tcPr>
          <w:p w14:paraId="717B8E59" w14:textId="77777777" w:rsidR="00800F93" w:rsidRPr="0037794D" w:rsidRDefault="00800F93" w:rsidP="004E2237">
            <w:pPr>
              <w:rPr>
                <w:rFonts w:ascii="Calibri" w:hAnsi="Calibri" w:cs="Calibri"/>
                <w:sz w:val="15"/>
                <w:szCs w:val="15"/>
              </w:rPr>
            </w:pPr>
          </w:p>
        </w:tc>
        <w:tc>
          <w:tcPr>
            <w:tcW w:w="3515" w:type="dxa"/>
            <w:tcMar>
              <w:top w:w="15" w:type="dxa"/>
              <w:left w:w="15" w:type="dxa"/>
              <w:right w:w="15" w:type="dxa"/>
            </w:tcMar>
          </w:tcPr>
          <w:p w14:paraId="2C10D1A3" w14:textId="77777777" w:rsidR="00800F93" w:rsidRPr="0037794D" w:rsidRDefault="00800F93" w:rsidP="004E2237">
            <w:pPr>
              <w:rPr>
                <w:rFonts w:ascii="Calibri" w:hAnsi="Calibri" w:cs="Calibri"/>
                <w:sz w:val="15"/>
                <w:szCs w:val="15"/>
              </w:rPr>
            </w:pPr>
          </w:p>
        </w:tc>
        <w:tc>
          <w:tcPr>
            <w:tcW w:w="1097" w:type="dxa"/>
            <w:tcMar>
              <w:top w:w="15" w:type="dxa"/>
              <w:left w:w="15" w:type="dxa"/>
              <w:right w:w="15" w:type="dxa"/>
            </w:tcMar>
          </w:tcPr>
          <w:p w14:paraId="1C4723DF" w14:textId="77777777" w:rsidR="00800F93" w:rsidRPr="0037794D" w:rsidRDefault="00800F93" w:rsidP="00800F9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December 31, 2026</w:t>
            </w:r>
          </w:p>
        </w:tc>
        <w:tc>
          <w:tcPr>
            <w:tcW w:w="2549" w:type="dxa"/>
            <w:tcMar>
              <w:top w:w="15" w:type="dxa"/>
              <w:left w:w="15" w:type="dxa"/>
              <w:right w:w="15" w:type="dxa"/>
            </w:tcMar>
          </w:tcPr>
          <w:p w14:paraId="7037EAB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recommendation is aligned to the work that is taking place with the WHO collaborative.</w:t>
            </w:r>
          </w:p>
        </w:tc>
        <w:tc>
          <w:tcPr>
            <w:tcW w:w="794" w:type="dxa"/>
            <w:shd w:val="clear" w:color="auto" w:fill="B3E5A1" w:themeFill="accent6" w:themeFillTint="66"/>
            <w:tcMar>
              <w:top w:w="15" w:type="dxa"/>
              <w:left w:w="15" w:type="dxa"/>
              <w:right w:w="15" w:type="dxa"/>
            </w:tcMar>
          </w:tcPr>
          <w:p w14:paraId="2C33697C" w14:textId="77777777" w:rsidR="00800F93" w:rsidRPr="00623585" w:rsidRDefault="00800F93" w:rsidP="002E3BB0">
            <w:pPr>
              <w:spacing w:after="0"/>
              <w:jc w:val="center"/>
              <w:rPr>
                <w:rFonts w:ascii="Calibri" w:hAnsi="Calibri" w:cs="Calibri"/>
                <w:b/>
                <w:bCs/>
                <w:sz w:val="15"/>
                <w:szCs w:val="15"/>
              </w:rPr>
            </w:pPr>
            <w:r w:rsidRPr="00623585">
              <w:rPr>
                <w:rFonts w:ascii="Calibri" w:eastAsia="Calibri" w:hAnsi="Calibri" w:cs="Calibri"/>
                <w:b/>
                <w:bCs/>
                <w:color w:val="000000" w:themeColor="text1"/>
                <w:sz w:val="15"/>
                <w:szCs w:val="15"/>
              </w:rPr>
              <w:t>In Progress</w:t>
            </w:r>
          </w:p>
        </w:tc>
      </w:tr>
      <w:tr w:rsidR="004E7F1B" w14:paraId="6AC296AD" w14:textId="77777777" w:rsidTr="308A940C">
        <w:trPr>
          <w:trHeight w:val="2396"/>
        </w:trPr>
        <w:tc>
          <w:tcPr>
            <w:tcW w:w="492" w:type="dxa"/>
            <w:tcMar>
              <w:top w:w="15" w:type="dxa"/>
              <w:left w:w="15" w:type="dxa"/>
              <w:right w:w="15" w:type="dxa"/>
            </w:tcMar>
          </w:tcPr>
          <w:p w14:paraId="1D74984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3</w:t>
            </w:r>
          </w:p>
        </w:tc>
        <w:tc>
          <w:tcPr>
            <w:tcW w:w="2001" w:type="dxa"/>
            <w:tcMar>
              <w:top w:w="15" w:type="dxa"/>
              <w:left w:w="15" w:type="dxa"/>
              <w:right w:w="15" w:type="dxa"/>
            </w:tcMar>
          </w:tcPr>
          <w:p w14:paraId="1D03641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Conduct demand and capacity review for secondary and tertiary cardiology work.</w:t>
            </w:r>
          </w:p>
        </w:tc>
        <w:tc>
          <w:tcPr>
            <w:tcW w:w="2489" w:type="dxa"/>
            <w:tcMar>
              <w:top w:w="15" w:type="dxa"/>
              <w:left w:w="15" w:type="dxa"/>
              <w:right w:w="15" w:type="dxa"/>
            </w:tcMar>
          </w:tcPr>
          <w:p w14:paraId="2622AC74" w14:textId="602A25E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specific demand and capacity piece of work considering secondary and tertiary work should be undertaken. So that clarity of expectation can be established regarding work expected of all cardiologists</w:t>
            </w:r>
            <w:r w:rsidR="008C537D"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1B3EB48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 and equitable expectations for all cardiologists by completing a comprehensive demand</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and</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capacity review of secondary and tertiary work.</w:t>
            </w:r>
          </w:p>
        </w:tc>
        <w:tc>
          <w:tcPr>
            <w:tcW w:w="3515" w:type="dxa"/>
            <w:tcMar>
              <w:top w:w="15" w:type="dxa"/>
              <w:left w:w="15" w:type="dxa"/>
              <w:right w:w="15" w:type="dxa"/>
            </w:tcMar>
          </w:tcPr>
          <w:p w14:paraId="4FA0AFCE" w14:textId="4BFD8A9A"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clear understanding of the demand placed on cardiology services and the capacity required to meet it.</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Transparent expectations for cardiologists regarding their secondary and tertiary workload.</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Evidence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workforce and service planning to support sustainable, equitable distribution of work</w:t>
            </w:r>
            <w:r w:rsidR="008C537D"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628548FA" w14:textId="77777777" w:rsidR="00800F93" w:rsidRPr="0037794D" w:rsidRDefault="00800F93" w:rsidP="0027051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September 28, 2026</w:t>
            </w:r>
          </w:p>
        </w:tc>
        <w:tc>
          <w:tcPr>
            <w:tcW w:w="2549" w:type="dxa"/>
            <w:tcMar>
              <w:top w:w="15" w:type="dxa"/>
              <w:left w:w="15" w:type="dxa"/>
              <w:right w:w="15" w:type="dxa"/>
            </w:tcMar>
          </w:tcPr>
          <w:p w14:paraId="2E4D822D" w14:textId="24801173"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Update to job-plans underway for all consultants in service, to accurately assess workforce DCC capacity.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w:t>
            </w:r>
            <w:r w:rsidRPr="0037794D">
              <w:rPr>
                <w:rFonts w:ascii="Calibri" w:hAnsi="Calibri" w:cs="Calibri"/>
                <w:sz w:val="15"/>
                <w:szCs w:val="15"/>
              </w:rPr>
              <w:br/>
            </w:r>
            <w:r w:rsidRPr="0037794D">
              <w:rPr>
                <w:rFonts w:ascii="Calibri" w:eastAsia="Calibri" w:hAnsi="Calibri" w:cs="Calibri"/>
                <w:color w:val="000000" w:themeColor="text1"/>
                <w:sz w:val="15"/>
                <w:szCs w:val="15"/>
              </w:rPr>
              <w:t>Specific pieces of demand/capacity work ongoing within cardiology, including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 Implanted Devices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 GP referral triage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 eAdvice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 PCI &amp; TAVI activity levels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 Interventional cardiology workforce</w:t>
            </w:r>
            <w:r w:rsidR="008C537D" w:rsidRPr="0037794D">
              <w:rPr>
                <w:rFonts w:ascii="Calibri" w:eastAsia="Calibri" w:hAnsi="Calibri" w:cs="Calibri"/>
                <w:color w:val="000000" w:themeColor="text1"/>
                <w:sz w:val="15"/>
                <w:szCs w:val="15"/>
              </w:rPr>
              <w:t>.</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w:t>
            </w:r>
            <w:r w:rsidRPr="0037794D">
              <w:rPr>
                <w:rFonts w:ascii="Calibri" w:hAnsi="Calibri" w:cs="Calibri"/>
                <w:sz w:val="15"/>
                <w:szCs w:val="15"/>
              </w:rPr>
              <w:br/>
            </w:r>
            <w:r w:rsidRPr="0037794D">
              <w:rPr>
                <w:rFonts w:ascii="Calibri" w:hAnsi="Calibri" w:cs="Calibri"/>
                <w:sz w:val="15"/>
                <w:szCs w:val="15"/>
              </w:rPr>
              <w:br/>
            </w:r>
            <w:r w:rsidRPr="0037794D">
              <w:rPr>
                <w:rFonts w:ascii="Calibri" w:hAnsi="Calibri" w:cs="Calibri"/>
                <w:sz w:val="15"/>
                <w:szCs w:val="15"/>
              </w:rPr>
              <w:br/>
            </w:r>
            <w:r w:rsidRPr="0037794D">
              <w:rPr>
                <w:rFonts w:ascii="Calibri" w:eastAsia="Calibri" w:hAnsi="Calibri" w:cs="Calibri"/>
                <w:color w:val="000000" w:themeColor="text1"/>
                <w:sz w:val="15"/>
                <w:szCs w:val="15"/>
              </w:rPr>
              <w:t>.</w:t>
            </w:r>
          </w:p>
        </w:tc>
        <w:tc>
          <w:tcPr>
            <w:tcW w:w="794" w:type="dxa"/>
            <w:shd w:val="clear" w:color="auto" w:fill="B3E5A1" w:themeFill="accent6" w:themeFillTint="66"/>
            <w:tcMar>
              <w:top w:w="15" w:type="dxa"/>
              <w:left w:w="15" w:type="dxa"/>
              <w:right w:w="15" w:type="dxa"/>
            </w:tcMar>
          </w:tcPr>
          <w:p w14:paraId="6E87CCA4" w14:textId="77777777" w:rsidR="00800F93" w:rsidRPr="0037794D" w:rsidRDefault="00800F93" w:rsidP="0027051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6845611" w14:textId="77777777" w:rsidTr="308A940C">
        <w:trPr>
          <w:trHeight w:val="1701"/>
        </w:trPr>
        <w:tc>
          <w:tcPr>
            <w:tcW w:w="492" w:type="dxa"/>
            <w:tcMar>
              <w:top w:w="15" w:type="dxa"/>
              <w:left w:w="15" w:type="dxa"/>
              <w:right w:w="15" w:type="dxa"/>
            </w:tcMar>
          </w:tcPr>
          <w:p w14:paraId="461B68A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4</w:t>
            </w:r>
          </w:p>
        </w:tc>
        <w:tc>
          <w:tcPr>
            <w:tcW w:w="2001" w:type="dxa"/>
            <w:tcMar>
              <w:top w:w="15" w:type="dxa"/>
              <w:left w:w="15" w:type="dxa"/>
              <w:right w:w="15" w:type="dxa"/>
            </w:tcMar>
          </w:tcPr>
          <w:p w14:paraId="248AA78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Promote Speaking Up Safely within cardiology.</w:t>
            </w:r>
          </w:p>
        </w:tc>
        <w:tc>
          <w:tcPr>
            <w:tcW w:w="2489" w:type="dxa"/>
            <w:tcMar>
              <w:top w:w="15" w:type="dxa"/>
              <w:left w:w="15" w:type="dxa"/>
              <w:right w:w="15" w:type="dxa"/>
            </w:tcMar>
          </w:tcPr>
          <w:p w14:paraId="7649F694" w14:textId="4CDE619A"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review team recommends raising </w:t>
            </w:r>
            <w:r w:rsidR="00995B79" w:rsidRPr="0037794D">
              <w:rPr>
                <w:rFonts w:ascii="Calibri" w:eastAsia="Calibri" w:hAnsi="Calibri" w:cs="Calibri"/>
                <w:color w:val="000000" w:themeColor="text1"/>
                <w:sz w:val="15"/>
                <w:szCs w:val="15"/>
              </w:rPr>
              <w:t>awareness and</w:t>
            </w:r>
            <w:r w:rsidRPr="0037794D">
              <w:rPr>
                <w:rFonts w:ascii="Calibri" w:eastAsia="Calibri" w:hAnsi="Calibri" w:cs="Calibri"/>
                <w:color w:val="000000" w:themeColor="text1"/>
                <w:sz w:val="15"/>
                <w:szCs w:val="15"/>
              </w:rPr>
              <w:t xml:space="preserve"> promoting the use of Speaking Up Safely within Cardiology</w:t>
            </w:r>
          </w:p>
        </w:tc>
        <w:tc>
          <w:tcPr>
            <w:tcW w:w="2640" w:type="dxa"/>
            <w:tcMar>
              <w:top w:w="15" w:type="dxa"/>
              <w:left w:w="15" w:type="dxa"/>
              <w:right w:w="15" w:type="dxa"/>
            </w:tcMar>
          </w:tcPr>
          <w:p w14:paraId="0E85745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To increase awareness and encourage routine use of the Speaking Up Safely process across the Cardiology Directorate.</w:t>
            </w:r>
          </w:p>
        </w:tc>
        <w:tc>
          <w:tcPr>
            <w:tcW w:w="3515" w:type="dxa"/>
            <w:tcMar>
              <w:top w:w="15" w:type="dxa"/>
              <w:left w:w="15" w:type="dxa"/>
              <w:right w:w="15" w:type="dxa"/>
            </w:tcMar>
          </w:tcPr>
          <w:p w14:paraId="30CE0381" w14:textId="417D398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staff confidence in raising concerns promptly and appropriately. Greater visibility and uptake of the Speaking Up Safely pathway</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Enhanced culture of openness, psychological safety, and early problem</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identification.</w:t>
            </w:r>
          </w:p>
        </w:tc>
        <w:tc>
          <w:tcPr>
            <w:tcW w:w="1097" w:type="dxa"/>
            <w:tcMar>
              <w:top w:w="15" w:type="dxa"/>
              <w:left w:w="15" w:type="dxa"/>
              <w:right w:w="15" w:type="dxa"/>
            </w:tcMar>
          </w:tcPr>
          <w:p w14:paraId="6A693F08" w14:textId="77777777" w:rsidR="00800F93" w:rsidRPr="0037794D" w:rsidRDefault="00800F93" w:rsidP="0027051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June 28, 2026</w:t>
            </w:r>
          </w:p>
        </w:tc>
        <w:tc>
          <w:tcPr>
            <w:tcW w:w="2549" w:type="dxa"/>
            <w:tcMar>
              <w:top w:w="15" w:type="dxa"/>
              <w:left w:w="15" w:type="dxa"/>
              <w:right w:w="15" w:type="dxa"/>
            </w:tcMar>
          </w:tcPr>
          <w:p w14:paraId="62A4079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Trade unions are holding Speaking up safely sessions. Sessions are planned in May with the GMC and NMC which is part of the formal response. Speaking up safely awareness and promotion will also be discussed and progressed as part of the Civility saves lives Task &amp; Finish Group.</w:t>
            </w:r>
          </w:p>
        </w:tc>
        <w:tc>
          <w:tcPr>
            <w:tcW w:w="794" w:type="dxa"/>
            <w:shd w:val="clear" w:color="auto" w:fill="B3E5A1" w:themeFill="accent6" w:themeFillTint="66"/>
            <w:tcMar>
              <w:top w:w="15" w:type="dxa"/>
              <w:left w:w="15" w:type="dxa"/>
              <w:right w:w="15" w:type="dxa"/>
            </w:tcMar>
          </w:tcPr>
          <w:p w14:paraId="49C35AEF" w14:textId="77777777" w:rsidR="00800F93" w:rsidRPr="0037794D" w:rsidRDefault="00800F93" w:rsidP="0027051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5018FA00" w14:textId="77777777" w:rsidTr="308A940C">
        <w:trPr>
          <w:trHeight w:val="2268"/>
        </w:trPr>
        <w:tc>
          <w:tcPr>
            <w:tcW w:w="492" w:type="dxa"/>
            <w:tcMar>
              <w:top w:w="15" w:type="dxa"/>
              <w:left w:w="15" w:type="dxa"/>
              <w:right w:w="15" w:type="dxa"/>
            </w:tcMar>
          </w:tcPr>
          <w:p w14:paraId="7DE6C2C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5</w:t>
            </w:r>
          </w:p>
        </w:tc>
        <w:tc>
          <w:tcPr>
            <w:tcW w:w="2001" w:type="dxa"/>
            <w:tcMar>
              <w:top w:w="15" w:type="dxa"/>
              <w:left w:w="15" w:type="dxa"/>
              <w:right w:w="15" w:type="dxa"/>
            </w:tcMar>
          </w:tcPr>
          <w:p w14:paraId="18CC69F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Establish a weekly senior clinical meeting to review cardiology business and concerns.</w:t>
            </w:r>
          </w:p>
        </w:tc>
        <w:tc>
          <w:tcPr>
            <w:tcW w:w="2489" w:type="dxa"/>
            <w:tcMar>
              <w:top w:w="15" w:type="dxa"/>
              <w:left w:w="15" w:type="dxa"/>
              <w:right w:w="15" w:type="dxa"/>
            </w:tcMar>
          </w:tcPr>
          <w:p w14:paraId="750A4926" w14:textId="2722FE5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There should be a multidisciplinary senior Clinical meeting supported by the management team which reviews on a weekly basis the business in Cardiology alongside any specific concerns</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 xml:space="preserve">This meeting should be compulsory and recognised within </w:t>
            </w:r>
            <w:r w:rsidR="002902DF" w:rsidRPr="0037794D">
              <w:rPr>
                <w:rFonts w:ascii="Calibri" w:eastAsia="Calibri" w:hAnsi="Calibri" w:cs="Calibri"/>
                <w:color w:val="000000" w:themeColor="text1"/>
                <w:sz w:val="15"/>
                <w:szCs w:val="15"/>
              </w:rPr>
              <w:t xml:space="preserve">everybody’s </w:t>
            </w:r>
            <w:r w:rsidRPr="0037794D">
              <w:rPr>
                <w:rFonts w:ascii="Calibri" w:eastAsia="Calibri" w:hAnsi="Calibri" w:cs="Calibri"/>
                <w:color w:val="000000" w:themeColor="text1"/>
                <w:sz w:val="15"/>
                <w:szCs w:val="15"/>
              </w:rPr>
              <w:t>working week as a time commitment</w:t>
            </w:r>
          </w:p>
        </w:tc>
        <w:tc>
          <w:tcPr>
            <w:tcW w:w="2640" w:type="dxa"/>
            <w:tcMar>
              <w:top w:w="15" w:type="dxa"/>
              <w:left w:w="15" w:type="dxa"/>
              <w:right w:w="15" w:type="dxa"/>
            </w:tcMar>
          </w:tcPr>
          <w:p w14:paraId="26A532E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Consistent senior clinical oversight and effective management of Cardiology services.</w:t>
            </w:r>
          </w:p>
        </w:tc>
        <w:tc>
          <w:tcPr>
            <w:tcW w:w="3515" w:type="dxa"/>
            <w:tcMar>
              <w:top w:w="15" w:type="dxa"/>
              <w:left w:w="15" w:type="dxa"/>
              <w:right w:w="15" w:type="dxa"/>
            </w:tcMar>
          </w:tcPr>
          <w:p w14:paraId="2A9E0083" w14:textId="01CD901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reliable weekly forum is in place for senior clinicians and management to review service activity, issues, and concerns. Improved communication, coordination, and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across the multidisciplinary team.</w:t>
            </w:r>
          </w:p>
        </w:tc>
        <w:tc>
          <w:tcPr>
            <w:tcW w:w="1097" w:type="dxa"/>
            <w:tcMar>
              <w:top w:w="15" w:type="dxa"/>
              <w:left w:w="15" w:type="dxa"/>
              <w:right w:w="15" w:type="dxa"/>
            </w:tcMar>
          </w:tcPr>
          <w:p w14:paraId="0A86777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Tuesday, May 27, 2025</w:t>
            </w:r>
          </w:p>
        </w:tc>
        <w:tc>
          <w:tcPr>
            <w:tcW w:w="2549" w:type="dxa"/>
            <w:tcMar>
              <w:top w:w="15" w:type="dxa"/>
              <w:left w:w="15" w:type="dxa"/>
              <w:right w:w="15" w:type="dxa"/>
            </w:tcMar>
          </w:tcPr>
          <w:p w14:paraId="63A1A37C" w14:textId="37BF5AE8"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weekly meetings are now taking place as planned: the Friday Consultant Meeting and the Monday DMT meeting. Both are attended by MDT representatives from all professional groups</w:t>
            </w:r>
          </w:p>
        </w:tc>
        <w:tc>
          <w:tcPr>
            <w:tcW w:w="794" w:type="dxa"/>
            <w:shd w:val="clear" w:color="auto" w:fill="95DCF7" w:themeFill="accent4" w:themeFillTint="66"/>
            <w:tcMar>
              <w:top w:w="15" w:type="dxa"/>
              <w:left w:w="15" w:type="dxa"/>
              <w:right w:w="15" w:type="dxa"/>
            </w:tcMar>
          </w:tcPr>
          <w:p w14:paraId="4B09C009" w14:textId="77777777" w:rsidR="00800F93" w:rsidRPr="0037794D" w:rsidRDefault="00800F93" w:rsidP="0027051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F482185" w14:textId="77777777" w:rsidTr="308A940C">
        <w:trPr>
          <w:trHeight w:val="2268"/>
        </w:trPr>
        <w:tc>
          <w:tcPr>
            <w:tcW w:w="492" w:type="dxa"/>
            <w:tcMar>
              <w:top w:w="15" w:type="dxa"/>
              <w:left w:w="15" w:type="dxa"/>
              <w:right w:w="15" w:type="dxa"/>
            </w:tcMar>
          </w:tcPr>
          <w:p w14:paraId="693BBEF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6</w:t>
            </w:r>
          </w:p>
        </w:tc>
        <w:tc>
          <w:tcPr>
            <w:tcW w:w="2001" w:type="dxa"/>
            <w:tcMar>
              <w:top w:w="15" w:type="dxa"/>
              <w:left w:w="15" w:type="dxa"/>
              <w:right w:w="15" w:type="dxa"/>
            </w:tcMar>
          </w:tcPr>
          <w:p w14:paraId="341927C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Provide training for handling challenging conversations.</w:t>
            </w:r>
          </w:p>
        </w:tc>
        <w:tc>
          <w:tcPr>
            <w:tcW w:w="2489" w:type="dxa"/>
            <w:tcMar>
              <w:top w:w="15" w:type="dxa"/>
              <w:left w:w="15" w:type="dxa"/>
              <w:right w:w="15" w:type="dxa"/>
            </w:tcMar>
          </w:tcPr>
          <w:p w14:paraId="4418ADC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It is recommended that training for managing challenging conversations is put in place for the cardiology team.</w:t>
            </w:r>
          </w:p>
        </w:tc>
        <w:tc>
          <w:tcPr>
            <w:tcW w:w="2640" w:type="dxa"/>
            <w:tcMar>
              <w:top w:w="15" w:type="dxa"/>
              <w:left w:w="15" w:type="dxa"/>
              <w:right w:w="15" w:type="dxa"/>
            </w:tcMar>
          </w:tcPr>
          <w:p w14:paraId="01D0728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Effective capability and confidence in handling challenging conversations.</w:t>
            </w:r>
          </w:p>
        </w:tc>
        <w:tc>
          <w:tcPr>
            <w:tcW w:w="3515" w:type="dxa"/>
            <w:tcMar>
              <w:top w:w="15" w:type="dxa"/>
              <w:left w:w="15" w:type="dxa"/>
              <w:right w:w="15" w:type="dxa"/>
            </w:tcMar>
          </w:tcPr>
          <w:p w14:paraId="34C5A152" w14:textId="37629F6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Increased staff confidence and skill in handling difficult or sensitive conversations</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Improved team communication, reducing escalation and unnecessary conflict. Enhanced psychological safety and a more supportive working environment. More consistent, professional approaches to addressing concerns or performance issues</w:t>
            </w:r>
            <w:r w:rsidR="00F5692C"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1CCA9432"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June 28, 2026</w:t>
            </w:r>
          </w:p>
        </w:tc>
        <w:tc>
          <w:tcPr>
            <w:tcW w:w="2549" w:type="dxa"/>
            <w:tcMar>
              <w:top w:w="15" w:type="dxa"/>
              <w:left w:w="15" w:type="dxa"/>
              <w:right w:w="15" w:type="dxa"/>
            </w:tcMar>
          </w:tcPr>
          <w:p w14:paraId="22A3FEA2" w14:textId="7E33AC73"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Sessions planned in May 2026 with the GMC and NMC, which is part of the formal response and include training in how to </w:t>
            </w:r>
            <w:r w:rsidR="00737DA6" w:rsidRPr="0037794D">
              <w:rPr>
                <w:rFonts w:ascii="Calibri" w:eastAsia="Calibri" w:hAnsi="Calibri" w:cs="Calibri"/>
                <w:color w:val="000000" w:themeColor="text1"/>
                <w:sz w:val="15"/>
                <w:szCs w:val="15"/>
              </w:rPr>
              <w:t>manage</w:t>
            </w:r>
            <w:r w:rsidRPr="0037794D">
              <w:rPr>
                <w:rFonts w:ascii="Calibri" w:eastAsia="Calibri" w:hAnsi="Calibri" w:cs="Calibri"/>
                <w:color w:val="000000" w:themeColor="text1"/>
                <w:sz w:val="15"/>
                <w:szCs w:val="15"/>
              </w:rPr>
              <w:t xml:space="preserve"> difficult conversations</w:t>
            </w:r>
            <w:r w:rsidR="00F5692C" w:rsidRPr="0037794D">
              <w:rPr>
                <w:rFonts w:ascii="Calibri" w:eastAsia="Calibri" w:hAnsi="Calibri" w:cs="Calibri"/>
                <w:color w:val="000000" w:themeColor="text1"/>
                <w:sz w:val="15"/>
                <w:szCs w:val="15"/>
              </w:rPr>
              <w:t>.</w:t>
            </w:r>
          </w:p>
        </w:tc>
        <w:tc>
          <w:tcPr>
            <w:tcW w:w="794" w:type="dxa"/>
            <w:shd w:val="clear" w:color="auto" w:fill="B3E5A1" w:themeFill="accent6" w:themeFillTint="66"/>
            <w:tcMar>
              <w:top w:w="15" w:type="dxa"/>
              <w:left w:w="15" w:type="dxa"/>
              <w:right w:w="15" w:type="dxa"/>
            </w:tcMar>
          </w:tcPr>
          <w:p w14:paraId="086C56BC"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8F25E21" w14:textId="77777777" w:rsidTr="308A940C">
        <w:trPr>
          <w:trHeight w:val="2835"/>
        </w:trPr>
        <w:tc>
          <w:tcPr>
            <w:tcW w:w="492" w:type="dxa"/>
            <w:tcMar>
              <w:top w:w="15" w:type="dxa"/>
              <w:left w:w="15" w:type="dxa"/>
              <w:right w:w="15" w:type="dxa"/>
            </w:tcMar>
          </w:tcPr>
          <w:p w14:paraId="4D3AC02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7</w:t>
            </w:r>
          </w:p>
        </w:tc>
        <w:tc>
          <w:tcPr>
            <w:tcW w:w="2001" w:type="dxa"/>
            <w:tcMar>
              <w:top w:w="15" w:type="dxa"/>
              <w:left w:w="15" w:type="dxa"/>
              <w:right w:w="15" w:type="dxa"/>
            </w:tcMar>
          </w:tcPr>
          <w:p w14:paraId="61E9C9DE" w14:textId="7A1010CE" w:rsidR="00800F93" w:rsidRPr="0037794D" w:rsidRDefault="00737DA6"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Collaborate</w:t>
            </w:r>
            <w:r w:rsidR="00800F93" w:rsidRPr="0037794D">
              <w:rPr>
                <w:rFonts w:ascii="Calibri" w:eastAsia="Calibri" w:hAnsi="Calibri" w:cs="Calibri"/>
                <w:color w:val="000000" w:themeColor="text1"/>
                <w:sz w:val="15"/>
                <w:szCs w:val="15"/>
              </w:rPr>
              <w:t xml:space="preserve"> with People and Culture team to ensure consistent policy implementation.</w:t>
            </w:r>
          </w:p>
        </w:tc>
        <w:tc>
          <w:tcPr>
            <w:tcW w:w="2489" w:type="dxa"/>
            <w:tcMar>
              <w:top w:w="15" w:type="dxa"/>
              <w:left w:w="15" w:type="dxa"/>
              <w:right w:w="15" w:type="dxa"/>
            </w:tcMar>
          </w:tcPr>
          <w:p w14:paraId="60F22A9B" w14:textId="7BFF6622"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It is also recommended that the Cardiology Directorate engage the People and Culture team to review implementation of policies to ensure consistency</w:t>
            </w:r>
            <w:r w:rsidR="00F5692C"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55957C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Strengthen the implementation of HR and organisational policies within the Cardiology Directorate, ensuring consistent and fair application.</w:t>
            </w:r>
          </w:p>
        </w:tc>
        <w:tc>
          <w:tcPr>
            <w:tcW w:w="3515" w:type="dxa"/>
            <w:tcMar>
              <w:top w:w="15" w:type="dxa"/>
              <w:left w:w="15" w:type="dxa"/>
              <w:right w:w="15" w:type="dxa"/>
            </w:tcMar>
          </w:tcPr>
          <w:p w14:paraId="0F89FEA2" w14:textId="004BEE3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Greater consistency in how policies are understood, applied, and monitored across Cardiology. Improved confidence among staff and managers in using People and Culture processes. Enhanced fairness, transparency, and trust in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w:t>
            </w:r>
            <w:r w:rsidR="00F5692C"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3BFA584E"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May 28, 2026</w:t>
            </w:r>
          </w:p>
        </w:tc>
        <w:tc>
          <w:tcPr>
            <w:tcW w:w="2549" w:type="dxa"/>
            <w:tcMar>
              <w:top w:w="15" w:type="dxa"/>
              <w:left w:w="15" w:type="dxa"/>
              <w:right w:w="15" w:type="dxa"/>
            </w:tcMar>
          </w:tcPr>
          <w:p w14:paraId="0E1A7ECE" w14:textId="3304D98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Training dates are being confirmed, and all staff requiring training will be booked onto the appropriate sessions. The DMT will oversee ongoing review and communication of these dates. A monthly dialogue between Leaders and the People &amp; Culture team is recommended for reinstatement, and a date is needed to establish a recurring monthly </w:t>
            </w:r>
            <w:r w:rsidR="00995B79" w:rsidRPr="0037794D">
              <w:rPr>
                <w:rFonts w:ascii="Calibri" w:eastAsia="Calibri" w:hAnsi="Calibri" w:cs="Calibri"/>
                <w:color w:val="000000" w:themeColor="text1"/>
                <w:sz w:val="15"/>
                <w:szCs w:val="15"/>
              </w:rPr>
              <w:t>drop-in</w:t>
            </w:r>
            <w:r w:rsidRPr="0037794D">
              <w:rPr>
                <w:rFonts w:ascii="Calibri" w:eastAsia="Calibri" w:hAnsi="Calibri" w:cs="Calibri"/>
                <w:color w:val="000000" w:themeColor="text1"/>
                <w:sz w:val="15"/>
                <w:szCs w:val="15"/>
              </w:rPr>
              <w:t xml:space="preserve"> session.</w:t>
            </w:r>
          </w:p>
        </w:tc>
        <w:tc>
          <w:tcPr>
            <w:tcW w:w="794" w:type="dxa"/>
            <w:shd w:val="clear" w:color="auto" w:fill="B3E5A1" w:themeFill="accent6" w:themeFillTint="66"/>
            <w:tcMar>
              <w:top w:w="15" w:type="dxa"/>
              <w:left w:w="15" w:type="dxa"/>
              <w:right w:w="15" w:type="dxa"/>
            </w:tcMar>
          </w:tcPr>
          <w:p w14:paraId="297F6FD7"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7A79EFC7" w14:textId="77777777" w:rsidTr="308A940C">
        <w:trPr>
          <w:trHeight w:val="1134"/>
        </w:trPr>
        <w:tc>
          <w:tcPr>
            <w:tcW w:w="492" w:type="dxa"/>
            <w:tcMar>
              <w:top w:w="15" w:type="dxa"/>
              <w:left w:w="15" w:type="dxa"/>
              <w:right w:w="15" w:type="dxa"/>
            </w:tcMar>
          </w:tcPr>
          <w:p w14:paraId="2511D55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8</w:t>
            </w:r>
          </w:p>
        </w:tc>
        <w:tc>
          <w:tcPr>
            <w:tcW w:w="2001" w:type="dxa"/>
            <w:tcMar>
              <w:top w:w="15" w:type="dxa"/>
              <w:left w:w="15" w:type="dxa"/>
              <w:right w:w="15" w:type="dxa"/>
            </w:tcMar>
          </w:tcPr>
          <w:p w14:paraId="3832D4D5"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Co-produce a unified cardiology vision across all subspecialties and professions.</w:t>
            </w:r>
          </w:p>
        </w:tc>
        <w:tc>
          <w:tcPr>
            <w:tcW w:w="2489" w:type="dxa"/>
            <w:tcMar>
              <w:top w:w="15" w:type="dxa"/>
              <w:left w:w="15" w:type="dxa"/>
              <w:right w:w="15" w:type="dxa"/>
            </w:tcMar>
          </w:tcPr>
          <w:p w14:paraId="111BC1E1" w14:textId="0484A7DA"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review team recommends that there is a co-produced Cardiology vision developed considering all parts and professions of Cardiology in order to draw together the individual subspecialist requirements</w:t>
            </w:r>
            <w:r w:rsidR="002902DF"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0E987B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unified Cardiology vision that reflects the needs, priorities, and aspirations of all subspecialties and professional groups across the Directorate.</w:t>
            </w:r>
          </w:p>
        </w:tc>
        <w:tc>
          <w:tcPr>
            <w:tcW w:w="3515" w:type="dxa"/>
            <w:tcMar>
              <w:top w:w="15" w:type="dxa"/>
              <w:left w:w="15" w:type="dxa"/>
              <w:right w:w="15" w:type="dxa"/>
            </w:tcMar>
          </w:tcPr>
          <w:p w14:paraId="4A07588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shared, clearly articulated vision that aligns all areas of Cardiology around common goals.</w:t>
            </w:r>
          </w:p>
        </w:tc>
        <w:tc>
          <w:tcPr>
            <w:tcW w:w="1097" w:type="dxa"/>
            <w:tcMar>
              <w:top w:w="15" w:type="dxa"/>
              <w:left w:w="15" w:type="dxa"/>
              <w:right w:w="15" w:type="dxa"/>
            </w:tcMar>
          </w:tcPr>
          <w:p w14:paraId="16DD35E7"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Friday, October 30, 2026</w:t>
            </w:r>
          </w:p>
        </w:tc>
        <w:tc>
          <w:tcPr>
            <w:tcW w:w="2549" w:type="dxa"/>
            <w:tcMar>
              <w:top w:w="15" w:type="dxa"/>
              <w:left w:w="15" w:type="dxa"/>
              <w:right w:w="15" w:type="dxa"/>
            </w:tcMar>
          </w:tcPr>
          <w:p w14:paraId="3F698B2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is a long-term piece of work and needs to be scoped out and timescales agreed. Link to the charter development.</w:t>
            </w:r>
          </w:p>
        </w:tc>
        <w:tc>
          <w:tcPr>
            <w:tcW w:w="794" w:type="dxa"/>
            <w:tcMar>
              <w:top w:w="15" w:type="dxa"/>
              <w:left w:w="15" w:type="dxa"/>
              <w:right w:w="15" w:type="dxa"/>
            </w:tcMar>
          </w:tcPr>
          <w:p w14:paraId="4F0B2AE8"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Not Started</w:t>
            </w:r>
          </w:p>
        </w:tc>
      </w:tr>
      <w:tr w:rsidR="004E7F1B" w14:paraId="09C9C81A" w14:textId="77777777" w:rsidTr="308A940C">
        <w:trPr>
          <w:trHeight w:val="1701"/>
        </w:trPr>
        <w:tc>
          <w:tcPr>
            <w:tcW w:w="492" w:type="dxa"/>
            <w:tcMar>
              <w:top w:w="15" w:type="dxa"/>
              <w:left w:w="15" w:type="dxa"/>
              <w:right w:w="15" w:type="dxa"/>
            </w:tcMar>
          </w:tcPr>
          <w:p w14:paraId="32F09BE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9</w:t>
            </w:r>
          </w:p>
        </w:tc>
        <w:tc>
          <w:tcPr>
            <w:tcW w:w="2001" w:type="dxa"/>
            <w:tcMar>
              <w:top w:w="15" w:type="dxa"/>
              <w:left w:w="15" w:type="dxa"/>
              <w:right w:w="15" w:type="dxa"/>
            </w:tcMar>
          </w:tcPr>
          <w:p w14:paraId="5399DB7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Hold regular senior physiology team meetings with clinical governance focus.</w:t>
            </w:r>
          </w:p>
        </w:tc>
        <w:tc>
          <w:tcPr>
            <w:tcW w:w="2489" w:type="dxa"/>
            <w:tcMar>
              <w:top w:w="15" w:type="dxa"/>
              <w:left w:w="15" w:type="dxa"/>
              <w:right w:w="15" w:type="dxa"/>
            </w:tcMar>
          </w:tcPr>
          <w:p w14:paraId="50842E74" w14:textId="3E8FB9C6"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review team recommends that there is a regular senior team meeting in physiology that encompasses appropriate clinical governance</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This should be compulsory for all of the senior team.</w:t>
            </w:r>
          </w:p>
        </w:tc>
        <w:tc>
          <w:tcPr>
            <w:tcW w:w="2640" w:type="dxa"/>
            <w:tcMar>
              <w:top w:w="15" w:type="dxa"/>
              <w:left w:w="15" w:type="dxa"/>
              <w:right w:w="15" w:type="dxa"/>
            </w:tcMar>
          </w:tcPr>
          <w:p w14:paraId="79F6FF0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Strengthen clinical governance and leadership within Physiology.</w:t>
            </w:r>
          </w:p>
        </w:tc>
        <w:tc>
          <w:tcPr>
            <w:tcW w:w="3515" w:type="dxa"/>
            <w:tcMar>
              <w:top w:w="15" w:type="dxa"/>
              <w:left w:w="15" w:type="dxa"/>
              <w:right w:w="15" w:type="dxa"/>
            </w:tcMar>
          </w:tcPr>
          <w:p w14:paraId="13A2255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consistent forum is in place for senior physiology staff to review clinical governance, service issues, and priorities. Improved communication, shared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w:t>
            </w:r>
          </w:p>
        </w:tc>
        <w:tc>
          <w:tcPr>
            <w:tcW w:w="1097" w:type="dxa"/>
            <w:tcMar>
              <w:top w:w="15" w:type="dxa"/>
              <w:left w:w="15" w:type="dxa"/>
              <w:right w:w="15" w:type="dxa"/>
            </w:tcMar>
          </w:tcPr>
          <w:p w14:paraId="4E7FD2EC"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September 23, 2025</w:t>
            </w:r>
          </w:p>
        </w:tc>
        <w:tc>
          <w:tcPr>
            <w:tcW w:w="2549" w:type="dxa"/>
            <w:tcMar>
              <w:top w:w="15" w:type="dxa"/>
              <w:left w:w="15" w:type="dxa"/>
              <w:right w:w="15" w:type="dxa"/>
            </w:tcMar>
          </w:tcPr>
          <w:p w14:paraId="18CB90C9" w14:textId="4F1B5D03"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March 2026: This has been completed.</w:t>
            </w:r>
          </w:p>
        </w:tc>
        <w:tc>
          <w:tcPr>
            <w:tcW w:w="794" w:type="dxa"/>
            <w:shd w:val="clear" w:color="auto" w:fill="95DCF7" w:themeFill="accent4" w:themeFillTint="66"/>
            <w:tcMar>
              <w:top w:w="15" w:type="dxa"/>
              <w:left w:w="15" w:type="dxa"/>
              <w:right w:w="15" w:type="dxa"/>
            </w:tcMar>
          </w:tcPr>
          <w:p w14:paraId="547E3BD2"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489DD234" w14:textId="77777777" w:rsidTr="308A940C">
        <w:trPr>
          <w:trHeight w:val="1701"/>
        </w:trPr>
        <w:tc>
          <w:tcPr>
            <w:tcW w:w="492" w:type="dxa"/>
            <w:tcMar>
              <w:top w:w="15" w:type="dxa"/>
              <w:left w:w="15" w:type="dxa"/>
              <w:right w:w="15" w:type="dxa"/>
            </w:tcMar>
          </w:tcPr>
          <w:p w14:paraId="1D0E34A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10</w:t>
            </w:r>
          </w:p>
        </w:tc>
        <w:tc>
          <w:tcPr>
            <w:tcW w:w="2001" w:type="dxa"/>
            <w:tcMar>
              <w:top w:w="15" w:type="dxa"/>
              <w:left w:w="15" w:type="dxa"/>
              <w:right w:w="15" w:type="dxa"/>
            </w:tcMar>
          </w:tcPr>
          <w:p w14:paraId="4506049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Undertake organisational development work on team dynamics and behaviour.</w:t>
            </w:r>
          </w:p>
        </w:tc>
        <w:tc>
          <w:tcPr>
            <w:tcW w:w="2489" w:type="dxa"/>
            <w:tcMar>
              <w:top w:w="15" w:type="dxa"/>
              <w:left w:w="15" w:type="dxa"/>
              <w:right w:w="15" w:type="dxa"/>
            </w:tcMar>
          </w:tcPr>
          <w:p w14:paraId="12EBEC1B" w14:textId="30CB8895"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review team recommends that there is a specific piece of work on organisational development of team dynamics and behaviour</w:t>
            </w:r>
            <w:r w:rsidR="0067389C"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FCD7EF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Strengthened team dynamics, behaviours, and collaborative working across the Cardiology Directorate.</w:t>
            </w:r>
          </w:p>
        </w:tc>
        <w:tc>
          <w:tcPr>
            <w:tcW w:w="3515" w:type="dxa"/>
            <w:tcMar>
              <w:top w:w="15" w:type="dxa"/>
              <w:left w:w="15" w:type="dxa"/>
              <w:right w:w="15" w:type="dxa"/>
            </w:tcMar>
          </w:tcPr>
          <w:p w14:paraId="098C4AD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interpersonal behaviours and more effective multidisciplinary team working.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psychological safety, communication, and trust within and between teams.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A more cohesive, supportive, and high</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performing culture across Cardiology.</w:t>
            </w:r>
          </w:p>
        </w:tc>
        <w:tc>
          <w:tcPr>
            <w:tcW w:w="1097" w:type="dxa"/>
            <w:tcMar>
              <w:top w:w="15" w:type="dxa"/>
              <w:left w:w="15" w:type="dxa"/>
              <w:right w:w="15" w:type="dxa"/>
            </w:tcMar>
          </w:tcPr>
          <w:p w14:paraId="662082E8"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June 28, 2026</w:t>
            </w:r>
          </w:p>
        </w:tc>
        <w:tc>
          <w:tcPr>
            <w:tcW w:w="2549" w:type="dxa"/>
            <w:tcMar>
              <w:top w:w="15" w:type="dxa"/>
              <w:left w:w="15" w:type="dxa"/>
              <w:right w:w="15" w:type="dxa"/>
            </w:tcMar>
          </w:tcPr>
          <w:p w14:paraId="084AE5D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will be covered in the outputs from recommendation 4 Civility Saves lives.</w:t>
            </w:r>
          </w:p>
        </w:tc>
        <w:tc>
          <w:tcPr>
            <w:tcW w:w="794" w:type="dxa"/>
            <w:shd w:val="clear" w:color="auto" w:fill="B3E5A1" w:themeFill="accent6" w:themeFillTint="66"/>
            <w:tcMar>
              <w:top w:w="15" w:type="dxa"/>
              <w:left w:w="15" w:type="dxa"/>
              <w:right w:w="15" w:type="dxa"/>
            </w:tcMar>
          </w:tcPr>
          <w:p w14:paraId="3C5FF744"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4C54DE5" w14:textId="77777777" w:rsidTr="00AB57AB">
        <w:trPr>
          <w:trHeight w:val="1474"/>
        </w:trPr>
        <w:tc>
          <w:tcPr>
            <w:tcW w:w="492" w:type="dxa"/>
            <w:tcMar>
              <w:top w:w="15" w:type="dxa"/>
              <w:left w:w="15" w:type="dxa"/>
              <w:right w:w="15" w:type="dxa"/>
            </w:tcMar>
          </w:tcPr>
          <w:p w14:paraId="6996014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10.1</w:t>
            </w:r>
          </w:p>
        </w:tc>
        <w:tc>
          <w:tcPr>
            <w:tcW w:w="2001" w:type="dxa"/>
            <w:tcMar>
              <w:top w:w="15" w:type="dxa"/>
              <w:left w:w="15" w:type="dxa"/>
              <w:right w:w="15" w:type="dxa"/>
            </w:tcMar>
          </w:tcPr>
          <w:p w14:paraId="3ABD2D8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Develop an engagement charter with cardiology teams.</w:t>
            </w:r>
          </w:p>
        </w:tc>
        <w:tc>
          <w:tcPr>
            <w:tcW w:w="2489" w:type="dxa"/>
            <w:tcMar>
              <w:top w:w="15" w:type="dxa"/>
              <w:left w:w="15" w:type="dxa"/>
              <w:right w:w="15" w:type="dxa"/>
            </w:tcMar>
          </w:tcPr>
          <w:p w14:paraId="0688A196" w14:textId="1FDB07E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Consideration should be given to the development of an engagement charter, co-produced with teams within cardiology</w:t>
            </w:r>
            <w:r w:rsidR="0067389C"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2ABAF8A" w14:textId="6B726D61"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An Engagement </w:t>
            </w:r>
            <w:r w:rsidR="00995B79" w:rsidRPr="0037794D">
              <w:rPr>
                <w:rFonts w:ascii="Calibri" w:eastAsia="Calibri" w:hAnsi="Calibri" w:cs="Calibri"/>
                <w:color w:val="000000" w:themeColor="text1"/>
                <w:sz w:val="15"/>
                <w:szCs w:val="15"/>
              </w:rPr>
              <w:t>Charter that</w:t>
            </w:r>
            <w:r w:rsidRPr="0037794D">
              <w:rPr>
                <w:rFonts w:ascii="Calibri" w:eastAsia="Calibri" w:hAnsi="Calibri" w:cs="Calibri"/>
                <w:color w:val="000000" w:themeColor="text1"/>
                <w:sz w:val="15"/>
                <w:szCs w:val="15"/>
              </w:rPr>
              <w:t xml:space="preserve"> sets out shared expectations, behaviours, and principles for positive engagement and collaborative working</w:t>
            </w:r>
            <w:r w:rsidR="0067389C"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4F7A15E0" w14:textId="0B3FA0F1"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 clear, shared framework for how teams </w:t>
            </w:r>
            <w:proofErr w:type="gramStart"/>
            <w:r w:rsidRPr="0037794D">
              <w:rPr>
                <w:rFonts w:ascii="Calibri" w:eastAsia="Calibri" w:hAnsi="Calibri" w:cs="Calibri"/>
                <w:color w:val="000000" w:themeColor="text1"/>
                <w:sz w:val="15"/>
                <w:szCs w:val="15"/>
              </w:rPr>
              <w:t>engage</w:t>
            </w:r>
            <w:proofErr w:type="gramEnd"/>
            <w:r w:rsidRPr="0037794D">
              <w:rPr>
                <w:rFonts w:ascii="Calibri" w:eastAsia="Calibri" w:hAnsi="Calibri" w:cs="Calibri"/>
                <w:color w:val="000000" w:themeColor="text1"/>
                <w:sz w:val="15"/>
                <w:szCs w:val="15"/>
              </w:rPr>
              <w:t>, communicate, and work together.</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Stronger sense of collective ownership and mutual accountability.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More consistent, inclusive, and transparent engagement across the Directorate.</w:t>
            </w:r>
            <w:r w:rsidR="00F16BC4">
              <w:rPr>
                <w:rFonts w:ascii="Calibri" w:eastAsia="Calibri" w:hAnsi="Calibri" w:cs="Calibri"/>
                <w:color w:val="000000" w:themeColor="text1"/>
                <w:sz w:val="15"/>
                <w:szCs w:val="15"/>
              </w:rPr>
              <w:t xml:space="preserve">               </w:t>
            </w:r>
          </w:p>
        </w:tc>
        <w:tc>
          <w:tcPr>
            <w:tcW w:w="1097" w:type="dxa"/>
            <w:tcMar>
              <w:top w:w="15" w:type="dxa"/>
              <w:left w:w="15" w:type="dxa"/>
              <w:right w:w="15" w:type="dxa"/>
            </w:tcMar>
          </w:tcPr>
          <w:p w14:paraId="19A61CED" w14:textId="77777777" w:rsidR="00800F93" w:rsidRPr="0037794D" w:rsidRDefault="00800F93" w:rsidP="00F5692C">
            <w:pPr>
              <w:jc w:val="center"/>
              <w:rPr>
                <w:rFonts w:ascii="Calibri" w:hAnsi="Calibri" w:cs="Calibri"/>
                <w:sz w:val="15"/>
                <w:szCs w:val="15"/>
              </w:rPr>
            </w:pPr>
          </w:p>
        </w:tc>
        <w:tc>
          <w:tcPr>
            <w:tcW w:w="2549" w:type="dxa"/>
            <w:tcMar>
              <w:top w:w="15" w:type="dxa"/>
              <w:left w:w="15" w:type="dxa"/>
              <w:right w:w="15" w:type="dxa"/>
            </w:tcMar>
          </w:tcPr>
          <w:p w14:paraId="14B06ED1" w14:textId="2038530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This is a long-term piece of work and needs to be scoped out and timescales agreed - Pre cursor to this work is recommendation:  2.2, 4, </w:t>
            </w:r>
            <w:r w:rsidR="00995B79" w:rsidRPr="0037794D">
              <w:rPr>
                <w:rFonts w:ascii="Calibri" w:eastAsia="Calibri" w:hAnsi="Calibri" w:cs="Calibri"/>
                <w:color w:val="000000" w:themeColor="text1"/>
                <w:sz w:val="15"/>
                <w:szCs w:val="15"/>
              </w:rPr>
              <w:t>6,</w:t>
            </w:r>
            <w:r w:rsidRPr="0037794D">
              <w:rPr>
                <w:rFonts w:ascii="Calibri" w:eastAsia="Calibri" w:hAnsi="Calibri" w:cs="Calibri"/>
                <w:color w:val="000000" w:themeColor="text1"/>
                <w:sz w:val="15"/>
                <w:szCs w:val="15"/>
              </w:rPr>
              <w:t xml:space="preserve"> 10.</w:t>
            </w:r>
          </w:p>
        </w:tc>
        <w:tc>
          <w:tcPr>
            <w:tcW w:w="794" w:type="dxa"/>
            <w:tcMar>
              <w:top w:w="15" w:type="dxa"/>
              <w:left w:w="15" w:type="dxa"/>
              <w:right w:w="15" w:type="dxa"/>
            </w:tcMar>
          </w:tcPr>
          <w:p w14:paraId="4F97FCAD" w14:textId="77777777" w:rsidR="00800F93" w:rsidRPr="0037794D" w:rsidRDefault="00800F93" w:rsidP="00F5692C">
            <w:pPr>
              <w:spacing w:after="0"/>
              <w:jc w:val="center"/>
              <w:rPr>
                <w:rFonts w:ascii="Calibri" w:hAnsi="Calibri" w:cs="Calibri"/>
                <w:sz w:val="15"/>
                <w:szCs w:val="15"/>
              </w:rPr>
            </w:pPr>
            <w:r w:rsidRPr="0037794D">
              <w:rPr>
                <w:rFonts w:ascii="Calibri" w:eastAsia="Calibri" w:hAnsi="Calibri" w:cs="Calibri"/>
                <w:color w:val="000000" w:themeColor="text1"/>
                <w:sz w:val="15"/>
                <w:szCs w:val="15"/>
              </w:rPr>
              <w:t>Not Started</w:t>
            </w:r>
          </w:p>
        </w:tc>
      </w:tr>
      <w:tr w:rsidR="004E7F1B" w14:paraId="4493E649" w14:textId="77777777" w:rsidTr="308A940C">
        <w:trPr>
          <w:trHeight w:val="4905"/>
        </w:trPr>
        <w:tc>
          <w:tcPr>
            <w:tcW w:w="492" w:type="dxa"/>
            <w:tcMar>
              <w:top w:w="15" w:type="dxa"/>
              <w:left w:w="15" w:type="dxa"/>
              <w:right w:w="15" w:type="dxa"/>
            </w:tcMar>
          </w:tcPr>
          <w:p w14:paraId="704A03E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11.1</w:t>
            </w:r>
          </w:p>
        </w:tc>
        <w:tc>
          <w:tcPr>
            <w:tcW w:w="2001" w:type="dxa"/>
            <w:tcMar>
              <w:top w:w="15" w:type="dxa"/>
              <w:left w:w="15" w:type="dxa"/>
              <w:right w:w="15" w:type="dxa"/>
            </w:tcMar>
          </w:tcPr>
          <w:p w14:paraId="6283F00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Review and clarify attendance expectations for all cardiology meetings.</w:t>
            </w:r>
          </w:p>
        </w:tc>
        <w:tc>
          <w:tcPr>
            <w:tcW w:w="2489" w:type="dxa"/>
            <w:tcMar>
              <w:top w:w="15" w:type="dxa"/>
              <w:left w:w="15" w:type="dxa"/>
              <w:right w:w="15" w:type="dxa"/>
            </w:tcMar>
          </w:tcPr>
          <w:p w14:paraId="7A9D4C22" w14:textId="05FCC0C8"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cardiology directorate should review the current programme of regular directorate and clinical meetings and specify expected attendance across staff groups</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 xml:space="preserve">This needs to include Quality and Safety, Mortality and Morbidity meetings in addition to other directorate </w:t>
            </w:r>
            <w:r w:rsidR="000F74F8" w:rsidRPr="0037794D">
              <w:rPr>
                <w:rFonts w:ascii="Calibri" w:eastAsia="Calibri" w:hAnsi="Calibri" w:cs="Calibri"/>
                <w:color w:val="000000" w:themeColor="text1"/>
                <w:sz w:val="15"/>
                <w:szCs w:val="15"/>
              </w:rPr>
              <w:t>meetings and</w:t>
            </w:r>
            <w:r w:rsidRPr="0037794D">
              <w:rPr>
                <w:rFonts w:ascii="Calibri" w:eastAsia="Calibri" w:hAnsi="Calibri" w:cs="Calibri"/>
                <w:color w:val="000000" w:themeColor="text1"/>
                <w:sz w:val="15"/>
                <w:szCs w:val="15"/>
              </w:rPr>
              <w:t xml:space="preserve"> should be benchmarked against other directorates within the Clinical Board and organisation</w:t>
            </w:r>
            <w:r w:rsidR="006A09B7"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F7EA8A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Ensure effective governance and consistent engagement across the Cardiology Directorate.</w:t>
            </w:r>
          </w:p>
        </w:tc>
        <w:tc>
          <w:tcPr>
            <w:tcW w:w="3515" w:type="dxa"/>
            <w:tcMar>
              <w:top w:w="15" w:type="dxa"/>
              <w:left w:w="15" w:type="dxa"/>
              <w:right w:w="15" w:type="dxa"/>
            </w:tcMar>
          </w:tcPr>
          <w:p w14:paraId="391871D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clear, structured meeting programmes.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Defined attendance expectations for each staff group to support consistent participation. Improved governance, communication, and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across the directorate.</w:t>
            </w:r>
          </w:p>
        </w:tc>
        <w:tc>
          <w:tcPr>
            <w:tcW w:w="1097" w:type="dxa"/>
            <w:tcMar>
              <w:top w:w="15" w:type="dxa"/>
              <w:left w:w="15" w:type="dxa"/>
              <w:right w:w="15" w:type="dxa"/>
            </w:tcMar>
          </w:tcPr>
          <w:p w14:paraId="79D361D3" w14:textId="77777777" w:rsidR="00800F93" w:rsidRPr="0037794D" w:rsidRDefault="00800F93" w:rsidP="006A09B7">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February 12, 2026</w:t>
            </w:r>
          </w:p>
        </w:tc>
        <w:tc>
          <w:tcPr>
            <w:tcW w:w="2549" w:type="dxa"/>
            <w:tcMar>
              <w:top w:w="15" w:type="dxa"/>
              <w:left w:w="15" w:type="dxa"/>
              <w:right w:w="15" w:type="dxa"/>
            </w:tcMar>
          </w:tcPr>
          <w:p w14:paraId="3D5CC20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Feb 2026: This work has been completed, and the following meetings are now in place: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Quality &amp; Safety Meeting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Mortality &amp; Morbidity Meeting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Interventional MDT Meeting.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w:t>
            </w:r>
            <w:r w:rsidRPr="0037794D">
              <w:rPr>
                <w:rFonts w:ascii="Calibri" w:hAnsi="Calibri" w:cs="Calibri"/>
                <w:sz w:val="15"/>
                <w:szCs w:val="15"/>
              </w:rPr>
              <w:br/>
            </w:r>
            <w:r w:rsidRPr="0037794D">
              <w:rPr>
                <w:rFonts w:ascii="Calibri" w:eastAsia="Calibri" w:hAnsi="Calibri" w:cs="Calibri"/>
                <w:color w:val="000000" w:themeColor="text1"/>
                <w:sz w:val="15"/>
                <w:szCs w:val="15"/>
              </w:rPr>
              <w:t>In addition, there is a Faculty of Educational Governance (FEG) structure in place. A FEG has been established for Cardiology, Cardiothoracic Surgery, and the Cardiac Surgery MDT Working Group.</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The Quality &amp; Safety, Mortality &amp; Morbidity, and Interventional MDT meetings have been operating since February 2025, and the FEG and associated working groups were established in Q1 2026.</w:t>
            </w:r>
          </w:p>
        </w:tc>
        <w:tc>
          <w:tcPr>
            <w:tcW w:w="794" w:type="dxa"/>
            <w:shd w:val="clear" w:color="auto" w:fill="95DCF7" w:themeFill="accent4" w:themeFillTint="66"/>
            <w:tcMar>
              <w:top w:w="15" w:type="dxa"/>
              <w:left w:w="15" w:type="dxa"/>
              <w:right w:w="15" w:type="dxa"/>
            </w:tcMar>
          </w:tcPr>
          <w:p w14:paraId="2A8B7F00" w14:textId="77777777" w:rsidR="00800F93" w:rsidRPr="0037794D" w:rsidRDefault="00800F93" w:rsidP="006A09B7">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C8E068F" w14:textId="77777777" w:rsidTr="308A940C">
        <w:trPr>
          <w:trHeight w:val="1620"/>
        </w:trPr>
        <w:tc>
          <w:tcPr>
            <w:tcW w:w="492" w:type="dxa"/>
            <w:tcMar>
              <w:top w:w="15" w:type="dxa"/>
              <w:left w:w="15" w:type="dxa"/>
              <w:right w:w="15" w:type="dxa"/>
            </w:tcMar>
          </w:tcPr>
          <w:p w14:paraId="78F65CB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11.2</w:t>
            </w:r>
          </w:p>
        </w:tc>
        <w:tc>
          <w:tcPr>
            <w:tcW w:w="2001" w:type="dxa"/>
            <w:tcMar>
              <w:top w:w="15" w:type="dxa"/>
              <w:left w:w="15" w:type="dxa"/>
              <w:right w:w="15" w:type="dxa"/>
            </w:tcMar>
          </w:tcPr>
          <w:p w14:paraId="1E4F4B9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Create standardised meeting etiquette for all professional groups.</w:t>
            </w:r>
          </w:p>
        </w:tc>
        <w:tc>
          <w:tcPr>
            <w:tcW w:w="2489" w:type="dxa"/>
            <w:tcMar>
              <w:top w:w="15" w:type="dxa"/>
              <w:left w:w="15" w:type="dxa"/>
              <w:right w:w="15" w:type="dxa"/>
            </w:tcMar>
          </w:tcPr>
          <w:p w14:paraId="6313D6C4" w14:textId="363FB1E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There need to be a standardised etiquette for meetings that is shared and understood amongst all professional groups</w:t>
            </w:r>
            <w:r w:rsidR="006A09B7"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0B23012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Adherence to a standardised etiquette for meetings that is shared and understood amongst all professional groups.</w:t>
            </w:r>
          </w:p>
        </w:tc>
        <w:tc>
          <w:tcPr>
            <w:tcW w:w="3515" w:type="dxa"/>
            <w:tcMar>
              <w:top w:w="15" w:type="dxa"/>
              <w:left w:w="15" w:type="dxa"/>
              <w:right w:w="15" w:type="dxa"/>
            </w:tcMar>
          </w:tcPr>
          <w:p w14:paraId="58F04135" w14:textId="77777777" w:rsidR="00800F93" w:rsidRPr="0037794D" w:rsidRDefault="00800F93" w:rsidP="004E2237">
            <w:pPr>
              <w:rPr>
                <w:rFonts w:ascii="Calibri" w:hAnsi="Calibri" w:cs="Calibri"/>
                <w:sz w:val="15"/>
                <w:szCs w:val="15"/>
              </w:rPr>
            </w:pPr>
          </w:p>
        </w:tc>
        <w:tc>
          <w:tcPr>
            <w:tcW w:w="1097" w:type="dxa"/>
            <w:tcMar>
              <w:top w:w="15" w:type="dxa"/>
              <w:left w:w="15" w:type="dxa"/>
              <w:right w:w="15" w:type="dxa"/>
            </w:tcMar>
          </w:tcPr>
          <w:p w14:paraId="14027AC1" w14:textId="77777777" w:rsidR="00800F93" w:rsidRPr="0037794D" w:rsidRDefault="00800F93" w:rsidP="006A09B7">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May 26, 2026</w:t>
            </w:r>
          </w:p>
        </w:tc>
        <w:tc>
          <w:tcPr>
            <w:tcW w:w="2549" w:type="dxa"/>
            <w:tcMar>
              <w:top w:w="15" w:type="dxa"/>
              <w:left w:w="15" w:type="dxa"/>
              <w:right w:w="15" w:type="dxa"/>
            </w:tcMar>
          </w:tcPr>
          <w:p w14:paraId="3E2BF23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SOP developed and circulated with DMT for comments and formal approval. It was formally signed off at the DMT meeting on the 20th of April and subsequently disseminated across the directorate, including publication on the relevant SharePoint pages.</w:t>
            </w:r>
          </w:p>
        </w:tc>
        <w:tc>
          <w:tcPr>
            <w:tcW w:w="794" w:type="dxa"/>
            <w:shd w:val="clear" w:color="auto" w:fill="95DCF7" w:themeFill="accent4" w:themeFillTint="66"/>
            <w:tcMar>
              <w:top w:w="15" w:type="dxa"/>
              <w:left w:w="15" w:type="dxa"/>
              <w:right w:w="15" w:type="dxa"/>
            </w:tcMar>
          </w:tcPr>
          <w:p w14:paraId="36F6FE7E" w14:textId="77777777" w:rsidR="00800F93" w:rsidRPr="0037794D" w:rsidRDefault="00800F93" w:rsidP="006A09B7">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59CC613" w14:textId="77777777" w:rsidTr="308A940C">
        <w:trPr>
          <w:trHeight w:val="3720"/>
        </w:trPr>
        <w:tc>
          <w:tcPr>
            <w:tcW w:w="492" w:type="dxa"/>
            <w:tcMar>
              <w:top w:w="15" w:type="dxa"/>
              <w:left w:w="15" w:type="dxa"/>
              <w:right w:w="15" w:type="dxa"/>
            </w:tcMar>
          </w:tcPr>
          <w:p w14:paraId="2F9E6D2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12</w:t>
            </w:r>
          </w:p>
        </w:tc>
        <w:tc>
          <w:tcPr>
            <w:tcW w:w="2001" w:type="dxa"/>
            <w:tcMar>
              <w:top w:w="15" w:type="dxa"/>
              <w:left w:w="15" w:type="dxa"/>
              <w:right w:w="15" w:type="dxa"/>
            </w:tcMar>
          </w:tcPr>
          <w:p w14:paraId="6BCF06E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Conduct monthly walkarounds by directorate and board management to improve visibility.</w:t>
            </w:r>
          </w:p>
        </w:tc>
        <w:tc>
          <w:tcPr>
            <w:tcW w:w="2489" w:type="dxa"/>
            <w:tcMar>
              <w:top w:w="15" w:type="dxa"/>
              <w:left w:w="15" w:type="dxa"/>
              <w:right w:w="15" w:type="dxa"/>
            </w:tcMar>
          </w:tcPr>
          <w:p w14:paraId="0049990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It is recommended that there are structured regular (at least monthly) walk arounds by the directorate and clinical board management team to increase visibility and communication. </w:t>
            </w:r>
          </w:p>
        </w:tc>
        <w:tc>
          <w:tcPr>
            <w:tcW w:w="2640" w:type="dxa"/>
            <w:tcMar>
              <w:top w:w="15" w:type="dxa"/>
              <w:left w:w="15" w:type="dxa"/>
              <w:right w:w="15" w:type="dxa"/>
            </w:tcMar>
          </w:tcPr>
          <w:p w14:paraId="2281516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It is recommended that there are structured regular (at least monthly) walk arounds by the directorate and clinical board management team to increase visibility and communication.</w:t>
            </w:r>
          </w:p>
        </w:tc>
        <w:tc>
          <w:tcPr>
            <w:tcW w:w="3515" w:type="dxa"/>
            <w:tcMar>
              <w:top w:w="15" w:type="dxa"/>
              <w:left w:w="15" w:type="dxa"/>
              <w:right w:w="15" w:type="dxa"/>
            </w:tcMar>
          </w:tcPr>
          <w:p w14:paraId="561BBEE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Visibility, accessibility, and communication across Cardiology through structured, regular walkarounds involving the Directorate and Clinical Board management team.</w:t>
            </w:r>
          </w:p>
        </w:tc>
        <w:tc>
          <w:tcPr>
            <w:tcW w:w="1097" w:type="dxa"/>
            <w:tcMar>
              <w:top w:w="15" w:type="dxa"/>
              <w:left w:w="15" w:type="dxa"/>
              <w:right w:w="15" w:type="dxa"/>
            </w:tcMar>
          </w:tcPr>
          <w:p w14:paraId="01782CF2" w14:textId="77777777" w:rsidR="00800F93" w:rsidRPr="0037794D" w:rsidRDefault="00800F93" w:rsidP="00FC3F0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December 8, 2025</w:t>
            </w:r>
          </w:p>
        </w:tc>
        <w:tc>
          <w:tcPr>
            <w:tcW w:w="2549" w:type="dxa"/>
            <w:tcMar>
              <w:top w:w="15" w:type="dxa"/>
              <w:left w:w="15" w:type="dxa"/>
              <w:right w:w="15" w:type="dxa"/>
            </w:tcMar>
          </w:tcPr>
          <w:p w14:paraId="7A60DEC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Feb 2026: A weekly walkaround takes place every Tuesday at 2:30pm. The venue rotates to ensure coverage of the full Directorate footprint. Clinical Board members also participate in walkarounds, either alongside the team or independently. In addition, there have been two visits from the Medical Director’s Office involving senior teams. DMT walkarounds continue to be supported.</w:t>
            </w:r>
          </w:p>
        </w:tc>
        <w:tc>
          <w:tcPr>
            <w:tcW w:w="794" w:type="dxa"/>
            <w:shd w:val="clear" w:color="auto" w:fill="95DCF7" w:themeFill="accent4" w:themeFillTint="66"/>
            <w:tcMar>
              <w:top w:w="15" w:type="dxa"/>
              <w:left w:w="15" w:type="dxa"/>
              <w:right w:w="15" w:type="dxa"/>
            </w:tcMar>
          </w:tcPr>
          <w:p w14:paraId="714F9890" w14:textId="77777777" w:rsidR="00800F93" w:rsidRPr="0037794D" w:rsidRDefault="00800F93" w:rsidP="00FC3F0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724EC60A" w14:textId="77777777" w:rsidTr="308A940C">
        <w:trPr>
          <w:trHeight w:val="1155"/>
        </w:trPr>
        <w:tc>
          <w:tcPr>
            <w:tcW w:w="492" w:type="dxa"/>
            <w:tcMar>
              <w:top w:w="15" w:type="dxa"/>
              <w:left w:w="15" w:type="dxa"/>
              <w:right w:w="15" w:type="dxa"/>
            </w:tcMar>
          </w:tcPr>
          <w:p w14:paraId="3A6780D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13.1</w:t>
            </w:r>
          </w:p>
        </w:tc>
        <w:tc>
          <w:tcPr>
            <w:tcW w:w="2001" w:type="dxa"/>
            <w:tcMar>
              <w:top w:w="15" w:type="dxa"/>
              <w:left w:w="15" w:type="dxa"/>
              <w:right w:w="15" w:type="dxa"/>
            </w:tcMar>
          </w:tcPr>
          <w:p w14:paraId="2FC5E1C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Reinforce WHO checklist use in Cath labs and monitor compliance (duplicate recommendation).</w:t>
            </w:r>
          </w:p>
        </w:tc>
        <w:tc>
          <w:tcPr>
            <w:tcW w:w="2489" w:type="dxa"/>
            <w:tcMar>
              <w:top w:w="15" w:type="dxa"/>
              <w:left w:w="15" w:type="dxa"/>
              <w:right w:w="15" w:type="dxa"/>
            </w:tcMar>
          </w:tcPr>
          <w:p w14:paraId="5573D2A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review team recommends that the mandatory use of a WHO checklist is reinforced as standard practice for the Cath labs moving forward and that compliance is audited and monitored. </w:t>
            </w:r>
          </w:p>
        </w:tc>
        <w:tc>
          <w:tcPr>
            <w:tcW w:w="2640" w:type="dxa"/>
            <w:tcMar>
              <w:top w:w="15" w:type="dxa"/>
              <w:left w:w="15" w:type="dxa"/>
              <w:right w:w="15" w:type="dxa"/>
            </w:tcMar>
          </w:tcPr>
          <w:p w14:paraId="576458EE" w14:textId="77777777" w:rsidR="00800F93" w:rsidRPr="0037794D" w:rsidRDefault="00800F93" w:rsidP="004E2237">
            <w:pPr>
              <w:rPr>
                <w:rFonts w:ascii="Calibri" w:hAnsi="Calibri" w:cs="Calibri"/>
                <w:sz w:val="15"/>
                <w:szCs w:val="15"/>
              </w:rPr>
            </w:pPr>
          </w:p>
        </w:tc>
        <w:tc>
          <w:tcPr>
            <w:tcW w:w="3515" w:type="dxa"/>
            <w:tcMar>
              <w:top w:w="15" w:type="dxa"/>
              <w:left w:w="15" w:type="dxa"/>
              <w:right w:w="15" w:type="dxa"/>
            </w:tcMar>
          </w:tcPr>
          <w:p w14:paraId="3FB498A0" w14:textId="77777777" w:rsidR="00800F93" w:rsidRPr="0037794D" w:rsidRDefault="00800F93" w:rsidP="004E2237">
            <w:pPr>
              <w:rPr>
                <w:rFonts w:ascii="Calibri" w:hAnsi="Calibri" w:cs="Calibri"/>
                <w:sz w:val="15"/>
                <w:szCs w:val="15"/>
              </w:rPr>
            </w:pPr>
          </w:p>
        </w:tc>
        <w:tc>
          <w:tcPr>
            <w:tcW w:w="1097" w:type="dxa"/>
            <w:tcMar>
              <w:top w:w="15" w:type="dxa"/>
              <w:left w:w="15" w:type="dxa"/>
              <w:right w:w="15" w:type="dxa"/>
            </w:tcMar>
          </w:tcPr>
          <w:p w14:paraId="0E4FF6C3" w14:textId="77777777" w:rsidR="00800F93" w:rsidRPr="0037794D" w:rsidRDefault="00800F93" w:rsidP="00FC3F03">
            <w:pPr>
              <w:jc w:val="center"/>
              <w:rPr>
                <w:rFonts w:ascii="Calibri" w:hAnsi="Calibri" w:cs="Calibri"/>
                <w:sz w:val="15"/>
                <w:szCs w:val="15"/>
              </w:rPr>
            </w:pPr>
          </w:p>
        </w:tc>
        <w:tc>
          <w:tcPr>
            <w:tcW w:w="2549" w:type="dxa"/>
            <w:tcMar>
              <w:top w:w="15" w:type="dxa"/>
              <w:left w:w="15" w:type="dxa"/>
              <w:right w:w="15" w:type="dxa"/>
            </w:tcMar>
          </w:tcPr>
          <w:p w14:paraId="2CBA590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is duplicate of recommendation 2.4.</w:t>
            </w:r>
          </w:p>
        </w:tc>
        <w:tc>
          <w:tcPr>
            <w:tcW w:w="794" w:type="dxa"/>
            <w:shd w:val="clear" w:color="auto" w:fill="D9D9D9" w:themeFill="background1" w:themeFillShade="D9"/>
            <w:tcMar>
              <w:top w:w="15" w:type="dxa"/>
              <w:left w:w="15" w:type="dxa"/>
              <w:right w:w="15" w:type="dxa"/>
            </w:tcMar>
          </w:tcPr>
          <w:p w14:paraId="03F53DC1" w14:textId="77777777" w:rsidR="00800F93" w:rsidRPr="0037794D" w:rsidRDefault="00800F93" w:rsidP="00FC3F0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De-Scoped</w:t>
            </w:r>
          </w:p>
        </w:tc>
      </w:tr>
      <w:tr w:rsidR="004E7F1B" w14:paraId="313BC63E" w14:textId="77777777" w:rsidTr="308A940C">
        <w:trPr>
          <w:trHeight w:val="2268"/>
        </w:trPr>
        <w:tc>
          <w:tcPr>
            <w:tcW w:w="492" w:type="dxa"/>
            <w:tcMar>
              <w:top w:w="15" w:type="dxa"/>
              <w:left w:w="15" w:type="dxa"/>
              <w:right w:w="15" w:type="dxa"/>
            </w:tcMar>
          </w:tcPr>
          <w:p w14:paraId="53105EE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13.2</w:t>
            </w:r>
          </w:p>
        </w:tc>
        <w:tc>
          <w:tcPr>
            <w:tcW w:w="2001" w:type="dxa"/>
            <w:tcMar>
              <w:top w:w="15" w:type="dxa"/>
              <w:left w:w="15" w:type="dxa"/>
              <w:right w:w="15" w:type="dxa"/>
            </w:tcMar>
          </w:tcPr>
          <w:p w14:paraId="3616762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Standardise COW model delivery to ensure consistent patient and staff experience.</w:t>
            </w:r>
          </w:p>
        </w:tc>
        <w:tc>
          <w:tcPr>
            <w:tcW w:w="2489" w:type="dxa"/>
            <w:tcMar>
              <w:top w:w="15" w:type="dxa"/>
              <w:left w:w="15" w:type="dxa"/>
              <w:right w:w="15" w:type="dxa"/>
            </w:tcMar>
          </w:tcPr>
          <w:p w14:paraId="16BF77A8" w14:textId="19302AD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Agree on standardised delivery of COW model based on daily timetable of duties, to ensure consistency of experience for patients, </w:t>
            </w:r>
            <w:r w:rsidR="009642BA" w:rsidRPr="0037794D">
              <w:rPr>
                <w:rFonts w:ascii="Calibri" w:eastAsia="Calibri" w:hAnsi="Calibri" w:cs="Calibri"/>
                <w:color w:val="000000" w:themeColor="text1"/>
                <w:sz w:val="15"/>
                <w:szCs w:val="15"/>
              </w:rPr>
              <w:t>residents,</w:t>
            </w:r>
            <w:r w:rsidRPr="0037794D">
              <w:rPr>
                <w:rFonts w:ascii="Calibri" w:eastAsia="Calibri" w:hAnsi="Calibri" w:cs="Calibri"/>
                <w:color w:val="000000" w:themeColor="text1"/>
                <w:sz w:val="15"/>
                <w:szCs w:val="15"/>
              </w:rPr>
              <w:t xml:space="preserve"> and nursing team. Differential engagement cannot be allowed to continue</w:t>
            </w:r>
            <w:r w:rsidR="00FC3F03"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A5E386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Consistent, reliable, and high</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quality experience for patients, residents, and the nursing team by agreeing and implementing a standardised Consultant of the Week model.</w:t>
            </w:r>
          </w:p>
        </w:tc>
        <w:tc>
          <w:tcPr>
            <w:tcW w:w="3515" w:type="dxa"/>
            <w:tcMar>
              <w:top w:w="15" w:type="dxa"/>
              <w:left w:w="15" w:type="dxa"/>
              <w:right w:w="15" w:type="dxa"/>
            </w:tcMar>
          </w:tcPr>
          <w:p w14:paraId="1BA7A9F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single, standardised Consultant of the Week model is agreed and adopted across the directorate. Consistent consultant engagement and visibility throughout the week. Reduced variation in how duties are delivered, improving continuity of care and team coordination.</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experience for patients and clearer expectations for residents and nursing staff.</w:t>
            </w:r>
          </w:p>
        </w:tc>
        <w:tc>
          <w:tcPr>
            <w:tcW w:w="1097" w:type="dxa"/>
            <w:tcMar>
              <w:top w:w="15" w:type="dxa"/>
              <w:left w:w="15" w:type="dxa"/>
              <w:right w:w="15" w:type="dxa"/>
            </w:tcMar>
          </w:tcPr>
          <w:p w14:paraId="0A30C9BE" w14:textId="77777777" w:rsidR="00800F93" w:rsidRPr="0037794D" w:rsidRDefault="00800F93" w:rsidP="00FC3F0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September 28, 2025</w:t>
            </w:r>
          </w:p>
        </w:tc>
        <w:tc>
          <w:tcPr>
            <w:tcW w:w="2549" w:type="dxa"/>
            <w:tcMar>
              <w:top w:w="15" w:type="dxa"/>
              <w:left w:w="15" w:type="dxa"/>
              <w:right w:w="15" w:type="dxa"/>
            </w:tcMar>
          </w:tcPr>
          <w:p w14:paraId="0CB84369" w14:textId="1B2CB8B6"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Feb 2026: The COW model is implemented</w:t>
            </w:r>
            <w:r w:rsidR="007A1CC4"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A clearly defined SOP has been developed and is consistently reviewed, current version 2.0.</w:t>
            </w:r>
          </w:p>
        </w:tc>
        <w:tc>
          <w:tcPr>
            <w:tcW w:w="794" w:type="dxa"/>
            <w:shd w:val="clear" w:color="auto" w:fill="95DCF7" w:themeFill="accent4" w:themeFillTint="66"/>
            <w:tcMar>
              <w:top w:w="15" w:type="dxa"/>
              <w:left w:w="15" w:type="dxa"/>
              <w:right w:w="15" w:type="dxa"/>
            </w:tcMar>
          </w:tcPr>
          <w:p w14:paraId="13FECE44" w14:textId="77777777" w:rsidR="00800F93" w:rsidRPr="0037794D" w:rsidRDefault="00800F93" w:rsidP="00FC3F0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C8925AE" w14:textId="77777777" w:rsidTr="308A940C">
        <w:trPr>
          <w:trHeight w:val="1134"/>
        </w:trPr>
        <w:tc>
          <w:tcPr>
            <w:tcW w:w="492" w:type="dxa"/>
            <w:tcMar>
              <w:top w:w="15" w:type="dxa"/>
              <w:left w:w="15" w:type="dxa"/>
              <w:right w:w="15" w:type="dxa"/>
            </w:tcMar>
          </w:tcPr>
          <w:p w14:paraId="5D31138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13.3</w:t>
            </w:r>
          </w:p>
        </w:tc>
        <w:tc>
          <w:tcPr>
            <w:tcW w:w="2001" w:type="dxa"/>
            <w:tcMar>
              <w:top w:w="15" w:type="dxa"/>
              <w:left w:w="15" w:type="dxa"/>
              <w:right w:w="15" w:type="dxa"/>
            </w:tcMar>
          </w:tcPr>
          <w:p w14:paraId="3EC8496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Hold 6-monthly reviews of COW effectiveness with stakeholder feedback.</w:t>
            </w:r>
          </w:p>
        </w:tc>
        <w:tc>
          <w:tcPr>
            <w:tcW w:w="2489" w:type="dxa"/>
            <w:tcMar>
              <w:top w:w="15" w:type="dxa"/>
              <w:left w:w="15" w:type="dxa"/>
              <w:right w:w="15" w:type="dxa"/>
            </w:tcMar>
          </w:tcPr>
          <w:p w14:paraId="24B43F25" w14:textId="53CDEF4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There should be as a minimum a 6-monthly review with feedback from all stakeholders on the effectiveness of COW</w:t>
            </w:r>
            <w:r w:rsidR="00116F91"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31E742A9" w14:textId="338558C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Effectiveness of COW model is reviewed every 6 months and feedback acted on</w:t>
            </w:r>
            <w:r w:rsidR="00116F91"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0FF52D8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Effective COW model.</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Consistent reviews and improvement.</w:t>
            </w:r>
          </w:p>
        </w:tc>
        <w:tc>
          <w:tcPr>
            <w:tcW w:w="1097" w:type="dxa"/>
            <w:tcMar>
              <w:top w:w="15" w:type="dxa"/>
              <w:left w:w="15" w:type="dxa"/>
              <w:right w:w="15" w:type="dxa"/>
            </w:tcMar>
          </w:tcPr>
          <w:p w14:paraId="4BE06F9B"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October 30, 2025</w:t>
            </w:r>
          </w:p>
        </w:tc>
        <w:tc>
          <w:tcPr>
            <w:tcW w:w="2549" w:type="dxa"/>
            <w:tcMar>
              <w:top w:w="15" w:type="dxa"/>
              <w:left w:w="15" w:type="dxa"/>
              <w:right w:w="15" w:type="dxa"/>
            </w:tcMar>
          </w:tcPr>
          <w:p w14:paraId="7C2665C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Model continues to be updated. Checklist incorporated to daily Board Round to ensure consistency in delivery of Consultant of the Week.</w:t>
            </w:r>
          </w:p>
        </w:tc>
        <w:tc>
          <w:tcPr>
            <w:tcW w:w="794" w:type="dxa"/>
            <w:shd w:val="clear" w:color="auto" w:fill="95DCF7" w:themeFill="accent4" w:themeFillTint="66"/>
            <w:tcMar>
              <w:top w:w="15" w:type="dxa"/>
              <w:left w:w="15" w:type="dxa"/>
              <w:right w:w="15" w:type="dxa"/>
            </w:tcMar>
          </w:tcPr>
          <w:p w14:paraId="681C30CD"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914F622" w14:textId="77777777" w:rsidTr="308A940C">
        <w:trPr>
          <w:trHeight w:val="1134"/>
        </w:trPr>
        <w:tc>
          <w:tcPr>
            <w:tcW w:w="492" w:type="dxa"/>
            <w:tcMar>
              <w:top w:w="15" w:type="dxa"/>
              <w:left w:w="15" w:type="dxa"/>
              <w:right w:w="15" w:type="dxa"/>
            </w:tcMar>
          </w:tcPr>
          <w:p w14:paraId="54774BB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13.4</w:t>
            </w:r>
          </w:p>
        </w:tc>
        <w:tc>
          <w:tcPr>
            <w:tcW w:w="2001" w:type="dxa"/>
            <w:tcMar>
              <w:top w:w="15" w:type="dxa"/>
              <w:left w:w="15" w:type="dxa"/>
              <w:right w:w="15" w:type="dxa"/>
            </w:tcMar>
          </w:tcPr>
          <w:p w14:paraId="7F9FAA1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Assess COW model benefits for cardiology and wider system.</w:t>
            </w:r>
          </w:p>
        </w:tc>
        <w:tc>
          <w:tcPr>
            <w:tcW w:w="2489" w:type="dxa"/>
            <w:tcMar>
              <w:top w:w="15" w:type="dxa"/>
              <w:left w:w="15" w:type="dxa"/>
              <w:right w:w="15" w:type="dxa"/>
            </w:tcMar>
          </w:tcPr>
          <w:p w14:paraId="2B4CA6DF" w14:textId="1E621326"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team should analyse the benefits of the COW model to Cardiology and the wider system</w:t>
            </w:r>
            <w:r w:rsidR="00116F91"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36AA782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impact and value of the Consultant of the Week (COW) model is clearly understood within the wider system.</w:t>
            </w:r>
          </w:p>
        </w:tc>
        <w:tc>
          <w:tcPr>
            <w:tcW w:w="3515" w:type="dxa"/>
            <w:tcMar>
              <w:top w:w="15" w:type="dxa"/>
              <w:left w:w="15" w:type="dxa"/>
              <w:right w:w="15" w:type="dxa"/>
            </w:tcMar>
          </w:tcPr>
          <w:p w14:paraId="44D134E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 evidence on how the COW model affects patient flow, safety, staff experience, and system efficiency.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Informed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on the future use or adaptation of the COW model in Cardiology.</w:t>
            </w:r>
          </w:p>
        </w:tc>
        <w:tc>
          <w:tcPr>
            <w:tcW w:w="1097" w:type="dxa"/>
            <w:tcMar>
              <w:top w:w="15" w:type="dxa"/>
              <w:left w:w="15" w:type="dxa"/>
              <w:right w:w="15" w:type="dxa"/>
            </w:tcMar>
          </w:tcPr>
          <w:p w14:paraId="28E78AF7"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January 28, 2026</w:t>
            </w:r>
          </w:p>
        </w:tc>
        <w:tc>
          <w:tcPr>
            <w:tcW w:w="2549" w:type="dxa"/>
            <w:tcMar>
              <w:top w:w="15" w:type="dxa"/>
              <w:left w:w="15" w:type="dxa"/>
              <w:right w:w="15" w:type="dxa"/>
            </w:tcMar>
          </w:tcPr>
          <w:p w14:paraId="55CAE1A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is supporting the implementation of Ward Standards, as part of Urgent and Emergency Care programme. Plan to implement Standards Bundle on B1 Ward.</w:t>
            </w:r>
          </w:p>
        </w:tc>
        <w:tc>
          <w:tcPr>
            <w:tcW w:w="794" w:type="dxa"/>
            <w:shd w:val="clear" w:color="auto" w:fill="95DCF7" w:themeFill="accent4" w:themeFillTint="66"/>
            <w:tcMar>
              <w:top w:w="15" w:type="dxa"/>
              <w:left w:w="15" w:type="dxa"/>
              <w:right w:w="15" w:type="dxa"/>
            </w:tcMar>
          </w:tcPr>
          <w:p w14:paraId="6340694F"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1653EC5" w14:textId="77777777" w:rsidTr="005A107B">
        <w:trPr>
          <w:trHeight w:val="1928"/>
        </w:trPr>
        <w:tc>
          <w:tcPr>
            <w:tcW w:w="492" w:type="dxa"/>
            <w:tcMar>
              <w:top w:w="15" w:type="dxa"/>
              <w:left w:w="15" w:type="dxa"/>
              <w:right w:w="15" w:type="dxa"/>
            </w:tcMar>
          </w:tcPr>
          <w:p w14:paraId="7433488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14</w:t>
            </w:r>
          </w:p>
        </w:tc>
        <w:tc>
          <w:tcPr>
            <w:tcW w:w="2001" w:type="dxa"/>
            <w:tcMar>
              <w:top w:w="15" w:type="dxa"/>
              <w:left w:w="15" w:type="dxa"/>
              <w:right w:w="15" w:type="dxa"/>
            </w:tcMar>
          </w:tcPr>
          <w:p w14:paraId="6E7306A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Make waiting list management engagement mandatory for all consultants.</w:t>
            </w:r>
          </w:p>
        </w:tc>
        <w:tc>
          <w:tcPr>
            <w:tcW w:w="2489" w:type="dxa"/>
            <w:tcMar>
              <w:top w:w="15" w:type="dxa"/>
              <w:left w:w="15" w:type="dxa"/>
              <w:right w:w="15" w:type="dxa"/>
            </w:tcMar>
          </w:tcPr>
          <w:p w14:paraId="4DD37F80" w14:textId="6517C1B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review team recommends that engagement in waiting list management is compulsory for all consultants</w:t>
            </w:r>
            <w:r w:rsidR="000A02E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5CF1FF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Consistent, fair, and effective management of waiting lists.</w:t>
            </w:r>
          </w:p>
        </w:tc>
        <w:tc>
          <w:tcPr>
            <w:tcW w:w="3515" w:type="dxa"/>
            <w:tcMar>
              <w:top w:w="15" w:type="dxa"/>
              <w:left w:w="15" w:type="dxa"/>
              <w:right w:w="15" w:type="dxa"/>
            </w:tcMar>
          </w:tcPr>
          <w:p w14:paraId="36098DF0" w14:textId="3C09BEF6"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All consultants actively participate in waiting list management as part of their core duties. Improved equity, timeliness, and oversight of patient scheduling and access to care. Enhanced team coordination and more sustainable management of demand and capacity</w:t>
            </w:r>
            <w:r w:rsidR="00116F91"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2796EFCE"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September 23, 2026</w:t>
            </w:r>
          </w:p>
        </w:tc>
        <w:tc>
          <w:tcPr>
            <w:tcW w:w="2549" w:type="dxa"/>
            <w:tcMar>
              <w:top w:w="15" w:type="dxa"/>
              <w:left w:w="15" w:type="dxa"/>
              <w:right w:w="15" w:type="dxa"/>
            </w:tcMar>
          </w:tcPr>
          <w:p w14:paraId="647A6D7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consultant team has commenced active triage of GP referrals, supported by planned sessions, and condition specific pathway development is in progress. Operational data is being generated to inform waiting list management. While progress is evident, further work is required to secure sustained and measurable improvement.</w:t>
            </w:r>
          </w:p>
        </w:tc>
        <w:tc>
          <w:tcPr>
            <w:tcW w:w="794" w:type="dxa"/>
            <w:shd w:val="clear" w:color="auto" w:fill="B3E5A1" w:themeFill="accent6" w:themeFillTint="66"/>
            <w:tcMar>
              <w:top w:w="15" w:type="dxa"/>
              <w:left w:w="15" w:type="dxa"/>
              <w:right w:w="15" w:type="dxa"/>
            </w:tcMar>
          </w:tcPr>
          <w:p w14:paraId="47C6D1A3"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7F8DA674" w14:textId="77777777" w:rsidTr="005A107B">
        <w:trPr>
          <w:trHeight w:val="1587"/>
        </w:trPr>
        <w:tc>
          <w:tcPr>
            <w:tcW w:w="492" w:type="dxa"/>
            <w:tcMar>
              <w:top w:w="15" w:type="dxa"/>
              <w:left w:w="15" w:type="dxa"/>
              <w:right w:w="15" w:type="dxa"/>
            </w:tcMar>
          </w:tcPr>
          <w:p w14:paraId="1425DC4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15</w:t>
            </w:r>
          </w:p>
        </w:tc>
        <w:tc>
          <w:tcPr>
            <w:tcW w:w="2001" w:type="dxa"/>
            <w:tcMar>
              <w:top w:w="15" w:type="dxa"/>
              <w:left w:w="15" w:type="dxa"/>
              <w:right w:w="15" w:type="dxa"/>
            </w:tcMar>
          </w:tcPr>
          <w:p w14:paraId="0B7FE83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Require evidence of mandatory training completion during appraisal/job planning.</w:t>
            </w:r>
          </w:p>
        </w:tc>
        <w:tc>
          <w:tcPr>
            <w:tcW w:w="2489" w:type="dxa"/>
            <w:tcMar>
              <w:top w:w="15" w:type="dxa"/>
              <w:left w:w="15" w:type="dxa"/>
              <w:right w:w="15" w:type="dxa"/>
            </w:tcMar>
          </w:tcPr>
          <w:p w14:paraId="44FCFCDF" w14:textId="1DAC423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should require evidence of completion or mandatory training by all employees as part of the appraisal or job-planning process</w:t>
            </w:r>
            <w:r w:rsidR="00116F91"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387DBDE5"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Increased and sustained compliance with mandatory training across all staff groups.</w:t>
            </w:r>
          </w:p>
        </w:tc>
        <w:tc>
          <w:tcPr>
            <w:tcW w:w="3515" w:type="dxa"/>
            <w:tcMar>
              <w:top w:w="15" w:type="dxa"/>
              <w:left w:w="15" w:type="dxa"/>
              <w:right w:w="15" w:type="dxa"/>
            </w:tcMar>
          </w:tcPr>
          <w:p w14:paraId="2CDDD3B4" w14:textId="2F1A9F2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assurance of workforce competence, safety, and regulatory alignment</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Greater accountability through consistent inclusion of training compliance in appraisal and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planning discussions. Reduced organisational risk linked to missed or overdue mandatory training.</w:t>
            </w:r>
          </w:p>
        </w:tc>
        <w:tc>
          <w:tcPr>
            <w:tcW w:w="1097" w:type="dxa"/>
            <w:tcMar>
              <w:top w:w="15" w:type="dxa"/>
              <w:left w:w="15" w:type="dxa"/>
              <w:right w:w="15" w:type="dxa"/>
            </w:tcMar>
          </w:tcPr>
          <w:p w14:paraId="550F5C8F"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Friday, March 20, 2026</w:t>
            </w:r>
          </w:p>
        </w:tc>
        <w:tc>
          <w:tcPr>
            <w:tcW w:w="2549" w:type="dxa"/>
            <w:tcMar>
              <w:top w:w="15" w:type="dxa"/>
              <w:left w:w="15" w:type="dxa"/>
              <w:right w:w="15" w:type="dxa"/>
            </w:tcMar>
          </w:tcPr>
          <w:p w14:paraId="495EAE5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March 2026: Mandatory training is incorporated into the job planning process, and all required training must be completed before the job plan review takes place. Monitoring systems are already in place, and therefore this recommendation is agreed as complete.</w:t>
            </w:r>
          </w:p>
        </w:tc>
        <w:tc>
          <w:tcPr>
            <w:tcW w:w="794" w:type="dxa"/>
            <w:shd w:val="clear" w:color="auto" w:fill="95DCF7" w:themeFill="accent4" w:themeFillTint="66"/>
            <w:tcMar>
              <w:top w:w="15" w:type="dxa"/>
              <w:left w:w="15" w:type="dxa"/>
              <w:right w:w="15" w:type="dxa"/>
            </w:tcMar>
          </w:tcPr>
          <w:p w14:paraId="5052477F" w14:textId="77777777" w:rsidR="00800F93" w:rsidRPr="0037794D" w:rsidRDefault="00800F93" w:rsidP="00116F9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02FC7AAB" w14:textId="77777777" w:rsidTr="308A940C">
        <w:trPr>
          <w:trHeight w:val="1687"/>
        </w:trPr>
        <w:tc>
          <w:tcPr>
            <w:tcW w:w="492" w:type="dxa"/>
            <w:tcMar>
              <w:top w:w="15" w:type="dxa"/>
              <w:left w:w="15" w:type="dxa"/>
              <w:right w:w="15" w:type="dxa"/>
            </w:tcMar>
          </w:tcPr>
          <w:p w14:paraId="7837AFB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16</w:t>
            </w:r>
          </w:p>
        </w:tc>
        <w:tc>
          <w:tcPr>
            <w:tcW w:w="2001" w:type="dxa"/>
            <w:tcMar>
              <w:top w:w="15" w:type="dxa"/>
              <w:left w:w="15" w:type="dxa"/>
              <w:right w:w="15" w:type="dxa"/>
            </w:tcMar>
          </w:tcPr>
          <w:p w14:paraId="0B5DF2C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Include equity as a standing agenda item in directorate meetings.</w:t>
            </w:r>
          </w:p>
        </w:tc>
        <w:tc>
          <w:tcPr>
            <w:tcW w:w="2489" w:type="dxa"/>
            <w:tcMar>
              <w:top w:w="15" w:type="dxa"/>
              <w:left w:w="15" w:type="dxa"/>
              <w:right w:w="15" w:type="dxa"/>
            </w:tcMar>
          </w:tcPr>
          <w:p w14:paraId="2E368ACA" w14:textId="78341AF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It is recommended that the directorate include an agenda item through their directorate meetings that covers equity for Staff. Variation should be limited where </w:t>
            </w:r>
            <w:r w:rsidR="001A02D6" w:rsidRPr="0037794D">
              <w:rPr>
                <w:rFonts w:ascii="Calibri" w:eastAsia="Calibri" w:hAnsi="Calibri" w:cs="Calibri"/>
                <w:color w:val="000000" w:themeColor="text1"/>
                <w:sz w:val="15"/>
                <w:szCs w:val="15"/>
              </w:rPr>
              <w:t>possible,</w:t>
            </w:r>
            <w:r w:rsidRPr="0037794D">
              <w:rPr>
                <w:rFonts w:ascii="Calibri" w:eastAsia="Calibri" w:hAnsi="Calibri" w:cs="Calibri"/>
                <w:color w:val="000000" w:themeColor="text1"/>
                <w:sz w:val="15"/>
                <w:szCs w:val="15"/>
              </w:rPr>
              <w:t xml:space="preserve"> and equity pursued in all aspects</w:t>
            </w:r>
            <w:r w:rsidR="00DE5BFB"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D77357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Equity is consistently considered, monitored, and embedded across all aspects of the Cardiology Directorate.</w:t>
            </w:r>
          </w:p>
        </w:tc>
        <w:tc>
          <w:tcPr>
            <w:tcW w:w="3515" w:type="dxa"/>
            <w:tcMar>
              <w:top w:w="15" w:type="dxa"/>
              <w:left w:w="15" w:type="dxa"/>
              <w:right w:w="15" w:type="dxa"/>
            </w:tcMar>
          </w:tcPr>
          <w:p w14:paraId="614AADAE" w14:textId="0BA8E4E1"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Increased visibility and prioritisation of equity issues affecting staff.</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Strengthened culture of inclusivity and consistency across all Cardiology teams</w:t>
            </w:r>
            <w:r w:rsidR="00DE5BFB"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08F5E6DF" w14:textId="77777777" w:rsidR="00800F93" w:rsidRPr="0037794D" w:rsidRDefault="00800F93" w:rsidP="00DE5BF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February 2, 2026</w:t>
            </w:r>
          </w:p>
        </w:tc>
        <w:tc>
          <w:tcPr>
            <w:tcW w:w="2549" w:type="dxa"/>
            <w:tcMar>
              <w:top w:w="15" w:type="dxa"/>
              <w:left w:w="15" w:type="dxa"/>
              <w:right w:w="15" w:type="dxa"/>
            </w:tcMar>
          </w:tcPr>
          <w:p w14:paraId="5CA6B9C0"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Feb 2026: This has been completed and all groups are included.</w:t>
            </w:r>
          </w:p>
        </w:tc>
        <w:tc>
          <w:tcPr>
            <w:tcW w:w="794" w:type="dxa"/>
            <w:shd w:val="clear" w:color="auto" w:fill="95DCF7" w:themeFill="accent4" w:themeFillTint="66"/>
            <w:tcMar>
              <w:top w:w="15" w:type="dxa"/>
              <w:left w:w="15" w:type="dxa"/>
              <w:right w:w="15" w:type="dxa"/>
            </w:tcMar>
          </w:tcPr>
          <w:p w14:paraId="0330D232" w14:textId="77777777" w:rsidR="00800F93" w:rsidRPr="0037794D" w:rsidRDefault="00800F93" w:rsidP="00DE5BF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9BA3222" w14:textId="77777777" w:rsidTr="005A107B">
        <w:trPr>
          <w:trHeight w:val="2835"/>
        </w:trPr>
        <w:tc>
          <w:tcPr>
            <w:tcW w:w="492" w:type="dxa"/>
            <w:tcMar>
              <w:top w:w="15" w:type="dxa"/>
              <w:left w:w="15" w:type="dxa"/>
              <w:right w:w="15" w:type="dxa"/>
            </w:tcMar>
          </w:tcPr>
          <w:p w14:paraId="2AFAB5E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17</w:t>
            </w:r>
          </w:p>
        </w:tc>
        <w:tc>
          <w:tcPr>
            <w:tcW w:w="2001" w:type="dxa"/>
            <w:tcMar>
              <w:top w:w="15" w:type="dxa"/>
              <w:left w:w="15" w:type="dxa"/>
              <w:right w:w="15" w:type="dxa"/>
            </w:tcMar>
          </w:tcPr>
          <w:p w14:paraId="6F226B0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Implement leadership and management training across the directorate.</w:t>
            </w:r>
          </w:p>
        </w:tc>
        <w:tc>
          <w:tcPr>
            <w:tcW w:w="2489" w:type="dxa"/>
            <w:tcMar>
              <w:top w:w="15" w:type="dxa"/>
              <w:left w:w="15" w:type="dxa"/>
              <w:right w:w="15" w:type="dxa"/>
            </w:tcMar>
          </w:tcPr>
          <w:p w14:paraId="1671FD7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Leadership should be the responsibility of a team. A programme of management and leadership training including organisational architecture, should be implemented for the whole directorate. </w:t>
            </w:r>
          </w:p>
        </w:tc>
        <w:tc>
          <w:tcPr>
            <w:tcW w:w="2640" w:type="dxa"/>
            <w:tcMar>
              <w:top w:w="15" w:type="dxa"/>
              <w:left w:w="15" w:type="dxa"/>
              <w:right w:w="15" w:type="dxa"/>
            </w:tcMar>
          </w:tcPr>
          <w:p w14:paraId="2E1557A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To embed a shared, team</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approach to leadership across the Cardiology Directorate.</w:t>
            </w:r>
          </w:p>
        </w:tc>
        <w:tc>
          <w:tcPr>
            <w:tcW w:w="3515" w:type="dxa"/>
            <w:tcMar>
              <w:top w:w="15" w:type="dxa"/>
              <w:left w:w="15" w:type="dxa"/>
              <w:right w:w="15" w:type="dxa"/>
            </w:tcMar>
          </w:tcPr>
          <w:p w14:paraId="03CFAB6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Stronger collective leadership, reducing reliance on individuals and improving resilience. Consistent leadership capability across professional groups and subspecialties. Improved understanding of organisational structures, roles, and governance pathways.</w:t>
            </w:r>
          </w:p>
        </w:tc>
        <w:tc>
          <w:tcPr>
            <w:tcW w:w="1097" w:type="dxa"/>
            <w:tcMar>
              <w:top w:w="15" w:type="dxa"/>
              <w:left w:w="15" w:type="dxa"/>
              <w:right w:w="15" w:type="dxa"/>
            </w:tcMar>
          </w:tcPr>
          <w:p w14:paraId="50F08309" w14:textId="77777777" w:rsidR="00800F93" w:rsidRPr="0037794D" w:rsidRDefault="00800F93" w:rsidP="00DE5BFB">
            <w:pPr>
              <w:jc w:val="center"/>
              <w:rPr>
                <w:rFonts w:ascii="Calibri" w:hAnsi="Calibri" w:cs="Calibri"/>
                <w:sz w:val="15"/>
                <w:szCs w:val="15"/>
              </w:rPr>
            </w:pPr>
          </w:p>
        </w:tc>
        <w:tc>
          <w:tcPr>
            <w:tcW w:w="2549" w:type="dxa"/>
            <w:tcMar>
              <w:top w:w="15" w:type="dxa"/>
              <w:left w:w="15" w:type="dxa"/>
              <w:right w:w="15" w:type="dxa"/>
            </w:tcMar>
          </w:tcPr>
          <w:p w14:paraId="35DFD59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Further work is underway to expand the clinical leadership structure within cardiology, including defining new consultant leadership roles and appointing an interim Clinical Director. This builds on the 24 March 2026 progress, where leadership development initiatives were being implemented, supported by a suggested TNA and broader opportunities across the team. With the recommendation now closed, ongoing leadership development and monitoring will transition into normal VBA and business as usual activity.</w:t>
            </w:r>
          </w:p>
        </w:tc>
        <w:tc>
          <w:tcPr>
            <w:tcW w:w="794" w:type="dxa"/>
            <w:shd w:val="clear" w:color="auto" w:fill="95DCF7" w:themeFill="accent4" w:themeFillTint="66"/>
            <w:tcMar>
              <w:top w:w="15" w:type="dxa"/>
              <w:left w:w="15" w:type="dxa"/>
              <w:right w:w="15" w:type="dxa"/>
            </w:tcMar>
          </w:tcPr>
          <w:p w14:paraId="6711320E" w14:textId="77777777" w:rsidR="00800F93" w:rsidRPr="0037794D" w:rsidRDefault="00800F93" w:rsidP="00DE5BF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81536F1" w14:textId="77777777" w:rsidTr="005A107B">
        <w:trPr>
          <w:trHeight w:val="2835"/>
        </w:trPr>
        <w:tc>
          <w:tcPr>
            <w:tcW w:w="492" w:type="dxa"/>
            <w:tcMar>
              <w:top w:w="15" w:type="dxa"/>
              <w:left w:w="15" w:type="dxa"/>
              <w:right w:w="15" w:type="dxa"/>
            </w:tcMar>
          </w:tcPr>
          <w:p w14:paraId="1721FD2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18</w:t>
            </w:r>
          </w:p>
        </w:tc>
        <w:tc>
          <w:tcPr>
            <w:tcW w:w="2001" w:type="dxa"/>
            <w:tcMar>
              <w:top w:w="15" w:type="dxa"/>
              <w:left w:w="15" w:type="dxa"/>
              <w:right w:w="15" w:type="dxa"/>
            </w:tcMar>
          </w:tcPr>
          <w:p w14:paraId="0DFA4B0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Redesign cardiology leadership model with clear roles and responsibilities.</w:t>
            </w:r>
          </w:p>
        </w:tc>
        <w:tc>
          <w:tcPr>
            <w:tcW w:w="2489" w:type="dxa"/>
            <w:tcMar>
              <w:top w:w="15" w:type="dxa"/>
              <w:left w:w="15" w:type="dxa"/>
              <w:right w:w="15" w:type="dxa"/>
            </w:tcMar>
          </w:tcPr>
          <w:p w14:paraId="561C9D9C" w14:textId="260C744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leadership model should be redesigned for Cardiology</w:t>
            </w:r>
            <w:r w:rsidR="007A1CC4"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As part of this Physiology should have a single lead individual with the appropriate clinical background and managerial capability</w:t>
            </w:r>
            <w:r w:rsidR="007A1CC4"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Within the medical group a leadership team should be formalised with a single clinical director</w:t>
            </w:r>
            <w:r w:rsidR="007A1CC4"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There are a number of options to fulfil this team approach with either subspecialty leads or leads for functions within the department. Any extra SPA should only be allocated to job plans once the sessions highlighted above are prioritised</w:t>
            </w:r>
            <w:r w:rsidR="00F9287B"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22D75C9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resilient team</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structure that supports effective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and service delivery.</w:t>
            </w:r>
          </w:p>
        </w:tc>
        <w:tc>
          <w:tcPr>
            <w:tcW w:w="3515" w:type="dxa"/>
            <w:tcMar>
              <w:top w:w="15" w:type="dxa"/>
              <w:left w:w="15" w:type="dxa"/>
              <w:right w:w="15" w:type="dxa"/>
            </w:tcMar>
          </w:tcPr>
          <w:p w14:paraId="3B08BEF0" w14:textId="685E4FE4"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 strengthened, clearly defined leadership structure for Cardiology.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A single, </w:t>
            </w:r>
            <w:r w:rsidR="007A1CC4" w:rsidRPr="0037794D">
              <w:rPr>
                <w:rFonts w:ascii="Calibri" w:eastAsia="Calibri" w:hAnsi="Calibri" w:cs="Calibri"/>
                <w:color w:val="000000" w:themeColor="text1"/>
                <w:sz w:val="15"/>
                <w:szCs w:val="15"/>
              </w:rPr>
              <w:t>clinically,</w:t>
            </w:r>
            <w:r w:rsidRPr="0037794D">
              <w:rPr>
                <w:rFonts w:ascii="Calibri" w:eastAsia="Calibri" w:hAnsi="Calibri" w:cs="Calibri"/>
                <w:color w:val="000000" w:themeColor="text1"/>
                <w:sz w:val="15"/>
                <w:szCs w:val="15"/>
              </w:rPr>
              <w:t xml:space="preserve"> and managerially competent lead for Physiology to support cohesive direction and professional oversight. A formalised medical leadership team with a designated Clinical Director and agreed leadership roles. Improved clarity of responsibilities across subspecialty or functional leadership areas.</w:t>
            </w:r>
          </w:p>
        </w:tc>
        <w:tc>
          <w:tcPr>
            <w:tcW w:w="1097" w:type="dxa"/>
            <w:tcMar>
              <w:top w:w="15" w:type="dxa"/>
              <w:left w:w="15" w:type="dxa"/>
              <w:right w:w="15" w:type="dxa"/>
            </w:tcMar>
          </w:tcPr>
          <w:p w14:paraId="5991D71A" w14:textId="77777777" w:rsidR="00800F93" w:rsidRPr="0037794D" w:rsidRDefault="00800F93" w:rsidP="004E2237">
            <w:pPr>
              <w:rPr>
                <w:rFonts w:ascii="Calibri" w:hAnsi="Calibri" w:cs="Calibri"/>
                <w:sz w:val="15"/>
                <w:szCs w:val="15"/>
              </w:rPr>
            </w:pPr>
          </w:p>
        </w:tc>
        <w:tc>
          <w:tcPr>
            <w:tcW w:w="2549" w:type="dxa"/>
            <w:tcMar>
              <w:top w:w="15" w:type="dxa"/>
              <w:left w:w="15" w:type="dxa"/>
              <w:right w:w="15" w:type="dxa"/>
            </w:tcMar>
          </w:tcPr>
          <w:p w14:paraId="4AF5D91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March 2026: The leadership model has been defined. There is an educational lead, Clinical Audit lead, Morbidity and Mortality lead in place which are evolving roles. Physiology Clinical lead appointed.</w:t>
            </w:r>
          </w:p>
        </w:tc>
        <w:tc>
          <w:tcPr>
            <w:tcW w:w="794" w:type="dxa"/>
            <w:shd w:val="clear" w:color="auto" w:fill="95DCF7" w:themeFill="accent4" w:themeFillTint="66"/>
            <w:tcMar>
              <w:top w:w="15" w:type="dxa"/>
              <w:left w:w="15" w:type="dxa"/>
              <w:right w:w="15" w:type="dxa"/>
            </w:tcMar>
          </w:tcPr>
          <w:p w14:paraId="5495F642"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2ECAD408" w14:textId="77777777" w:rsidTr="005A107B">
        <w:trPr>
          <w:trHeight w:val="1474"/>
        </w:trPr>
        <w:tc>
          <w:tcPr>
            <w:tcW w:w="492" w:type="dxa"/>
            <w:tcMar>
              <w:top w:w="15" w:type="dxa"/>
              <w:left w:w="15" w:type="dxa"/>
              <w:right w:w="15" w:type="dxa"/>
            </w:tcMar>
          </w:tcPr>
          <w:p w14:paraId="00E983C9"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19.1</w:t>
            </w:r>
          </w:p>
        </w:tc>
        <w:tc>
          <w:tcPr>
            <w:tcW w:w="2001" w:type="dxa"/>
            <w:tcMar>
              <w:top w:w="15" w:type="dxa"/>
              <w:left w:w="15" w:type="dxa"/>
              <w:right w:w="15" w:type="dxa"/>
            </w:tcMar>
          </w:tcPr>
          <w:p w14:paraId="19716D65"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Review demand and capacity assumptions with Cardiff University for future planning.</w:t>
            </w:r>
          </w:p>
        </w:tc>
        <w:tc>
          <w:tcPr>
            <w:tcW w:w="2489" w:type="dxa"/>
            <w:tcMar>
              <w:top w:w="15" w:type="dxa"/>
              <w:left w:w="15" w:type="dxa"/>
              <w:right w:w="15" w:type="dxa"/>
            </w:tcMar>
          </w:tcPr>
          <w:p w14:paraId="2F7E7816" w14:textId="7D7C2A4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directorate and clinical board need to review the demand and capacity work with Cardiff university to ensure that the assumptions are correct going forward. They currently assume no change in practice. This should inform a rightsizing piece of work for Cardiology</w:t>
            </w:r>
            <w:r w:rsidR="005A107B">
              <w:rPr>
                <w:rFonts w:ascii="Calibri" w:eastAsia="Calibri" w:hAnsi="Calibri" w:cs="Calibri"/>
                <w:color w:val="000000" w:themeColor="text1"/>
                <w:sz w:val="15"/>
                <w:szCs w:val="15"/>
              </w:rPr>
              <w:t>.</w:t>
            </w:r>
          </w:p>
        </w:tc>
        <w:tc>
          <w:tcPr>
            <w:tcW w:w="2640" w:type="dxa"/>
            <w:tcMar>
              <w:top w:w="15" w:type="dxa"/>
              <w:left w:w="15" w:type="dxa"/>
              <w:right w:w="15" w:type="dxa"/>
            </w:tcMar>
          </w:tcPr>
          <w:p w14:paraId="21D1B268" w14:textId="77777777" w:rsidR="00800F93" w:rsidRPr="0037794D" w:rsidRDefault="00800F93" w:rsidP="004E2237">
            <w:pPr>
              <w:rPr>
                <w:rFonts w:ascii="Calibri" w:hAnsi="Calibri" w:cs="Calibri"/>
                <w:sz w:val="15"/>
                <w:szCs w:val="15"/>
              </w:rPr>
            </w:pPr>
          </w:p>
        </w:tc>
        <w:tc>
          <w:tcPr>
            <w:tcW w:w="3515" w:type="dxa"/>
            <w:tcMar>
              <w:top w:w="15" w:type="dxa"/>
              <w:left w:w="15" w:type="dxa"/>
              <w:right w:w="15" w:type="dxa"/>
            </w:tcMar>
          </w:tcPr>
          <w:p w14:paraId="04B609C7" w14:textId="77777777" w:rsidR="00800F93" w:rsidRPr="0037794D" w:rsidRDefault="00800F93" w:rsidP="004E2237">
            <w:pPr>
              <w:rPr>
                <w:rFonts w:ascii="Calibri" w:hAnsi="Calibri" w:cs="Calibri"/>
                <w:sz w:val="15"/>
                <w:szCs w:val="15"/>
              </w:rPr>
            </w:pPr>
          </w:p>
        </w:tc>
        <w:tc>
          <w:tcPr>
            <w:tcW w:w="1097" w:type="dxa"/>
            <w:tcMar>
              <w:top w:w="15" w:type="dxa"/>
              <w:left w:w="15" w:type="dxa"/>
              <w:right w:w="15" w:type="dxa"/>
            </w:tcMar>
          </w:tcPr>
          <w:p w14:paraId="56A1C5C9" w14:textId="77777777" w:rsidR="00800F93" w:rsidRPr="0037794D" w:rsidRDefault="00800F93" w:rsidP="004E2237">
            <w:pPr>
              <w:rPr>
                <w:rFonts w:ascii="Calibri" w:hAnsi="Calibri" w:cs="Calibri"/>
                <w:sz w:val="15"/>
                <w:szCs w:val="15"/>
              </w:rPr>
            </w:pPr>
          </w:p>
        </w:tc>
        <w:tc>
          <w:tcPr>
            <w:tcW w:w="2549" w:type="dxa"/>
            <w:tcMar>
              <w:top w:w="15" w:type="dxa"/>
              <w:left w:w="15" w:type="dxa"/>
              <w:right w:w="15" w:type="dxa"/>
            </w:tcMar>
          </w:tcPr>
          <w:p w14:paraId="172D91D7" w14:textId="6837E9F8"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This recommendation will be covered in </w:t>
            </w:r>
            <w:r w:rsidR="00995B79" w:rsidRPr="0037794D">
              <w:rPr>
                <w:rFonts w:ascii="Calibri" w:eastAsia="Calibri" w:hAnsi="Calibri" w:cs="Calibri"/>
                <w:color w:val="000000" w:themeColor="text1"/>
                <w:sz w:val="15"/>
                <w:szCs w:val="15"/>
              </w:rPr>
              <w:t>recommendation 3</w:t>
            </w:r>
            <w:r w:rsidRPr="0037794D">
              <w:rPr>
                <w:rFonts w:ascii="Calibri" w:eastAsia="Calibri" w:hAnsi="Calibri" w:cs="Calibri"/>
                <w:color w:val="000000" w:themeColor="text1"/>
                <w:sz w:val="15"/>
                <w:szCs w:val="15"/>
              </w:rPr>
              <w:t>. Demand and Capacity review.</w:t>
            </w:r>
          </w:p>
        </w:tc>
        <w:tc>
          <w:tcPr>
            <w:tcW w:w="794" w:type="dxa"/>
            <w:shd w:val="clear" w:color="auto" w:fill="D9D9D9" w:themeFill="background1" w:themeFillShade="D9"/>
            <w:tcMar>
              <w:top w:w="15" w:type="dxa"/>
              <w:left w:w="15" w:type="dxa"/>
              <w:right w:w="15" w:type="dxa"/>
            </w:tcMar>
          </w:tcPr>
          <w:p w14:paraId="4A40B0C8"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De-Scoped</w:t>
            </w:r>
          </w:p>
        </w:tc>
      </w:tr>
      <w:tr w:rsidR="004E7F1B" w14:paraId="3D25C381" w14:textId="77777777" w:rsidTr="007F27A3">
        <w:trPr>
          <w:trHeight w:val="2211"/>
        </w:trPr>
        <w:tc>
          <w:tcPr>
            <w:tcW w:w="492" w:type="dxa"/>
            <w:tcMar>
              <w:top w:w="15" w:type="dxa"/>
              <w:left w:w="15" w:type="dxa"/>
              <w:right w:w="15" w:type="dxa"/>
            </w:tcMar>
          </w:tcPr>
          <w:p w14:paraId="3634F58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19.2</w:t>
            </w:r>
          </w:p>
        </w:tc>
        <w:tc>
          <w:tcPr>
            <w:tcW w:w="2001" w:type="dxa"/>
            <w:tcMar>
              <w:top w:w="15" w:type="dxa"/>
              <w:left w:w="15" w:type="dxa"/>
              <w:right w:w="15" w:type="dxa"/>
            </w:tcMar>
          </w:tcPr>
          <w:p w14:paraId="28BCD00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 outpatient pathways and primary care interface in line with best practice.</w:t>
            </w:r>
          </w:p>
        </w:tc>
        <w:tc>
          <w:tcPr>
            <w:tcW w:w="2489" w:type="dxa"/>
            <w:tcMar>
              <w:top w:w="15" w:type="dxa"/>
              <w:left w:w="15" w:type="dxa"/>
              <w:right w:w="15" w:type="dxa"/>
            </w:tcMar>
          </w:tcPr>
          <w:p w14:paraId="6E848F87" w14:textId="3ED452A9"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Within Outpatients the adoption of pathways and the role of interface with primary care needs consideration linking to best practice in Wales and the UK</w:t>
            </w:r>
            <w:r w:rsidR="007A1CC4"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6E830DB9" w14:textId="71E635D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Improved outpatient effectiveness and patient flow by reviewing and adopting best</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practice pathways and strengthening the interface with primary care, ensuring alignment with leading models in Wales and the UK</w:t>
            </w:r>
            <w:r w:rsidR="00BD52D1"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34B270C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Outpatient pathways are clearer, more consistent, and aligned with national best practice.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Stronger and more efficient communication and collaboration with primary care.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Reduced unnecessary referrals and improved appropriateness of patients seen in secondary care. Improved patient experience through more streamlined and predictable pathways.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Better use of outpatient capacity, supporting timelier access and service sustainability.</w:t>
            </w:r>
          </w:p>
        </w:tc>
        <w:tc>
          <w:tcPr>
            <w:tcW w:w="1097" w:type="dxa"/>
            <w:tcMar>
              <w:top w:w="15" w:type="dxa"/>
              <w:left w:w="15" w:type="dxa"/>
              <w:right w:w="15" w:type="dxa"/>
            </w:tcMar>
          </w:tcPr>
          <w:p w14:paraId="3C9CBABD" w14:textId="77777777" w:rsidR="00800F93" w:rsidRPr="0037794D" w:rsidRDefault="00800F93" w:rsidP="00D84D11">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December 30, 2026</w:t>
            </w:r>
          </w:p>
        </w:tc>
        <w:tc>
          <w:tcPr>
            <w:tcW w:w="2549" w:type="dxa"/>
            <w:tcMar>
              <w:top w:w="15" w:type="dxa"/>
              <w:left w:w="15" w:type="dxa"/>
              <w:right w:w="15" w:type="dxa"/>
            </w:tcMar>
          </w:tcPr>
          <w:p w14:paraId="63B4AC9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 since September 2025, scope includes: development of a discreet patient pathways for conditions and enhanced triage for management of GP referrals.</w:t>
            </w:r>
          </w:p>
        </w:tc>
        <w:tc>
          <w:tcPr>
            <w:tcW w:w="794" w:type="dxa"/>
            <w:shd w:val="clear" w:color="auto" w:fill="B3E5A1" w:themeFill="accent6" w:themeFillTint="66"/>
            <w:tcMar>
              <w:top w:w="15" w:type="dxa"/>
              <w:left w:w="15" w:type="dxa"/>
              <w:right w:w="15" w:type="dxa"/>
            </w:tcMar>
          </w:tcPr>
          <w:p w14:paraId="254E0515"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48FB3106" w14:textId="77777777" w:rsidTr="007F27A3">
        <w:trPr>
          <w:trHeight w:val="1134"/>
        </w:trPr>
        <w:tc>
          <w:tcPr>
            <w:tcW w:w="492" w:type="dxa"/>
            <w:tcMar>
              <w:top w:w="15" w:type="dxa"/>
              <w:left w:w="15" w:type="dxa"/>
              <w:right w:w="15" w:type="dxa"/>
            </w:tcMar>
          </w:tcPr>
          <w:p w14:paraId="6CCA13A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19.3</w:t>
            </w:r>
          </w:p>
        </w:tc>
        <w:tc>
          <w:tcPr>
            <w:tcW w:w="2001" w:type="dxa"/>
            <w:tcMar>
              <w:top w:w="15" w:type="dxa"/>
              <w:left w:w="15" w:type="dxa"/>
              <w:right w:w="15" w:type="dxa"/>
            </w:tcMar>
          </w:tcPr>
          <w:p w14:paraId="1F604403"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Review pacing lab infrastructure ahead of move to theatre 6.</w:t>
            </w:r>
          </w:p>
        </w:tc>
        <w:tc>
          <w:tcPr>
            <w:tcW w:w="2489" w:type="dxa"/>
            <w:tcMar>
              <w:top w:w="15" w:type="dxa"/>
              <w:left w:w="15" w:type="dxa"/>
              <w:right w:w="15" w:type="dxa"/>
            </w:tcMar>
          </w:tcPr>
          <w:p w14:paraId="4B1DDADD" w14:textId="584AD814"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current infrastructure of the pacing lab has been reported to be suboptimal and should be reviewed in line with its planned move to theatre 6</w:t>
            </w:r>
            <w:r w:rsidR="008212B2"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53623DD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Pacing lab meets clinical, safety, and operational requirements.</w:t>
            </w:r>
          </w:p>
        </w:tc>
        <w:tc>
          <w:tcPr>
            <w:tcW w:w="3515" w:type="dxa"/>
            <w:tcMar>
              <w:top w:w="15" w:type="dxa"/>
              <w:left w:w="15" w:type="dxa"/>
              <w:right w:w="15" w:type="dxa"/>
            </w:tcMar>
          </w:tcPr>
          <w:p w14:paraId="7AEADD48" w14:textId="1074DAB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Clear identification of current infrastructure limitations and required </w:t>
            </w:r>
            <w:r w:rsidR="00933DE9" w:rsidRPr="0037794D">
              <w:rPr>
                <w:rFonts w:ascii="Calibri" w:eastAsia="Calibri" w:hAnsi="Calibri" w:cs="Calibri"/>
                <w:color w:val="000000" w:themeColor="text1"/>
                <w:sz w:val="15"/>
                <w:szCs w:val="15"/>
              </w:rPr>
              <w:t>improvements. A</w:t>
            </w:r>
            <w:r w:rsidRPr="0037794D">
              <w:rPr>
                <w:rFonts w:ascii="Calibri" w:eastAsia="Calibri" w:hAnsi="Calibri" w:cs="Calibri"/>
                <w:color w:val="000000" w:themeColor="text1"/>
                <w:sz w:val="15"/>
                <w:szCs w:val="15"/>
              </w:rPr>
              <w:t xml:space="preserve"> defined plan aligning pacing lab facilities with the capabilities of Theatre 6</w:t>
            </w:r>
            <w:r w:rsidR="007A1CC4"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A smooth and well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coordinated transition that minimises disruption to pacing procedures.</w:t>
            </w:r>
          </w:p>
        </w:tc>
        <w:tc>
          <w:tcPr>
            <w:tcW w:w="1097" w:type="dxa"/>
            <w:tcMar>
              <w:top w:w="15" w:type="dxa"/>
              <w:left w:w="15" w:type="dxa"/>
              <w:right w:w="15" w:type="dxa"/>
            </w:tcMar>
          </w:tcPr>
          <w:p w14:paraId="1F38093F"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July 28, 2026</w:t>
            </w:r>
          </w:p>
        </w:tc>
        <w:tc>
          <w:tcPr>
            <w:tcW w:w="2549" w:type="dxa"/>
            <w:tcMar>
              <w:top w:w="15" w:type="dxa"/>
              <w:left w:w="15" w:type="dxa"/>
              <w:right w:w="15" w:type="dxa"/>
            </w:tcMar>
          </w:tcPr>
          <w:p w14:paraId="43C7738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This is partially completed: The pacing lab has moved to the short stay surgical unit.</w:t>
            </w:r>
          </w:p>
        </w:tc>
        <w:tc>
          <w:tcPr>
            <w:tcW w:w="794" w:type="dxa"/>
            <w:shd w:val="clear" w:color="auto" w:fill="B3E5A1" w:themeFill="accent6" w:themeFillTint="66"/>
            <w:tcMar>
              <w:top w:w="15" w:type="dxa"/>
              <w:left w:w="15" w:type="dxa"/>
              <w:right w:w="15" w:type="dxa"/>
            </w:tcMar>
          </w:tcPr>
          <w:p w14:paraId="55A8D4DE"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47E85804" w14:textId="77777777" w:rsidTr="007F27A3">
        <w:trPr>
          <w:trHeight w:val="1644"/>
        </w:trPr>
        <w:tc>
          <w:tcPr>
            <w:tcW w:w="492" w:type="dxa"/>
            <w:tcMar>
              <w:top w:w="15" w:type="dxa"/>
              <w:left w:w="15" w:type="dxa"/>
              <w:right w:w="15" w:type="dxa"/>
            </w:tcMar>
          </w:tcPr>
          <w:p w14:paraId="67948DF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19.4</w:t>
            </w:r>
          </w:p>
        </w:tc>
        <w:tc>
          <w:tcPr>
            <w:tcW w:w="2001" w:type="dxa"/>
            <w:tcMar>
              <w:top w:w="15" w:type="dxa"/>
              <w:left w:w="15" w:type="dxa"/>
              <w:right w:w="15" w:type="dxa"/>
            </w:tcMar>
          </w:tcPr>
          <w:p w14:paraId="491828C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Develop expansion plan based on demand and capacity data, including 7-day working.</w:t>
            </w:r>
          </w:p>
        </w:tc>
        <w:tc>
          <w:tcPr>
            <w:tcW w:w="2489" w:type="dxa"/>
            <w:tcMar>
              <w:top w:w="15" w:type="dxa"/>
              <w:left w:w="15" w:type="dxa"/>
              <w:right w:w="15" w:type="dxa"/>
            </w:tcMar>
          </w:tcPr>
          <w:p w14:paraId="3EE25761" w14:textId="67CD7A08"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Demand and capacity information should be acted upon and a coherent plan developed for expansion. This should include options for 7 day working and/or expansion. Within this links should be made to the wider availability of imaging equipment in the health board</w:t>
            </w:r>
            <w:r w:rsidR="007A1CC4"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0C3EF75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Demand and capacity information to develop a coherent, future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focused expansion plan for the service.</w:t>
            </w:r>
          </w:p>
        </w:tc>
        <w:tc>
          <w:tcPr>
            <w:tcW w:w="3515" w:type="dxa"/>
            <w:tcMar>
              <w:top w:w="15" w:type="dxa"/>
              <w:left w:w="15" w:type="dxa"/>
              <w:right w:w="15" w:type="dxa"/>
            </w:tcMar>
          </w:tcPr>
          <w:p w14:paraId="66A36293" w14:textId="4BA69CF0"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 understanding of current and future demand on the service</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An evidence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plan outlining expansion options, including 7</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day working</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Improved alignment with imaging availability across the health board. Enhanced capacity and patient flow through more efficient use of resources.</w:t>
            </w:r>
          </w:p>
        </w:tc>
        <w:tc>
          <w:tcPr>
            <w:tcW w:w="1097" w:type="dxa"/>
            <w:tcMar>
              <w:top w:w="15" w:type="dxa"/>
              <w:left w:w="15" w:type="dxa"/>
              <w:right w:w="15" w:type="dxa"/>
            </w:tcMar>
          </w:tcPr>
          <w:p w14:paraId="2509946B"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December 31, 2026</w:t>
            </w:r>
          </w:p>
        </w:tc>
        <w:tc>
          <w:tcPr>
            <w:tcW w:w="2549" w:type="dxa"/>
            <w:tcMar>
              <w:top w:w="15" w:type="dxa"/>
              <w:left w:w="15" w:type="dxa"/>
              <w:right w:w="15" w:type="dxa"/>
            </w:tcMar>
          </w:tcPr>
          <w:p w14:paraId="7B8F9FB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 NHS locum interventional consultants appointed to increase commissioned PCI activity; team exploring option for bank holiday lists and Saturday lists.</w:t>
            </w:r>
          </w:p>
        </w:tc>
        <w:tc>
          <w:tcPr>
            <w:tcW w:w="794" w:type="dxa"/>
            <w:shd w:val="clear" w:color="auto" w:fill="B3E5A1" w:themeFill="accent6" w:themeFillTint="66"/>
            <w:tcMar>
              <w:top w:w="15" w:type="dxa"/>
              <w:left w:w="15" w:type="dxa"/>
              <w:right w:w="15" w:type="dxa"/>
            </w:tcMar>
          </w:tcPr>
          <w:p w14:paraId="4FF011D1"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6BFC6DD" w14:textId="77777777" w:rsidTr="007F27A3">
        <w:trPr>
          <w:trHeight w:val="1757"/>
        </w:trPr>
        <w:tc>
          <w:tcPr>
            <w:tcW w:w="492" w:type="dxa"/>
            <w:tcMar>
              <w:top w:w="15" w:type="dxa"/>
              <w:left w:w="15" w:type="dxa"/>
              <w:right w:w="15" w:type="dxa"/>
            </w:tcMar>
          </w:tcPr>
          <w:p w14:paraId="37856A2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20</w:t>
            </w:r>
          </w:p>
        </w:tc>
        <w:tc>
          <w:tcPr>
            <w:tcW w:w="2001" w:type="dxa"/>
            <w:tcMar>
              <w:top w:w="15" w:type="dxa"/>
              <w:left w:w="15" w:type="dxa"/>
              <w:right w:w="15" w:type="dxa"/>
            </w:tcMar>
          </w:tcPr>
          <w:p w14:paraId="1446CFD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Review and improve cardiology stock management and procurement processes.</w:t>
            </w:r>
          </w:p>
        </w:tc>
        <w:tc>
          <w:tcPr>
            <w:tcW w:w="2489" w:type="dxa"/>
            <w:tcMar>
              <w:top w:w="15" w:type="dxa"/>
              <w:left w:w="15" w:type="dxa"/>
              <w:right w:w="15" w:type="dxa"/>
            </w:tcMar>
          </w:tcPr>
          <w:p w14:paraId="7BA0F56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review Team recommends that there is an entire review of the stock management and procurement process (including scan for safety) in cardiology so that the process is made safe and efficient. </w:t>
            </w:r>
          </w:p>
        </w:tc>
        <w:tc>
          <w:tcPr>
            <w:tcW w:w="2640" w:type="dxa"/>
            <w:tcMar>
              <w:top w:w="15" w:type="dxa"/>
              <w:left w:w="15" w:type="dxa"/>
              <w:right w:w="15" w:type="dxa"/>
            </w:tcMar>
          </w:tcPr>
          <w:p w14:paraId="68F33905" w14:textId="4BD4CD82"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Stock management and procurement within Cardiology </w:t>
            </w:r>
            <w:r w:rsidR="009F1451" w:rsidRPr="0037794D">
              <w:rPr>
                <w:rFonts w:ascii="Calibri" w:eastAsia="Calibri" w:hAnsi="Calibri" w:cs="Calibri"/>
                <w:color w:val="000000" w:themeColor="text1"/>
                <w:sz w:val="15"/>
                <w:szCs w:val="15"/>
              </w:rPr>
              <w:t>is safe</w:t>
            </w:r>
            <w:r w:rsidRPr="0037794D">
              <w:rPr>
                <w:rFonts w:ascii="Calibri" w:eastAsia="Calibri" w:hAnsi="Calibri" w:cs="Calibri"/>
                <w:color w:val="000000" w:themeColor="text1"/>
                <w:sz w:val="15"/>
                <w:szCs w:val="15"/>
              </w:rPr>
              <w:t>, efficient, and well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controlled.</w:t>
            </w:r>
          </w:p>
        </w:tc>
        <w:tc>
          <w:tcPr>
            <w:tcW w:w="3515" w:type="dxa"/>
            <w:tcMar>
              <w:top w:w="15" w:type="dxa"/>
              <w:left w:w="15" w:type="dxa"/>
              <w:right w:w="15" w:type="dxa"/>
            </w:tcMar>
          </w:tcPr>
          <w:p w14:paraId="55DF7578" w14:textId="063F37C3"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Clear identification of weaknesses and risks within current stock management and procurement processes. A streamlined, standardised, and safer stock management system, supported by Scan for Safety </w:t>
            </w:r>
            <w:r w:rsidR="00933DE9" w:rsidRPr="0037794D">
              <w:rPr>
                <w:rFonts w:ascii="Calibri" w:eastAsia="Calibri" w:hAnsi="Calibri" w:cs="Calibri"/>
                <w:color w:val="000000" w:themeColor="text1"/>
                <w:sz w:val="15"/>
                <w:szCs w:val="15"/>
              </w:rPr>
              <w:t>principles. Reduced</w:t>
            </w:r>
            <w:r w:rsidRPr="0037794D">
              <w:rPr>
                <w:rFonts w:ascii="Calibri" w:eastAsia="Calibri" w:hAnsi="Calibri" w:cs="Calibri"/>
                <w:color w:val="000000" w:themeColor="text1"/>
                <w:sz w:val="15"/>
                <w:szCs w:val="15"/>
              </w:rPr>
              <w:t xml:space="preserve"> waste, improved traceability, and more efficient use of resources. Improved availability of essential equipment, supporting smoother clinical workflows and patient car.</w:t>
            </w:r>
          </w:p>
        </w:tc>
        <w:tc>
          <w:tcPr>
            <w:tcW w:w="1097" w:type="dxa"/>
            <w:tcMar>
              <w:top w:w="15" w:type="dxa"/>
              <w:left w:w="15" w:type="dxa"/>
              <w:right w:w="15" w:type="dxa"/>
            </w:tcMar>
          </w:tcPr>
          <w:p w14:paraId="78AA51B6"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September 29, 2026</w:t>
            </w:r>
          </w:p>
        </w:tc>
        <w:tc>
          <w:tcPr>
            <w:tcW w:w="2549" w:type="dxa"/>
            <w:tcMar>
              <w:top w:w="15" w:type="dxa"/>
              <w:left w:w="15" w:type="dxa"/>
              <w:right w:w="15" w:type="dxa"/>
            </w:tcMar>
          </w:tcPr>
          <w:p w14:paraId="390D9A25" w14:textId="070878F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First draft of improvement plan in relation to stock management and prohibited use of expired devices completed</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Scan for safety - basic scanning of stock and assign to patient training completed, this process is now underway. Phase two planned for w/c 11/05/2026 stock management and wastage.</w:t>
            </w:r>
          </w:p>
        </w:tc>
        <w:tc>
          <w:tcPr>
            <w:tcW w:w="794" w:type="dxa"/>
            <w:shd w:val="clear" w:color="auto" w:fill="B3E5A1" w:themeFill="accent6" w:themeFillTint="66"/>
            <w:tcMar>
              <w:top w:w="15" w:type="dxa"/>
              <w:left w:w="15" w:type="dxa"/>
              <w:right w:w="15" w:type="dxa"/>
            </w:tcMar>
          </w:tcPr>
          <w:p w14:paraId="59DF4DFD"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43CE138" w14:textId="77777777" w:rsidTr="007F27A3">
        <w:trPr>
          <w:trHeight w:val="1531"/>
        </w:trPr>
        <w:tc>
          <w:tcPr>
            <w:tcW w:w="492" w:type="dxa"/>
            <w:tcMar>
              <w:top w:w="15" w:type="dxa"/>
              <w:left w:w="15" w:type="dxa"/>
              <w:right w:w="15" w:type="dxa"/>
            </w:tcMar>
          </w:tcPr>
          <w:p w14:paraId="663CF1F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21</w:t>
            </w:r>
          </w:p>
        </w:tc>
        <w:tc>
          <w:tcPr>
            <w:tcW w:w="2001" w:type="dxa"/>
            <w:tcMar>
              <w:top w:w="15" w:type="dxa"/>
              <w:left w:w="15" w:type="dxa"/>
              <w:right w:w="15" w:type="dxa"/>
            </w:tcMar>
          </w:tcPr>
          <w:p w14:paraId="4B1B56DD"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Review on-call arrangements across all professions for safety and consistency.</w:t>
            </w:r>
          </w:p>
        </w:tc>
        <w:tc>
          <w:tcPr>
            <w:tcW w:w="2489" w:type="dxa"/>
            <w:tcMar>
              <w:top w:w="15" w:type="dxa"/>
              <w:left w:w="15" w:type="dxa"/>
              <w:right w:w="15" w:type="dxa"/>
            </w:tcMar>
          </w:tcPr>
          <w:p w14:paraId="72E036B9" w14:textId="5AC36DB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cardiology directorate should conduct a review of on-call arrangements across all professions to ensure consistency, </w:t>
            </w:r>
            <w:r w:rsidR="00DC41A3" w:rsidRPr="0037794D">
              <w:rPr>
                <w:rFonts w:ascii="Calibri" w:eastAsia="Calibri" w:hAnsi="Calibri" w:cs="Calibri"/>
                <w:color w:val="000000" w:themeColor="text1"/>
                <w:sz w:val="15"/>
                <w:szCs w:val="15"/>
              </w:rPr>
              <w:t>sustainability,</w:t>
            </w:r>
            <w:r w:rsidRPr="0037794D">
              <w:rPr>
                <w:rFonts w:ascii="Calibri" w:eastAsia="Calibri" w:hAnsi="Calibri" w:cs="Calibri"/>
                <w:color w:val="000000" w:themeColor="text1"/>
                <w:sz w:val="15"/>
                <w:szCs w:val="15"/>
              </w:rPr>
              <w:t xml:space="preserve"> and safe practice across all specialties</w:t>
            </w:r>
            <w:r w:rsidR="008212B2"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1EA03A4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arrangements across all professional groups within Cardiology are   consistent, sustainable, and safe practice across all sub-specialties.</w:t>
            </w:r>
          </w:p>
        </w:tc>
        <w:tc>
          <w:tcPr>
            <w:tcW w:w="3515" w:type="dxa"/>
            <w:tcMar>
              <w:top w:w="15" w:type="dxa"/>
              <w:left w:w="15" w:type="dxa"/>
              <w:right w:w="15" w:type="dxa"/>
            </w:tcMar>
          </w:tcPr>
          <w:p w14:paraId="03E7FB4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 understanding of current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models.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More consistent and equitable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arrangements.</w:t>
            </w:r>
          </w:p>
        </w:tc>
        <w:tc>
          <w:tcPr>
            <w:tcW w:w="1097" w:type="dxa"/>
            <w:tcMar>
              <w:top w:w="15" w:type="dxa"/>
              <w:left w:w="15" w:type="dxa"/>
              <w:right w:w="15" w:type="dxa"/>
            </w:tcMar>
          </w:tcPr>
          <w:p w14:paraId="759F8B96"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Friday, October 30, 2026</w:t>
            </w:r>
          </w:p>
        </w:tc>
        <w:tc>
          <w:tcPr>
            <w:tcW w:w="2549" w:type="dxa"/>
            <w:tcMar>
              <w:top w:w="15" w:type="dxa"/>
              <w:left w:w="15" w:type="dxa"/>
              <w:right w:w="15" w:type="dxa"/>
            </w:tcMar>
          </w:tcPr>
          <w:p w14:paraId="04BAED8F"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Complete a review of the current on-call arrangements and present findings. Work is underway and will require consistent evaluation. This will transition into business-as-usual activity. Project team need to identify at which point that the recommendation can be closed.</w:t>
            </w:r>
          </w:p>
        </w:tc>
        <w:tc>
          <w:tcPr>
            <w:tcW w:w="794" w:type="dxa"/>
            <w:shd w:val="clear" w:color="auto" w:fill="B3E5A1" w:themeFill="accent6" w:themeFillTint="66"/>
            <w:tcMar>
              <w:top w:w="15" w:type="dxa"/>
              <w:left w:w="15" w:type="dxa"/>
              <w:right w:w="15" w:type="dxa"/>
            </w:tcMar>
          </w:tcPr>
          <w:p w14:paraId="1238485D"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425BC3DE" w14:textId="77777777" w:rsidTr="007F27A3">
        <w:trPr>
          <w:trHeight w:val="1928"/>
        </w:trPr>
        <w:tc>
          <w:tcPr>
            <w:tcW w:w="492" w:type="dxa"/>
            <w:tcMar>
              <w:top w:w="15" w:type="dxa"/>
              <w:left w:w="15" w:type="dxa"/>
              <w:right w:w="15" w:type="dxa"/>
            </w:tcMar>
          </w:tcPr>
          <w:p w14:paraId="7E98D51E"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22.1</w:t>
            </w:r>
          </w:p>
        </w:tc>
        <w:tc>
          <w:tcPr>
            <w:tcW w:w="2001" w:type="dxa"/>
            <w:tcMar>
              <w:top w:w="15" w:type="dxa"/>
              <w:left w:w="15" w:type="dxa"/>
              <w:right w:w="15" w:type="dxa"/>
            </w:tcMar>
          </w:tcPr>
          <w:p w14:paraId="4834CD7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Conduct job planning for consultant workforce to reflect all work types.</w:t>
            </w:r>
          </w:p>
        </w:tc>
        <w:tc>
          <w:tcPr>
            <w:tcW w:w="2489" w:type="dxa"/>
            <w:tcMar>
              <w:top w:w="15" w:type="dxa"/>
              <w:left w:w="15" w:type="dxa"/>
              <w:right w:w="15" w:type="dxa"/>
            </w:tcMar>
          </w:tcPr>
          <w:p w14:paraId="2CBA5778" w14:textId="1655A85B"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Cardiology Directorate to conduct job-planning exercise for the cardiology consultant workforce, to reflect clinical &amp; non-clinical work</w:t>
            </w:r>
            <w:r w:rsidR="008212B2"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03BA744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All job plan reviewed and updated to reflect clinical and non-clinical work.</w:t>
            </w:r>
          </w:p>
        </w:tc>
        <w:tc>
          <w:tcPr>
            <w:tcW w:w="3515" w:type="dxa"/>
            <w:tcMar>
              <w:top w:w="15" w:type="dxa"/>
              <w:left w:w="15" w:type="dxa"/>
              <w:right w:w="15" w:type="dxa"/>
            </w:tcMar>
          </w:tcPr>
          <w:p w14:paraId="230ABD67" w14:textId="0893BD28"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Transparent, consistent job plans that reflect the full scope of consultant activity, including clinical commitments, leadership roles, teaching, training, and SPA time</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Improved alignment between consultant capacity and service requirements, supporting safe and sustainable delivery. Greater clarity on expectations, responsibilities, and protected time for 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clinical work. Enhanced ability to plan, monitor, and optimise consultant workforce resource.</w:t>
            </w:r>
          </w:p>
        </w:tc>
        <w:tc>
          <w:tcPr>
            <w:tcW w:w="1097" w:type="dxa"/>
            <w:tcMar>
              <w:top w:w="15" w:type="dxa"/>
              <w:left w:w="15" w:type="dxa"/>
              <w:right w:w="15" w:type="dxa"/>
            </w:tcMar>
          </w:tcPr>
          <w:p w14:paraId="6E10DF73"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September 30, 2026</w:t>
            </w:r>
          </w:p>
        </w:tc>
        <w:tc>
          <w:tcPr>
            <w:tcW w:w="2549" w:type="dxa"/>
            <w:tcMar>
              <w:top w:w="15" w:type="dxa"/>
              <w:left w:w="15" w:type="dxa"/>
              <w:right w:w="15" w:type="dxa"/>
            </w:tcMar>
          </w:tcPr>
          <w:p w14:paraId="1859201D" w14:textId="1FD00B24" w:rsidR="00800F93" w:rsidRPr="0037794D" w:rsidRDefault="00B9099A"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Job planning is currently underway, with a primary focus on cardiac and thoracic surgery. All job plans are scheduled over the next three months. Next </w:t>
            </w:r>
            <w:r w:rsidR="00057316" w:rsidRPr="0037794D">
              <w:rPr>
                <w:rFonts w:ascii="Calibri" w:eastAsia="Calibri" w:hAnsi="Calibri" w:cs="Calibri"/>
                <w:color w:val="000000" w:themeColor="text1"/>
                <w:sz w:val="15"/>
                <w:szCs w:val="15"/>
              </w:rPr>
              <w:t>steps: -</w:t>
            </w:r>
            <w:r w:rsidRPr="0037794D">
              <w:rPr>
                <w:rFonts w:ascii="Calibri" w:eastAsia="Calibri" w:hAnsi="Calibri" w:cs="Calibri"/>
                <w:color w:val="000000" w:themeColor="text1"/>
                <w:sz w:val="15"/>
                <w:szCs w:val="15"/>
              </w:rPr>
              <w:t xml:space="preserve"> Completion of job planning for Cardiac and thoracic teams and agree next priority area.</w:t>
            </w:r>
          </w:p>
        </w:tc>
        <w:tc>
          <w:tcPr>
            <w:tcW w:w="794" w:type="dxa"/>
            <w:shd w:val="clear" w:color="auto" w:fill="B3E5A1" w:themeFill="accent6" w:themeFillTint="66"/>
            <w:tcMar>
              <w:top w:w="15" w:type="dxa"/>
              <w:left w:w="15" w:type="dxa"/>
              <w:right w:w="15" w:type="dxa"/>
            </w:tcMar>
          </w:tcPr>
          <w:p w14:paraId="2E31AA37"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FD5179B" w14:textId="77777777" w:rsidTr="308A940C">
        <w:trPr>
          <w:trHeight w:val="1134"/>
        </w:trPr>
        <w:tc>
          <w:tcPr>
            <w:tcW w:w="492" w:type="dxa"/>
            <w:tcMar>
              <w:top w:w="15" w:type="dxa"/>
              <w:left w:w="15" w:type="dxa"/>
              <w:right w:w="15" w:type="dxa"/>
            </w:tcMar>
          </w:tcPr>
          <w:p w14:paraId="5575E4DA"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22.2</w:t>
            </w:r>
          </w:p>
        </w:tc>
        <w:tc>
          <w:tcPr>
            <w:tcW w:w="2001" w:type="dxa"/>
            <w:tcMar>
              <w:top w:w="15" w:type="dxa"/>
              <w:left w:w="15" w:type="dxa"/>
              <w:right w:w="15" w:type="dxa"/>
            </w:tcMar>
          </w:tcPr>
          <w:p w14:paraId="26D96AC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Facilitate job planning meetings to align consultant work with departmental needs.</w:t>
            </w:r>
          </w:p>
        </w:tc>
        <w:tc>
          <w:tcPr>
            <w:tcW w:w="2489" w:type="dxa"/>
            <w:tcMar>
              <w:top w:w="15" w:type="dxa"/>
              <w:left w:w="15" w:type="dxa"/>
              <w:right w:w="15" w:type="dxa"/>
            </w:tcMar>
          </w:tcPr>
          <w:p w14:paraId="7DE2C14A" w14:textId="6F28637A"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Job-planning meetings to be facilitated by Clinical Director and General Manager for cardiology to ensure that the needs of the department match the work being asked of consultants</w:t>
            </w:r>
            <w:r w:rsidR="008212B2"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7F1E220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Job plans are aligned to departmental needs by facilitating structured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planning meetings.</w:t>
            </w:r>
          </w:p>
        </w:tc>
        <w:tc>
          <w:tcPr>
            <w:tcW w:w="3515" w:type="dxa"/>
            <w:tcMar>
              <w:top w:w="15" w:type="dxa"/>
              <w:left w:w="15" w:type="dxa"/>
              <w:right w:w="15" w:type="dxa"/>
            </w:tcMar>
          </w:tcPr>
          <w:p w14:paraId="420C40F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Clearer expectations and shared understanding between consultants and management regarding clinical and 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clinical commitments. Strengthened collaboration and transparency in the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planning process.</w:t>
            </w:r>
          </w:p>
        </w:tc>
        <w:tc>
          <w:tcPr>
            <w:tcW w:w="1097" w:type="dxa"/>
            <w:tcMar>
              <w:top w:w="15" w:type="dxa"/>
              <w:left w:w="15" w:type="dxa"/>
              <w:right w:w="15" w:type="dxa"/>
            </w:tcMar>
          </w:tcPr>
          <w:p w14:paraId="6B25C050"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September 30, 2025</w:t>
            </w:r>
          </w:p>
        </w:tc>
        <w:tc>
          <w:tcPr>
            <w:tcW w:w="2549" w:type="dxa"/>
            <w:tcMar>
              <w:top w:w="15" w:type="dxa"/>
              <w:left w:w="15" w:type="dxa"/>
              <w:right w:w="15" w:type="dxa"/>
            </w:tcMar>
          </w:tcPr>
          <w:p w14:paraId="224FA2D1" w14:textId="662013EE" w:rsidR="00800F93" w:rsidRPr="0037794D" w:rsidRDefault="0041356F" w:rsidP="004E2237">
            <w:pPr>
              <w:spacing w:after="0"/>
              <w:rPr>
                <w:rFonts w:ascii="Calibri" w:hAnsi="Calibri" w:cs="Calibri"/>
                <w:sz w:val="15"/>
                <w:szCs w:val="15"/>
              </w:rPr>
            </w:pPr>
            <w:r w:rsidRPr="0037794D">
              <w:rPr>
                <w:rFonts w:ascii="Calibri" w:eastAsia="Calibri" w:hAnsi="Calibri" w:cs="Calibri"/>
                <w:color w:val="000000" w:themeColor="text1"/>
                <w:sz w:val="15"/>
                <w:szCs w:val="15"/>
              </w:rPr>
              <w:t>March 2026: This is completed - Job planning meetings are jointly delivered by the Clinical Director and General Manager. 14/04 - in line with 22.1</w:t>
            </w:r>
            <w:r w:rsidR="003A3495" w:rsidRPr="0037794D">
              <w:rPr>
                <w:rFonts w:ascii="Calibri" w:eastAsia="Calibri" w:hAnsi="Calibri" w:cs="Calibri"/>
                <w:color w:val="000000" w:themeColor="text1"/>
                <w:sz w:val="15"/>
                <w:szCs w:val="15"/>
              </w:rPr>
              <w:t>.</w:t>
            </w:r>
          </w:p>
        </w:tc>
        <w:tc>
          <w:tcPr>
            <w:tcW w:w="794" w:type="dxa"/>
            <w:shd w:val="clear" w:color="auto" w:fill="95DCF7" w:themeFill="accent4" w:themeFillTint="66"/>
            <w:tcMar>
              <w:top w:w="15" w:type="dxa"/>
              <w:left w:w="15" w:type="dxa"/>
              <w:right w:w="15" w:type="dxa"/>
            </w:tcMar>
          </w:tcPr>
          <w:p w14:paraId="6425F92D" w14:textId="77777777" w:rsidR="00800F93" w:rsidRPr="0037794D" w:rsidRDefault="00800F93" w:rsidP="008212B2">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56624B32" w14:textId="77777777" w:rsidTr="007F27A3">
        <w:trPr>
          <w:trHeight w:val="1701"/>
        </w:trPr>
        <w:tc>
          <w:tcPr>
            <w:tcW w:w="492" w:type="dxa"/>
            <w:tcMar>
              <w:top w:w="15" w:type="dxa"/>
              <w:left w:w="15" w:type="dxa"/>
              <w:right w:w="15" w:type="dxa"/>
            </w:tcMar>
          </w:tcPr>
          <w:p w14:paraId="4CF74A22"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22.3</w:t>
            </w:r>
          </w:p>
        </w:tc>
        <w:tc>
          <w:tcPr>
            <w:tcW w:w="2001" w:type="dxa"/>
            <w:tcMar>
              <w:top w:w="15" w:type="dxa"/>
              <w:left w:w="15" w:type="dxa"/>
              <w:right w:w="15" w:type="dxa"/>
            </w:tcMar>
          </w:tcPr>
          <w:p w14:paraId="45E3D65D"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Ensure all job plans are current and signed off in Allocate system.</w:t>
            </w:r>
          </w:p>
        </w:tc>
        <w:tc>
          <w:tcPr>
            <w:tcW w:w="2489" w:type="dxa"/>
            <w:tcMar>
              <w:top w:w="15" w:type="dxa"/>
              <w:left w:w="15" w:type="dxa"/>
              <w:right w:w="15" w:type="dxa"/>
            </w:tcMar>
          </w:tcPr>
          <w:p w14:paraId="50A389B9" w14:textId="416D01C5"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All job plans should be up to date and signed on Allocate system so that consultant work can be delivered efficiently and in a way that supports good service delivery.</w:t>
            </w:r>
          </w:p>
        </w:tc>
        <w:tc>
          <w:tcPr>
            <w:tcW w:w="2640" w:type="dxa"/>
            <w:tcMar>
              <w:top w:w="15" w:type="dxa"/>
              <w:left w:w="15" w:type="dxa"/>
              <w:right w:w="15" w:type="dxa"/>
            </w:tcMar>
          </w:tcPr>
          <w:p w14:paraId="2CE7532D"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Consultant job plans are current, accurate, and formally signed off within the Allocate system.</w:t>
            </w:r>
          </w:p>
        </w:tc>
        <w:tc>
          <w:tcPr>
            <w:tcW w:w="3515" w:type="dxa"/>
            <w:tcMar>
              <w:top w:w="15" w:type="dxa"/>
              <w:left w:w="15" w:type="dxa"/>
              <w:right w:w="15" w:type="dxa"/>
            </w:tcMar>
          </w:tcPr>
          <w:p w14:paraId="416EBE70" w14:textId="72AF85ED"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All consultant job plans up to date and approved on Allocate, providing a single, accurate source of workforce information. Improved efficiency and coordination of consultant activity through clearer, validated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 data</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Enhanced ability to match consultant capacity to service needs, improving operational performance.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Greater transparency and assurance around consultant commitments and resource utilisation.</w:t>
            </w:r>
          </w:p>
        </w:tc>
        <w:tc>
          <w:tcPr>
            <w:tcW w:w="1097" w:type="dxa"/>
            <w:tcMar>
              <w:top w:w="15" w:type="dxa"/>
              <w:left w:w="15" w:type="dxa"/>
              <w:right w:w="15" w:type="dxa"/>
            </w:tcMar>
          </w:tcPr>
          <w:p w14:paraId="508CA767" w14:textId="77777777" w:rsidR="0069720A" w:rsidRPr="0037794D" w:rsidRDefault="0069720A" w:rsidP="0069720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September 30, 2026</w:t>
            </w:r>
          </w:p>
        </w:tc>
        <w:tc>
          <w:tcPr>
            <w:tcW w:w="2549" w:type="dxa"/>
            <w:tcMar>
              <w:top w:w="15" w:type="dxa"/>
              <w:left w:w="15" w:type="dxa"/>
              <w:right w:w="15" w:type="dxa"/>
            </w:tcMar>
          </w:tcPr>
          <w:p w14:paraId="3EFEF6A8" w14:textId="77A986B8"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In progress. 14/04/ - In line with 22.1</w:t>
            </w:r>
            <w:r w:rsidR="003A3495" w:rsidRPr="0037794D">
              <w:rPr>
                <w:rFonts w:ascii="Calibri" w:eastAsia="Calibri" w:hAnsi="Calibri" w:cs="Calibri"/>
                <w:color w:val="000000" w:themeColor="text1"/>
                <w:sz w:val="15"/>
                <w:szCs w:val="15"/>
              </w:rPr>
              <w:t>.</w:t>
            </w:r>
          </w:p>
        </w:tc>
        <w:tc>
          <w:tcPr>
            <w:tcW w:w="794" w:type="dxa"/>
            <w:shd w:val="clear" w:color="auto" w:fill="B3E5A1" w:themeFill="accent6" w:themeFillTint="66"/>
            <w:tcMar>
              <w:top w:w="15" w:type="dxa"/>
              <w:left w:w="15" w:type="dxa"/>
              <w:right w:w="15" w:type="dxa"/>
            </w:tcMar>
          </w:tcPr>
          <w:p w14:paraId="56495582" w14:textId="77777777" w:rsidR="0069720A" w:rsidRPr="0037794D" w:rsidRDefault="0069720A" w:rsidP="0069720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73E5A68A" w14:textId="77777777" w:rsidTr="007F27A3">
        <w:trPr>
          <w:trHeight w:val="1361"/>
        </w:trPr>
        <w:tc>
          <w:tcPr>
            <w:tcW w:w="492" w:type="dxa"/>
            <w:tcMar>
              <w:top w:w="15" w:type="dxa"/>
              <w:left w:w="15" w:type="dxa"/>
              <w:right w:w="15" w:type="dxa"/>
            </w:tcMar>
          </w:tcPr>
          <w:p w14:paraId="13EB9761"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22.4</w:t>
            </w:r>
          </w:p>
        </w:tc>
        <w:tc>
          <w:tcPr>
            <w:tcW w:w="2001" w:type="dxa"/>
            <w:tcMar>
              <w:top w:w="15" w:type="dxa"/>
              <w:left w:w="15" w:type="dxa"/>
              <w:right w:w="15" w:type="dxa"/>
            </w:tcMar>
          </w:tcPr>
          <w:p w14:paraId="501B3263"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Define SPA activity clearly and align non-core SPA with directorate goals.</w:t>
            </w:r>
          </w:p>
        </w:tc>
        <w:tc>
          <w:tcPr>
            <w:tcW w:w="2489" w:type="dxa"/>
            <w:tcMar>
              <w:top w:w="15" w:type="dxa"/>
              <w:left w:w="15" w:type="dxa"/>
              <w:right w:w="15" w:type="dxa"/>
            </w:tcMar>
          </w:tcPr>
          <w:p w14:paraId="3E68EB1D"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Ensure SPA activity is well-defined within individual job plans and non-Core SPA activity is aligned with the objectives and goals of the directorate. Priority SPA should be assigned first as detailed above.</w:t>
            </w:r>
          </w:p>
        </w:tc>
        <w:tc>
          <w:tcPr>
            <w:tcW w:w="2640" w:type="dxa"/>
            <w:tcMar>
              <w:top w:w="15" w:type="dxa"/>
              <w:left w:w="15" w:type="dxa"/>
              <w:right w:w="15" w:type="dxa"/>
            </w:tcMar>
          </w:tcPr>
          <w:p w14:paraId="5A1087A2"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SPA activity is clearly defined within individual job plans, with non-core SPA time.</w:t>
            </w:r>
          </w:p>
        </w:tc>
        <w:tc>
          <w:tcPr>
            <w:tcW w:w="3515" w:type="dxa"/>
            <w:tcMar>
              <w:top w:w="15" w:type="dxa"/>
              <w:left w:w="15" w:type="dxa"/>
              <w:right w:w="15" w:type="dxa"/>
            </w:tcMar>
          </w:tcPr>
          <w:p w14:paraId="1F08CB77" w14:textId="77777777"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Clear distinction between core and non-core SPA activities in all job plans.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Directorate objectives are supported through aligned non-core SPA activities.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transparency and consistency in SPA allocation across the workforce.</w:t>
            </w:r>
          </w:p>
        </w:tc>
        <w:tc>
          <w:tcPr>
            <w:tcW w:w="1097" w:type="dxa"/>
            <w:tcMar>
              <w:top w:w="15" w:type="dxa"/>
              <w:left w:w="15" w:type="dxa"/>
              <w:right w:w="15" w:type="dxa"/>
            </w:tcMar>
          </w:tcPr>
          <w:p w14:paraId="2F72581E" w14:textId="77777777" w:rsidR="0069720A" w:rsidRPr="0037794D" w:rsidRDefault="0069720A" w:rsidP="0069720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September 30, 2026</w:t>
            </w:r>
          </w:p>
        </w:tc>
        <w:tc>
          <w:tcPr>
            <w:tcW w:w="2549" w:type="dxa"/>
            <w:tcMar>
              <w:top w:w="15" w:type="dxa"/>
              <w:left w:w="15" w:type="dxa"/>
              <w:right w:w="15" w:type="dxa"/>
            </w:tcMar>
          </w:tcPr>
          <w:p w14:paraId="50AB401A" w14:textId="3DA24B50" w:rsidR="0069720A" w:rsidRPr="0037794D" w:rsidRDefault="0069720A" w:rsidP="0069720A">
            <w:pPr>
              <w:spacing w:after="0"/>
              <w:rPr>
                <w:rFonts w:ascii="Calibri" w:hAnsi="Calibri" w:cs="Calibri"/>
                <w:sz w:val="15"/>
                <w:szCs w:val="15"/>
              </w:rPr>
            </w:pPr>
            <w:r w:rsidRPr="0037794D">
              <w:rPr>
                <w:rFonts w:ascii="Calibri" w:eastAsia="Calibri" w:hAnsi="Calibri" w:cs="Calibri"/>
                <w:color w:val="000000" w:themeColor="text1"/>
                <w:sz w:val="15"/>
                <w:szCs w:val="15"/>
              </w:rPr>
              <w:t>In progress. 14/04- In line with 22.1</w:t>
            </w:r>
            <w:r w:rsidR="003A3495" w:rsidRPr="0037794D">
              <w:rPr>
                <w:rFonts w:ascii="Calibri" w:eastAsia="Calibri" w:hAnsi="Calibri" w:cs="Calibri"/>
                <w:color w:val="000000" w:themeColor="text1"/>
                <w:sz w:val="15"/>
                <w:szCs w:val="15"/>
              </w:rPr>
              <w:t>.</w:t>
            </w:r>
          </w:p>
        </w:tc>
        <w:tc>
          <w:tcPr>
            <w:tcW w:w="794" w:type="dxa"/>
            <w:shd w:val="clear" w:color="auto" w:fill="B3E5A1" w:themeFill="accent6" w:themeFillTint="66"/>
            <w:tcMar>
              <w:top w:w="15" w:type="dxa"/>
              <w:left w:w="15" w:type="dxa"/>
              <w:right w:w="15" w:type="dxa"/>
            </w:tcMar>
          </w:tcPr>
          <w:p w14:paraId="54C7110B" w14:textId="77777777" w:rsidR="0069720A" w:rsidRPr="0037794D" w:rsidRDefault="0069720A" w:rsidP="0069720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338232A7" w14:textId="77777777" w:rsidTr="308A940C">
        <w:trPr>
          <w:trHeight w:val="1134"/>
        </w:trPr>
        <w:tc>
          <w:tcPr>
            <w:tcW w:w="492" w:type="dxa"/>
            <w:tcMar>
              <w:top w:w="15" w:type="dxa"/>
              <w:left w:w="15" w:type="dxa"/>
              <w:right w:w="15" w:type="dxa"/>
            </w:tcMar>
          </w:tcPr>
          <w:p w14:paraId="4C32EA47"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22.5</w:t>
            </w:r>
          </w:p>
        </w:tc>
        <w:tc>
          <w:tcPr>
            <w:tcW w:w="2001" w:type="dxa"/>
            <w:tcMar>
              <w:top w:w="15" w:type="dxa"/>
              <w:left w:w="15" w:type="dxa"/>
              <w:right w:w="15" w:type="dxa"/>
            </w:tcMar>
          </w:tcPr>
          <w:p w14:paraId="5852803B"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Standardise core SPA allocation to 1.5 sessions for full-time consultants.</w:t>
            </w:r>
          </w:p>
        </w:tc>
        <w:tc>
          <w:tcPr>
            <w:tcW w:w="2489" w:type="dxa"/>
            <w:tcMar>
              <w:top w:w="15" w:type="dxa"/>
              <w:left w:w="15" w:type="dxa"/>
              <w:right w:w="15" w:type="dxa"/>
            </w:tcMar>
          </w:tcPr>
          <w:p w14:paraId="700E3A7C" w14:textId="58299BAC"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Standardise Core SPA allocation to 1.5 sessions for all full-time consultants</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w:t>
            </w:r>
          </w:p>
        </w:tc>
        <w:tc>
          <w:tcPr>
            <w:tcW w:w="2640" w:type="dxa"/>
            <w:tcMar>
              <w:top w:w="15" w:type="dxa"/>
              <w:left w:w="15" w:type="dxa"/>
              <w:right w:w="15" w:type="dxa"/>
            </w:tcMar>
          </w:tcPr>
          <w:p w14:paraId="6CE6AC31"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Create consistency, equity, and clarity across consultant job plans by standardising Core SPA allocation to 1.5 sessions for all full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time consultants.</w:t>
            </w:r>
          </w:p>
        </w:tc>
        <w:tc>
          <w:tcPr>
            <w:tcW w:w="3515" w:type="dxa"/>
            <w:tcMar>
              <w:top w:w="15" w:type="dxa"/>
              <w:left w:w="15" w:type="dxa"/>
              <w:right w:w="15" w:type="dxa"/>
            </w:tcMar>
          </w:tcPr>
          <w:p w14:paraId="6868CB7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Consistent application of Core SPA time across all full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time consultant roles.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transparency and fairness in job planning.</w:t>
            </w:r>
          </w:p>
        </w:tc>
        <w:tc>
          <w:tcPr>
            <w:tcW w:w="1097" w:type="dxa"/>
            <w:tcMar>
              <w:top w:w="15" w:type="dxa"/>
              <w:left w:w="15" w:type="dxa"/>
              <w:right w:w="15" w:type="dxa"/>
            </w:tcMar>
          </w:tcPr>
          <w:p w14:paraId="17524ADB" w14:textId="77777777" w:rsidR="00800F93" w:rsidRPr="0037794D" w:rsidRDefault="00800F93"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September 29, 2025</w:t>
            </w:r>
          </w:p>
        </w:tc>
        <w:tc>
          <w:tcPr>
            <w:tcW w:w="2549" w:type="dxa"/>
            <w:tcMar>
              <w:top w:w="15" w:type="dxa"/>
              <w:left w:w="15" w:type="dxa"/>
              <w:right w:w="15" w:type="dxa"/>
            </w:tcMar>
          </w:tcPr>
          <w:p w14:paraId="4B0E76FE" w14:textId="13697DDB" w:rsidR="00800F93" w:rsidRPr="0037794D" w:rsidRDefault="001F2395" w:rsidP="004E2237">
            <w:pPr>
              <w:spacing w:after="0"/>
              <w:rPr>
                <w:rFonts w:ascii="Calibri" w:hAnsi="Calibri" w:cs="Calibri"/>
                <w:sz w:val="15"/>
                <w:szCs w:val="15"/>
              </w:rPr>
            </w:pPr>
            <w:r w:rsidRPr="0037794D">
              <w:rPr>
                <w:rFonts w:ascii="Calibri" w:eastAsia="Calibri" w:hAnsi="Calibri" w:cs="Calibri"/>
                <w:color w:val="000000" w:themeColor="text1"/>
                <w:sz w:val="15"/>
                <w:szCs w:val="15"/>
              </w:rPr>
              <w:t>Feb 2026: All fulltime consultants have 1.5 session allocated for Core SPA as per the Welsh Consultant Contract. This has been defined within Allocate job planning records as job plans are updated.</w:t>
            </w:r>
          </w:p>
        </w:tc>
        <w:tc>
          <w:tcPr>
            <w:tcW w:w="794" w:type="dxa"/>
            <w:shd w:val="clear" w:color="auto" w:fill="95DCF7" w:themeFill="accent4" w:themeFillTint="66"/>
            <w:tcMar>
              <w:top w:w="15" w:type="dxa"/>
              <w:left w:w="15" w:type="dxa"/>
              <w:right w:w="15" w:type="dxa"/>
            </w:tcMar>
          </w:tcPr>
          <w:p w14:paraId="04F7DA66" w14:textId="77777777" w:rsidR="00800F93" w:rsidRPr="0037794D" w:rsidRDefault="00800F93"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5167D581" w14:textId="77777777" w:rsidTr="308A940C">
        <w:trPr>
          <w:trHeight w:val="1701"/>
        </w:trPr>
        <w:tc>
          <w:tcPr>
            <w:tcW w:w="492" w:type="dxa"/>
            <w:tcMar>
              <w:top w:w="15" w:type="dxa"/>
              <w:left w:w="15" w:type="dxa"/>
              <w:right w:w="15" w:type="dxa"/>
            </w:tcMar>
          </w:tcPr>
          <w:p w14:paraId="24DE01F8"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22.6</w:t>
            </w:r>
          </w:p>
        </w:tc>
        <w:tc>
          <w:tcPr>
            <w:tcW w:w="2001" w:type="dxa"/>
            <w:tcMar>
              <w:top w:w="15" w:type="dxa"/>
              <w:left w:w="15" w:type="dxa"/>
              <w:right w:w="15" w:type="dxa"/>
            </w:tcMar>
          </w:tcPr>
          <w:p w14:paraId="73FE3DA4"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Use SMART objectives in Allocate to define non-core SPA responsibilities.</w:t>
            </w:r>
          </w:p>
        </w:tc>
        <w:tc>
          <w:tcPr>
            <w:tcW w:w="2489" w:type="dxa"/>
            <w:tcMar>
              <w:top w:w="15" w:type="dxa"/>
              <w:left w:w="15" w:type="dxa"/>
              <w:right w:w="15" w:type="dxa"/>
            </w:tcMar>
          </w:tcPr>
          <w:p w14:paraId="7B8F9F68" w14:textId="49AD4CCE" w:rsidR="001D6C21" w:rsidRPr="0037794D" w:rsidRDefault="00737DA6" w:rsidP="001D6C21">
            <w:pPr>
              <w:spacing w:after="0"/>
              <w:rPr>
                <w:rFonts w:ascii="Calibri" w:hAnsi="Calibri" w:cs="Calibri"/>
                <w:sz w:val="15"/>
                <w:szCs w:val="15"/>
              </w:rPr>
            </w:pPr>
            <w:r w:rsidRPr="0037794D">
              <w:rPr>
                <w:rFonts w:ascii="Calibri" w:eastAsia="Calibri" w:hAnsi="Calibri" w:cs="Calibri"/>
                <w:color w:val="000000" w:themeColor="text1"/>
                <w:sz w:val="15"/>
                <w:szCs w:val="15"/>
              </w:rPr>
              <w:t>Use</w:t>
            </w:r>
            <w:r w:rsidR="001D6C21" w:rsidRPr="0037794D">
              <w:rPr>
                <w:rFonts w:ascii="Calibri" w:eastAsia="Calibri" w:hAnsi="Calibri" w:cs="Calibri"/>
                <w:color w:val="000000" w:themeColor="text1"/>
                <w:sz w:val="15"/>
                <w:szCs w:val="15"/>
              </w:rPr>
              <w:t xml:space="preserve"> the Personal Outcomes section of Allocate job plan to define responsibilities and output for Non-Core SPA, using SMART objectives</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FE34919" w14:textId="2FC93CF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Personal Outcomes section in Allocate is </w:t>
            </w:r>
            <w:r w:rsidR="00737DA6" w:rsidRPr="0037794D">
              <w:rPr>
                <w:rFonts w:ascii="Calibri" w:eastAsia="Calibri" w:hAnsi="Calibri" w:cs="Calibri"/>
                <w:color w:val="000000" w:themeColor="text1"/>
                <w:sz w:val="15"/>
                <w:szCs w:val="15"/>
              </w:rPr>
              <w:t>used</w:t>
            </w:r>
            <w:r w:rsidRPr="0037794D">
              <w:rPr>
                <w:rFonts w:ascii="Calibri" w:eastAsia="Calibri" w:hAnsi="Calibri" w:cs="Calibri"/>
                <w:color w:val="000000" w:themeColor="text1"/>
                <w:sz w:val="15"/>
                <w:szCs w:val="15"/>
              </w:rPr>
              <w:t xml:space="preserve"> and responsibilities are clearly defined.</w:t>
            </w:r>
          </w:p>
        </w:tc>
        <w:tc>
          <w:tcPr>
            <w:tcW w:w="3515" w:type="dxa"/>
            <w:tcMar>
              <w:top w:w="15" w:type="dxa"/>
              <w:left w:w="15" w:type="dxa"/>
              <w:right w:w="15" w:type="dxa"/>
            </w:tcMar>
          </w:tcPr>
          <w:p w14:paraId="5D7828B6"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Core SPA responsibilities are transparent and consistently documented.</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SMART objectives provide measurable outputs and clearer expectations.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alignment of SPA activity with directorate and organisational priorities.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ability to monitor progress and evidence achievement of 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Core SPA work.</w:t>
            </w:r>
          </w:p>
        </w:tc>
        <w:tc>
          <w:tcPr>
            <w:tcW w:w="1097" w:type="dxa"/>
            <w:tcMar>
              <w:top w:w="15" w:type="dxa"/>
              <w:left w:w="15" w:type="dxa"/>
              <w:right w:w="15" w:type="dxa"/>
            </w:tcMar>
          </w:tcPr>
          <w:p w14:paraId="65BEA5C8"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September 30, 2026</w:t>
            </w:r>
          </w:p>
        </w:tc>
        <w:tc>
          <w:tcPr>
            <w:tcW w:w="2549" w:type="dxa"/>
            <w:tcMar>
              <w:top w:w="15" w:type="dxa"/>
              <w:left w:w="15" w:type="dxa"/>
              <w:right w:w="15" w:type="dxa"/>
            </w:tcMar>
          </w:tcPr>
          <w:p w14:paraId="5DEAD76D" w14:textId="6DAE70C8"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 As we job plan with Consultants - the Personal Objectives section is being updated. 14/04 - In line with 22.1</w:t>
            </w:r>
            <w:r w:rsidR="00057316" w:rsidRPr="0037794D">
              <w:rPr>
                <w:rFonts w:ascii="Calibri" w:eastAsia="Calibri" w:hAnsi="Calibri" w:cs="Calibri"/>
                <w:color w:val="000000" w:themeColor="text1"/>
                <w:sz w:val="15"/>
                <w:szCs w:val="15"/>
              </w:rPr>
              <w:t>.</w:t>
            </w:r>
          </w:p>
        </w:tc>
        <w:tc>
          <w:tcPr>
            <w:tcW w:w="794" w:type="dxa"/>
            <w:shd w:val="clear" w:color="auto" w:fill="B3E5A1" w:themeFill="accent6" w:themeFillTint="66"/>
            <w:tcMar>
              <w:top w:w="15" w:type="dxa"/>
              <w:left w:w="15" w:type="dxa"/>
              <w:right w:w="15" w:type="dxa"/>
            </w:tcMar>
          </w:tcPr>
          <w:p w14:paraId="15574E69"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593A902C" w14:textId="77777777" w:rsidTr="308A940C">
        <w:trPr>
          <w:trHeight w:val="1134"/>
        </w:trPr>
        <w:tc>
          <w:tcPr>
            <w:tcW w:w="492" w:type="dxa"/>
            <w:tcMar>
              <w:top w:w="15" w:type="dxa"/>
              <w:left w:w="15" w:type="dxa"/>
              <w:right w:w="15" w:type="dxa"/>
            </w:tcMar>
          </w:tcPr>
          <w:p w14:paraId="17769B05"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22.7</w:t>
            </w:r>
          </w:p>
        </w:tc>
        <w:tc>
          <w:tcPr>
            <w:tcW w:w="2001" w:type="dxa"/>
            <w:tcMar>
              <w:top w:w="15" w:type="dxa"/>
              <w:left w:w="15" w:type="dxa"/>
              <w:right w:w="15" w:type="dxa"/>
            </w:tcMar>
          </w:tcPr>
          <w:p w14:paraId="3C25CA89"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Share DCC tariffs and job plan details on SharePoint for transparency.</w:t>
            </w:r>
          </w:p>
        </w:tc>
        <w:tc>
          <w:tcPr>
            <w:tcW w:w="2489" w:type="dxa"/>
            <w:tcMar>
              <w:top w:w="15" w:type="dxa"/>
              <w:left w:w="15" w:type="dxa"/>
              <w:right w:w="15" w:type="dxa"/>
            </w:tcMar>
          </w:tcPr>
          <w:p w14:paraId="10D7BAB2" w14:textId="77682CCA"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Sharing of DCC tariffs and details within job plans on directorate SharePoint or Intranet page should be considered to demonstrate transparency, fairness, and equity</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3F21F8BC" w14:textId="728B3F56"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Transparency, fairness, and equity in job planning by sharing DCC tariffs and related job plan details on the Directorate SharePoint or intranet</w:t>
            </w:r>
            <w:r w:rsidR="00057316"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1550155F"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Staff have clear visibility of DCC tariffs and how they are applied in job plans.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Increased trust and confidence in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planning processes through openness and consistency.</w:t>
            </w:r>
          </w:p>
        </w:tc>
        <w:tc>
          <w:tcPr>
            <w:tcW w:w="1097" w:type="dxa"/>
            <w:tcMar>
              <w:top w:w="15" w:type="dxa"/>
              <w:left w:w="15" w:type="dxa"/>
              <w:right w:w="15" w:type="dxa"/>
            </w:tcMar>
          </w:tcPr>
          <w:p w14:paraId="3C50A585"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August 26, 2026</w:t>
            </w:r>
          </w:p>
        </w:tc>
        <w:tc>
          <w:tcPr>
            <w:tcW w:w="2549" w:type="dxa"/>
            <w:tcMar>
              <w:top w:w="15" w:type="dxa"/>
              <w:left w:w="15" w:type="dxa"/>
              <w:right w:w="15" w:type="dxa"/>
            </w:tcMar>
          </w:tcPr>
          <w:p w14:paraId="7CEAA825" w14:textId="1EAF1D80"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This is linked to the job planning recommendations in Foundations for change phase.</w:t>
            </w:r>
          </w:p>
        </w:tc>
        <w:tc>
          <w:tcPr>
            <w:tcW w:w="794" w:type="dxa"/>
            <w:tcMar>
              <w:top w:w="15" w:type="dxa"/>
              <w:left w:w="15" w:type="dxa"/>
              <w:right w:w="15" w:type="dxa"/>
            </w:tcMar>
          </w:tcPr>
          <w:p w14:paraId="5141828F"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Not Started</w:t>
            </w:r>
          </w:p>
        </w:tc>
      </w:tr>
      <w:tr w:rsidR="004E7F1B" w14:paraId="46C6FF96" w14:textId="77777777" w:rsidTr="007F27A3">
        <w:trPr>
          <w:trHeight w:val="1644"/>
        </w:trPr>
        <w:tc>
          <w:tcPr>
            <w:tcW w:w="492" w:type="dxa"/>
            <w:tcMar>
              <w:top w:w="15" w:type="dxa"/>
              <w:left w:w="15" w:type="dxa"/>
              <w:right w:w="15" w:type="dxa"/>
            </w:tcMar>
          </w:tcPr>
          <w:p w14:paraId="36B9DB3A"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22.8</w:t>
            </w:r>
          </w:p>
        </w:tc>
        <w:tc>
          <w:tcPr>
            <w:tcW w:w="2001" w:type="dxa"/>
            <w:tcMar>
              <w:top w:w="15" w:type="dxa"/>
              <w:left w:w="15" w:type="dxa"/>
              <w:right w:w="15" w:type="dxa"/>
            </w:tcMar>
          </w:tcPr>
          <w:p w14:paraId="131C017C"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Update job plans to reflect correct on-call banding.</w:t>
            </w:r>
          </w:p>
        </w:tc>
        <w:tc>
          <w:tcPr>
            <w:tcW w:w="2489" w:type="dxa"/>
            <w:tcMar>
              <w:top w:w="15" w:type="dxa"/>
              <w:left w:w="15" w:type="dxa"/>
              <w:right w:w="15" w:type="dxa"/>
            </w:tcMar>
          </w:tcPr>
          <w:p w14:paraId="3471BB7A"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All job-plans updated on Allocate to reflect correct on-call banding </w:t>
            </w:r>
          </w:p>
        </w:tc>
        <w:tc>
          <w:tcPr>
            <w:tcW w:w="2640" w:type="dxa"/>
            <w:tcMar>
              <w:top w:w="15" w:type="dxa"/>
              <w:left w:w="15" w:type="dxa"/>
              <w:right w:w="15" w:type="dxa"/>
            </w:tcMar>
          </w:tcPr>
          <w:p w14:paraId="0A321176"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To ensure accuracy, consistency and compliance in job planning by updating all job plans on Allocate to reflect the correct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banding.</w:t>
            </w:r>
          </w:p>
        </w:tc>
        <w:tc>
          <w:tcPr>
            <w:tcW w:w="3515" w:type="dxa"/>
            <w:tcMar>
              <w:top w:w="15" w:type="dxa"/>
              <w:left w:w="15" w:type="dxa"/>
              <w:right w:w="15" w:type="dxa"/>
            </w:tcMar>
          </w:tcPr>
          <w:p w14:paraId="3DD4A30D"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All consultant job plans display correct and up</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to</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date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banding.</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accuracy in workforce data, job planning, and rota management.</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Reduced discrepancies in pay, workload expectations, and contractual compliance.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transparency for consultants, managers, and workforce teams.</w:t>
            </w:r>
          </w:p>
        </w:tc>
        <w:tc>
          <w:tcPr>
            <w:tcW w:w="1097" w:type="dxa"/>
            <w:tcMar>
              <w:top w:w="15" w:type="dxa"/>
              <w:left w:w="15" w:type="dxa"/>
              <w:right w:w="15" w:type="dxa"/>
            </w:tcMar>
          </w:tcPr>
          <w:p w14:paraId="217FF2A1"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Monday, June 29, 2026</w:t>
            </w:r>
          </w:p>
        </w:tc>
        <w:tc>
          <w:tcPr>
            <w:tcW w:w="2549" w:type="dxa"/>
            <w:tcMar>
              <w:top w:w="15" w:type="dxa"/>
              <w:left w:w="15" w:type="dxa"/>
              <w:right w:w="15" w:type="dxa"/>
            </w:tcMar>
          </w:tcPr>
          <w:p w14:paraId="448BDA36" w14:textId="38F3525E"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w:t>
            </w:r>
          </w:p>
        </w:tc>
        <w:tc>
          <w:tcPr>
            <w:tcW w:w="794" w:type="dxa"/>
            <w:shd w:val="clear" w:color="auto" w:fill="B3E5A1" w:themeFill="accent6" w:themeFillTint="66"/>
            <w:tcMar>
              <w:top w:w="15" w:type="dxa"/>
              <w:left w:w="15" w:type="dxa"/>
              <w:right w:w="15" w:type="dxa"/>
            </w:tcMar>
          </w:tcPr>
          <w:p w14:paraId="443F2DA6"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5567092" w14:textId="77777777" w:rsidTr="007F27A3">
        <w:trPr>
          <w:trHeight w:val="1531"/>
        </w:trPr>
        <w:tc>
          <w:tcPr>
            <w:tcW w:w="492" w:type="dxa"/>
            <w:tcMar>
              <w:top w:w="15" w:type="dxa"/>
              <w:left w:w="15" w:type="dxa"/>
              <w:right w:w="15" w:type="dxa"/>
            </w:tcMar>
          </w:tcPr>
          <w:p w14:paraId="5B4805DE"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22.9</w:t>
            </w:r>
          </w:p>
        </w:tc>
        <w:tc>
          <w:tcPr>
            <w:tcW w:w="2001" w:type="dxa"/>
            <w:tcMar>
              <w:top w:w="15" w:type="dxa"/>
              <w:left w:w="15" w:type="dxa"/>
              <w:right w:w="15" w:type="dxa"/>
            </w:tcMar>
          </w:tcPr>
          <w:p w14:paraId="7515F075"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Conduct diary exercise to ensure on-call allowances match service demands.</w:t>
            </w:r>
          </w:p>
        </w:tc>
        <w:tc>
          <w:tcPr>
            <w:tcW w:w="2489" w:type="dxa"/>
            <w:tcMar>
              <w:top w:w="15" w:type="dxa"/>
              <w:left w:w="15" w:type="dxa"/>
              <w:right w:w="15" w:type="dxa"/>
            </w:tcMar>
          </w:tcPr>
          <w:p w14:paraId="65B6BE66" w14:textId="190F5BF6" w:rsidR="001D6C21" w:rsidRPr="0037794D" w:rsidRDefault="00737DA6" w:rsidP="001D6C21">
            <w:pPr>
              <w:spacing w:after="0"/>
              <w:rPr>
                <w:rFonts w:ascii="Calibri" w:hAnsi="Calibri" w:cs="Calibri"/>
                <w:sz w:val="15"/>
                <w:szCs w:val="15"/>
              </w:rPr>
            </w:pPr>
            <w:r w:rsidRPr="0037794D">
              <w:rPr>
                <w:rFonts w:ascii="Calibri" w:eastAsia="Calibri" w:hAnsi="Calibri" w:cs="Calibri"/>
                <w:color w:val="000000" w:themeColor="text1"/>
                <w:sz w:val="15"/>
                <w:szCs w:val="15"/>
              </w:rPr>
              <w:t>Conduct</w:t>
            </w:r>
            <w:r w:rsidR="001D6C21" w:rsidRPr="0037794D">
              <w:rPr>
                <w:rFonts w:ascii="Calibri" w:eastAsia="Calibri" w:hAnsi="Calibri" w:cs="Calibri"/>
                <w:color w:val="000000" w:themeColor="text1"/>
                <w:sz w:val="15"/>
                <w:szCs w:val="15"/>
              </w:rPr>
              <w:t xml:space="preserve"> diary exercise for interventional and non-interventional cardiologist groups to ensure on-call sessional allowance accurately reflects service demands. The intensity of the </w:t>
            </w:r>
            <w:r w:rsidR="00497FD3" w:rsidRPr="0037794D">
              <w:rPr>
                <w:rFonts w:ascii="Calibri" w:eastAsia="Calibri" w:hAnsi="Calibri" w:cs="Calibri"/>
                <w:color w:val="000000" w:themeColor="text1"/>
                <w:sz w:val="15"/>
                <w:szCs w:val="15"/>
              </w:rPr>
              <w:t>on call</w:t>
            </w:r>
            <w:r w:rsidR="001D6C21" w:rsidRPr="0037794D">
              <w:rPr>
                <w:rFonts w:ascii="Calibri" w:eastAsia="Calibri" w:hAnsi="Calibri" w:cs="Calibri"/>
                <w:color w:val="000000" w:themeColor="text1"/>
                <w:sz w:val="15"/>
                <w:szCs w:val="15"/>
              </w:rPr>
              <w:t xml:space="preserve"> should be reflected in the job plan to ensure adequate rest. </w:t>
            </w:r>
          </w:p>
        </w:tc>
        <w:tc>
          <w:tcPr>
            <w:tcW w:w="2640" w:type="dxa"/>
            <w:tcMar>
              <w:top w:w="15" w:type="dxa"/>
              <w:left w:w="15" w:type="dxa"/>
              <w:right w:w="15" w:type="dxa"/>
            </w:tcMar>
          </w:tcPr>
          <w:p w14:paraId="2EB33FAC"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sessional allowances accurately reflect the true intensity and demands of the service.</w:t>
            </w:r>
          </w:p>
        </w:tc>
        <w:tc>
          <w:tcPr>
            <w:tcW w:w="3515" w:type="dxa"/>
            <w:tcMar>
              <w:top w:w="15" w:type="dxa"/>
              <w:left w:w="15" w:type="dxa"/>
              <w:right w:w="15" w:type="dxa"/>
            </w:tcMar>
          </w:tcPr>
          <w:p w14:paraId="2D9E838D" w14:textId="77777777"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Accurate representation of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workload for both interventional and non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interventional teams. Fair and evidence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sessional allowances aligned to actual service intensity. Greater transparency and equity in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arrangements across consultant groups.</w:t>
            </w:r>
          </w:p>
        </w:tc>
        <w:tc>
          <w:tcPr>
            <w:tcW w:w="1097" w:type="dxa"/>
            <w:tcMar>
              <w:top w:w="15" w:type="dxa"/>
              <w:left w:w="15" w:type="dxa"/>
              <w:right w:w="15" w:type="dxa"/>
            </w:tcMar>
          </w:tcPr>
          <w:p w14:paraId="35297870" w14:textId="77777777" w:rsidR="001D6C21" w:rsidRPr="0037794D" w:rsidRDefault="001D6C21" w:rsidP="001D6C21">
            <w:pPr>
              <w:rPr>
                <w:rFonts w:ascii="Calibri" w:hAnsi="Calibri" w:cs="Calibri"/>
                <w:sz w:val="15"/>
                <w:szCs w:val="15"/>
              </w:rPr>
            </w:pPr>
          </w:p>
        </w:tc>
        <w:tc>
          <w:tcPr>
            <w:tcW w:w="2549" w:type="dxa"/>
            <w:tcMar>
              <w:top w:w="15" w:type="dxa"/>
              <w:left w:w="15" w:type="dxa"/>
              <w:right w:w="15" w:type="dxa"/>
            </w:tcMar>
          </w:tcPr>
          <w:p w14:paraId="12FE2DB8" w14:textId="78679A7B" w:rsidR="001D6C21" w:rsidRPr="0037794D" w:rsidRDefault="001D6C21" w:rsidP="001D6C21">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This recommendation is aligned to the Cath Lab transformation programme.</w:t>
            </w:r>
          </w:p>
        </w:tc>
        <w:tc>
          <w:tcPr>
            <w:tcW w:w="794" w:type="dxa"/>
            <w:tcMar>
              <w:top w:w="15" w:type="dxa"/>
              <w:left w:w="15" w:type="dxa"/>
              <w:right w:w="15" w:type="dxa"/>
            </w:tcMar>
          </w:tcPr>
          <w:p w14:paraId="3C2C94D5" w14:textId="77777777" w:rsidR="001D6C21" w:rsidRPr="0037794D" w:rsidRDefault="001D6C21"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Not Started</w:t>
            </w:r>
          </w:p>
        </w:tc>
      </w:tr>
      <w:tr w:rsidR="004E7F1B" w14:paraId="2CC6CCC3" w14:textId="77777777" w:rsidTr="308A940C">
        <w:trPr>
          <w:trHeight w:val="3814"/>
        </w:trPr>
        <w:tc>
          <w:tcPr>
            <w:tcW w:w="492" w:type="dxa"/>
            <w:tcMar>
              <w:top w:w="15" w:type="dxa"/>
              <w:left w:w="15" w:type="dxa"/>
              <w:right w:w="15" w:type="dxa"/>
            </w:tcMar>
          </w:tcPr>
          <w:p w14:paraId="30294591" w14:textId="77777777"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23</w:t>
            </w:r>
          </w:p>
        </w:tc>
        <w:tc>
          <w:tcPr>
            <w:tcW w:w="2001" w:type="dxa"/>
            <w:tcMar>
              <w:top w:w="15" w:type="dxa"/>
              <w:left w:w="15" w:type="dxa"/>
              <w:right w:w="15" w:type="dxa"/>
            </w:tcMar>
          </w:tcPr>
          <w:p w14:paraId="3A5E8BD1" w14:textId="77777777"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Ensure VBA completion at all levels as a supervisory priority.</w:t>
            </w:r>
          </w:p>
        </w:tc>
        <w:tc>
          <w:tcPr>
            <w:tcW w:w="2489" w:type="dxa"/>
            <w:tcMar>
              <w:top w:w="15" w:type="dxa"/>
              <w:left w:w="15" w:type="dxa"/>
              <w:right w:w="15" w:type="dxa"/>
            </w:tcMar>
          </w:tcPr>
          <w:p w14:paraId="582696FC" w14:textId="417DFF9D"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Management team should ensure completion of </w:t>
            </w:r>
            <w:r w:rsidR="00497FD3" w:rsidRPr="0037794D">
              <w:rPr>
                <w:rFonts w:ascii="Calibri" w:eastAsia="Calibri" w:hAnsi="Calibri" w:cs="Calibri"/>
                <w:color w:val="000000" w:themeColor="text1"/>
                <w:sz w:val="15"/>
                <w:szCs w:val="15"/>
              </w:rPr>
              <w:t>VBAs</w:t>
            </w:r>
            <w:r w:rsidRPr="0037794D">
              <w:rPr>
                <w:rFonts w:ascii="Calibri" w:eastAsia="Calibri" w:hAnsi="Calibri" w:cs="Calibri"/>
                <w:color w:val="000000" w:themeColor="text1"/>
                <w:sz w:val="15"/>
                <w:szCs w:val="15"/>
              </w:rPr>
              <w:t xml:space="preserve"> at all levels to ensure equity and this needs to be a key objective of everyone in a supervisory role</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5B7B1504" w14:textId="77777777"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Fairness, consistency, and accountability across the directorate by achieving full completion of VBAs at all levels.</w:t>
            </w:r>
          </w:p>
        </w:tc>
        <w:tc>
          <w:tcPr>
            <w:tcW w:w="3515" w:type="dxa"/>
            <w:tcMar>
              <w:top w:w="15" w:type="dxa"/>
              <w:left w:w="15" w:type="dxa"/>
              <w:right w:w="15" w:type="dxa"/>
            </w:tcMar>
          </w:tcPr>
          <w:p w14:paraId="1BE221A2" w14:textId="77777777"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Increased equity and standardisation in staff appraisal and development.</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Clear accountability for supervisors in completing and maintaining VBAs.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oversight of performance, development needs, and workforce planning</w:t>
            </w:r>
          </w:p>
        </w:tc>
        <w:tc>
          <w:tcPr>
            <w:tcW w:w="1097" w:type="dxa"/>
            <w:tcMar>
              <w:top w:w="15" w:type="dxa"/>
              <w:left w:w="15" w:type="dxa"/>
              <w:right w:w="15" w:type="dxa"/>
            </w:tcMar>
          </w:tcPr>
          <w:p w14:paraId="4D30FBE6" w14:textId="77777777" w:rsidR="002F2ADC" w:rsidRPr="0037794D" w:rsidRDefault="002F2ADC"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May 27, 2026</w:t>
            </w:r>
          </w:p>
        </w:tc>
        <w:tc>
          <w:tcPr>
            <w:tcW w:w="2549" w:type="dxa"/>
            <w:tcMar>
              <w:top w:w="15" w:type="dxa"/>
              <w:left w:w="15" w:type="dxa"/>
              <w:right w:w="15" w:type="dxa"/>
            </w:tcMar>
          </w:tcPr>
          <w:p w14:paraId="6B3C7B4C" w14:textId="716D425B" w:rsidR="002F2ADC" w:rsidRPr="0037794D" w:rsidRDefault="002F2ADC" w:rsidP="002F2ADC">
            <w:pPr>
              <w:spacing w:after="0"/>
              <w:rPr>
                <w:rFonts w:ascii="Calibri" w:hAnsi="Calibri" w:cs="Calibri"/>
                <w:sz w:val="15"/>
                <w:szCs w:val="15"/>
              </w:rPr>
            </w:pPr>
            <w:r w:rsidRPr="0037794D">
              <w:rPr>
                <w:rFonts w:ascii="Calibri" w:eastAsia="Calibri" w:hAnsi="Calibri" w:cs="Calibri"/>
                <w:color w:val="000000" w:themeColor="text1"/>
                <w:sz w:val="15"/>
                <w:szCs w:val="15"/>
              </w:rPr>
              <w:t>VBA training has been successfully completed for Band 7 and Band 8 staff, with the next phase focusing on rollout to Band 6 colleagues. VBA performance data continues to be reviewed monthly at DMT meetings, ensuring ongoing oversight and accountability. A workforce performance dashboard is currently in development to provide real-time visibility and enhance monitoring within DMT forums. Comparative analysis against the previous year demonstrates overall improvement, while also identifying hotspot areas requiring targeted intervention and further support. Ongoing engagement with these hotspot areas is in place to drive continuous improvement.</w:t>
            </w:r>
          </w:p>
        </w:tc>
        <w:tc>
          <w:tcPr>
            <w:tcW w:w="794" w:type="dxa"/>
            <w:shd w:val="clear" w:color="auto" w:fill="B3E5A1" w:themeFill="accent6" w:themeFillTint="66"/>
            <w:tcMar>
              <w:top w:w="15" w:type="dxa"/>
              <w:left w:w="15" w:type="dxa"/>
              <w:right w:w="15" w:type="dxa"/>
            </w:tcMar>
          </w:tcPr>
          <w:p w14:paraId="0A52FD29" w14:textId="77777777" w:rsidR="002F2ADC" w:rsidRPr="0037794D" w:rsidRDefault="002F2ADC" w:rsidP="007F27A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55D19053" w14:textId="77777777" w:rsidTr="007F27A3">
        <w:trPr>
          <w:trHeight w:val="1304"/>
        </w:trPr>
        <w:tc>
          <w:tcPr>
            <w:tcW w:w="492" w:type="dxa"/>
            <w:tcMar>
              <w:top w:w="15" w:type="dxa"/>
              <w:left w:w="15" w:type="dxa"/>
              <w:right w:w="15" w:type="dxa"/>
            </w:tcMar>
          </w:tcPr>
          <w:p w14:paraId="61AA1786"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24</w:t>
            </w:r>
          </w:p>
        </w:tc>
        <w:tc>
          <w:tcPr>
            <w:tcW w:w="2001" w:type="dxa"/>
            <w:tcMar>
              <w:top w:w="15" w:type="dxa"/>
              <w:left w:w="15" w:type="dxa"/>
              <w:right w:w="15" w:type="dxa"/>
            </w:tcMar>
          </w:tcPr>
          <w:p w14:paraId="555562D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Allocate staff to lead physiologists for fair VBA supervision.</w:t>
            </w:r>
          </w:p>
        </w:tc>
        <w:tc>
          <w:tcPr>
            <w:tcW w:w="2489" w:type="dxa"/>
            <w:tcMar>
              <w:top w:w="15" w:type="dxa"/>
              <w:left w:w="15" w:type="dxa"/>
              <w:right w:w="15" w:type="dxa"/>
            </w:tcMar>
          </w:tcPr>
          <w:p w14:paraId="47BDD947" w14:textId="63E1B12E"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allocation of staff to each lead physiologist for the purpose of VBA supervision should be addressed so that it is consistent and ensures fairness and equity of workload</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5945465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Equitable and consistent performance management by achieving full completion of VBAs at all levels.</w:t>
            </w:r>
          </w:p>
        </w:tc>
        <w:tc>
          <w:tcPr>
            <w:tcW w:w="3515" w:type="dxa"/>
            <w:tcMar>
              <w:top w:w="15" w:type="dxa"/>
              <w:left w:w="15" w:type="dxa"/>
              <w:right w:w="15" w:type="dxa"/>
            </w:tcMar>
          </w:tcPr>
          <w:p w14:paraId="51A877BB" w14:textId="205FD691"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VBA completion becomes standard practice across the directorate</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Greater consistency and fairness in staff appraisal and development. Clear accountability for supervisors in meeting appraisal expectation</w:t>
            </w:r>
            <w:r w:rsidR="00057316"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47063200" w14:textId="77777777" w:rsidR="00800F93" w:rsidRPr="0037794D" w:rsidRDefault="00800F93"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March 30, 2026</w:t>
            </w:r>
          </w:p>
        </w:tc>
        <w:tc>
          <w:tcPr>
            <w:tcW w:w="2549" w:type="dxa"/>
            <w:tcMar>
              <w:top w:w="15" w:type="dxa"/>
              <w:left w:w="15" w:type="dxa"/>
              <w:right w:w="15" w:type="dxa"/>
            </w:tcMar>
          </w:tcPr>
          <w:p w14:paraId="53B90782" w14:textId="374328A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VBA training for Band 8a staff has been provided. Meeting has been arranged with the Band 7 staff to discuss their training/support needs. A timetable will be produced by end of </w:t>
            </w:r>
            <w:r w:rsidR="00497FD3" w:rsidRPr="0037794D">
              <w:rPr>
                <w:rFonts w:ascii="Calibri" w:eastAsia="Calibri" w:hAnsi="Calibri" w:cs="Calibri"/>
                <w:color w:val="000000" w:themeColor="text1"/>
                <w:sz w:val="15"/>
                <w:szCs w:val="15"/>
              </w:rPr>
              <w:t>March,</w:t>
            </w:r>
            <w:r w:rsidRPr="0037794D">
              <w:rPr>
                <w:rFonts w:ascii="Calibri" w:eastAsia="Calibri" w:hAnsi="Calibri" w:cs="Calibri"/>
                <w:color w:val="000000" w:themeColor="text1"/>
                <w:sz w:val="15"/>
                <w:szCs w:val="15"/>
              </w:rPr>
              <w:t xml:space="preserve"> and the weekly monitoring is in place.</w:t>
            </w:r>
          </w:p>
        </w:tc>
        <w:tc>
          <w:tcPr>
            <w:tcW w:w="794" w:type="dxa"/>
            <w:shd w:val="clear" w:color="auto" w:fill="B3E5A1" w:themeFill="accent6" w:themeFillTint="66"/>
            <w:tcMar>
              <w:top w:w="15" w:type="dxa"/>
              <w:left w:w="15" w:type="dxa"/>
              <w:right w:w="15" w:type="dxa"/>
            </w:tcMar>
          </w:tcPr>
          <w:p w14:paraId="7C61FA70" w14:textId="77777777" w:rsidR="00800F93" w:rsidRPr="0037794D" w:rsidRDefault="00800F93" w:rsidP="007F27A3">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0E48292" w14:textId="77777777" w:rsidTr="007F27A3">
        <w:trPr>
          <w:trHeight w:val="3005"/>
        </w:trPr>
        <w:tc>
          <w:tcPr>
            <w:tcW w:w="492" w:type="dxa"/>
            <w:tcMar>
              <w:top w:w="15" w:type="dxa"/>
              <w:left w:w="15" w:type="dxa"/>
              <w:right w:w="15" w:type="dxa"/>
            </w:tcMar>
          </w:tcPr>
          <w:p w14:paraId="639AA0E2"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25</w:t>
            </w:r>
          </w:p>
        </w:tc>
        <w:tc>
          <w:tcPr>
            <w:tcW w:w="2001" w:type="dxa"/>
            <w:tcMar>
              <w:top w:w="15" w:type="dxa"/>
              <w:left w:w="15" w:type="dxa"/>
              <w:right w:w="15" w:type="dxa"/>
            </w:tcMar>
          </w:tcPr>
          <w:p w14:paraId="3E1AEB0C"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Embed escalation tracking and clarify accountability for action plans.</w:t>
            </w:r>
          </w:p>
        </w:tc>
        <w:tc>
          <w:tcPr>
            <w:tcW w:w="2489" w:type="dxa"/>
            <w:tcMar>
              <w:top w:w="15" w:type="dxa"/>
              <w:left w:w="15" w:type="dxa"/>
              <w:right w:w="15" w:type="dxa"/>
            </w:tcMar>
          </w:tcPr>
          <w:p w14:paraId="29B8093F" w14:textId="5CB78EBD"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The review team recommends that a process is embedded with the directorate and clinical board to track escalations and decisions</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Aligned to this there needs to be greater clarity on accountability for the completion of action plans from inspections</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 xml:space="preserve">It is </w:t>
            </w:r>
            <w:r w:rsidR="009865D7" w:rsidRPr="0037794D">
              <w:rPr>
                <w:rFonts w:ascii="Calibri" w:eastAsia="Calibri" w:hAnsi="Calibri" w:cs="Calibri"/>
                <w:color w:val="000000" w:themeColor="text1"/>
                <w:sz w:val="15"/>
                <w:szCs w:val="15"/>
              </w:rPr>
              <w:t>best</w:t>
            </w:r>
            <w:r w:rsidRPr="0037794D">
              <w:rPr>
                <w:rFonts w:ascii="Calibri" w:eastAsia="Calibri" w:hAnsi="Calibri" w:cs="Calibri"/>
                <w:color w:val="000000" w:themeColor="text1"/>
                <w:sz w:val="15"/>
                <w:szCs w:val="15"/>
              </w:rPr>
              <w:t xml:space="preserve"> done within the performance review process and the outcome of this needs to be visible to all of the teams within Cardiology and to the executive team</w:t>
            </w:r>
            <w:r w:rsidR="009642BA"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This work should be aligned to the development of the quality management system (recommendation 36)</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14478038"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Clear and accountable process for tracking escalations and decisions across the Directorate and Clinical Board.</w:t>
            </w:r>
          </w:p>
        </w:tc>
        <w:tc>
          <w:tcPr>
            <w:tcW w:w="3515" w:type="dxa"/>
            <w:tcMar>
              <w:top w:w="15" w:type="dxa"/>
              <w:left w:w="15" w:type="dxa"/>
              <w:right w:w="15" w:type="dxa"/>
            </w:tcMar>
          </w:tcPr>
          <w:p w14:paraId="160E9F04" w14:textId="77777777" w:rsidR="00800F93" w:rsidRPr="0037794D" w:rsidRDefault="00800F93" w:rsidP="004E2237">
            <w:pPr>
              <w:spacing w:after="0"/>
              <w:rPr>
                <w:rFonts w:ascii="Calibri" w:hAnsi="Calibri" w:cs="Calibri"/>
                <w:sz w:val="15"/>
                <w:szCs w:val="15"/>
              </w:rPr>
            </w:pPr>
            <w:r w:rsidRPr="0037794D">
              <w:rPr>
                <w:rFonts w:ascii="Calibri" w:eastAsia="Calibri" w:hAnsi="Calibri" w:cs="Calibri"/>
                <w:color w:val="000000" w:themeColor="text1"/>
                <w:sz w:val="15"/>
                <w:szCs w:val="15"/>
              </w:rPr>
              <w:t>Escalations and decisions are consistently tracked and visible to Cardiology teams and the executive. Clear accountability for completing inspection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related action plans. Improved governance through integration with the performance review process. Stronger alignment with the quality management system to support sustained improvement.</w:t>
            </w:r>
          </w:p>
        </w:tc>
        <w:tc>
          <w:tcPr>
            <w:tcW w:w="1097" w:type="dxa"/>
            <w:tcMar>
              <w:top w:w="15" w:type="dxa"/>
              <w:left w:w="15" w:type="dxa"/>
              <w:right w:w="15" w:type="dxa"/>
            </w:tcMar>
          </w:tcPr>
          <w:p w14:paraId="49F7188C" w14:textId="77777777" w:rsidR="00800F93" w:rsidRPr="0037794D" w:rsidRDefault="00800F93"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September 29, 2025</w:t>
            </w:r>
          </w:p>
        </w:tc>
        <w:tc>
          <w:tcPr>
            <w:tcW w:w="2549" w:type="dxa"/>
            <w:tcMar>
              <w:top w:w="15" w:type="dxa"/>
              <w:left w:w="15" w:type="dxa"/>
              <w:right w:w="15" w:type="dxa"/>
            </w:tcMar>
          </w:tcPr>
          <w:p w14:paraId="27758043" w14:textId="7715C49D" w:rsidR="00800F93" w:rsidRPr="0037794D" w:rsidRDefault="002E2C0B" w:rsidP="004E2237">
            <w:pPr>
              <w:spacing w:after="0"/>
              <w:rPr>
                <w:rFonts w:ascii="Calibri" w:hAnsi="Calibri" w:cs="Calibri"/>
                <w:sz w:val="15"/>
                <w:szCs w:val="15"/>
              </w:rPr>
            </w:pPr>
            <w:r w:rsidRPr="0037794D">
              <w:rPr>
                <w:rFonts w:ascii="Calibri" w:eastAsia="Calibri" w:hAnsi="Calibri" w:cs="Calibri"/>
                <w:color w:val="000000" w:themeColor="text1"/>
                <w:sz w:val="15"/>
                <w:szCs w:val="15"/>
              </w:rPr>
              <w:t>Update 18th Feb 2026: Operational escalations and decisions are managed through the DMT, with actions tracked via meeting minutes and action log. Inspections from HEIW and queries from the JCC are overseen collaboratively by the clinical teams and the DMT, with regular written reports provided to both partner organisations. These processes have strengthened governance within the DMT and improved links with the clinical teams.</w:t>
            </w:r>
          </w:p>
        </w:tc>
        <w:tc>
          <w:tcPr>
            <w:tcW w:w="794" w:type="dxa"/>
            <w:shd w:val="clear" w:color="auto" w:fill="95DCF7" w:themeFill="accent4" w:themeFillTint="66"/>
            <w:tcMar>
              <w:top w:w="15" w:type="dxa"/>
              <w:left w:w="15" w:type="dxa"/>
              <w:right w:w="15" w:type="dxa"/>
            </w:tcMar>
          </w:tcPr>
          <w:p w14:paraId="61C6562A" w14:textId="77777777" w:rsidR="00800F93" w:rsidRPr="0037794D" w:rsidRDefault="00800F93" w:rsidP="002E2C0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0980A7F7" w14:textId="77777777" w:rsidTr="007F27A3">
        <w:trPr>
          <w:trHeight w:val="2098"/>
        </w:trPr>
        <w:tc>
          <w:tcPr>
            <w:tcW w:w="492" w:type="dxa"/>
            <w:tcMar>
              <w:top w:w="15" w:type="dxa"/>
              <w:left w:w="15" w:type="dxa"/>
              <w:right w:w="15" w:type="dxa"/>
            </w:tcMar>
          </w:tcPr>
          <w:p w14:paraId="2971D170"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26</w:t>
            </w:r>
          </w:p>
        </w:tc>
        <w:tc>
          <w:tcPr>
            <w:tcW w:w="2001" w:type="dxa"/>
            <w:tcMar>
              <w:top w:w="15" w:type="dxa"/>
              <w:left w:w="15" w:type="dxa"/>
              <w:right w:w="15" w:type="dxa"/>
            </w:tcMar>
          </w:tcPr>
          <w:p w14:paraId="0E7C8A96"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Hold monthly Quality &amp; Safety meetings with full attendance and minutes.</w:t>
            </w:r>
          </w:p>
        </w:tc>
        <w:tc>
          <w:tcPr>
            <w:tcW w:w="2489" w:type="dxa"/>
            <w:tcMar>
              <w:top w:w="15" w:type="dxa"/>
              <w:left w:w="15" w:type="dxa"/>
              <w:right w:w="15" w:type="dxa"/>
            </w:tcMar>
          </w:tcPr>
          <w:p w14:paraId="5ADD4840" w14:textId="64C75308"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Directorate Quality and Safety meetings must be held at least monthly, to be chaired by the directorate Q&amp;S lead, be fully minuted and should require attendance by all clinical and management staff; all non-emergency work should be cancelled to facilitate </w:t>
            </w:r>
            <w:r w:rsidR="00497FD3" w:rsidRPr="0037794D">
              <w:rPr>
                <w:rFonts w:ascii="Calibri" w:eastAsia="Calibri" w:hAnsi="Calibri" w:cs="Calibri"/>
                <w:color w:val="000000" w:themeColor="text1"/>
                <w:sz w:val="15"/>
                <w:szCs w:val="15"/>
              </w:rPr>
              <w:t>attendance.</w:t>
            </w:r>
          </w:p>
        </w:tc>
        <w:tc>
          <w:tcPr>
            <w:tcW w:w="2640" w:type="dxa"/>
            <w:tcMar>
              <w:top w:w="15" w:type="dxa"/>
              <w:left w:w="15" w:type="dxa"/>
              <w:right w:w="15" w:type="dxa"/>
            </w:tcMar>
          </w:tcPr>
          <w:p w14:paraId="76299C15"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Consistent, high</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quality governance by holding monthly Directorate Quality &amp; Safety meetings that are fully minuted, chaired by the Q&amp;S lead, and attended by all clinical and management staff.</w:t>
            </w:r>
          </w:p>
        </w:tc>
        <w:tc>
          <w:tcPr>
            <w:tcW w:w="3515" w:type="dxa"/>
            <w:tcMar>
              <w:top w:w="15" w:type="dxa"/>
              <w:left w:w="15" w:type="dxa"/>
              <w:right w:w="15" w:type="dxa"/>
            </w:tcMar>
          </w:tcPr>
          <w:p w14:paraId="3555D3DB" w14:textId="43765C08"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Regular, well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governed Q&amp;S meetings take place with full attendance and clear documentation. Improved oversight, transparency, and shared accountability for quality and safety across the directorate</w:t>
            </w:r>
            <w:r w:rsidR="00057316"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38AD46B6" w14:textId="77777777" w:rsidR="00F70AF6" w:rsidRPr="0037794D" w:rsidRDefault="00F70AF6"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May 28, 2025</w:t>
            </w:r>
          </w:p>
        </w:tc>
        <w:tc>
          <w:tcPr>
            <w:tcW w:w="2549" w:type="dxa"/>
            <w:tcMar>
              <w:top w:w="15" w:type="dxa"/>
              <w:left w:w="15" w:type="dxa"/>
              <w:right w:w="15" w:type="dxa"/>
            </w:tcMar>
          </w:tcPr>
          <w:p w14:paraId="6A7E78E6" w14:textId="2AFCE9DB"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Feb 2026: The Q&amp;S lead was appointed in </w:t>
            </w:r>
            <w:r w:rsidR="00497FD3" w:rsidRPr="0037794D">
              <w:rPr>
                <w:rFonts w:ascii="Calibri" w:eastAsia="Calibri" w:hAnsi="Calibri" w:cs="Calibri"/>
                <w:color w:val="000000" w:themeColor="text1"/>
                <w:sz w:val="15"/>
                <w:szCs w:val="15"/>
              </w:rPr>
              <w:t>2025,</w:t>
            </w:r>
            <w:r w:rsidRPr="0037794D">
              <w:rPr>
                <w:rFonts w:ascii="Calibri" w:eastAsia="Calibri" w:hAnsi="Calibri" w:cs="Calibri"/>
                <w:color w:val="000000" w:themeColor="text1"/>
                <w:sz w:val="15"/>
                <w:szCs w:val="15"/>
              </w:rPr>
              <w:t xml:space="preserve"> and meetings have been set with a clear agenda.</w:t>
            </w:r>
          </w:p>
        </w:tc>
        <w:tc>
          <w:tcPr>
            <w:tcW w:w="794" w:type="dxa"/>
            <w:shd w:val="clear" w:color="auto" w:fill="95DCF7" w:themeFill="accent4" w:themeFillTint="66"/>
            <w:tcMar>
              <w:top w:w="15" w:type="dxa"/>
              <w:left w:w="15" w:type="dxa"/>
              <w:right w:w="15" w:type="dxa"/>
            </w:tcMar>
          </w:tcPr>
          <w:p w14:paraId="10F10605" w14:textId="77777777" w:rsidR="00F70AF6" w:rsidRPr="0037794D" w:rsidRDefault="00F70AF6" w:rsidP="00F70AF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F246843" w14:textId="77777777" w:rsidTr="007F27A3">
        <w:trPr>
          <w:trHeight w:val="1587"/>
        </w:trPr>
        <w:tc>
          <w:tcPr>
            <w:tcW w:w="492" w:type="dxa"/>
            <w:tcMar>
              <w:top w:w="15" w:type="dxa"/>
              <w:left w:w="15" w:type="dxa"/>
              <w:right w:w="15" w:type="dxa"/>
            </w:tcMar>
          </w:tcPr>
          <w:p w14:paraId="27B86069"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27</w:t>
            </w:r>
          </w:p>
        </w:tc>
        <w:tc>
          <w:tcPr>
            <w:tcW w:w="2001" w:type="dxa"/>
            <w:tcMar>
              <w:top w:w="15" w:type="dxa"/>
              <w:left w:w="15" w:type="dxa"/>
              <w:right w:w="15" w:type="dxa"/>
            </w:tcMar>
          </w:tcPr>
          <w:p w14:paraId="67576007"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Include thematic analysis of concerns and incidents in Q&amp;S meetings.</w:t>
            </w:r>
          </w:p>
        </w:tc>
        <w:tc>
          <w:tcPr>
            <w:tcW w:w="2489" w:type="dxa"/>
            <w:tcMar>
              <w:top w:w="15" w:type="dxa"/>
              <w:left w:w="15" w:type="dxa"/>
              <w:right w:w="15" w:type="dxa"/>
            </w:tcMar>
          </w:tcPr>
          <w:p w14:paraId="1E0BDC1D" w14:textId="0E9CB1BD"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Thematic analysis of patient concerns, clinical incidents and nationally reportable incidents should be a standing agenda item at directorate Q&amp;S meetings</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480809C5"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Strengthened governance and learning by making thematic analysis of patient concerns, clinical incidents, and nationally reportable incidents.</w:t>
            </w:r>
          </w:p>
        </w:tc>
        <w:tc>
          <w:tcPr>
            <w:tcW w:w="3515" w:type="dxa"/>
            <w:tcMar>
              <w:top w:w="15" w:type="dxa"/>
              <w:left w:w="15" w:type="dxa"/>
              <w:right w:w="15" w:type="dxa"/>
            </w:tcMar>
          </w:tcPr>
          <w:p w14:paraId="776B9E1C" w14:textId="47FAA803"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Regular thematic analysis informs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and improvement actions. Earlier identification of trends, risks, and recurring issues. Enhanced transparency, shared learning, and accountability across the directorate.</w:t>
            </w:r>
          </w:p>
        </w:tc>
        <w:tc>
          <w:tcPr>
            <w:tcW w:w="1097" w:type="dxa"/>
            <w:tcMar>
              <w:top w:w="15" w:type="dxa"/>
              <w:left w:w="15" w:type="dxa"/>
              <w:right w:w="15" w:type="dxa"/>
            </w:tcMar>
          </w:tcPr>
          <w:p w14:paraId="769D8650" w14:textId="77777777" w:rsidR="00125ADB" w:rsidRPr="0037794D" w:rsidRDefault="00125ADB"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January 29, 2026</w:t>
            </w:r>
          </w:p>
        </w:tc>
        <w:tc>
          <w:tcPr>
            <w:tcW w:w="2549" w:type="dxa"/>
            <w:tcMar>
              <w:top w:w="15" w:type="dxa"/>
              <w:left w:w="15" w:type="dxa"/>
              <w:right w:w="15" w:type="dxa"/>
            </w:tcMar>
          </w:tcPr>
          <w:p w14:paraId="1436ABDE" w14:textId="343B931D"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Feb 2026: A rolling agenda programme has been established for DMT meetings, and Quality &amp; Safety issues can be raised at any meeting. In addition, one DMT meeting each month is dedicated specifically to a Quality &amp; Safety agenda.</w:t>
            </w:r>
          </w:p>
        </w:tc>
        <w:tc>
          <w:tcPr>
            <w:tcW w:w="794" w:type="dxa"/>
            <w:shd w:val="clear" w:color="auto" w:fill="95DCF7" w:themeFill="accent4" w:themeFillTint="66"/>
            <w:tcMar>
              <w:top w:w="15" w:type="dxa"/>
              <w:left w:w="15" w:type="dxa"/>
              <w:right w:w="15" w:type="dxa"/>
            </w:tcMar>
          </w:tcPr>
          <w:p w14:paraId="106C206B" w14:textId="77777777" w:rsidR="00125ADB" w:rsidRPr="0037794D" w:rsidRDefault="00125ADB"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4ACB43B9" w14:textId="77777777" w:rsidTr="007F27A3">
        <w:trPr>
          <w:trHeight w:val="1191"/>
        </w:trPr>
        <w:tc>
          <w:tcPr>
            <w:tcW w:w="492" w:type="dxa"/>
            <w:tcMar>
              <w:top w:w="15" w:type="dxa"/>
              <w:left w:w="15" w:type="dxa"/>
              <w:right w:w="15" w:type="dxa"/>
            </w:tcMar>
          </w:tcPr>
          <w:p w14:paraId="52C09F71"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28</w:t>
            </w:r>
          </w:p>
        </w:tc>
        <w:tc>
          <w:tcPr>
            <w:tcW w:w="2001" w:type="dxa"/>
            <w:tcMar>
              <w:top w:w="15" w:type="dxa"/>
              <w:left w:w="15" w:type="dxa"/>
              <w:right w:w="15" w:type="dxa"/>
            </w:tcMar>
          </w:tcPr>
          <w:p w14:paraId="42B1885E"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Improve clinical incident reporting across the directorate.</w:t>
            </w:r>
          </w:p>
        </w:tc>
        <w:tc>
          <w:tcPr>
            <w:tcW w:w="2489" w:type="dxa"/>
            <w:tcMar>
              <w:top w:w="15" w:type="dxa"/>
              <w:left w:w="15" w:type="dxa"/>
              <w:right w:w="15" w:type="dxa"/>
            </w:tcMar>
          </w:tcPr>
          <w:p w14:paraId="2FC96194" w14:textId="2C5B577C"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A programme of improving clinical incident reporting should be implemented by the directorate</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5BB14607" w14:textId="7777777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Strengthen patient safety and learning by implementing a directorate-wide programme that improves the quality and frequency of clinical incident reporting.</w:t>
            </w:r>
          </w:p>
        </w:tc>
        <w:tc>
          <w:tcPr>
            <w:tcW w:w="3515" w:type="dxa"/>
            <w:tcMar>
              <w:top w:w="15" w:type="dxa"/>
              <w:left w:w="15" w:type="dxa"/>
              <w:right w:w="15" w:type="dxa"/>
            </w:tcMar>
          </w:tcPr>
          <w:p w14:paraId="3AD85D86" w14:textId="47D0D576"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Increased and more consistent reporting of clinical incidents across all services.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understanding of themes, risks, and learning opportunities.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safety culture through proactive identification and management of issues</w:t>
            </w:r>
            <w:r w:rsidR="007F27A3">
              <w:rPr>
                <w:rFonts w:ascii="Calibri" w:eastAsia="Calibri" w:hAnsi="Calibri" w:cs="Calibri"/>
                <w:color w:val="000000" w:themeColor="text1"/>
                <w:sz w:val="15"/>
                <w:szCs w:val="15"/>
              </w:rPr>
              <w:t>.</w:t>
            </w:r>
          </w:p>
        </w:tc>
        <w:tc>
          <w:tcPr>
            <w:tcW w:w="1097" w:type="dxa"/>
            <w:tcMar>
              <w:top w:w="15" w:type="dxa"/>
              <w:left w:w="15" w:type="dxa"/>
              <w:right w:w="15" w:type="dxa"/>
            </w:tcMar>
          </w:tcPr>
          <w:p w14:paraId="1988B580" w14:textId="77777777" w:rsidR="00125ADB" w:rsidRPr="0037794D" w:rsidRDefault="00125ADB"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January 31, 2027</w:t>
            </w:r>
          </w:p>
        </w:tc>
        <w:tc>
          <w:tcPr>
            <w:tcW w:w="2549" w:type="dxa"/>
            <w:tcMar>
              <w:top w:w="15" w:type="dxa"/>
              <w:left w:w="15" w:type="dxa"/>
              <w:right w:w="15" w:type="dxa"/>
            </w:tcMar>
          </w:tcPr>
          <w:p w14:paraId="2CA79E7B" w14:textId="7CC42DF7" w:rsidR="00125ADB" w:rsidRPr="0037794D" w:rsidRDefault="00125ADB" w:rsidP="00125ADB">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March 2026: Datix reporting has increased, with more staff now able to access and lead on </w:t>
            </w:r>
            <w:r w:rsidR="002F4B81" w:rsidRPr="0037794D">
              <w:rPr>
                <w:rFonts w:ascii="Calibri" w:eastAsia="Calibri" w:hAnsi="Calibri" w:cs="Calibri"/>
                <w:color w:val="000000" w:themeColor="text1"/>
                <w:sz w:val="15"/>
                <w:szCs w:val="15"/>
              </w:rPr>
              <w:t>Datix</w:t>
            </w:r>
            <w:r w:rsidRPr="0037794D">
              <w:rPr>
                <w:rFonts w:ascii="Calibri" w:eastAsia="Calibri" w:hAnsi="Calibri" w:cs="Calibri"/>
                <w:color w:val="000000" w:themeColor="text1"/>
                <w:sz w:val="15"/>
                <w:szCs w:val="15"/>
              </w:rPr>
              <w:t xml:space="preserve"> processes. Our partnership with Patient Safety has strengthened, and managers are being well supported to use </w:t>
            </w:r>
            <w:r w:rsidR="002F4B81" w:rsidRPr="0037794D">
              <w:rPr>
                <w:rFonts w:ascii="Calibri" w:eastAsia="Calibri" w:hAnsi="Calibri" w:cs="Calibri"/>
                <w:color w:val="000000" w:themeColor="text1"/>
                <w:sz w:val="15"/>
                <w:szCs w:val="15"/>
              </w:rPr>
              <w:t>Datix</w:t>
            </w:r>
            <w:r w:rsidRPr="0037794D">
              <w:rPr>
                <w:rFonts w:ascii="Calibri" w:eastAsia="Calibri" w:hAnsi="Calibri" w:cs="Calibri"/>
                <w:color w:val="000000" w:themeColor="text1"/>
                <w:sz w:val="15"/>
                <w:szCs w:val="15"/>
              </w:rPr>
              <w:t xml:space="preserve"> effectively.</w:t>
            </w:r>
          </w:p>
        </w:tc>
        <w:tc>
          <w:tcPr>
            <w:tcW w:w="794" w:type="dxa"/>
            <w:shd w:val="clear" w:color="auto" w:fill="95DCF7" w:themeFill="accent4" w:themeFillTint="66"/>
            <w:tcMar>
              <w:top w:w="15" w:type="dxa"/>
              <w:left w:w="15" w:type="dxa"/>
              <w:right w:w="15" w:type="dxa"/>
            </w:tcMar>
          </w:tcPr>
          <w:p w14:paraId="3577AA41" w14:textId="77777777" w:rsidR="00125ADB" w:rsidRPr="0037794D" w:rsidRDefault="00125ADB"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0F99009B" w14:textId="77777777" w:rsidTr="007F27A3">
        <w:trPr>
          <w:trHeight w:val="3345"/>
        </w:trPr>
        <w:tc>
          <w:tcPr>
            <w:tcW w:w="492" w:type="dxa"/>
            <w:tcMar>
              <w:top w:w="15" w:type="dxa"/>
              <w:left w:w="15" w:type="dxa"/>
              <w:right w:w="15" w:type="dxa"/>
            </w:tcMar>
          </w:tcPr>
          <w:p w14:paraId="72F1EE50" w14:textId="77777777"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29</w:t>
            </w:r>
          </w:p>
        </w:tc>
        <w:tc>
          <w:tcPr>
            <w:tcW w:w="2001" w:type="dxa"/>
            <w:tcMar>
              <w:top w:w="15" w:type="dxa"/>
              <w:left w:w="15" w:type="dxa"/>
              <w:right w:w="15" w:type="dxa"/>
            </w:tcMar>
          </w:tcPr>
          <w:p w14:paraId="465078A9" w14:textId="77777777"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Foster a just culture to support transparency and care improvement.</w:t>
            </w:r>
          </w:p>
        </w:tc>
        <w:tc>
          <w:tcPr>
            <w:tcW w:w="2489" w:type="dxa"/>
            <w:tcMar>
              <w:top w:w="15" w:type="dxa"/>
              <w:left w:w="15" w:type="dxa"/>
              <w:right w:w="15" w:type="dxa"/>
            </w:tcMar>
          </w:tcPr>
          <w:p w14:paraId="1831C024" w14:textId="1070F8F5"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 supportive, just culture should be fostered to encourage transparency and a commitment to improving </w:t>
            </w:r>
            <w:r w:rsidR="00497FD3" w:rsidRPr="0037794D">
              <w:rPr>
                <w:rFonts w:ascii="Calibri" w:eastAsia="Calibri" w:hAnsi="Calibri" w:cs="Calibri"/>
                <w:color w:val="000000" w:themeColor="text1"/>
                <w:sz w:val="15"/>
                <w:szCs w:val="15"/>
              </w:rPr>
              <w:t>care.</w:t>
            </w:r>
          </w:p>
        </w:tc>
        <w:tc>
          <w:tcPr>
            <w:tcW w:w="2640" w:type="dxa"/>
            <w:tcMar>
              <w:top w:w="15" w:type="dxa"/>
              <w:left w:w="15" w:type="dxa"/>
              <w:right w:w="15" w:type="dxa"/>
            </w:tcMar>
          </w:tcPr>
          <w:p w14:paraId="47A4E943" w14:textId="77777777"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A supportive, just culture that encourages openness, learning, and shared responsibility, enabling staff to feel safe to speak up and committed to improving care.</w:t>
            </w:r>
          </w:p>
        </w:tc>
        <w:tc>
          <w:tcPr>
            <w:tcW w:w="3515" w:type="dxa"/>
            <w:tcMar>
              <w:top w:w="15" w:type="dxa"/>
              <w:left w:w="15" w:type="dxa"/>
              <w:right w:w="15" w:type="dxa"/>
            </w:tcMar>
          </w:tcPr>
          <w:p w14:paraId="1C95946C" w14:textId="77777777"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Update 24th March 2026:</w:t>
            </w:r>
          </w:p>
        </w:tc>
        <w:tc>
          <w:tcPr>
            <w:tcW w:w="1097" w:type="dxa"/>
            <w:tcMar>
              <w:top w:w="15" w:type="dxa"/>
              <w:left w:w="15" w:type="dxa"/>
              <w:right w:w="15" w:type="dxa"/>
            </w:tcMar>
          </w:tcPr>
          <w:p w14:paraId="316BA7FC" w14:textId="77777777" w:rsidR="00BC13AA" w:rsidRPr="0037794D" w:rsidRDefault="00BC13AA"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March 29, 2026</w:t>
            </w:r>
          </w:p>
        </w:tc>
        <w:tc>
          <w:tcPr>
            <w:tcW w:w="2549" w:type="dxa"/>
            <w:tcMar>
              <w:top w:w="15" w:type="dxa"/>
              <w:left w:w="15" w:type="dxa"/>
              <w:right w:w="15" w:type="dxa"/>
            </w:tcMar>
          </w:tcPr>
          <w:p w14:paraId="0A184398" w14:textId="747F59C5" w:rsidR="00BC13AA" w:rsidRPr="0037794D" w:rsidRDefault="00BC13AA" w:rsidP="00BC13AA">
            <w:pPr>
              <w:spacing w:after="0"/>
              <w:rPr>
                <w:rFonts w:ascii="Calibri" w:hAnsi="Calibri" w:cs="Calibri"/>
                <w:sz w:val="15"/>
                <w:szCs w:val="15"/>
              </w:rPr>
            </w:pPr>
            <w:r w:rsidRPr="0037794D">
              <w:rPr>
                <w:rFonts w:ascii="Calibri" w:eastAsia="Calibri" w:hAnsi="Calibri" w:cs="Calibri"/>
                <w:color w:val="000000" w:themeColor="text1"/>
                <w:sz w:val="15"/>
                <w:szCs w:val="15"/>
              </w:rPr>
              <w:t>March 2026: Trainees are increasingly speaking up, with appropriate actions taken in response to issues raised. Senior teams Walk</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abouts take place every Tuesday, and Safe to Speak Up awareness has increased significantly. There has also been an increase in executive walkabouts and incident reporting. Trade Union drop</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ins have expanded, and key messages are now incorporated into staff induction. There is a consistent flow of engagement through the SharePoint site. Weekly cardiology trainee feedback surveys are in place, and stakeholder groups are being actively used as part of senior appointment and interview processes.</w:t>
            </w:r>
          </w:p>
        </w:tc>
        <w:tc>
          <w:tcPr>
            <w:tcW w:w="794" w:type="dxa"/>
            <w:shd w:val="clear" w:color="auto" w:fill="95DCF7" w:themeFill="accent4" w:themeFillTint="66"/>
            <w:tcMar>
              <w:top w:w="15" w:type="dxa"/>
              <w:left w:w="15" w:type="dxa"/>
              <w:right w:w="15" w:type="dxa"/>
            </w:tcMar>
          </w:tcPr>
          <w:p w14:paraId="5FE5D7E9" w14:textId="77777777" w:rsidR="00BC13AA" w:rsidRPr="0037794D" w:rsidRDefault="00BC13AA"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E7D960A" w14:textId="77777777" w:rsidTr="003E5EA3">
        <w:trPr>
          <w:trHeight w:val="1361"/>
        </w:trPr>
        <w:tc>
          <w:tcPr>
            <w:tcW w:w="492" w:type="dxa"/>
            <w:tcMar>
              <w:top w:w="15" w:type="dxa"/>
              <w:left w:w="15" w:type="dxa"/>
              <w:right w:w="15" w:type="dxa"/>
            </w:tcMar>
          </w:tcPr>
          <w:p w14:paraId="7BB8F08E"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30</w:t>
            </w:r>
          </w:p>
        </w:tc>
        <w:tc>
          <w:tcPr>
            <w:tcW w:w="2001" w:type="dxa"/>
            <w:tcMar>
              <w:top w:w="15" w:type="dxa"/>
              <w:left w:w="15" w:type="dxa"/>
              <w:right w:w="15" w:type="dxa"/>
            </w:tcMar>
          </w:tcPr>
          <w:p w14:paraId="00F164E9"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Update cardiology risk register to reflect current service risks.</w:t>
            </w:r>
          </w:p>
        </w:tc>
        <w:tc>
          <w:tcPr>
            <w:tcW w:w="2489" w:type="dxa"/>
            <w:tcMar>
              <w:top w:w="15" w:type="dxa"/>
              <w:left w:w="15" w:type="dxa"/>
              <w:right w:w="15" w:type="dxa"/>
            </w:tcMar>
          </w:tcPr>
          <w:p w14:paraId="47B8F2B8" w14:textId="7DF000F4"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Update Directorate’s risk register to reflect current risks across all components of the cardiology and cardiac Physiology service</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1D445FE7" w14:textId="5D356BC1"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Effective governance and oversight by updating the Directorate risk register so it accurately reflects current risks across all areas of the Cardiology and Cardiac Physiology service</w:t>
            </w:r>
            <w:r w:rsidR="00057316"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631FE4CD" w14:textId="6573AE3E"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A comprehensive and up</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to</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date risk register covering all components of the service. Improved visibility of emerging and ongoing risks to support informed decision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making. Strengthened assurance and accountability through accurate monitoring and mitigation of key risks</w:t>
            </w:r>
            <w:r w:rsidR="00057316"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59997C0A"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November 27, 2025</w:t>
            </w:r>
          </w:p>
        </w:tc>
        <w:tc>
          <w:tcPr>
            <w:tcW w:w="2549" w:type="dxa"/>
            <w:tcMar>
              <w:top w:w="15" w:type="dxa"/>
              <w:left w:w="15" w:type="dxa"/>
              <w:right w:w="15" w:type="dxa"/>
            </w:tcMar>
          </w:tcPr>
          <w:p w14:paraId="7038773A" w14:textId="75CCE008"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Feb 2026: The risk register has been </w:t>
            </w:r>
            <w:r w:rsidR="00B61F45" w:rsidRPr="0037794D">
              <w:rPr>
                <w:rFonts w:ascii="Calibri" w:eastAsia="Calibri" w:hAnsi="Calibri" w:cs="Calibri"/>
                <w:color w:val="000000" w:themeColor="text1"/>
                <w:sz w:val="15"/>
                <w:szCs w:val="15"/>
              </w:rPr>
              <w:t>updated,</w:t>
            </w:r>
            <w:r w:rsidRPr="0037794D">
              <w:rPr>
                <w:rFonts w:ascii="Calibri" w:eastAsia="Calibri" w:hAnsi="Calibri" w:cs="Calibri"/>
                <w:color w:val="000000" w:themeColor="text1"/>
                <w:sz w:val="15"/>
                <w:szCs w:val="15"/>
              </w:rPr>
              <w:t xml:space="preserve"> and all risk will be transferred to AMaT where risks will be managed electronically.</w:t>
            </w:r>
          </w:p>
        </w:tc>
        <w:tc>
          <w:tcPr>
            <w:tcW w:w="794" w:type="dxa"/>
            <w:shd w:val="clear" w:color="auto" w:fill="95DCF7" w:themeFill="accent4" w:themeFillTint="66"/>
            <w:tcMar>
              <w:top w:w="15" w:type="dxa"/>
              <w:left w:w="15" w:type="dxa"/>
              <w:right w:w="15" w:type="dxa"/>
            </w:tcMar>
          </w:tcPr>
          <w:p w14:paraId="4142E5FB"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D03FDA9" w14:textId="77777777" w:rsidTr="004B353E">
        <w:trPr>
          <w:trHeight w:val="1644"/>
        </w:trPr>
        <w:tc>
          <w:tcPr>
            <w:tcW w:w="492" w:type="dxa"/>
            <w:tcMar>
              <w:top w:w="15" w:type="dxa"/>
              <w:left w:w="15" w:type="dxa"/>
              <w:right w:w="15" w:type="dxa"/>
            </w:tcMar>
          </w:tcPr>
          <w:p w14:paraId="72F1DEE3"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31</w:t>
            </w:r>
          </w:p>
        </w:tc>
        <w:tc>
          <w:tcPr>
            <w:tcW w:w="2001" w:type="dxa"/>
            <w:tcMar>
              <w:top w:w="15" w:type="dxa"/>
              <w:left w:w="15" w:type="dxa"/>
              <w:right w:w="15" w:type="dxa"/>
            </w:tcMar>
          </w:tcPr>
          <w:p w14:paraId="4400A1D3"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Make risk register a standard item in Q&amp;S meetings.</w:t>
            </w:r>
          </w:p>
        </w:tc>
        <w:tc>
          <w:tcPr>
            <w:tcW w:w="2489" w:type="dxa"/>
            <w:tcMar>
              <w:top w:w="15" w:type="dxa"/>
              <w:left w:w="15" w:type="dxa"/>
              <w:right w:w="15" w:type="dxa"/>
            </w:tcMar>
          </w:tcPr>
          <w:p w14:paraId="674D0320" w14:textId="7B618E38"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Include risk register as a standard agenda item on every quality and safety meeting for cardiology directorates</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107DDCE9"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Strengthen governance and ensure consistent oversight by making the Directorate risk register a standing agenda item at every Cardiology Quality &amp; Safety meeting.</w:t>
            </w:r>
          </w:p>
        </w:tc>
        <w:tc>
          <w:tcPr>
            <w:tcW w:w="3515" w:type="dxa"/>
            <w:tcMar>
              <w:top w:w="15" w:type="dxa"/>
              <w:left w:w="15" w:type="dxa"/>
              <w:right w:w="15" w:type="dxa"/>
            </w:tcMar>
          </w:tcPr>
          <w:p w14:paraId="47909AE7"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Regular review of risks enhances awareness, accountability, and timely mitigation. Improved visibility of emerging and ongoing risks across the directorate. Stronger, more reliable Quality &amp; Safety governance through consistent monitoring.</w:t>
            </w:r>
          </w:p>
        </w:tc>
        <w:tc>
          <w:tcPr>
            <w:tcW w:w="1097" w:type="dxa"/>
            <w:tcMar>
              <w:top w:w="15" w:type="dxa"/>
              <w:left w:w="15" w:type="dxa"/>
              <w:right w:w="15" w:type="dxa"/>
            </w:tcMar>
          </w:tcPr>
          <w:p w14:paraId="11937BF8"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Friday, January 30, 2026</w:t>
            </w:r>
          </w:p>
        </w:tc>
        <w:tc>
          <w:tcPr>
            <w:tcW w:w="2549" w:type="dxa"/>
            <w:tcMar>
              <w:top w:w="15" w:type="dxa"/>
              <w:left w:w="15" w:type="dxa"/>
              <w:right w:w="15" w:type="dxa"/>
            </w:tcMar>
          </w:tcPr>
          <w:p w14:paraId="620789B8" w14:textId="0AE5D64C"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March 2026: Dave Hanna will speak to Richard Wheeler regarding adding this to the Q&amp;S agenda. </w:t>
            </w:r>
            <w:r w:rsidR="00437EAE">
              <w:rPr>
                <w:rFonts w:ascii="Calibri" w:eastAsia="Calibri" w:hAnsi="Calibri" w:cs="Calibri"/>
                <w:color w:val="000000" w:themeColor="text1"/>
                <w:sz w:val="15"/>
                <w:szCs w:val="15"/>
              </w:rPr>
              <w:t xml:space="preserve">High </w:t>
            </w:r>
            <w:r w:rsidR="00C948F8">
              <w:rPr>
                <w:rFonts w:ascii="Calibri" w:eastAsia="Calibri" w:hAnsi="Calibri" w:cs="Calibri"/>
                <w:color w:val="000000" w:themeColor="text1"/>
                <w:sz w:val="15"/>
                <w:szCs w:val="15"/>
              </w:rPr>
              <w:t xml:space="preserve">scoring </w:t>
            </w:r>
            <w:r w:rsidR="00437EAE">
              <w:rPr>
                <w:rFonts w:ascii="Calibri" w:eastAsia="Calibri" w:hAnsi="Calibri" w:cs="Calibri"/>
                <w:color w:val="000000" w:themeColor="text1"/>
                <w:sz w:val="15"/>
                <w:szCs w:val="15"/>
              </w:rPr>
              <w:t xml:space="preserve">risks are on the meeting agenda. </w:t>
            </w:r>
            <w:r w:rsidRPr="0037794D">
              <w:rPr>
                <w:rFonts w:ascii="Calibri" w:eastAsia="Calibri" w:hAnsi="Calibri" w:cs="Calibri"/>
                <w:color w:val="000000" w:themeColor="text1"/>
                <w:sz w:val="15"/>
                <w:szCs w:val="15"/>
              </w:rPr>
              <w:t>All trained using AMaT. It is</w:t>
            </w:r>
            <w:r w:rsidR="00C948F8">
              <w:rPr>
                <w:rFonts w:ascii="Calibri" w:eastAsia="Calibri" w:hAnsi="Calibri" w:cs="Calibri"/>
                <w:color w:val="000000" w:themeColor="text1"/>
                <w:sz w:val="15"/>
                <w:szCs w:val="15"/>
              </w:rPr>
              <w:t xml:space="preserve"> </w:t>
            </w:r>
            <w:r w:rsidR="001A02D6">
              <w:rPr>
                <w:rFonts w:ascii="Calibri" w:eastAsia="Calibri" w:hAnsi="Calibri" w:cs="Calibri"/>
                <w:color w:val="000000" w:themeColor="text1"/>
                <w:sz w:val="15"/>
                <w:szCs w:val="15"/>
              </w:rPr>
              <w:t xml:space="preserve">an </w:t>
            </w:r>
            <w:r w:rsidR="001A02D6" w:rsidRPr="0037794D">
              <w:rPr>
                <w:rFonts w:ascii="Calibri" w:eastAsia="Calibri" w:hAnsi="Calibri" w:cs="Calibri"/>
                <w:color w:val="000000" w:themeColor="text1"/>
                <w:sz w:val="15"/>
                <w:szCs w:val="15"/>
              </w:rPr>
              <w:t>agenda</w:t>
            </w:r>
            <w:r w:rsidRPr="0037794D">
              <w:rPr>
                <w:rFonts w:ascii="Calibri" w:eastAsia="Calibri" w:hAnsi="Calibri" w:cs="Calibri"/>
                <w:color w:val="000000" w:themeColor="text1"/>
                <w:sz w:val="15"/>
                <w:szCs w:val="15"/>
              </w:rPr>
              <w:t xml:space="preserve"> </w:t>
            </w:r>
            <w:r w:rsidR="00C948F8">
              <w:rPr>
                <w:rFonts w:ascii="Calibri" w:eastAsia="Calibri" w:hAnsi="Calibri" w:cs="Calibri"/>
                <w:color w:val="000000" w:themeColor="text1"/>
                <w:sz w:val="15"/>
                <w:szCs w:val="15"/>
              </w:rPr>
              <w:t xml:space="preserve">item </w:t>
            </w:r>
            <w:r w:rsidRPr="0037794D">
              <w:rPr>
                <w:rFonts w:ascii="Calibri" w:eastAsia="Calibri" w:hAnsi="Calibri" w:cs="Calibri"/>
                <w:color w:val="000000" w:themeColor="text1"/>
                <w:sz w:val="15"/>
                <w:szCs w:val="15"/>
              </w:rPr>
              <w:t>on the DMT meeting. Based on recognition that this is the best place for it</w:t>
            </w:r>
            <w:r w:rsidR="004B353E">
              <w:rPr>
                <w:rFonts w:ascii="Calibri" w:eastAsia="Calibri" w:hAnsi="Calibri" w:cs="Calibri"/>
                <w:color w:val="000000" w:themeColor="text1"/>
                <w:sz w:val="15"/>
                <w:szCs w:val="15"/>
              </w:rPr>
              <w:t>.</w:t>
            </w:r>
          </w:p>
        </w:tc>
        <w:tc>
          <w:tcPr>
            <w:tcW w:w="794" w:type="dxa"/>
            <w:shd w:val="clear" w:color="auto" w:fill="95DCF7" w:themeFill="accent4" w:themeFillTint="66"/>
            <w:tcMar>
              <w:top w:w="15" w:type="dxa"/>
              <w:left w:w="15" w:type="dxa"/>
              <w:right w:w="15" w:type="dxa"/>
            </w:tcMar>
          </w:tcPr>
          <w:p w14:paraId="563B53A0"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6870E8CD" w14:textId="77777777" w:rsidTr="308A940C">
        <w:trPr>
          <w:trHeight w:val="1155"/>
        </w:trPr>
        <w:tc>
          <w:tcPr>
            <w:tcW w:w="492" w:type="dxa"/>
            <w:tcMar>
              <w:top w:w="15" w:type="dxa"/>
              <w:left w:w="15" w:type="dxa"/>
              <w:right w:w="15" w:type="dxa"/>
            </w:tcMar>
          </w:tcPr>
          <w:p w14:paraId="5D2722BF"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32.1</w:t>
            </w:r>
          </w:p>
        </w:tc>
        <w:tc>
          <w:tcPr>
            <w:tcW w:w="2001" w:type="dxa"/>
            <w:tcMar>
              <w:top w:w="15" w:type="dxa"/>
              <w:left w:w="15" w:type="dxa"/>
              <w:right w:w="15" w:type="dxa"/>
            </w:tcMar>
          </w:tcPr>
          <w:p w14:paraId="416CD7DF"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Review NRIs from 2019–2024 and address outstanding actions.</w:t>
            </w:r>
          </w:p>
        </w:tc>
        <w:tc>
          <w:tcPr>
            <w:tcW w:w="2489" w:type="dxa"/>
            <w:tcMar>
              <w:top w:w="15" w:type="dxa"/>
              <w:left w:w="15" w:type="dxa"/>
              <w:right w:w="15" w:type="dxa"/>
            </w:tcMar>
          </w:tcPr>
          <w:p w14:paraId="07A261BA"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Directorate team to review all NRIs between 2019 and 2024 and identify any actions which have not been implemented. </w:t>
            </w:r>
          </w:p>
        </w:tc>
        <w:tc>
          <w:tcPr>
            <w:tcW w:w="2640" w:type="dxa"/>
            <w:tcMar>
              <w:top w:w="15" w:type="dxa"/>
              <w:left w:w="15" w:type="dxa"/>
              <w:right w:w="15" w:type="dxa"/>
            </w:tcMar>
          </w:tcPr>
          <w:p w14:paraId="7B8BDCA1" w14:textId="74A0F073"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Learning, assurance, and improved safety by reviewing all NRIs from 2019–2024 and identifying any actions that remain outstanding</w:t>
            </w:r>
            <w:r w:rsidR="00057316" w:rsidRPr="0037794D">
              <w:rPr>
                <w:rFonts w:ascii="Calibri" w:eastAsia="Calibri" w:hAnsi="Calibri" w:cs="Calibri"/>
                <w:color w:val="000000" w:themeColor="text1"/>
                <w:sz w:val="15"/>
                <w:szCs w:val="15"/>
              </w:rPr>
              <w:t>.</w:t>
            </w:r>
          </w:p>
        </w:tc>
        <w:tc>
          <w:tcPr>
            <w:tcW w:w="3515" w:type="dxa"/>
            <w:tcMar>
              <w:top w:w="15" w:type="dxa"/>
              <w:left w:w="15" w:type="dxa"/>
              <w:right w:w="15" w:type="dxa"/>
            </w:tcMar>
          </w:tcPr>
          <w:p w14:paraId="3F9C184E" w14:textId="21F06647" w:rsidR="00124AA4" w:rsidRPr="0037794D" w:rsidRDefault="00124AA4" w:rsidP="00124AA4">
            <w:pPr>
              <w:spacing w:after="0"/>
              <w:rPr>
                <w:rFonts w:ascii="Calibri" w:hAnsi="Calibri" w:cs="Calibri"/>
                <w:sz w:val="15"/>
                <w:szCs w:val="15"/>
              </w:rPr>
            </w:pPr>
          </w:p>
        </w:tc>
        <w:tc>
          <w:tcPr>
            <w:tcW w:w="1097" w:type="dxa"/>
            <w:tcMar>
              <w:top w:w="15" w:type="dxa"/>
              <w:left w:w="15" w:type="dxa"/>
              <w:right w:w="15" w:type="dxa"/>
            </w:tcMar>
          </w:tcPr>
          <w:p w14:paraId="625D4013"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Sunday, March 29, 2026</w:t>
            </w:r>
          </w:p>
        </w:tc>
        <w:tc>
          <w:tcPr>
            <w:tcW w:w="2549" w:type="dxa"/>
            <w:tcMar>
              <w:top w:w="15" w:type="dxa"/>
              <w:left w:w="15" w:type="dxa"/>
              <w:right w:w="15" w:type="dxa"/>
            </w:tcMar>
          </w:tcPr>
          <w:p w14:paraId="2E700DA4" w14:textId="46C298D4"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March 2026:   This is part of the Q&amp;S function</w:t>
            </w:r>
            <w:r w:rsidR="00F9287B" w:rsidRPr="0037794D">
              <w:rPr>
                <w:rFonts w:ascii="Calibri" w:eastAsia="Calibri" w:hAnsi="Calibri" w:cs="Calibri"/>
                <w:color w:val="000000" w:themeColor="text1"/>
                <w:sz w:val="15"/>
                <w:szCs w:val="15"/>
              </w:rPr>
              <w:t xml:space="preserve">. </w:t>
            </w:r>
            <w:r w:rsidR="00C13404" w:rsidRPr="0037794D">
              <w:rPr>
                <w:rFonts w:ascii="Calibri" w:eastAsia="Calibri" w:hAnsi="Calibri" w:cs="Calibri"/>
                <w:color w:val="000000" w:themeColor="text1"/>
                <w:sz w:val="15"/>
                <w:szCs w:val="15"/>
              </w:rPr>
              <w:t>Also,</w:t>
            </w:r>
            <w:r w:rsidRPr="0037794D">
              <w:rPr>
                <w:rFonts w:ascii="Calibri" w:eastAsia="Calibri" w:hAnsi="Calibri" w:cs="Calibri"/>
                <w:color w:val="000000" w:themeColor="text1"/>
                <w:sz w:val="15"/>
                <w:szCs w:val="15"/>
              </w:rPr>
              <w:t xml:space="preserve"> agenda item in DMT, Monthly meetings with Patient Safety to ensure compliance. Further training for DMT delivered. NRI's fed through Monthly Q&amp;S.</w:t>
            </w:r>
          </w:p>
        </w:tc>
        <w:tc>
          <w:tcPr>
            <w:tcW w:w="794" w:type="dxa"/>
            <w:shd w:val="clear" w:color="auto" w:fill="95DCF7" w:themeFill="accent4" w:themeFillTint="66"/>
            <w:tcMar>
              <w:top w:w="15" w:type="dxa"/>
              <w:left w:w="15" w:type="dxa"/>
              <w:right w:w="15" w:type="dxa"/>
            </w:tcMar>
          </w:tcPr>
          <w:p w14:paraId="1BC82645"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3C53EBB6" w14:textId="77777777" w:rsidTr="004B353E">
        <w:trPr>
          <w:trHeight w:val="1304"/>
        </w:trPr>
        <w:tc>
          <w:tcPr>
            <w:tcW w:w="492" w:type="dxa"/>
            <w:tcMar>
              <w:top w:w="15" w:type="dxa"/>
              <w:left w:w="15" w:type="dxa"/>
              <w:right w:w="15" w:type="dxa"/>
            </w:tcMar>
          </w:tcPr>
          <w:p w14:paraId="4E9FE21B"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32.2</w:t>
            </w:r>
          </w:p>
        </w:tc>
        <w:tc>
          <w:tcPr>
            <w:tcW w:w="2001" w:type="dxa"/>
            <w:tcMar>
              <w:top w:w="15" w:type="dxa"/>
              <w:left w:w="15" w:type="dxa"/>
              <w:right w:w="15" w:type="dxa"/>
            </w:tcMar>
          </w:tcPr>
          <w:p w14:paraId="66B1F348" w14:textId="77777777"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Provide evidence of implementing Learning Review recommendations.</w:t>
            </w:r>
          </w:p>
        </w:tc>
        <w:tc>
          <w:tcPr>
            <w:tcW w:w="2489" w:type="dxa"/>
            <w:tcMar>
              <w:top w:w="15" w:type="dxa"/>
              <w:left w:w="15" w:type="dxa"/>
              <w:right w:w="15" w:type="dxa"/>
            </w:tcMar>
          </w:tcPr>
          <w:p w14:paraId="53CF0A50" w14:textId="6899F034"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Directorate to provide evidence of implementation of recommendations of Learning Reviews</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48CB9440" w14:textId="664309C4"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Strengthened governance and assurance by implementing all recommendations arising from Learning Reviews.</w:t>
            </w:r>
          </w:p>
        </w:tc>
        <w:tc>
          <w:tcPr>
            <w:tcW w:w="3515" w:type="dxa"/>
            <w:tcMar>
              <w:top w:w="15" w:type="dxa"/>
              <w:left w:w="15" w:type="dxa"/>
              <w:right w:w="15" w:type="dxa"/>
            </w:tcMar>
          </w:tcPr>
          <w:p w14:paraId="45033863" w14:textId="4250FEEF"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Documented evidence confirming that Learning Review recommendations have been acted on and embedded in practice. Improved organisational learning and accountability.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Greater assurance that identified risks have been addressed and patient safety has been enhanced.</w:t>
            </w:r>
          </w:p>
        </w:tc>
        <w:tc>
          <w:tcPr>
            <w:tcW w:w="1097" w:type="dxa"/>
            <w:tcMar>
              <w:top w:w="15" w:type="dxa"/>
              <w:left w:w="15" w:type="dxa"/>
              <w:right w:w="15" w:type="dxa"/>
            </w:tcMar>
          </w:tcPr>
          <w:p w14:paraId="2796FF57"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June 29, 2027</w:t>
            </w:r>
          </w:p>
        </w:tc>
        <w:tc>
          <w:tcPr>
            <w:tcW w:w="2549" w:type="dxa"/>
            <w:tcMar>
              <w:top w:w="15" w:type="dxa"/>
              <w:left w:w="15" w:type="dxa"/>
              <w:right w:w="15" w:type="dxa"/>
            </w:tcMar>
          </w:tcPr>
          <w:p w14:paraId="66CE6A1F" w14:textId="25DC8B85" w:rsidR="00124AA4" w:rsidRPr="0037794D" w:rsidRDefault="00124AA4" w:rsidP="00124AA4">
            <w:pPr>
              <w:spacing w:after="0"/>
              <w:rPr>
                <w:rFonts w:ascii="Calibri" w:hAnsi="Calibri" w:cs="Calibri"/>
                <w:sz w:val="15"/>
                <w:szCs w:val="15"/>
              </w:rPr>
            </w:pPr>
            <w:r w:rsidRPr="0037794D">
              <w:rPr>
                <w:rFonts w:ascii="Calibri" w:eastAsia="Calibri" w:hAnsi="Calibri" w:cs="Calibri"/>
                <w:color w:val="000000" w:themeColor="text1"/>
                <w:sz w:val="15"/>
                <w:szCs w:val="15"/>
              </w:rPr>
              <w:t>March 2026: This is in progress and part of the scope for the QMS prototyping.</w:t>
            </w:r>
          </w:p>
        </w:tc>
        <w:tc>
          <w:tcPr>
            <w:tcW w:w="794" w:type="dxa"/>
            <w:shd w:val="clear" w:color="auto" w:fill="B3E5A1" w:themeFill="accent6" w:themeFillTint="66"/>
            <w:tcMar>
              <w:top w:w="15" w:type="dxa"/>
              <w:left w:w="15" w:type="dxa"/>
              <w:right w:w="15" w:type="dxa"/>
            </w:tcMar>
          </w:tcPr>
          <w:p w14:paraId="17CA05F9" w14:textId="77777777" w:rsidR="00124AA4" w:rsidRPr="0037794D" w:rsidRDefault="00124AA4"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0D69D600" w14:textId="77777777" w:rsidTr="004B353E">
        <w:trPr>
          <w:trHeight w:val="2494"/>
        </w:trPr>
        <w:tc>
          <w:tcPr>
            <w:tcW w:w="492" w:type="dxa"/>
            <w:tcMar>
              <w:top w:w="15" w:type="dxa"/>
              <w:left w:w="15" w:type="dxa"/>
              <w:right w:w="15" w:type="dxa"/>
            </w:tcMar>
          </w:tcPr>
          <w:p w14:paraId="7A867F2E"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33</w:t>
            </w:r>
          </w:p>
        </w:tc>
        <w:tc>
          <w:tcPr>
            <w:tcW w:w="2001" w:type="dxa"/>
            <w:tcMar>
              <w:top w:w="15" w:type="dxa"/>
              <w:left w:w="15" w:type="dxa"/>
              <w:right w:w="15" w:type="dxa"/>
            </w:tcMar>
          </w:tcPr>
          <w:p w14:paraId="14C9EE4A"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Adopt EU Whiteboard or similar for acute cardiology referrals.</w:t>
            </w:r>
          </w:p>
        </w:tc>
        <w:tc>
          <w:tcPr>
            <w:tcW w:w="2489" w:type="dxa"/>
            <w:tcMar>
              <w:top w:w="15" w:type="dxa"/>
              <w:left w:w="15" w:type="dxa"/>
              <w:right w:w="15" w:type="dxa"/>
            </w:tcMar>
          </w:tcPr>
          <w:p w14:paraId="21C759FC" w14:textId="1E907EE6"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Adoption of EU Whiteboard, or similar, for all acute referrals from emergency unit to cardiology</w:t>
            </w:r>
            <w:r w:rsidR="00057316"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77D3EEDC"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Improve visibility, safety, and coordination of acute referrals from the Emergency Unit to Cardiology.</w:t>
            </w:r>
          </w:p>
        </w:tc>
        <w:tc>
          <w:tcPr>
            <w:tcW w:w="3515" w:type="dxa"/>
            <w:tcMar>
              <w:top w:w="15" w:type="dxa"/>
              <w:left w:w="15" w:type="dxa"/>
              <w:right w:w="15" w:type="dxa"/>
            </w:tcMar>
          </w:tcPr>
          <w:p w14:paraId="187F77B8" w14:textId="45EBC3E3"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All acute cardiology referrals are logged, visible, and tracked in real time. Improved communication and handover between Emergency Unit and Cardiology teams. Reduced missed or delayed referrals and enhanced patient flow.</w:t>
            </w:r>
          </w:p>
        </w:tc>
        <w:tc>
          <w:tcPr>
            <w:tcW w:w="1097" w:type="dxa"/>
            <w:tcMar>
              <w:top w:w="15" w:type="dxa"/>
              <w:left w:w="15" w:type="dxa"/>
              <w:right w:w="15" w:type="dxa"/>
            </w:tcMar>
          </w:tcPr>
          <w:p w14:paraId="6D2082D1" w14:textId="77777777" w:rsidR="00F70AF6" w:rsidRPr="0037794D" w:rsidRDefault="00F70AF6"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April 29, 2026</w:t>
            </w:r>
          </w:p>
        </w:tc>
        <w:tc>
          <w:tcPr>
            <w:tcW w:w="2549" w:type="dxa"/>
            <w:tcMar>
              <w:top w:w="15" w:type="dxa"/>
              <w:left w:w="15" w:type="dxa"/>
              <w:right w:w="15" w:type="dxa"/>
            </w:tcMar>
          </w:tcPr>
          <w:p w14:paraId="134775E1" w14:textId="5B3B4576" w:rsidR="00F70AF6" w:rsidRPr="0037794D" w:rsidRDefault="00E137D5" w:rsidP="00F70AF6">
            <w:pPr>
              <w:spacing w:after="0"/>
              <w:rPr>
                <w:rFonts w:ascii="Calibri" w:hAnsi="Calibri" w:cs="Calibri"/>
                <w:sz w:val="15"/>
                <w:szCs w:val="15"/>
              </w:rPr>
            </w:pPr>
            <w:r w:rsidRPr="0037794D">
              <w:rPr>
                <w:rFonts w:ascii="Calibri" w:eastAsia="Calibri" w:hAnsi="Calibri" w:cs="Calibri"/>
                <w:color w:val="000000" w:themeColor="text1"/>
                <w:sz w:val="15"/>
                <w:szCs w:val="15"/>
              </w:rPr>
              <w:t>The infrastructure is in place; software has been installed on ward pc's - Cardiology formally went live on 1st April. Baseline data has been captured to support the measurement of improvement. Work is ongoing with IT development team to establish a separate reporting stream for cardiology and thoracic, which are currently combined within the dataset. Usage and demand will continue to be monitored are reviewed.</w:t>
            </w:r>
          </w:p>
        </w:tc>
        <w:tc>
          <w:tcPr>
            <w:tcW w:w="794" w:type="dxa"/>
            <w:shd w:val="clear" w:color="auto" w:fill="95DCF7" w:themeFill="accent4" w:themeFillTint="66"/>
            <w:tcMar>
              <w:top w:w="15" w:type="dxa"/>
              <w:left w:w="15" w:type="dxa"/>
              <w:right w:w="15" w:type="dxa"/>
            </w:tcMar>
          </w:tcPr>
          <w:p w14:paraId="3781E638" w14:textId="77777777" w:rsidR="00F70AF6" w:rsidRPr="0037794D" w:rsidRDefault="00F70AF6"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53062096" w14:textId="77777777" w:rsidTr="004B353E">
        <w:trPr>
          <w:trHeight w:val="3231"/>
        </w:trPr>
        <w:tc>
          <w:tcPr>
            <w:tcW w:w="492" w:type="dxa"/>
            <w:tcMar>
              <w:top w:w="15" w:type="dxa"/>
              <w:left w:w="15" w:type="dxa"/>
              <w:right w:w="15" w:type="dxa"/>
            </w:tcMar>
          </w:tcPr>
          <w:p w14:paraId="304387CE"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34</w:t>
            </w:r>
          </w:p>
        </w:tc>
        <w:tc>
          <w:tcPr>
            <w:tcW w:w="2001" w:type="dxa"/>
            <w:tcMar>
              <w:top w:w="15" w:type="dxa"/>
              <w:left w:w="15" w:type="dxa"/>
              <w:right w:w="15" w:type="dxa"/>
            </w:tcMar>
          </w:tcPr>
          <w:p w14:paraId="29BDC074"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Review workload of on-call cardiology registrars.</w:t>
            </w:r>
          </w:p>
        </w:tc>
        <w:tc>
          <w:tcPr>
            <w:tcW w:w="2489" w:type="dxa"/>
            <w:tcMar>
              <w:top w:w="15" w:type="dxa"/>
              <w:left w:w="15" w:type="dxa"/>
              <w:right w:w="15" w:type="dxa"/>
            </w:tcMar>
          </w:tcPr>
          <w:p w14:paraId="6F8CFB14" w14:textId="298477A8"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Directorate to conduct review of workload of on-call cardiology registrars (highlighted as an ongoing issue during Review)</w:t>
            </w:r>
            <w:r w:rsidR="00057316"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0E891F69"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Safe, sustainable, and equitable workload for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cardiology registrars.</w:t>
            </w:r>
          </w:p>
        </w:tc>
        <w:tc>
          <w:tcPr>
            <w:tcW w:w="3515" w:type="dxa"/>
            <w:tcMar>
              <w:top w:w="15" w:type="dxa"/>
              <w:left w:w="15" w:type="dxa"/>
              <w:right w:w="15" w:type="dxa"/>
            </w:tcMar>
          </w:tcPr>
          <w:p w14:paraId="3D86BD69" w14:textId="6BE3038F"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Clear understanding of registrar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workload, pressures, and risk areas</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Evidence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actions identified to improve rota sustainability and wellbeing.</w:t>
            </w:r>
          </w:p>
        </w:tc>
        <w:tc>
          <w:tcPr>
            <w:tcW w:w="1097" w:type="dxa"/>
            <w:tcMar>
              <w:top w:w="15" w:type="dxa"/>
              <w:left w:w="15" w:type="dxa"/>
              <w:right w:w="15" w:type="dxa"/>
            </w:tcMar>
          </w:tcPr>
          <w:p w14:paraId="751D3CCF" w14:textId="77777777" w:rsidR="00F70AF6" w:rsidRPr="0037794D" w:rsidRDefault="00F70AF6"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Wednesday, December 30, 2026</w:t>
            </w:r>
          </w:p>
        </w:tc>
        <w:tc>
          <w:tcPr>
            <w:tcW w:w="2549" w:type="dxa"/>
            <w:tcMar>
              <w:top w:w="15" w:type="dxa"/>
              <w:left w:w="15" w:type="dxa"/>
              <w:right w:w="15" w:type="dxa"/>
            </w:tcMar>
          </w:tcPr>
          <w:p w14:paraId="7DB2BEF7" w14:textId="7F3B7F81" w:rsidR="00F70AF6" w:rsidRPr="0037794D" w:rsidRDefault="00B93AFB" w:rsidP="00F70AF6">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To support the development of this recommendation, Cardiology went live on the </w:t>
            </w:r>
            <w:r w:rsidR="00B61F45" w:rsidRPr="0037794D">
              <w:rPr>
                <w:rFonts w:ascii="Calibri" w:eastAsia="Calibri" w:hAnsi="Calibri" w:cs="Calibri"/>
                <w:color w:val="000000" w:themeColor="text1"/>
                <w:sz w:val="15"/>
                <w:szCs w:val="15"/>
              </w:rPr>
              <w:t>1st of</w:t>
            </w:r>
            <w:r w:rsidRPr="0037794D">
              <w:rPr>
                <w:rFonts w:ascii="Calibri" w:eastAsia="Calibri" w:hAnsi="Calibri" w:cs="Calibri"/>
                <w:color w:val="000000" w:themeColor="text1"/>
                <w:sz w:val="15"/>
                <w:szCs w:val="15"/>
              </w:rPr>
              <w:t xml:space="preserve"> April with consistent use of E-whiteboard system. Baseline performance and usage data have been reviewed and will be tracked to measure implementation success. Work is ongoing with the IT Development Team to create separate streams for cardiology and thoracic services, to provide accurate data streaming. Next Steps - Continue to monitor system usage and data collection. A minimum of 3-4 months data is required to support further development of this recommendation.</w:t>
            </w:r>
          </w:p>
        </w:tc>
        <w:tc>
          <w:tcPr>
            <w:tcW w:w="794" w:type="dxa"/>
            <w:tcBorders>
              <w:bottom w:val="single" w:sz="6" w:space="0" w:color="000000" w:themeColor="text1"/>
            </w:tcBorders>
            <w:shd w:val="clear" w:color="auto" w:fill="B3E5A1" w:themeFill="accent6" w:themeFillTint="66"/>
            <w:tcMar>
              <w:top w:w="15" w:type="dxa"/>
              <w:left w:w="15" w:type="dxa"/>
              <w:right w:w="15" w:type="dxa"/>
            </w:tcMar>
          </w:tcPr>
          <w:p w14:paraId="4D550DFA" w14:textId="77777777" w:rsidR="00F70AF6" w:rsidRPr="0037794D" w:rsidRDefault="00F70AF6" w:rsidP="00057316">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DCCB457" w14:textId="77777777" w:rsidTr="004B353E">
        <w:trPr>
          <w:trHeight w:val="1757"/>
        </w:trPr>
        <w:tc>
          <w:tcPr>
            <w:tcW w:w="492" w:type="dxa"/>
            <w:tcMar>
              <w:top w:w="15" w:type="dxa"/>
              <w:left w:w="15" w:type="dxa"/>
              <w:right w:w="15" w:type="dxa"/>
            </w:tcMar>
          </w:tcPr>
          <w:p w14:paraId="2D1D027E"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35.1</w:t>
            </w:r>
          </w:p>
        </w:tc>
        <w:tc>
          <w:tcPr>
            <w:tcW w:w="2001" w:type="dxa"/>
            <w:tcMar>
              <w:top w:w="15" w:type="dxa"/>
              <w:left w:w="15" w:type="dxa"/>
              <w:right w:w="15" w:type="dxa"/>
            </w:tcMar>
          </w:tcPr>
          <w:p w14:paraId="4CF57A1C"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Appoint Q&amp;S lead to review audit programmes and ensure compliance.</w:t>
            </w:r>
          </w:p>
        </w:tc>
        <w:tc>
          <w:tcPr>
            <w:tcW w:w="2489" w:type="dxa"/>
            <w:tcMar>
              <w:top w:w="15" w:type="dxa"/>
              <w:left w:w="15" w:type="dxa"/>
              <w:right w:w="15" w:type="dxa"/>
            </w:tcMar>
          </w:tcPr>
          <w:p w14:paraId="005A51F4" w14:textId="0FA5878A"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A review of local and national audit programmes should be </w:t>
            </w:r>
            <w:r w:rsidR="00101C4D" w:rsidRPr="0037794D">
              <w:rPr>
                <w:rFonts w:ascii="Calibri" w:eastAsia="Calibri" w:hAnsi="Calibri" w:cs="Calibri"/>
                <w:color w:val="000000" w:themeColor="text1"/>
                <w:sz w:val="15"/>
                <w:szCs w:val="15"/>
              </w:rPr>
              <w:t>conducted</w:t>
            </w:r>
            <w:r w:rsidRPr="0037794D">
              <w:rPr>
                <w:rFonts w:ascii="Calibri" w:eastAsia="Calibri" w:hAnsi="Calibri" w:cs="Calibri"/>
                <w:color w:val="000000" w:themeColor="text1"/>
                <w:sz w:val="15"/>
                <w:szCs w:val="15"/>
              </w:rPr>
              <w:t xml:space="preserve"> by a newly appointed lead for Quality and Safety within the Cardiology Directorate and a plan implemented for ensuring compliance which includes job planned time and evidence of consistent contribution.</w:t>
            </w:r>
          </w:p>
        </w:tc>
        <w:tc>
          <w:tcPr>
            <w:tcW w:w="2640" w:type="dxa"/>
            <w:tcMar>
              <w:top w:w="15" w:type="dxa"/>
              <w:left w:w="15" w:type="dxa"/>
              <w:right w:w="15" w:type="dxa"/>
            </w:tcMar>
          </w:tcPr>
          <w:p w14:paraId="24069F96"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Strengthened governance, assurance, and compliance by reviewing all local and national audit programmes.</w:t>
            </w:r>
          </w:p>
        </w:tc>
        <w:tc>
          <w:tcPr>
            <w:tcW w:w="3515" w:type="dxa"/>
            <w:tcMar>
              <w:top w:w="15" w:type="dxa"/>
              <w:left w:w="15" w:type="dxa"/>
              <w:right w:w="15" w:type="dxa"/>
            </w:tcMar>
          </w:tcPr>
          <w:p w14:paraId="2D24FBD6" w14:textId="496A80C2"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Comprehensive understanding of current audit activity, gaps, and compliance levels.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Clear expectations for audit participation supported by job</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planned time</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Consistent and evidenced contribution to audit across the directorate.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alignment of audit activity with quality, safety, and service priorities.</w:t>
            </w:r>
          </w:p>
        </w:tc>
        <w:tc>
          <w:tcPr>
            <w:tcW w:w="1097" w:type="dxa"/>
            <w:tcMar>
              <w:top w:w="15" w:type="dxa"/>
              <w:left w:w="15" w:type="dxa"/>
              <w:right w:w="15" w:type="dxa"/>
            </w:tcMar>
          </w:tcPr>
          <w:p w14:paraId="7EDE0765"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December 31, 2026</w:t>
            </w:r>
          </w:p>
        </w:tc>
        <w:tc>
          <w:tcPr>
            <w:tcW w:w="2549" w:type="dxa"/>
            <w:tcMar>
              <w:top w:w="15" w:type="dxa"/>
              <w:left w:w="15" w:type="dxa"/>
              <w:right w:w="15" w:type="dxa"/>
            </w:tcMar>
          </w:tcPr>
          <w:p w14:paraId="26CEB8E9" w14:textId="04F3678E"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 part of Q&amp;S programme and QMS prototype programme; Devices workstream examining mechanisms for automating dataflow to NICOR dataset for Device.</w:t>
            </w:r>
          </w:p>
        </w:tc>
        <w:tc>
          <w:tcPr>
            <w:tcW w:w="794" w:type="dxa"/>
            <w:shd w:val="clear" w:color="auto" w:fill="B3E5A1" w:themeFill="accent6" w:themeFillTint="66"/>
            <w:tcMar>
              <w:top w:w="15" w:type="dxa"/>
              <w:left w:w="15" w:type="dxa"/>
              <w:right w:w="15" w:type="dxa"/>
            </w:tcMar>
          </w:tcPr>
          <w:p w14:paraId="63988900"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B4E8C07" w14:textId="77777777" w:rsidTr="004B353E">
        <w:trPr>
          <w:trHeight w:val="1474"/>
        </w:trPr>
        <w:tc>
          <w:tcPr>
            <w:tcW w:w="492" w:type="dxa"/>
            <w:tcMar>
              <w:top w:w="15" w:type="dxa"/>
              <w:left w:w="15" w:type="dxa"/>
              <w:right w:w="15" w:type="dxa"/>
            </w:tcMar>
          </w:tcPr>
          <w:p w14:paraId="612F6AA9"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35.2</w:t>
            </w:r>
          </w:p>
        </w:tc>
        <w:tc>
          <w:tcPr>
            <w:tcW w:w="2001" w:type="dxa"/>
            <w:tcMar>
              <w:top w:w="15" w:type="dxa"/>
              <w:left w:w="15" w:type="dxa"/>
              <w:right w:w="15" w:type="dxa"/>
            </w:tcMar>
          </w:tcPr>
          <w:p w14:paraId="731BB560"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Make audit a fixed agenda item in Q&amp;S meetings.</w:t>
            </w:r>
          </w:p>
        </w:tc>
        <w:tc>
          <w:tcPr>
            <w:tcW w:w="2489" w:type="dxa"/>
            <w:tcMar>
              <w:top w:w="15" w:type="dxa"/>
              <w:left w:w="15" w:type="dxa"/>
              <w:right w:w="15" w:type="dxa"/>
            </w:tcMar>
          </w:tcPr>
          <w:p w14:paraId="090A17DE" w14:textId="1B543155"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Local and National audit should be a fixed agenda item on the regular directorate Quality and Safety meetings. </w:t>
            </w:r>
          </w:p>
        </w:tc>
        <w:tc>
          <w:tcPr>
            <w:tcW w:w="2640" w:type="dxa"/>
            <w:tcMar>
              <w:top w:w="15" w:type="dxa"/>
              <w:left w:w="15" w:type="dxa"/>
              <w:right w:w="15" w:type="dxa"/>
            </w:tcMar>
          </w:tcPr>
          <w:p w14:paraId="63425A04"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Local and National audits are a fixed agenda on the Directorate Quality and Safety meetings.</w:t>
            </w:r>
          </w:p>
        </w:tc>
        <w:tc>
          <w:tcPr>
            <w:tcW w:w="3515" w:type="dxa"/>
            <w:tcMar>
              <w:top w:w="15" w:type="dxa"/>
              <w:left w:w="15" w:type="dxa"/>
              <w:right w:w="15" w:type="dxa"/>
            </w:tcMar>
          </w:tcPr>
          <w:p w14:paraId="03843867" w14:textId="07F54CB8"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Regular, structured review of audit activity and findings.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assurance that audit actions are tracked, completed, and inform quality improvement. Enhanced visibility of audit priorities and compliance across the directorate.</w:t>
            </w:r>
          </w:p>
        </w:tc>
        <w:tc>
          <w:tcPr>
            <w:tcW w:w="1097" w:type="dxa"/>
            <w:tcMar>
              <w:top w:w="15" w:type="dxa"/>
              <w:left w:w="15" w:type="dxa"/>
              <w:right w:w="15" w:type="dxa"/>
            </w:tcMar>
          </w:tcPr>
          <w:p w14:paraId="02747EF2"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Friday, May 29, 2026</w:t>
            </w:r>
          </w:p>
        </w:tc>
        <w:tc>
          <w:tcPr>
            <w:tcW w:w="2549" w:type="dxa"/>
            <w:tcMar>
              <w:top w:w="15" w:type="dxa"/>
              <w:left w:w="15" w:type="dxa"/>
              <w:right w:w="15" w:type="dxa"/>
            </w:tcMar>
          </w:tcPr>
          <w:p w14:paraId="4A36ADE1" w14:textId="6DF0669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Audit presentation within the Q&amp;S is now in place. Additional work is required to formally agree the national and local audits in place and to establish how these are embedded within the directorate Q&amp;S forum, to ensure a consistent and robust approach.</w:t>
            </w:r>
          </w:p>
        </w:tc>
        <w:tc>
          <w:tcPr>
            <w:tcW w:w="794" w:type="dxa"/>
            <w:shd w:val="clear" w:color="auto" w:fill="B3E5A1" w:themeFill="accent6" w:themeFillTint="66"/>
            <w:tcMar>
              <w:top w:w="15" w:type="dxa"/>
              <w:left w:w="15" w:type="dxa"/>
              <w:right w:w="15" w:type="dxa"/>
            </w:tcMar>
          </w:tcPr>
          <w:p w14:paraId="2EB971C6"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4E921414" w14:textId="77777777" w:rsidTr="004B353E">
        <w:trPr>
          <w:trHeight w:val="1531"/>
        </w:trPr>
        <w:tc>
          <w:tcPr>
            <w:tcW w:w="492" w:type="dxa"/>
            <w:tcMar>
              <w:top w:w="15" w:type="dxa"/>
              <w:left w:w="15" w:type="dxa"/>
              <w:right w:w="15" w:type="dxa"/>
            </w:tcMar>
          </w:tcPr>
          <w:p w14:paraId="2F5EACE1"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35.3</w:t>
            </w:r>
          </w:p>
        </w:tc>
        <w:tc>
          <w:tcPr>
            <w:tcW w:w="2001" w:type="dxa"/>
            <w:tcMar>
              <w:top w:w="15" w:type="dxa"/>
              <w:left w:w="15" w:type="dxa"/>
              <w:right w:w="15" w:type="dxa"/>
            </w:tcMar>
          </w:tcPr>
          <w:p w14:paraId="5E1B0063"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Use local audit to target areas needing improvement.</w:t>
            </w:r>
          </w:p>
        </w:tc>
        <w:tc>
          <w:tcPr>
            <w:tcW w:w="2489" w:type="dxa"/>
            <w:tcMar>
              <w:top w:w="15" w:type="dxa"/>
              <w:left w:w="15" w:type="dxa"/>
              <w:right w:w="15" w:type="dxa"/>
            </w:tcMar>
          </w:tcPr>
          <w:p w14:paraId="4CEACF33" w14:textId="556D3B5A"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The local audit programme should be used to target areas of practice or outcomes which are believed to require improvement or have been a contributing factor to poor patient outcomes or reported </w:t>
            </w:r>
            <w:r w:rsidR="00B61F45" w:rsidRPr="0037794D">
              <w:rPr>
                <w:rFonts w:ascii="Calibri" w:eastAsia="Calibri" w:hAnsi="Calibri" w:cs="Calibri"/>
                <w:color w:val="000000" w:themeColor="text1"/>
                <w:sz w:val="15"/>
                <w:szCs w:val="15"/>
              </w:rPr>
              <w:t>incidents.</w:t>
            </w:r>
          </w:p>
        </w:tc>
        <w:tc>
          <w:tcPr>
            <w:tcW w:w="2640" w:type="dxa"/>
            <w:tcMar>
              <w:top w:w="15" w:type="dxa"/>
              <w:left w:w="15" w:type="dxa"/>
              <w:right w:w="15" w:type="dxa"/>
            </w:tcMar>
          </w:tcPr>
          <w:p w14:paraId="671BAD51" w14:textId="7777777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Local audit programme is used proactively to identify and address areas of practice or outcomes that require improvement.</w:t>
            </w:r>
          </w:p>
        </w:tc>
        <w:tc>
          <w:tcPr>
            <w:tcW w:w="3515" w:type="dxa"/>
            <w:tcMar>
              <w:top w:w="15" w:type="dxa"/>
              <w:left w:w="15" w:type="dxa"/>
              <w:right w:w="15" w:type="dxa"/>
            </w:tcMar>
          </w:tcPr>
          <w:p w14:paraId="2BD4FBCE" w14:textId="4C9097F7"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Audit activity is targeted at priority areas where improvements are needed</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Clear identification of practice issues contributing to adverse outcomes or incidents</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Evidence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based actions are developed to address gaps and strengthen patient care.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quality, safety, and consistency of clinical practice across the directorate</w:t>
            </w:r>
            <w:r w:rsidR="004E7F1B"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24CCDF96"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June 30, 2026</w:t>
            </w:r>
          </w:p>
        </w:tc>
        <w:tc>
          <w:tcPr>
            <w:tcW w:w="2549" w:type="dxa"/>
            <w:tcMar>
              <w:top w:w="15" w:type="dxa"/>
              <w:left w:w="15" w:type="dxa"/>
              <w:right w:w="15" w:type="dxa"/>
            </w:tcMar>
          </w:tcPr>
          <w:p w14:paraId="62AA377C" w14:textId="25038615" w:rsidR="00B00169" w:rsidRPr="0037794D" w:rsidRDefault="00B00169" w:rsidP="00B0016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This is in progress and part of the scope for the QMS prototyping.</w:t>
            </w:r>
          </w:p>
        </w:tc>
        <w:tc>
          <w:tcPr>
            <w:tcW w:w="794" w:type="dxa"/>
            <w:tcBorders>
              <w:bottom w:val="single" w:sz="4" w:space="0" w:color="auto"/>
            </w:tcBorders>
            <w:shd w:val="clear" w:color="auto" w:fill="B3E5A1" w:themeFill="accent6" w:themeFillTint="66"/>
            <w:tcMar>
              <w:top w:w="15" w:type="dxa"/>
              <w:left w:w="15" w:type="dxa"/>
              <w:right w:w="15" w:type="dxa"/>
            </w:tcMar>
          </w:tcPr>
          <w:p w14:paraId="371F8084" w14:textId="77777777" w:rsidR="00B00169" w:rsidRPr="0037794D" w:rsidRDefault="00B00169" w:rsidP="00B00169">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2FAF8200" w14:textId="77777777" w:rsidTr="004B353E">
        <w:trPr>
          <w:trHeight w:val="2211"/>
        </w:trPr>
        <w:tc>
          <w:tcPr>
            <w:tcW w:w="492" w:type="dxa"/>
            <w:tcMar>
              <w:top w:w="15" w:type="dxa"/>
              <w:left w:w="15" w:type="dxa"/>
              <w:right w:w="15" w:type="dxa"/>
            </w:tcMar>
          </w:tcPr>
          <w:p w14:paraId="55193215"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36</w:t>
            </w:r>
          </w:p>
        </w:tc>
        <w:tc>
          <w:tcPr>
            <w:tcW w:w="2001" w:type="dxa"/>
            <w:tcMar>
              <w:top w:w="15" w:type="dxa"/>
              <w:left w:w="15" w:type="dxa"/>
              <w:right w:w="15" w:type="dxa"/>
            </w:tcMar>
          </w:tcPr>
          <w:p w14:paraId="42A34245"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Develop a quality management system to sustain improvements.</w:t>
            </w:r>
          </w:p>
        </w:tc>
        <w:tc>
          <w:tcPr>
            <w:tcW w:w="2489" w:type="dxa"/>
            <w:tcMar>
              <w:top w:w="15" w:type="dxa"/>
              <w:left w:w="15" w:type="dxa"/>
              <w:right w:w="15" w:type="dxa"/>
            </w:tcMar>
          </w:tcPr>
          <w:p w14:paraId="0C322776" w14:textId="15894BC9"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Considering the extent of work required to improve the quality and safety processes and the recommendations within this review there is an opportunity to embed a quality management system to sustain the changes required. This should be developed in line with how responses to regulatory inspections are managed within other parts of the organisation. </w:t>
            </w:r>
          </w:p>
        </w:tc>
        <w:tc>
          <w:tcPr>
            <w:tcW w:w="2640" w:type="dxa"/>
            <w:tcMar>
              <w:top w:w="15" w:type="dxa"/>
              <w:left w:w="15" w:type="dxa"/>
              <w:right w:w="15" w:type="dxa"/>
            </w:tcMar>
          </w:tcPr>
          <w:p w14:paraId="7B209DE6"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Established and sustainable quality management system that supports ongoing improvements in quality and safety and aligns with organisational approaches to regulatory oversight.</w:t>
            </w:r>
          </w:p>
        </w:tc>
        <w:tc>
          <w:tcPr>
            <w:tcW w:w="3515" w:type="dxa"/>
            <w:tcMar>
              <w:top w:w="15" w:type="dxa"/>
              <w:left w:w="15" w:type="dxa"/>
              <w:right w:w="15" w:type="dxa"/>
            </w:tcMar>
          </w:tcPr>
          <w:p w14:paraId="2D567E10"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A structured and sustainable quality management system is in place to support continuous improvement. Improvements identified in the review are embedded and maintained over time.</w:t>
            </w:r>
          </w:p>
        </w:tc>
        <w:tc>
          <w:tcPr>
            <w:tcW w:w="1097" w:type="dxa"/>
            <w:tcMar>
              <w:top w:w="15" w:type="dxa"/>
              <w:left w:w="15" w:type="dxa"/>
              <w:right w:w="15" w:type="dxa"/>
            </w:tcMar>
          </w:tcPr>
          <w:p w14:paraId="6A2EE8E0"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May 31, 2027</w:t>
            </w:r>
          </w:p>
        </w:tc>
        <w:tc>
          <w:tcPr>
            <w:tcW w:w="2549" w:type="dxa"/>
            <w:tcMar>
              <w:top w:w="15" w:type="dxa"/>
              <w:left w:w="15" w:type="dxa"/>
              <w:right w:w="15" w:type="dxa"/>
            </w:tcMar>
          </w:tcPr>
          <w:p w14:paraId="24A8DB01" w14:textId="60EC310C"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 and part of the scope for the QMS prototyping.</w:t>
            </w:r>
          </w:p>
        </w:tc>
        <w:tc>
          <w:tcPr>
            <w:tcW w:w="794" w:type="dxa"/>
            <w:tcBorders>
              <w:top w:val="single" w:sz="4" w:space="0" w:color="auto"/>
            </w:tcBorders>
            <w:shd w:val="clear" w:color="auto" w:fill="B3E5A1" w:themeFill="accent6" w:themeFillTint="66"/>
            <w:tcMar>
              <w:top w:w="15" w:type="dxa"/>
              <w:left w:w="15" w:type="dxa"/>
              <w:right w:w="15" w:type="dxa"/>
            </w:tcMar>
          </w:tcPr>
          <w:p w14:paraId="7CE671FA"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1F24B14" w14:textId="77777777" w:rsidTr="004B353E">
        <w:trPr>
          <w:trHeight w:val="1531"/>
        </w:trPr>
        <w:tc>
          <w:tcPr>
            <w:tcW w:w="492" w:type="dxa"/>
            <w:tcMar>
              <w:top w:w="15" w:type="dxa"/>
              <w:left w:w="15" w:type="dxa"/>
              <w:right w:w="15" w:type="dxa"/>
            </w:tcMar>
          </w:tcPr>
          <w:p w14:paraId="7B1B0F57"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37</w:t>
            </w:r>
          </w:p>
        </w:tc>
        <w:tc>
          <w:tcPr>
            <w:tcW w:w="2001" w:type="dxa"/>
            <w:tcMar>
              <w:top w:w="15" w:type="dxa"/>
              <w:left w:w="15" w:type="dxa"/>
              <w:right w:w="15" w:type="dxa"/>
            </w:tcMar>
          </w:tcPr>
          <w:p w14:paraId="58287889"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Assign named clinical supervisors to resident doctors.</w:t>
            </w:r>
          </w:p>
        </w:tc>
        <w:tc>
          <w:tcPr>
            <w:tcW w:w="2489" w:type="dxa"/>
            <w:tcMar>
              <w:top w:w="15" w:type="dxa"/>
              <w:left w:w="15" w:type="dxa"/>
              <w:right w:w="15" w:type="dxa"/>
            </w:tcMar>
          </w:tcPr>
          <w:p w14:paraId="23A50A65" w14:textId="6B44AD8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Each resident doctor working in the cardiology department to have a named clinical supervisor who is a consultant cardiologist and who will conduct formal clinical supervision meetings during the period of the resident doctor’s rotation in Cardiology</w:t>
            </w:r>
            <w:r w:rsidR="00F107D7"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0D8C8A61"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Resident doctors in Cardiology receive consistent, high</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quality supervision by assigning each a named consultant cardiologist.</w:t>
            </w:r>
          </w:p>
        </w:tc>
        <w:tc>
          <w:tcPr>
            <w:tcW w:w="3515" w:type="dxa"/>
            <w:tcMar>
              <w:top w:w="15" w:type="dxa"/>
              <w:left w:w="15" w:type="dxa"/>
              <w:right w:w="15" w:type="dxa"/>
            </w:tcMar>
          </w:tcPr>
          <w:p w14:paraId="63A55BDD"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Every resident doctor has a clearly identified clinical supervisor.</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Regular, documented supervision meetings take place, supporting development, performance, and patient safety.</w:t>
            </w:r>
          </w:p>
        </w:tc>
        <w:tc>
          <w:tcPr>
            <w:tcW w:w="1097" w:type="dxa"/>
            <w:tcMar>
              <w:top w:w="15" w:type="dxa"/>
              <w:left w:w="15" w:type="dxa"/>
              <w:right w:w="15" w:type="dxa"/>
            </w:tcMar>
          </w:tcPr>
          <w:p w14:paraId="59C22911"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December 4, 2025</w:t>
            </w:r>
          </w:p>
        </w:tc>
        <w:tc>
          <w:tcPr>
            <w:tcW w:w="2549" w:type="dxa"/>
            <w:tcMar>
              <w:top w:w="15" w:type="dxa"/>
              <w:left w:w="15" w:type="dxa"/>
              <w:right w:w="15" w:type="dxa"/>
            </w:tcMar>
          </w:tcPr>
          <w:p w14:paraId="08AE4DB7" w14:textId="471D3E24"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Feb 2026: This has been completed</w:t>
            </w:r>
            <w:r w:rsidR="004E7F1B" w:rsidRPr="0037794D">
              <w:rPr>
                <w:rFonts w:ascii="Calibri" w:eastAsia="Calibri" w:hAnsi="Calibri" w:cs="Calibri"/>
                <w:color w:val="000000" w:themeColor="text1"/>
                <w:sz w:val="15"/>
                <w:szCs w:val="15"/>
              </w:rPr>
              <w:t>.</w:t>
            </w:r>
          </w:p>
        </w:tc>
        <w:tc>
          <w:tcPr>
            <w:tcW w:w="794" w:type="dxa"/>
            <w:shd w:val="clear" w:color="auto" w:fill="95DCF7" w:themeFill="accent4" w:themeFillTint="66"/>
            <w:tcMar>
              <w:top w:w="15" w:type="dxa"/>
              <w:left w:w="15" w:type="dxa"/>
              <w:right w:w="15" w:type="dxa"/>
            </w:tcMar>
          </w:tcPr>
          <w:p w14:paraId="21E82579"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B82E618" w14:textId="77777777" w:rsidTr="004B353E">
        <w:trPr>
          <w:trHeight w:val="1361"/>
        </w:trPr>
        <w:tc>
          <w:tcPr>
            <w:tcW w:w="492" w:type="dxa"/>
            <w:tcMar>
              <w:top w:w="15" w:type="dxa"/>
              <w:left w:w="15" w:type="dxa"/>
              <w:right w:w="15" w:type="dxa"/>
            </w:tcMar>
          </w:tcPr>
          <w:p w14:paraId="273719FB"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38</w:t>
            </w:r>
          </w:p>
        </w:tc>
        <w:tc>
          <w:tcPr>
            <w:tcW w:w="2001" w:type="dxa"/>
            <w:tcMar>
              <w:top w:w="15" w:type="dxa"/>
              <w:left w:w="15" w:type="dxa"/>
              <w:right w:w="15" w:type="dxa"/>
            </w:tcMar>
          </w:tcPr>
          <w:p w14:paraId="07EC7240"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Include Speaking Up Safely in resident doctor induction.</w:t>
            </w:r>
          </w:p>
        </w:tc>
        <w:tc>
          <w:tcPr>
            <w:tcW w:w="2489" w:type="dxa"/>
            <w:tcMar>
              <w:top w:w="15" w:type="dxa"/>
              <w:left w:w="15" w:type="dxa"/>
              <w:right w:w="15" w:type="dxa"/>
            </w:tcMar>
          </w:tcPr>
          <w:p w14:paraId="14E7C058" w14:textId="693A8508"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Resident doctor induction to include session of Speaking Up Safely, including how to </w:t>
            </w:r>
            <w:r w:rsidR="00101C4D" w:rsidRPr="0037794D">
              <w:rPr>
                <w:rFonts w:ascii="Calibri" w:eastAsia="Calibri" w:hAnsi="Calibri" w:cs="Calibri"/>
                <w:color w:val="000000" w:themeColor="text1"/>
                <w:sz w:val="15"/>
                <w:szCs w:val="15"/>
              </w:rPr>
              <w:t>use</w:t>
            </w:r>
            <w:r w:rsidRPr="0037794D">
              <w:rPr>
                <w:rFonts w:ascii="Calibri" w:eastAsia="Calibri" w:hAnsi="Calibri" w:cs="Calibri"/>
                <w:color w:val="000000" w:themeColor="text1"/>
                <w:sz w:val="15"/>
                <w:szCs w:val="15"/>
              </w:rPr>
              <w:t xml:space="preserve"> this service</w:t>
            </w:r>
            <w:r w:rsidR="00F9287B"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19CAA133"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Increased awareness and encouraged routine use of the Speaking Up Safely process across the Cardiology Directorate.</w:t>
            </w:r>
          </w:p>
        </w:tc>
        <w:tc>
          <w:tcPr>
            <w:tcW w:w="3515" w:type="dxa"/>
            <w:tcMar>
              <w:top w:w="15" w:type="dxa"/>
              <w:left w:w="15" w:type="dxa"/>
              <w:right w:w="15" w:type="dxa"/>
            </w:tcMar>
          </w:tcPr>
          <w:p w14:paraId="0D96E1F8" w14:textId="77777777"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Improved staff confidence in raising concerns promptly and appropriately.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Greater visibility and uptake of the Speaking Up Safely pathway.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Enhanced culture of openness, psychological safety, and early problem</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identification.</w:t>
            </w:r>
          </w:p>
        </w:tc>
        <w:tc>
          <w:tcPr>
            <w:tcW w:w="1097" w:type="dxa"/>
            <w:tcMar>
              <w:top w:w="15" w:type="dxa"/>
              <w:left w:w="15" w:type="dxa"/>
              <w:right w:w="15" w:type="dxa"/>
            </w:tcMar>
          </w:tcPr>
          <w:p w14:paraId="7067A2A9"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June 29, 2026</w:t>
            </w:r>
          </w:p>
        </w:tc>
        <w:tc>
          <w:tcPr>
            <w:tcW w:w="2549" w:type="dxa"/>
            <w:tcMar>
              <w:top w:w="15" w:type="dxa"/>
              <w:left w:w="15" w:type="dxa"/>
              <w:right w:w="15" w:type="dxa"/>
            </w:tcMar>
          </w:tcPr>
          <w:p w14:paraId="52D816BE" w14:textId="197DAD89" w:rsidR="00453E58" w:rsidRPr="0037794D" w:rsidRDefault="00453E58" w:rsidP="00453E58">
            <w:pPr>
              <w:spacing w:after="0"/>
              <w:rPr>
                <w:rFonts w:ascii="Calibri" w:hAnsi="Calibri" w:cs="Calibri"/>
                <w:sz w:val="15"/>
                <w:szCs w:val="15"/>
              </w:rPr>
            </w:pPr>
            <w:r w:rsidRPr="0037794D">
              <w:rPr>
                <w:rFonts w:ascii="Calibri" w:eastAsia="Calibri" w:hAnsi="Calibri" w:cs="Calibri"/>
                <w:color w:val="000000" w:themeColor="text1"/>
                <w:sz w:val="15"/>
                <w:szCs w:val="15"/>
              </w:rPr>
              <w:t>This is in progress.</w:t>
            </w:r>
          </w:p>
        </w:tc>
        <w:tc>
          <w:tcPr>
            <w:tcW w:w="794" w:type="dxa"/>
            <w:shd w:val="clear" w:color="auto" w:fill="B3E5A1" w:themeFill="accent6" w:themeFillTint="66"/>
            <w:tcMar>
              <w:top w:w="15" w:type="dxa"/>
              <w:left w:w="15" w:type="dxa"/>
              <w:right w:w="15" w:type="dxa"/>
            </w:tcMar>
          </w:tcPr>
          <w:p w14:paraId="46ED5FD9" w14:textId="77777777" w:rsidR="00453E58" w:rsidRPr="0037794D" w:rsidRDefault="00453E58" w:rsidP="00453E58">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669EC4A6" w14:textId="77777777" w:rsidTr="004B353E">
        <w:trPr>
          <w:trHeight w:val="1814"/>
        </w:trPr>
        <w:tc>
          <w:tcPr>
            <w:tcW w:w="492" w:type="dxa"/>
            <w:tcMar>
              <w:top w:w="15" w:type="dxa"/>
              <w:left w:w="15" w:type="dxa"/>
              <w:right w:w="15" w:type="dxa"/>
            </w:tcMar>
          </w:tcPr>
          <w:p w14:paraId="07C1ED88"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39</w:t>
            </w:r>
          </w:p>
        </w:tc>
        <w:tc>
          <w:tcPr>
            <w:tcW w:w="2001" w:type="dxa"/>
            <w:tcMar>
              <w:top w:w="15" w:type="dxa"/>
              <w:left w:w="15" w:type="dxa"/>
              <w:right w:w="15" w:type="dxa"/>
            </w:tcMar>
          </w:tcPr>
          <w:p w14:paraId="35C22079"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Continue weekly SHO feedback, collated by non-clinical staff.</w:t>
            </w:r>
          </w:p>
        </w:tc>
        <w:tc>
          <w:tcPr>
            <w:tcW w:w="2489" w:type="dxa"/>
            <w:tcMar>
              <w:top w:w="15" w:type="dxa"/>
              <w:left w:w="15" w:type="dxa"/>
              <w:right w:w="15" w:type="dxa"/>
            </w:tcMar>
          </w:tcPr>
          <w:p w14:paraId="73647FEB" w14:textId="61A14876"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Continue weekly SHO feedback questionnaire but results to be collated by non-clinical team members e.g. directorate managers</w:t>
            </w:r>
            <w:r w:rsidR="00F107D7"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718C62E3"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Strengthened learning and improve supervision by continuing the weekly SHO feedback questionnaire.</w:t>
            </w:r>
          </w:p>
        </w:tc>
        <w:tc>
          <w:tcPr>
            <w:tcW w:w="3515" w:type="dxa"/>
            <w:tcMar>
              <w:top w:w="15" w:type="dxa"/>
              <w:left w:w="15" w:type="dxa"/>
              <w:right w:w="15" w:type="dxa"/>
            </w:tcMar>
          </w:tcPr>
          <w:p w14:paraId="31BA9CDF"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Consistent collection and objective collation of SHO feedback.</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oversight of trainee experience and identification of issues or themes. More reliable data to inform service improvements and support clinical teams.</w:t>
            </w:r>
          </w:p>
        </w:tc>
        <w:tc>
          <w:tcPr>
            <w:tcW w:w="1097" w:type="dxa"/>
            <w:tcMar>
              <w:top w:w="15" w:type="dxa"/>
              <w:left w:w="15" w:type="dxa"/>
              <w:right w:w="15" w:type="dxa"/>
            </w:tcMar>
          </w:tcPr>
          <w:p w14:paraId="5F20DAF8" w14:textId="77777777" w:rsidR="002660AD" w:rsidRPr="0037794D" w:rsidRDefault="002660AD" w:rsidP="00D43CC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March 30, 2026</w:t>
            </w:r>
          </w:p>
        </w:tc>
        <w:tc>
          <w:tcPr>
            <w:tcW w:w="2549" w:type="dxa"/>
            <w:tcMar>
              <w:top w:w="15" w:type="dxa"/>
              <w:left w:w="15" w:type="dxa"/>
              <w:right w:w="15" w:type="dxa"/>
            </w:tcMar>
          </w:tcPr>
          <w:p w14:paraId="0A7D52A2" w14:textId="47548BC1"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March 2026: Work has begun, and the feedback questionnaire is already in place. The platform is being moved to Microsoft Forms and will be managed by the DMT team, removing the risk of bias associated with the process being led by the consultant team. This has restarted on 20th March 2026.</w:t>
            </w:r>
          </w:p>
        </w:tc>
        <w:tc>
          <w:tcPr>
            <w:tcW w:w="794" w:type="dxa"/>
            <w:shd w:val="clear" w:color="auto" w:fill="95DCF7" w:themeFill="accent4" w:themeFillTint="66"/>
            <w:tcMar>
              <w:top w:w="15" w:type="dxa"/>
              <w:left w:w="15" w:type="dxa"/>
              <w:right w:w="15" w:type="dxa"/>
            </w:tcMar>
          </w:tcPr>
          <w:p w14:paraId="04D7D1F8" w14:textId="77777777" w:rsidR="002660AD" w:rsidRPr="0037794D" w:rsidRDefault="002660AD" w:rsidP="00D43CC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B0954B8" w14:textId="77777777" w:rsidTr="004B353E">
        <w:trPr>
          <w:trHeight w:val="1531"/>
        </w:trPr>
        <w:tc>
          <w:tcPr>
            <w:tcW w:w="492" w:type="dxa"/>
            <w:tcMar>
              <w:top w:w="15" w:type="dxa"/>
              <w:left w:w="15" w:type="dxa"/>
              <w:right w:w="15" w:type="dxa"/>
            </w:tcMar>
          </w:tcPr>
          <w:p w14:paraId="73EAFEED"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40</w:t>
            </w:r>
          </w:p>
        </w:tc>
        <w:tc>
          <w:tcPr>
            <w:tcW w:w="2001" w:type="dxa"/>
            <w:tcMar>
              <w:top w:w="15" w:type="dxa"/>
              <w:left w:w="15" w:type="dxa"/>
              <w:right w:w="15" w:type="dxa"/>
            </w:tcMar>
          </w:tcPr>
          <w:p w14:paraId="1942B626"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Share planned cardiology investments with HEIW.</w:t>
            </w:r>
          </w:p>
        </w:tc>
        <w:tc>
          <w:tcPr>
            <w:tcW w:w="2489" w:type="dxa"/>
            <w:tcMar>
              <w:top w:w="15" w:type="dxa"/>
              <w:left w:w="15" w:type="dxa"/>
              <w:right w:w="15" w:type="dxa"/>
            </w:tcMar>
          </w:tcPr>
          <w:p w14:paraId="2F528096" w14:textId="0AB86F7D"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Health Board to share details of any planned investments in the cardiology service with HEIW e.g. 4th Catheter Laboratory, further consultant recruitment</w:t>
            </w:r>
            <w:r w:rsidR="00F107D7"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0B1BB77D"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Support strategic workforce and service planning by ensuring the Health Board shares details of any planned investments in the cardiology service.</w:t>
            </w:r>
          </w:p>
        </w:tc>
        <w:tc>
          <w:tcPr>
            <w:tcW w:w="3515" w:type="dxa"/>
            <w:tcMar>
              <w:top w:w="15" w:type="dxa"/>
              <w:left w:w="15" w:type="dxa"/>
              <w:right w:w="15" w:type="dxa"/>
            </w:tcMar>
          </w:tcPr>
          <w:p w14:paraId="415AE457" w14:textId="77777777"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HEIW has clear visibility of planned service developments and investment priorities. Improved alignment between workforce planning, training capacity, and future service needs. Stronger collaboration between the Health Board and HEIW, supporting sustainable service growth.</w:t>
            </w:r>
          </w:p>
        </w:tc>
        <w:tc>
          <w:tcPr>
            <w:tcW w:w="1097" w:type="dxa"/>
            <w:tcMar>
              <w:top w:w="15" w:type="dxa"/>
              <w:left w:w="15" w:type="dxa"/>
              <w:right w:w="15" w:type="dxa"/>
            </w:tcMar>
          </w:tcPr>
          <w:p w14:paraId="56F6C4B5" w14:textId="77777777" w:rsidR="002660AD" w:rsidRPr="0037794D" w:rsidRDefault="002660AD" w:rsidP="00D43CC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September 29, 2025</w:t>
            </w:r>
          </w:p>
        </w:tc>
        <w:tc>
          <w:tcPr>
            <w:tcW w:w="2549" w:type="dxa"/>
            <w:tcMar>
              <w:top w:w="15" w:type="dxa"/>
              <w:left w:w="15" w:type="dxa"/>
              <w:right w:w="15" w:type="dxa"/>
            </w:tcMar>
          </w:tcPr>
          <w:p w14:paraId="53E52B32" w14:textId="4DD593BA" w:rsidR="002660AD" w:rsidRPr="0037794D" w:rsidRDefault="002660AD" w:rsidP="002660AD">
            <w:pPr>
              <w:spacing w:after="0"/>
              <w:rPr>
                <w:rFonts w:ascii="Calibri" w:hAnsi="Calibri" w:cs="Calibri"/>
                <w:sz w:val="15"/>
                <w:szCs w:val="15"/>
              </w:rPr>
            </w:pPr>
            <w:r w:rsidRPr="0037794D">
              <w:rPr>
                <w:rFonts w:ascii="Calibri" w:eastAsia="Calibri" w:hAnsi="Calibri" w:cs="Calibri"/>
                <w:color w:val="000000" w:themeColor="text1"/>
                <w:sz w:val="15"/>
                <w:szCs w:val="15"/>
              </w:rPr>
              <w:t>March 2026: This is now complete. Six</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monthly meetings with HEIW are underway, and pre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meeting reports are being submitted in advance, providing updates on service improvements and progress against recommendations.</w:t>
            </w:r>
          </w:p>
        </w:tc>
        <w:tc>
          <w:tcPr>
            <w:tcW w:w="794" w:type="dxa"/>
            <w:shd w:val="clear" w:color="auto" w:fill="95DCF7" w:themeFill="accent4" w:themeFillTint="66"/>
            <w:tcMar>
              <w:top w:w="15" w:type="dxa"/>
              <w:left w:w="15" w:type="dxa"/>
              <w:right w:w="15" w:type="dxa"/>
            </w:tcMar>
          </w:tcPr>
          <w:p w14:paraId="19B6F608" w14:textId="77777777" w:rsidR="002660AD" w:rsidRPr="0037794D" w:rsidRDefault="002660AD" w:rsidP="008143DE">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7721082A" w14:textId="77777777" w:rsidTr="004B353E">
        <w:trPr>
          <w:trHeight w:val="1361"/>
        </w:trPr>
        <w:tc>
          <w:tcPr>
            <w:tcW w:w="492" w:type="dxa"/>
            <w:tcMar>
              <w:top w:w="15" w:type="dxa"/>
              <w:left w:w="15" w:type="dxa"/>
              <w:right w:w="15" w:type="dxa"/>
            </w:tcMar>
          </w:tcPr>
          <w:p w14:paraId="5003D914"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41</w:t>
            </w:r>
          </w:p>
        </w:tc>
        <w:tc>
          <w:tcPr>
            <w:tcW w:w="2001" w:type="dxa"/>
            <w:tcMar>
              <w:top w:w="15" w:type="dxa"/>
              <w:left w:w="15" w:type="dxa"/>
              <w:right w:w="15" w:type="dxa"/>
            </w:tcMar>
          </w:tcPr>
          <w:p w14:paraId="3EABC3FC"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Ensure equal access to learning in pacing, intervention, and electrophysiology.</w:t>
            </w:r>
          </w:p>
        </w:tc>
        <w:tc>
          <w:tcPr>
            <w:tcW w:w="2489" w:type="dxa"/>
            <w:tcMar>
              <w:top w:w="15" w:type="dxa"/>
              <w:left w:w="15" w:type="dxa"/>
              <w:right w:w="15" w:type="dxa"/>
            </w:tcMar>
          </w:tcPr>
          <w:p w14:paraId="5E8A6DB7" w14:textId="07C97AF5"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Ensure there is unimpeded access to learning opportunities in pacing, interventional cardiology, and electrophysiology for resident doctors, irrespective of which operator is leading the procedure</w:t>
            </w:r>
            <w:r w:rsidR="00F107D7"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F9FF725"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Resident doctors have full and equitable access to learning opportunities in pacing, interventional cardiology, and electrophysiology, regardless of which operator is leading the procedure.</w:t>
            </w:r>
          </w:p>
        </w:tc>
        <w:tc>
          <w:tcPr>
            <w:tcW w:w="3515" w:type="dxa"/>
            <w:tcMar>
              <w:top w:w="15" w:type="dxa"/>
              <w:left w:w="15" w:type="dxa"/>
              <w:right w:w="15" w:type="dxa"/>
            </w:tcMar>
          </w:tcPr>
          <w:p w14:paraId="36D93556"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Resident doctors can attend and learn from procedures without restriction or variability.</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Improved, consistent training exposure across all key cardiology subspecialties.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A fair and supportive learning environment that maximises educational opportunities for all residents.</w:t>
            </w:r>
          </w:p>
        </w:tc>
        <w:tc>
          <w:tcPr>
            <w:tcW w:w="1097" w:type="dxa"/>
            <w:tcMar>
              <w:top w:w="15" w:type="dxa"/>
              <w:left w:w="15" w:type="dxa"/>
              <w:right w:w="15" w:type="dxa"/>
            </w:tcMar>
          </w:tcPr>
          <w:p w14:paraId="45DFF77D" w14:textId="77777777" w:rsidR="00F70AF6" w:rsidRPr="0037794D" w:rsidRDefault="00F70AF6" w:rsidP="008143DE">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September 29, 2025</w:t>
            </w:r>
          </w:p>
        </w:tc>
        <w:tc>
          <w:tcPr>
            <w:tcW w:w="2549" w:type="dxa"/>
            <w:tcMar>
              <w:top w:w="15" w:type="dxa"/>
              <w:left w:w="15" w:type="dxa"/>
              <w:right w:w="15" w:type="dxa"/>
            </w:tcMar>
          </w:tcPr>
          <w:p w14:paraId="3C2648AF" w14:textId="4E8DD106" w:rsidR="00F70AF6" w:rsidRPr="0037794D" w:rsidRDefault="008143DE" w:rsidP="00F70AF6">
            <w:pPr>
              <w:spacing w:after="0"/>
              <w:rPr>
                <w:rFonts w:ascii="Calibri" w:hAnsi="Calibri" w:cs="Calibri"/>
                <w:sz w:val="15"/>
                <w:szCs w:val="15"/>
              </w:rPr>
            </w:pPr>
            <w:r w:rsidRPr="0037794D">
              <w:rPr>
                <w:rFonts w:ascii="Calibri" w:eastAsia="Calibri" w:hAnsi="Calibri" w:cs="Calibri"/>
                <w:color w:val="000000" w:themeColor="text1"/>
                <w:sz w:val="15"/>
                <w:szCs w:val="15"/>
              </w:rPr>
              <w:t>Feb 2026: This has now been completed.</w:t>
            </w:r>
          </w:p>
        </w:tc>
        <w:tc>
          <w:tcPr>
            <w:tcW w:w="794" w:type="dxa"/>
            <w:shd w:val="clear" w:color="auto" w:fill="95DCF7" w:themeFill="accent4" w:themeFillTint="66"/>
            <w:tcMar>
              <w:top w:w="15" w:type="dxa"/>
              <w:left w:w="15" w:type="dxa"/>
              <w:right w:w="15" w:type="dxa"/>
            </w:tcMar>
          </w:tcPr>
          <w:p w14:paraId="23BF25FC" w14:textId="77777777" w:rsidR="00F70AF6" w:rsidRPr="0037794D" w:rsidRDefault="00F70AF6" w:rsidP="008143DE">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EBB5BDA" w14:textId="77777777" w:rsidTr="00C70EBF">
        <w:trPr>
          <w:trHeight w:val="1531"/>
        </w:trPr>
        <w:tc>
          <w:tcPr>
            <w:tcW w:w="492" w:type="dxa"/>
            <w:tcMar>
              <w:top w:w="15" w:type="dxa"/>
              <w:left w:w="15" w:type="dxa"/>
              <w:right w:w="15" w:type="dxa"/>
            </w:tcMar>
          </w:tcPr>
          <w:p w14:paraId="4943285F"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42</w:t>
            </w:r>
          </w:p>
        </w:tc>
        <w:tc>
          <w:tcPr>
            <w:tcW w:w="2001" w:type="dxa"/>
            <w:tcMar>
              <w:top w:w="15" w:type="dxa"/>
              <w:left w:w="15" w:type="dxa"/>
              <w:right w:w="15" w:type="dxa"/>
            </w:tcMar>
          </w:tcPr>
          <w:p w14:paraId="30709AC1"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Formalise mitigations if training is limited by service capacity.</w:t>
            </w:r>
          </w:p>
        </w:tc>
        <w:tc>
          <w:tcPr>
            <w:tcW w:w="2489" w:type="dxa"/>
            <w:tcMar>
              <w:top w:w="15" w:type="dxa"/>
              <w:left w:w="15" w:type="dxa"/>
              <w:right w:w="15" w:type="dxa"/>
            </w:tcMar>
          </w:tcPr>
          <w:p w14:paraId="6AEDBA93"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Ensure mitigations are formalised and in place if service capacity is limiting training opportunities e.g. in ablation </w:t>
            </w:r>
          </w:p>
        </w:tc>
        <w:tc>
          <w:tcPr>
            <w:tcW w:w="2640" w:type="dxa"/>
            <w:tcMar>
              <w:top w:w="15" w:type="dxa"/>
              <w:left w:w="15" w:type="dxa"/>
              <w:right w:w="15" w:type="dxa"/>
            </w:tcMar>
          </w:tcPr>
          <w:p w14:paraId="4C07219D" w14:textId="77777777" w:rsidR="00913909" w:rsidRPr="00913909" w:rsidRDefault="00913909" w:rsidP="00913909">
            <w:pPr>
              <w:rPr>
                <w:rFonts w:ascii="Calibri" w:hAnsi="Calibri" w:cs="Calibri"/>
                <w:sz w:val="15"/>
                <w:szCs w:val="15"/>
              </w:rPr>
            </w:pPr>
            <w:r w:rsidRPr="00913909">
              <w:rPr>
                <w:rFonts w:ascii="Calibri" w:hAnsi="Calibri" w:cs="Calibri"/>
                <w:sz w:val="15"/>
                <w:szCs w:val="15"/>
              </w:rPr>
              <w:t>Ensure training opportunities are maintained despite service capacity constraints</w:t>
            </w:r>
          </w:p>
          <w:p w14:paraId="3D1B78C9" w14:textId="77777777" w:rsidR="00D06079" w:rsidRPr="0037794D" w:rsidRDefault="00D06079" w:rsidP="00D06079">
            <w:pPr>
              <w:rPr>
                <w:rFonts w:ascii="Calibri" w:hAnsi="Calibri" w:cs="Calibri"/>
                <w:sz w:val="15"/>
                <w:szCs w:val="15"/>
              </w:rPr>
            </w:pPr>
          </w:p>
        </w:tc>
        <w:tc>
          <w:tcPr>
            <w:tcW w:w="3515" w:type="dxa"/>
            <w:tcMar>
              <w:top w:w="15" w:type="dxa"/>
              <w:left w:w="15" w:type="dxa"/>
              <w:right w:w="15" w:type="dxa"/>
            </w:tcMar>
          </w:tcPr>
          <w:p w14:paraId="61F599B3" w14:textId="77777777" w:rsidR="00D06079" w:rsidRPr="0037794D" w:rsidRDefault="00D06079" w:rsidP="00D06079">
            <w:pPr>
              <w:rPr>
                <w:rFonts w:ascii="Calibri" w:hAnsi="Calibri" w:cs="Calibri"/>
                <w:sz w:val="15"/>
                <w:szCs w:val="15"/>
              </w:rPr>
            </w:pPr>
          </w:p>
        </w:tc>
        <w:tc>
          <w:tcPr>
            <w:tcW w:w="1097" w:type="dxa"/>
            <w:tcMar>
              <w:top w:w="15" w:type="dxa"/>
              <w:left w:w="15" w:type="dxa"/>
              <w:right w:w="15" w:type="dxa"/>
            </w:tcMar>
          </w:tcPr>
          <w:p w14:paraId="26164A56" w14:textId="77777777" w:rsidR="00D06079" w:rsidRPr="0037794D" w:rsidRDefault="00D06079" w:rsidP="0015559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March 1, 2027</w:t>
            </w:r>
          </w:p>
        </w:tc>
        <w:tc>
          <w:tcPr>
            <w:tcW w:w="2549" w:type="dxa"/>
            <w:tcMar>
              <w:top w:w="15" w:type="dxa"/>
              <w:left w:w="15" w:type="dxa"/>
              <w:right w:w="15" w:type="dxa"/>
            </w:tcMar>
          </w:tcPr>
          <w:p w14:paraId="402E84B5" w14:textId="577EB8A8"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March 2026: There </w:t>
            </w:r>
            <w:r w:rsidR="00B61F45" w:rsidRPr="0037794D">
              <w:rPr>
                <w:rFonts w:ascii="Calibri" w:eastAsia="Calibri" w:hAnsi="Calibri" w:cs="Calibri"/>
                <w:color w:val="000000" w:themeColor="text1"/>
                <w:sz w:val="15"/>
                <w:szCs w:val="15"/>
              </w:rPr>
              <w:t>is</w:t>
            </w:r>
            <w:r w:rsidRPr="0037794D">
              <w:rPr>
                <w:rFonts w:ascii="Calibri" w:eastAsia="Calibri" w:hAnsi="Calibri" w:cs="Calibri"/>
                <w:color w:val="000000" w:themeColor="text1"/>
                <w:sz w:val="15"/>
                <w:szCs w:val="15"/>
              </w:rPr>
              <w:t xml:space="preserve"> currently no electrophysiology trainees allocated to UHW, in view of limited training opportunities however we are appointing a 3rd ep consultant which will improve training opportunities. Date for new consultant 22 March 2026</w:t>
            </w:r>
            <w:r w:rsidR="00F107D7" w:rsidRPr="0037794D">
              <w:rPr>
                <w:rFonts w:ascii="Calibri" w:eastAsia="Calibri" w:hAnsi="Calibri" w:cs="Calibri"/>
                <w:color w:val="000000" w:themeColor="text1"/>
                <w:sz w:val="15"/>
                <w:szCs w:val="15"/>
              </w:rPr>
              <w:t>.</w:t>
            </w:r>
          </w:p>
        </w:tc>
        <w:tc>
          <w:tcPr>
            <w:tcW w:w="794" w:type="dxa"/>
            <w:shd w:val="clear" w:color="auto" w:fill="95DCF7" w:themeFill="accent4" w:themeFillTint="66"/>
            <w:tcMar>
              <w:top w:w="15" w:type="dxa"/>
              <w:left w:w="15" w:type="dxa"/>
              <w:right w:w="15" w:type="dxa"/>
            </w:tcMar>
          </w:tcPr>
          <w:p w14:paraId="53A5E7D3" w14:textId="77777777" w:rsidR="00D06079" w:rsidRPr="0037794D" w:rsidRDefault="00D06079" w:rsidP="006F7D5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25F46848" w14:textId="77777777" w:rsidTr="004B353E">
        <w:trPr>
          <w:trHeight w:val="1304"/>
        </w:trPr>
        <w:tc>
          <w:tcPr>
            <w:tcW w:w="492" w:type="dxa"/>
            <w:tcMar>
              <w:top w:w="15" w:type="dxa"/>
              <w:left w:w="15" w:type="dxa"/>
              <w:right w:w="15" w:type="dxa"/>
            </w:tcMar>
          </w:tcPr>
          <w:p w14:paraId="14BF77A4"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43</w:t>
            </w:r>
          </w:p>
        </w:tc>
        <w:tc>
          <w:tcPr>
            <w:tcW w:w="2001" w:type="dxa"/>
            <w:tcMar>
              <w:top w:w="15" w:type="dxa"/>
              <w:left w:w="15" w:type="dxa"/>
              <w:right w:w="15" w:type="dxa"/>
            </w:tcMar>
          </w:tcPr>
          <w:p w14:paraId="105D7FF6"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Update and maintain online Cardiology Handbook.</w:t>
            </w:r>
          </w:p>
        </w:tc>
        <w:tc>
          <w:tcPr>
            <w:tcW w:w="2489" w:type="dxa"/>
            <w:tcMar>
              <w:top w:w="15" w:type="dxa"/>
              <w:left w:w="15" w:type="dxa"/>
              <w:right w:w="15" w:type="dxa"/>
            </w:tcMar>
          </w:tcPr>
          <w:p w14:paraId="6E02A860"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Update Cardiology Handbook online and ensure regular updates</w:t>
            </w:r>
          </w:p>
        </w:tc>
        <w:tc>
          <w:tcPr>
            <w:tcW w:w="2640" w:type="dxa"/>
            <w:tcMar>
              <w:top w:w="15" w:type="dxa"/>
              <w:left w:w="15" w:type="dxa"/>
              <w:right w:w="15" w:type="dxa"/>
            </w:tcMar>
          </w:tcPr>
          <w:p w14:paraId="77026AED"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Staff have access to accurate, up</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to</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date online Cardiology Handbook</w:t>
            </w:r>
          </w:p>
        </w:tc>
        <w:tc>
          <w:tcPr>
            <w:tcW w:w="3515" w:type="dxa"/>
            <w:tcMar>
              <w:top w:w="15" w:type="dxa"/>
              <w:left w:w="15" w:type="dxa"/>
              <w:right w:w="15" w:type="dxa"/>
            </w:tcMar>
          </w:tcPr>
          <w:p w14:paraId="32CCF046" w14:textId="77777777"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The Cardiology Handbook is current, accurate, and reflects best practice.</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Staff have reliable access to essential clinical and operational information.</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A regular update schedule is in place, ensuring information remains relevant over time.</w:t>
            </w:r>
          </w:p>
        </w:tc>
        <w:tc>
          <w:tcPr>
            <w:tcW w:w="1097" w:type="dxa"/>
            <w:tcMar>
              <w:top w:w="15" w:type="dxa"/>
              <w:left w:w="15" w:type="dxa"/>
              <w:right w:w="15" w:type="dxa"/>
            </w:tcMar>
          </w:tcPr>
          <w:p w14:paraId="7B2A6FBD" w14:textId="77777777" w:rsidR="00D06079" w:rsidRPr="0037794D" w:rsidRDefault="00D06079" w:rsidP="0015559A">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December 7, 2026</w:t>
            </w:r>
          </w:p>
        </w:tc>
        <w:tc>
          <w:tcPr>
            <w:tcW w:w="2549" w:type="dxa"/>
            <w:tcMar>
              <w:top w:w="15" w:type="dxa"/>
              <w:left w:w="15" w:type="dxa"/>
              <w:right w:w="15" w:type="dxa"/>
            </w:tcMar>
          </w:tcPr>
          <w:p w14:paraId="260D9C59" w14:textId="14D99690" w:rsidR="00D06079" w:rsidRPr="0037794D" w:rsidRDefault="00D06079" w:rsidP="00D06079">
            <w:pPr>
              <w:spacing w:after="0"/>
              <w:rPr>
                <w:rFonts w:ascii="Calibri" w:hAnsi="Calibri" w:cs="Calibri"/>
                <w:sz w:val="15"/>
                <w:szCs w:val="15"/>
              </w:rPr>
            </w:pPr>
            <w:r w:rsidRPr="0037794D">
              <w:rPr>
                <w:rFonts w:ascii="Calibri" w:eastAsia="Calibri" w:hAnsi="Calibri" w:cs="Calibri"/>
                <w:color w:val="000000" w:themeColor="text1"/>
                <w:sz w:val="15"/>
                <w:szCs w:val="15"/>
              </w:rPr>
              <w:t>All SOPs and guidelines are currently going through a process of review, audit, and updating as part of the Q&amp;S and QMS work.</w:t>
            </w:r>
          </w:p>
        </w:tc>
        <w:tc>
          <w:tcPr>
            <w:tcW w:w="794" w:type="dxa"/>
            <w:shd w:val="clear" w:color="auto" w:fill="B3E5A1" w:themeFill="accent6" w:themeFillTint="66"/>
            <w:tcMar>
              <w:top w:w="15" w:type="dxa"/>
              <w:left w:w="15" w:type="dxa"/>
              <w:right w:w="15" w:type="dxa"/>
            </w:tcMar>
          </w:tcPr>
          <w:p w14:paraId="7333D161" w14:textId="77777777" w:rsidR="00D06079" w:rsidRPr="0037794D" w:rsidRDefault="00D06079" w:rsidP="006F7D5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28DE1799" w14:textId="77777777" w:rsidTr="308A940C">
        <w:trPr>
          <w:trHeight w:val="1155"/>
        </w:trPr>
        <w:tc>
          <w:tcPr>
            <w:tcW w:w="492" w:type="dxa"/>
            <w:tcMar>
              <w:top w:w="15" w:type="dxa"/>
              <w:left w:w="15" w:type="dxa"/>
              <w:right w:w="15" w:type="dxa"/>
            </w:tcMar>
          </w:tcPr>
          <w:p w14:paraId="2C515751" w14:textId="7777777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44</w:t>
            </w:r>
          </w:p>
        </w:tc>
        <w:tc>
          <w:tcPr>
            <w:tcW w:w="2001" w:type="dxa"/>
            <w:tcMar>
              <w:top w:w="15" w:type="dxa"/>
              <w:left w:w="15" w:type="dxa"/>
              <w:right w:w="15" w:type="dxa"/>
            </w:tcMar>
          </w:tcPr>
          <w:p w14:paraId="478F8B01" w14:textId="283B400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Migrate content of Cardiology Handbook for Cardiology onto a SharePoint page and EOLAS app to enable ease of access for residents</w:t>
            </w:r>
            <w:r w:rsidR="00F107D7"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489" w:type="dxa"/>
            <w:tcMar>
              <w:top w:w="15" w:type="dxa"/>
              <w:left w:w="15" w:type="dxa"/>
              <w:right w:w="15" w:type="dxa"/>
            </w:tcMar>
          </w:tcPr>
          <w:p w14:paraId="68D47143" w14:textId="337EF2F4"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Migrate content of Cardiology Handbook for Cardiology onto a SharePoint page and EOLAS app to enable ease of access for residents</w:t>
            </w:r>
            <w:r w:rsidR="00F107D7"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390A179E" w14:textId="1FBEFEE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The Cardiology Directorate must complete a comprehensive review of on</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call arrangements across all professional groups to ensure that practice is consistent, sustainable, and safe for all specialties</w:t>
            </w:r>
            <w:r w:rsidR="00354857">
              <w:rPr>
                <w:rFonts w:ascii="Calibri" w:eastAsia="Calibri" w:hAnsi="Calibri" w:cs="Calibri"/>
                <w:color w:val="000000" w:themeColor="text1"/>
                <w:sz w:val="15"/>
                <w:szCs w:val="15"/>
              </w:rPr>
              <w:t>.</w:t>
            </w:r>
          </w:p>
        </w:tc>
        <w:tc>
          <w:tcPr>
            <w:tcW w:w="3515" w:type="dxa"/>
            <w:tcMar>
              <w:top w:w="15" w:type="dxa"/>
              <w:left w:w="15" w:type="dxa"/>
              <w:right w:w="15" w:type="dxa"/>
            </w:tcMar>
          </w:tcPr>
          <w:p w14:paraId="7DBC2C51" w14:textId="5D159341" w:rsidR="00680E8D" w:rsidRPr="00680E8D" w:rsidRDefault="00680E8D" w:rsidP="00354857">
            <w:pPr>
              <w:rPr>
                <w:rFonts w:ascii="Calibri" w:hAnsi="Calibri" w:cs="Calibri"/>
                <w:sz w:val="15"/>
                <w:szCs w:val="15"/>
              </w:rPr>
            </w:pPr>
            <w:r w:rsidRPr="00680E8D">
              <w:rPr>
                <w:rFonts w:ascii="Calibri" w:hAnsi="Calibri" w:cs="Calibri"/>
                <w:sz w:val="15"/>
                <w:szCs w:val="15"/>
              </w:rPr>
              <w:t>Cardiology Handbook content fully migrated to SharePoint and EOLAS</w:t>
            </w:r>
            <w:r w:rsidR="00354857">
              <w:rPr>
                <w:rFonts w:ascii="Calibri" w:hAnsi="Calibri" w:cs="Calibri"/>
                <w:sz w:val="15"/>
                <w:szCs w:val="15"/>
              </w:rPr>
              <w:t>. St</w:t>
            </w:r>
            <w:r w:rsidRPr="00680E8D">
              <w:rPr>
                <w:rFonts w:ascii="Calibri" w:hAnsi="Calibri" w:cs="Calibri"/>
                <w:sz w:val="15"/>
                <w:szCs w:val="15"/>
              </w:rPr>
              <w:t>aff awareness and access enabled across both platforms</w:t>
            </w:r>
            <w:r w:rsidR="00354857">
              <w:rPr>
                <w:rFonts w:ascii="Calibri" w:hAnsi="Calibri" w:cs="Calibri"/>
                <w:sz w:val="15"/>
                <w:szCs w:val="15"/>
              </w:rPr>
              <w:t xml:space="preserve">. </w:t>
            </w:r>
            <w:r w:rsidRPr="00680E8D">
              <w:rPr>
                <w:rFonts w:ascii="Calibri" w:hAnsi="Calibri" w:cs="Calibri"/>
                <w:sz w:val="15"/>
                <w:szCs w:val="15"/>
              </w:rPr>
              <w:t xml:space="preserve">Process in place for ongoing updates and content </w:t>
            </w:r>
            <w:r w:rsidR="00354857" w:rsidRPr="00680E8D">
              <w:rPr>
                <w:rFonts w:ascii="Calibri" w:hAnsi="Calibri" w:cs="Calibri"/>
                <w:sz w:val="15"/>
                <w:szCs w:val="15"/>
              </w:rPr>
              <w:t>governance</w:t>
            </w:r>
            <w:r w:rsidR="00354857">
              <w:rPr>
                <w:rFonts w:ascii="Calibri" w:hAnsi="Calibri" w:cs="Calibri"/>
                <w:sz w:val="15"/>
                <w:szCs w:val="15"/>
              </w:rPr>
              <w:t>.</w:t>
            </w:r>
          </w:p>
          <w:p w14:paraId="5338E10A" w14:textId="77777777" w:rsidR="006F7D5B" w:rsidRPr="0037794D" w:rsidRDefault="006F7D5B" w:rsidP="006F7D5B">
            <w:pPr>
              <w:rPr>
                <w:rFonts w:ascii="Calibri" w:hAnsi="Calibri" w:cs="Calibri"/>
                <w:sz w:val="15"/>
                <w:szCs w:val="15"/>
              </w:rPr>
            </w:pPr>
          </w:p>
        </w:tc>
        <w:tc>
          <w:tcPr>
            <w:tcW w:w="1097" w:type="dxa"/>
            <w:tcMar>
              <w:top w:w="15" w:type="dxa"/>
              <w:left w:w="15" w:type="dxa"/>
              <w:right w:w="15" w:type="dxa"/>
            </w:tcMar>
          </w:tcPr>
          <w:p w14:paraId="481E11E7" w14:textId="77777777" w:rsidR="006F7D5B" w:rsidRPr="0037794D" w:rsidRDefault="006F7D5B" w:rsidP="006F7D5B">
            <w:pPr>
              <w:jc w:val="center"/>
              <w:rPr>
                <w:rFonts w:ascii="Calibri" w:hAnsi="Calibri" w:cs="Calibri"/>
                <w:sz w:val="15"/>
                <w:szCs w:val="15"/>
              </w:rPr>
            </w:pPr>
          </w:p>
        </w:tc>
        <w:tc>
          <w:tcPr>
            <w:tcW w:w="2549" w:type="dxa"/>
            <w:tcMar>
              <w:top w:w="15" w:type="dxa"/>
              <w:left w:w="15" w:type="dxa"/>
              <w:right w:w="15" w:type="dxa"/>
            </w:tcMar>
          </w:tcPr>
          <w:p w14:paraId="44A19985" w14:textId="7E5DD91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In progress, migration of the Cardiology Handbook to SharePoint underway.</w:t>
            </w:r>
          </w:p>
        </w:tc>
        <w:tc>
          <w:tcPr>
            <w:tcW w:w="794" w:type="dxa"/>
            <w:shd w:val="clear" w:color="auto" w:fill="B3E5A1" w:themeFill="accent6" w:themeFillTint="66"/>
            <w:tcMar>
              <w:top w:w="15" w:type="dxa"/>
              <w:left w:w="15" w:type="dxa"/>
              <w:right w:w="15" w:type="dxa"/>
            </w:tcMar>
          </w:tcPr>
          <w:p w14:paraId="068B4B8D" w14:textId="77777777" w:rsidR="006F7D5B" w:rsidRPr="0037794D" w:rsidRDefault="006F7D5B" w:rsidP="006F7D5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0AF57E2E" w14:textId="77777777" w:rsidTr="00354857">
        <w:trPr>
          <w:trHeight w:val="1077"/>
        </w:trPr>
        <w:tc>
          <w:tcPr>
            <w:tcW w:w="492" w:type="dxa"/>
            <w:tcMar>
              <w:top w:w="15" w:type="dxa"/>
              <w:left w:w="15" w:type="dxa"/>
              <w:right w:w="15" w:type="dxa"/>
            </w:tcMar>
          </w:tcPr>
          <w:p w14:paraId="6B3C04F9" w14:textId="7777777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45</w:t>
            </w:r>
          </w:p>
        </w:tc>
        <w:tc>
          <w:tcPr>
            <w:tcW w:w="2001" w:type="dxa"/>
            <w:tcMar>
              <w:top w:w="15" w:type="dxa"/>
              <w:left w:w="15" w:type="dxa"/>
              <w:right w:w="15" w:type="dxa"/>
            </w:tcMar>
          </w:tcPr>
          <w:p w14:paraId="7897ADBA" w14:textId="7777777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Formalise cover for registrar bleep during out-of-hours sickness.</w:t>
            </w:r>
          </w:p>
        </w:tc>
        <w:tc>
          <w:tcPr>
            <w:tcW w:w="2489" w:type="dxa"/>
            <w:tcMar>
              <w:top w:w="15" w:type="dxa"/>
              <w:left w:w="15" w:type="dxa"/>
              <w:right w:w="15" w:type="dxa"/>
            </w:tcMar>
          </w:tcPr>
          <w:p w14:paraId="6DF0C0B6" w14:textId="7777777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Formalise arrangement for covering Cardiology registrar bleep if there is sickness during the out of hours period </w:t>
            </w:r>
          </w:p>
        </w:tc>
        <w:tc>
          <w:tcPr>
            <w:tcW w:w="2640" w:type="dxa"/>
            <w:tcMar>
              <w:top w:w="15" w:type="dxa"/>
              <w:left w:w="15" w:type="dxa"/>
              <w:right w:w="15" w:type="dxa"/>
            </w:tcMar>
          </w:tcPr>
          <w:p w14:paraId="481E07F8" w14:textId="77777777"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Safe and consistent out</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of</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hours cardiology cover for registrar bleep cover during sickness absence.</w:t>
            </w:r>
          </w:p>
        </w:tc>
        <w:tc>
          <w:tcPr>
            <w:tcW w:w="3515" w:type="dxa"/>
            <w:tcMar>
              <w:top w:w="15" w:type="dxa"/>
              <w:left w:w="15" w:type="dxa"/>
              <w:right w:w="15" w:type="dxa"/>
            </w:tcMar>
          </w:tcPr>
          <w:p w14:paraId="432486B1" w14:textId="138EEF75"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Clear, reliable processes are in place for covering the cardiology registrar bleep during out</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of</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hours sickness.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Reduced risk to patient care through uninterrupted clinical cover</w:t>
            </w:r>
            <w:r w:rsidR="00F9287B" w:rsidRPr="0037794D">
              <w:rPr>
                <w:rFonts w:ascii="Calibri" w:eastAsia="Calibri" w:hAnsi="Calibri" w:cs="Calibri"/>
                <w:color w:val="000000" w:themeColor="text1"/>
                <w:sz w:val="15"/>
                <w:szCs w:val="15"/>
              </w:rPr>
              <w:t xml:space="preserve">. </w:t>
            </w:r>
            <w:r w:rsidRPr="0037794D">
              <w:rPr>
                <w:rFonts w:ascii="Calibri" w:eastAsia="Calibri" w:hAnsi="Calibri" w:cs="Calibri"/>
                <w:color w:val="000000" w:themeColor="text1"/>
                <w:sz w:val="15"/>
                <w:szCs w:val="15"/>
              </w:rPr>
              <w:t>Improved clarity and confidence for staff regarding escalation and rota arrangement</w:t>
            </w:r>
            <w:r w:rsidR="00F107D7"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6B5006B8" w14:textId="77777777" w:rsidR="006F7D5B" w:rsidRPr="0037794D" w:rsidRDefault="006F7D5B" w:rsidP="006F7D5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Tuesday, April 28, 2026</w:t>
            </w:r>
          </w:p>
        </w:tc>
        <w:tc>
          <w:tcPr>
            <w:tcW w:w="2549" w:type="dxa"/>
            <w:tcMar>
              <w:top w:w="15" w:type="dxa"/>
              <w:left w:w="15" w:type="dxa"/>
              <w:right w:w="15" w:type="dxa"/>
            </w:tcMar>
          </w:tcPr>
          <w:p w14:paraId="781EB98D" w14:textId="4A4ABAEB" w:rsidR="006F7D5B" w:rsidRPr="0037794D" w:rsidRDefault="006F7D5B" w:rsidP="006F7D5B">
            <w:pPr>
              <w:spacing w:after="0"/>
              <w:rPr>
                <w:rFonts w:ascii="Calibri" w:hAnsi="Calibri" w:cs="Calibri"/>
                <w:sz w:val="15"/>
                <w:szCs w:val="15"/>
              </w:rPr>
            </w:pPr>
            <w:r w:rsidRPr="0037794D">
              <w:rPr>
                <w:rFonts w:ascii="Calibri" w:eastAsia="Calibri" w:hAnsi="Calibri" w:cs="Calibri"/>
                <w:color w:val="000000" w:themeColor="text1"/>
                <w:sz w:val="15"/>
                <w:szCs w:val="15"/>
              </w:rPr>
              <w:t>March 2026: This is in progress - discussions are taking place.</w:t>
            </w:r>
          </w:p>
        </w:tc>
        <w:tc>
          <w:tcPr>
            <w:tcW w:w="794" w:type="dxa"/>
            <w:shd w:val="clear" w:color="auto" w:fill="95DCF7" w:themeFill="accent4" w:themeFillTint="66"/>
            <w:tcMar>
              <w:top w:w="15" w:type="dxa"/>
              <w:left w:w="15" w:type="dxa"/>
              <w:right w:w="15" w:type="dxa"/>
            </w:tcMar>
          </w:tcPr>
          <w:p w14:paraId="4DC1480A" w14:textId="77777777" w:rsidR="006F7D5B" w:rsidRPr="0037794D" w:rsidRDefault="006F7D5B" w:rsidP="006F7D5B">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45A2E03F" w14:textId="77777777" w:rsidTr="00354857">
        <w:trPr>
          <w:trHeight w:val="1417"/>
        </w:trPr>
        <w:tc>
          <w:tcPr>
            <w:tcW w:w="492" w:type="dxa"/>
            <w:tcMar>
              <w:top w:w="15" w:type="dxa"/>
              <w:left w:w="15" w:type="dxa"/>
              <w:right w:w="15" w:type="dxa"/>
            </w:tcMar>
          </w:tcPr>
          <w:p w14:paraId="06F65653"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46</w:t>
            </w:r>
          </w:p>
        </w:tc>
        <w:tc>
          <w:tcPr>
            <w:tcW w:w="2001" w:type="dxa"/>
            <w:tcMar>
              <w:top w:w="15" w:type="dxa"/>
              <w:left w:w="15" w:type="dxa"/>
              <w:right w:w="15" w:type="dxa"/>
            </w:tcMar>
          </w:tcPr>
          <w:p w14:paraId="335A56B1"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Ensure fair outpatient workload between consultants and residents.</w:t>
            </w:r>
          </w:p>
        </w:tc>
        <w:tc>
          <w:tcPr>
            <w:tcW w:w="2489" w:type="dxa"/>
            <w:tcMar>
              <w:top w:w="15" w:type="dxa"/>
              <w:left w:w="15" w:type="dxa"/>
              <w:right w:w="15" w:type="dxa"/>
            </w:tcMar>
          </w:tcPr>
          <w:p w14:paraId="2BBC820B" w14:textId="00E5E71E"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Ensure equity of workload between consultants and residents in outpatient clinics</w:t>
            </w:r>
            <w:r w:rsidR="0037794D"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79D5AD3E"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Fair and balanced distribution of outpatient clinic workload between consultants and residents.</w:t>
            </w:r>
          </w:p>
        </w:tc>
        <w:tc>
          <w:tcPr>
            <w:tcW w:w="3515" w:type="dxa"/>
            <w:tcMar>
              <w:top w:w="15" w:type="dxa"/>
              <w:left w:w="15" w:type="dxa"/>
              <w:right w:w="15" w:type="dxa"/>
            </w:tcMar>
          </w:tcPr>
          <w:p w14:paraId="15642E25"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Workload is shared equitably, improving efficiency and team cohesion.</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Residents receive appropriate training opportunities without being overburdened. Consultants have clearer, more balanced clinic responsibilities aligned to service needs</w:t>
            </w:r>
          </w:p>
        </w:tc>
        <w:tc>
          <w:tcPr>
            <w:tcW w:w="1097" w:type="dxa"/>
            <w:tcMar>
              <w:top w:w="15" w:type="dxa"/>
              <w:left w:w="15" w:type="dxa"/>
              <w:right w:w="15" w:type="dxa"/>
            </w:tcMar>
          </w:tcPr>
          <w:p w14:paraId="3F4AF66B" w14:textId="77777777" w:rsidR="00F70AF6" w:rsidRPr="0037794D" w:rsidRDefault="00F70AF6" w:rsidP="00DF379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Thursday, October 30, 2025</w:t>
            </w:r>
          </w:p>
        </w:tc>
        <w:tc>
          <w:tcPr>
            <w:tcW w:w="2549" w:type="dxa"/>
            <w:tcMar>
              <w:top w:w="15" w:type="dxa"/>
              <w:left w:w="15" w:type="dxa"/>
              <w:right w:w="15" w:type="dxa"/>
            </w:tcMar>
          </w:tcPr>
          <w:p w14:paraId="39DC2A75" w14:textId="0E357C79" w:rsidR="00F70AF6" w:rsidRPr="0037794D" w:rsidRDefault="005E26A0" w:rsidP="00F70AF6">
            <w:pPr>
              <w:spacing w:after="0"/>
              <w:rPr>
                <w:rFonts w:ascii="Calibri" w:hAnsi="Calibri" w:cs="Calibri"/>
                <w:sz w:val="15"/>
                <w:szCs w:val="15"/>
              </w:rPr>
            </w:pPr>
            <w:r w:rsidRPr="0037794D">
              <w:rPr>
                <w:rFonts w:ascii="Calibri" w:eastAsia="Calibri" w:hAnsi="Calibri" w:cs="Calibri"/>
                <w:color w:val="000000" w:themeColor="text1"/>
                <w:sz w:val="15"/>
                <w:szCs w:val="15"/>
              </w:rPr>
              <w:t>Feb 2026: Completed SOP has been produced.</w:t>
            </w:r>
          </w:p>
        </w:tc>
        <w:tc>
          <w:tcPr>
            <w:tcW w:w="794" w:type="dxa"/>
            <w:shd w:val="clear" w:color="auto" w:fill="95DCF7" w:themeFill="accent4" w:themeFillTint="66"/>
            <w:tcMar>
              <w:top w:w="15" w:type="dxa"/>
              <w:left w:w="15" w:type="dxa"/>
              <w:right w:w="15" w:type="dxa"/>
            </w:tcMar>
          </w:tcPr>
          <w:p w14:paraId="4E559E33" w14:textId="77777777" w:rsidR="00F70AF6" w:rsidRPr="0037794D" w:rsidRDefault="00F70AF6" w:rsidP="00DF379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Completed (Done)</w:t>
            </w:r>
          </w:p>
        </w:tc>
      </w:tr>
      <w:tr w:rsidR="004E7F1B" w14:paraId="13206C28" w14:textId="77777777" w:rsidTr="00354857">
        <w:trPr>
          <w:trHeight w:val="2211"/>
        </w:trPr>
        <w:tc>
          <w:tcPr>
            <w:tcW w:w="492" w:type="dxa"/>
            <w:tcMar>
              <w:top w:w="15" w:type="dxa"/>
              <w:left w:w="15" w:type="dxa"/>
              <w:right w:w="15" w:type="dxa"/>
            </w:tcMar>
          </w:tcPr>
          <w:p w14:paraId="1481A2F0"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47</w:t>
            </w:r>
          </w:p>
        </w:tc>
        <w:tc>
          <w:tcPr>
            <w:tcW w:w="2001" w:type="dxa"/>
            <w:tcMar>
              <w:top w:w="15" w:type="dxa"/>
              <w:left w:w="15" w:type="dxa"/>
              <w:right w:w="15" w:type="dxa"/>
            </w:tcMar>
          </w:tcPr>
          <w:p w14:paraId="4C5480B1"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Share Wednesday teaching topics in advance and align with junior needs.</w:t>
            </w:r>
          </w:p>
        </w:tc>
        <w:tc>
          <w:tcPr>
            <w:tcW w:w="2489" w:type="dxa"/>
            <w:tcMar>
              <w:top w:w="15" w:type="dxa"/>
              <w:left w:w="15" w:type="dxa"/>
              <w:right w:w="15" w:type="dxa"/>
            </w:tcMar>
          </w:tcPr>
          <w:p w14:paraId="60D9E648" w14:textId="0EE026BE"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Ensure topics &amp; programme for weekly Wednesday teaching sessions provided by ward registrars are circulated in advance and align with learning needs of junior residents</w:t>
            </w:r>
            <w:r w:rsidR="0037794D"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22644C26"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Weekly Wednesday teaching sessions are well</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planned and aligned with junior residents’ learning needs by circulating topics and the programme in advance.</w:t>
            </w:r>
          </w:p>
        </w:tc>
        <w:tc>
          <w:tcPr>
            <w:tcW w:w="3515" w:type="dxa"/>
            <w:tcMar>
              <w:top w:w="15" w:type="dxa"/>
              <w:left w:w="15" w:type="dxa"/>
              <w:right w:w="15" w:type="dxa"/>
            </w:tcMar>
          </w:tcPr>
          <w:p w14:paraId="7CCA082C"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Teaching topics and schedules are shared ahead of time, improving preparation for all attendees. Sessions consistently reflect the educational needs of junior residents. Enhanced quality, relevance, and engagement in weekly teaching.</w:t>
            </w:r>
          </w:p>
        </w:tc>
        <w:tc>
          <w:tcPr>
            <w:tcW w:w="1097" w:type="dxa"/>
            <w:tcMar>
              <w:top w:w="15" w:type="dxa"/>
              <w:left w:w="15" w:type="dxa"/>
              <w:right w:w="15" w:type="dxa"/>
            </w:tcMar>
          </w:tcPr>
          <w:p w14:paraId="6DA86CED" w14:textId="77777777" w:rsidR="00DF379D" w:rsidRPr="0037794D" w:rsidRDefault="00DF379D" w:rsidP="00DF379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Monday, June 29, 2026</w:t>
            </w:r>
          </w:p>
        </w:tc>
        <w:tc>
          <w:tcPr>
            <w:tcW w:w="2549" w:type="dxa"/>
            <w:tcMar>
              <w:top w:w="15" w:type="dxa"/>
              <w:left w:w="15" w:type="dxa"/>
              <w:right w:w="15" w:type="dxa"/>
            </w:tcMar>
          </w:tcPr>
          <w:p w14:paraId="7167C47E" w14:textId="1486E678"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Multiple education opportunities available for trainees in the week; these include regular scheduled teaching such as echo and Friday academic meeting which has its agenda circulated in advance. Weds teaching sessions depend on composition of clinical teams on the ward, area of expertise and patient caseload, this will remain the team will retain flexibility around teaching topics each week.</w:t>
            </w:r>
          </w:p>
        </w:tc>
        <w:tc>
          <w:tcPr>
            <w:tcW w:w="794" w:type="dxa"/>
            <w:shd w:val="clear" w:color="auto" w:fill="B3E5A1" w:themeFill="accent6" w:themeFillTint="66"/>
            <w:tcMar>
              <w:top w:w="15" w:type="dxa"/>
              <w:left w:w="15" w:type="dxa"/>
              <w:right w:w="15" w:type="dxa"/>
            </w:tcMar>
          </w:tcPr>
          <w:p w14:paraId="34EA147A" w14:textId="77777777" w:rsidR="00DF379D" w:rsidRPr="0037794D" w:rsidRDefault="00DF379D" w:rsidP="00DF379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In Progress</w:t>
            </w:r>
          </w:p>
        </w:tc>
      </w:tr>
      <w:tr w:rsidR="004E7F1B" w14:paraId="19CB74BB" w14:textId="77777777" w:rsidTr="308A940C">
        <w:trPr>
          <w:trHeight w:val="1620"/>
        </w:trPr>
        <w:tc>
          <w:tcPr>
            <w:tcW w:w="492" w:type="dxa"/>
            <w:tcMar>
              <w:top w:w="15" w:type="dxa"/>
              <w:left w:w="15" w:type="dxa"/>
              <w:right w:w="15" w:type="dxa"/>
            </w:tcMar>
          </w:tcPr>
          <w:p w14:paraId="5DE1FA38"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48</w:t>
            </w:r>
          </w:p>
        </w:tc>
        <w:tc>
          <w:tcPr>
            <w:tcW w:w="2001" w:type="dxa"/>
            <w:tcMar>
              <w:top w:w="15" w:type="dxa"/>
              <w:left w:w="15" w:type="dxa"/>
              <w:right w:w="15" w:type="dxa"/>
            </w:tcMar>
          </w:tcPr>
          <w:p w14:paraId="41491F52" w14:textId="77777777"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Consider moving junior doctor start time to 08:00 to match consultants.</w:t>
            </w:r>
          </w:p>
        </w:tc>
        <w:tc>
          <w:tcPr>
            <w:tcW w:w="2489" w:type="dxa"/>
            <w:tcMar>
              <w:top w:w="15" w:type="dxa"/>
              <w:left w:w="15" w:type="dxa"/>
              <w:right w:w="15" w:type="dxa"/>
            </w:tcMar>
          </w:tcPr>
          <w:p w14:paraId="2D4352A0" w14:textId="483B0D62"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Consider moving SHO/junior doctor start times to 0800hrs in line with consultants and other inpatient specialties (would enable attendance at some 0800hrs teaching sessions where service constraints permit and facilitate finish at 1600hrs)</w:t>
            </w:r>
            <w:r w:rsidR="0037794D" w:rsidRPr="0037794D">
              <w:rPr>
                <w:rFonts w:ascii="Calibri" w:eastAsia="Calibri" w:hAnsi="Calibri" w:cs="Calibri"/>
                <w:color w:val="000000" w:themeColor="text1"/>
                <w:sz w:val="15"/>
                <w:szCs w:val="15"/>
              </w:rPr>
              <w:t>.</w:t>
            </w:r>
            <w:r w:rsidRPr="0037794D">
              <w:rPr>
                <w:rFonts w:ascii="Calibri" w:eastAsia="Calibri" w:hAnsi="Calibri" w:cs="Calibri"/>
                <w:color w:val="000000" w:themeColor="text1"/>
                <w:sz w:val="15"/>
                <w:szCs w:val="15"/>
              </w:rPr>
              <w:t xml:space="preserve"> </w:t>
            </w:r>
          </w:p>
        </w:tc>
        <w:tc>
          <w:tcPr>
            <w:tcW w:w="2640" w:type="dxa"/>
            <w:tcMar>
              <w:top w:w="15" w:type="dxa"/>
              <w:left w:w="15" w:type="dxa"/>
              <w:right w:w="15" w:type="dxa"/>
            </w:tcMar>
          </w:tcPr>
          <w:p w14:paraId="0AC582B2" w14:textId="77777777" w:rsidR="00DF379D" w:rsidRPr="0037794D" w:rsidRDefault="00DF379D" w:rsidP="00DF379D">
            <w:pPr>
              <w:rPr>
                <w:rFonts w:ascii="Calibri" w:hAnsi="Calibri" w:cs="Calibri"/>
                <w:sz w:val="15"/>
                <w:szCs w:val="15"/>
              </w:rPr>
            </w:pPr>
          </w:p>
        </w:tc>
        <w:tc>
          <w:tcPr>
            <w:tcW w:w="3515" w:type="dxa"/>
            <w:tcMar>
              <w:top w:w="15" w:type="dxa"/>
              <w:left w:w="15" w:type="dxa"/>
              <w:right w:w="15" w:type="dxa"/>
            </w:tcMar>
          </w:tcPr>
          <w:p w14:paraId="56338D7A" w14:textId="77777777" w:rsidR="00DF379D" w:rsidRPr="0037794D" w:rsidRDefault="00DF379D" w:rsidP="00DF379D">
            <w:pPr>
              <w:rPr>
                <w:rFonts w:ascii="Calibri" w:hAnsi="Calibri" w:cs="Calibri"/>
                <w:sz w:val="15"/>
                <w:szCs w:val="15"/>
              </w:rPr>
            </w:pPr>
          </w:p>
        </w:tc>
        <w:tc>
          <w:tcPr>
            <w:tcW w:w="1097" w:type="dxa"/>
            <w:tcMar>
              <w:top w:w="15" w:type="dxa"/>
              <w:left w:w="15" w:type="dxa"/>
              <w:right w:w="15" w:type="dxa"/>
            </w:tcMar>
          </w:tcPr>
          <w:p w14:paraId="12C75E9C" w14:textId="77777777" w:rsidR="00DF379D" w:rsidRPr="0037794D" w:rsidRDefault="00DF379D" w:rsidP="00DF379D">
            <w:pPr>
              <w:jc w:val="center"/>
              <w:rPr>
                <w:rFonts w:ascii="Calibri" w:hAnsi="Calibri" w:cs="Calibri"/>
                <w:sz w:val="15"/>
                <w:szCs w:val="15"/>
              </w:rPr>
            </w:pPr>
          </w:p>
        </w:tc>
        <w:tc>
          <w:tcPr>
            <w:tcW w:w="2549" w:type="dxa"/>
            <w:tcMar>
              <w:top w:w="15" w:type="dxa"/>
              <w:left w:w="15" w:type="dxa"/>
              <w:right w:w="15" w:type="dxa"/>
            </w:tcMar>
          </w:tcPr>
          <w:p w14:paraId="05853F9F" w14:textId="2921C238" w:rsidR="00DF379D" w:rsidRPr="0037794D" w:rsidRDefault="00DF379D" w:rsidP="00DF379D">
            <w:pPr>
              <w:spacing w:after="0"/>
              <w:rPr>
                <w:rFonts w:ascii="Calibri" w:hAnsi="Calibri" w:cs="Calibri"/>
                <w:sz w:val="15"/>
                <w:szCs w:val="15"/>
              </w:rPr>
            </w:pPr>
            <w:r w:rsidRPr="0037794D">
              <w:rPr>
                <w:rFonts w:ascii="Calibri" w:eastAsia="Calibri" w:hAnsi="Calibri" w:cs="Calibri"/>
                <w:color w:val="000000" w:themeColor="text1"/>
                <w:sz w:val="15"/>
                <w:szCs w:val="15"/>
              </w:rPr>
              <w:t xml:space="preserve"> Feb 2026: This is de</w:t>
            </w:r>
            <w:r w:rsidRPr="0037794D">
              <w:rPr>
                <w:rFonts w:ascii="Calibri" w:hAnsi="Calibri" w:cs="Calibri"/>
                <w:sz w:val="15"/>
                <w:szCs w:val="15"/>
              </w:rPr>
              <w:noBreakHyphen/>
            </w:r>
            <w:r w:rsidRPr="0037794D">
              <w:rPr>
                <w:rFonts w:ascii="Calibri" w:eastAsia="Calibri" w:hAnsi="Calibri" w:cs="Calibri"/>
                <w:color w:val="000000" w:themeColor="text1"/>
                <w:sz w:val="15"/>
                <w:szCs w:val="15"/>
              </w:rPr>
              <w:t>scoped because the current SHO rota is designed to align with the cardiology service model, including the 09:00 board round each morning.</w:t>
            </w:r>
          </w:p>
        </w:tc>
        <w:tc>
          <w:tcPr>
            <w:tcW w:w="794" w:type="dxa"/>
            <w:shd w:val="clear" w:color="auto" w:fill="D9D9D9" w:themeFill="background1" w:themeFillShade="D9"/>
            <w:tcMar>
              <w:top w:w="15" w:type="dxa"/>
              <w:left w:w="15" w:type="dxa"/>
              <w:right w:w="15" w:type="dxa"/>
            </w:tcMar>
          </w:tcPr>
          <w:p w14:paraId="63E66C09" w14:textId="77777777" w:rsidR="00DF379D" w:rsidRPr="0037794D" w:rsidRDefault="00DF379D" w:rsidP="00DF379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De-Scoped</w:t>
            </w:r>
          </w:p>
        </w:tc>
      </w:tr>
      <w:tr w:rsidR="004E7F1B" w14:paraId="69051D00" w14:textId="77777777" w:rsidTr="308A940C">
        <w:trPr>
          <w:trHeight w:val="2268"/>
        </w:trPr>
        <w:tc>
          <w:tcPr>
            <w:tcW w:w="492" w:type="dxa"/>
            <w:tcMar>
              <w:top w:w="15" w:type="dxa"/>
              <w:left w:w="15" w:type="dxa"/>
              <w:right w:w="15" w:type="dxa"/>
            </w:tcMar>
          </w:tcPr>
          <w:p w14:paraId="2D49ED25"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49</w:t>
            </w:r>
          </w:p>
        </w:tc>
        <w:tc>
          <w:tcPr>
            <w:tcW w:w="2001" w:type="dxa"/>
            <w:tcMar>
              <w:top w:w="15" w:type="dxa"/>
              <w:left w:w="15" w:type="dxa"/>
              <w:right w:w="15" w:type="dxa"/>
            </w:tcMar>
          </w:tcPr>
          <w:p w14:paraId="081B7BA9"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Maintain and circulate weekly calendar of training opportunities.</w:t>
            </w:r>
          </w:p>
        </w:tc>
        <w:tc>
          <w:tcPr>
            <w:tcW w:w="2489" w:type="dxa"/>
            <w:tcMar>
              <w:top w:w="15" w:type="dxa"/>
              <w:left w:w="15" w:type="dxa"/>
              <w:right w:w="15" w:type="dxa"/>
            </w:tcMar>
          </w:tcPr>
          <w:p w14:paraId="2163C65B" w14:textId="0B9D33EF"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Directorate team to maintain calendar detailing training opportunities including theatre lists, multi-disciplinary team meetings, educational meetings, academic meeting, trainee forums and circulate to resident team on a weekly basis</w:t>
            </w:r>
            <w:r w:rsidR="0037794D" w:rsidRPr="0037794D">
              <w:rPr>
                <w:rFonts w:ascii="Calibri" w:eastAsia="Calibri" w:hAnsi="Calibri" w:cs="Calibri"/>
                <w:color w:val="000000" w:themeColor="text1"/>
                <w:sz w:val="15"/>
                <w:szCs w:val="15"/>
              </w:rPr>
              <w:t>.</w:t>
            </w:r>
          </w:p>
        </w:tc>
        <w:tc>
          <w:tcPr>
            <w:tcW w:w="2640" w:type="dxa"/>
            <w:tcMar>
              <w:top w:w="15" w:type="dxa"/>
              <w:left w:w="15" w:type="dxa"/>
              <w:right w:w="15" w:type="dxa"/>
            </w:tcMar>
          </w:tcPr>
          <w:p w14:paraId="0BBD613C" w14:textId="77777777"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Awareness and uptake of training opportunities is increased by maintaining a weekly calendar of theatre lists, MDT meetings, educational sessions, academic meetings, and trainee forums, and circulating it to the resident team.</w:t>
            </w:r>
          </w:p>
        </w:tc>
        <w:tc>
          <w:tcPr>
            <w:tcW w:w="3515" w:type="dxa"/>
            <w:tcMar>
              <w:top w:w="15" w:type="dxa"/>
              <w:left w:w="15" w:type="dxa"/>
              <w:right w:w="15" w:type="dxa"/>
            </w:tcMar>
          </w:tcPr>
          <w:p w14:paraId="7B47FBE8" w14:textId="28DE217B" w:rsidR="00F70AF6" w:rsidRPr="0037794D" w:rsidRDefault="00F70AF6" w:rsidP="00F70AF6">
            <w:pPr>
              <w:spacing w:after="0"/>
              <w:rPr>
                <w:rFonts w:ascii="Calibri" w:hAnsi="Calibri" w:cs="Calibri"/>
                <w:sz w:val="15"/>
                <w:szCs w:val="15"/>
              </w:rPr>
            </w:pPr>
            <w:r w:rsidRPr="0037794D">
              <w:rPr>
                <w:rFonts w:ascii="Calibri" w:eastAsia="Calibri" w:hAnsi="Calibri" w:cs="Calibri"/>
                <w:color w:val="000000" w:themeColor="text1"/>
                <w:sz w:val="15"/>
                <w:szCs w:val="15"/>
              </w:rPr>
              <w:t>Residents receive timely, clear information on all available training opportunities each week. Improved attendance and engagement in educational and clinical training activities.</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More equitable access to learning opportunities across the resident team.</w:t>
            </w:r>
            <w:r w:rsidRPr="0037794D">
              <w:rPr>
                <w:rFonts w:ascii="Calibri" w:hAnsi="Calibri" w:cs="Calibri"/>
                <w:sz w:val="15"/>
                <w:szCs w:val="15"/>
              </w:rPr>
              <w:br/>
            </w:r>
            <w:r w:rsidRPr="0037794D">
              <w:rPr>
                <w:rFonts w:ascii="Calibri" w:eastAsia="Calibri" w:hAnsi="Calibri" w:cs="Calibri"/>
                <w:color w:val="000000" w:themeColor="text1"/>
                <w:sz w:val="15"/>
                <w:szCs w:val="15"/>
              </w:rPr>
              <w:t xml:space="preserve"> Better planning and integration of training within clinical commitments</w:t>
            </w:r>
            <w:r w:rsidR="0037794D" w:rsidRPr="0037794D">
              <w:rPr>
                <w:rFonts w:ascii="Calibri" w:eastAsia="Calibri" w:hAnsi="Calibri" w:cs="Calibri"/>
                <w:color w:val="000000" w:themeColor="text1"/>
                <w:sz w:val="15"/>
                <w:szCs w:val="15"/>
              </w:rPr>
              <w:t>.</w:t>
            </w:r>
          </w:p>
        </w:tc>
        <w:tc>
          <w:tcPr>
            <w:tcW w:w="1097" w:type="dxa"/>
            <w:tcMar>
              <w:top w:w="15" w:type="dxa"/>
              <w:left w:w="15" w:type="dxa"/>
              <w:right w:w="15" w:type="dxa"/>
            </w:tcMar>
          </w:tcPr>
          <w:p w14:paraId="1397ED91" w14:textId="77777777" w:rsidR="00F70AF6" w:rsidRPr="0037794D" w:rsidRDefault="00F70AF6" w:rsidP="00C5670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Saturday, September 5, 2026</w:t>
            </w:r>
          </w:p>
        </w:tc>
        <w:tc>
          <w:tcPr>
            <w:tcW w:w="2549" w:type="dxa"/>
            <w:tcMar>
              <w:top w:w="15" w:type="dxa"/>
              <w:left w:w="15" w:type="dxa"/>
              <w:right w:w="15" w:type="dxa"/>
            </w:tcMar>
          </w:tcPr>
          <w:p w14:paraId="468197EF" w14:textId="199C2B2D" w:rsidR="00F70AF6" w:rsidRPr="0037794D" w:rsidRDefault="00F70AF6" w:rsidP="00C5670D">
            <w:pPr>
              <w:spacing w:after="0"/>
              <w:jc w:val="center"/>
              <w:rPr>
                <w:rFonts w:ascii="Calibri" w:hAnsi="Calibri" w:cs="Calibri"/>
                <w:sz w:val="15"/>
                <w:szCs w:val="15"/>
              </w:rPr>
            </w:pPr>
          </w:p>
        </w:tc>
        <w:tc>
          <w:tcPr>
            <w:tcW w:w="794" w:type="dxa"/>
            <w:tcMar>
              <w:top w:w="15" w:type="dxa"/>
              <w:left w:w="15" w:type="dxa"/>
              <w:right w:w="15" w:type="dxa"/>
            </w:tcMar>
          </w:tcPr>
          <w:p w14:paraId="74AE97DE" w14:textId="77777777" w:rsidR="00F70AF6" w:rsidRPr="0037794D" w:rsidRDefault="00F70AF6" w:rsidP="00C5670D">
            <w:pPr>
              <w:spacing w:after="0"/>
              <w:jc w:val="center"/>
              <w:rPr>
                <w:rFonts w:ascii="Calibri" w:hAnsi="Calibri" w:cs="Calibri"/>
                <w:sz w:val="15"/>
                <w:szCs w:val="15"/>
              </w:rPr>
            </w:pPr>
            <w:r w:rsidRPr="0037794D">
              <w:rPr>
                <w:rFonts w:ascii="Calibri" w:eastAsia="Calibri" w:hAnsi="Calibri" w:cs="Calibri"/>
                <w:color w:val="000000" w:themeColor="text1"/>
                <w:sz w:val="15"/>
                <w:szCs w:val="15"/>
              </w:rPr>
              <w:t>Not Started</w:t>
            </w:r>
          </w:p>
        </w:tc>
      </w:tr>
    </w:tbl>
    <w:p w14:paraId="361AEA31" w14:textId="013F2D45" w:rsidR="74638290" w:rsidRDefault="74638290" w:rsidP="74638290">
      <w:pPr>
        <w:rPr>
          <w:rFonts w:eastAsiaTheme="minorEastAsia"/>
          <w:b/>
          <w:bCs/>
          <w:sz w:val="24"/>
          <w:szCs w:val="24"/>
        </w:rPr>
      </w:pPr>
    </w:p>
    <w:p w14:paraId="5FBB03FC" w14:textId="77777777" w:rsidR="00C85E38" w:rsidRDefault="00C85E38" w:rsidP="74638290">
      <w:pPr>
        <w:rPr>
          <w:rFonts w:eastAsiaTheme="minorEastAsia"/>
          <w:b/>
          <w:bCs/>
          <w:sz w:val="24"/>
          <w:szCs w:val="24"/>
        </w:rPr>
      </w:pPr>
    </w:p>
    <w:p w14:paraId="7A6B4E05" w14:textId="77777777" w:rsidR="00C85E38" w:rsidRDefault="00C85E38" w:rsidP="74638290">
      <w:pPr>
        <w:rPr>
          <w:rFonts w:eastAsiaTheme="minorEastAsia"/>
          <w:b/>
          <w:bCs/>
          <w:sz w:val="24"/>
          <w:szCs w:val="24"/>
        </w:rPr>
      </w:pPr>
    </w:p>
    <w:p w14:paraId="7EDED81D" w14:textId="77777777" w:rsidR="00C85E38" w:rsidRDefault="00C85E38" w:rsidP="74638290">
      <w:pPr>
        <w:rPr>
          <w:rFonts w:eastAsiaTheme="minorEastAsia"/>
          <w:b/>
          <w:bCs/>
          <w:sz w:val="24"/>
          <w:szCs w:val="24"/>
        </w:rPr>
      </w:pPr>
    </w:p>
    <w:p w14:paraId="135902FC" w14:textId="77777777" w:rsidR="00C65489" w:rsidRDefault="00C65489" w:rsidP="5F996B1C">
      <w:pPr>
        <w:rPr>
          <w:rFonts w:eastAsiaTheme="minorEastAsia"/>
          <w:b/>
          <w:bCs/>
          <w:sz w:val="24"/>
          <w:szCs w:val="24"/>
        </w:rPr>
      </w:pPr>
    </w:p>
    <w:p w14:paraId="4E7BEADC" w14:textId="1B4724BC" w:rsidR="00F76A4E" w:rsidRDefault="00F76A4E" w:rsidP="5F996B1C">
      <w:pPr>
        <w:rPr>
          <w:rFonts w:eastAsiaTheme="minorEastAsia"/>
          <w:b/>
          <w:bCs/>
          <w:sz w:val="24"/>
          <w:szCs w:val="24"/>
        </w:rPr>
      </w:pPr>
      <w:r>
        <w:rPr>
          <w:rFonts w:eastAsiaTheme="minorEastAsia"/>
          <w:b/>
          <w:bCs/>
          <w:sz w:val="24"/>
          <w:szCs w:val="24"/>
        </w:rPr>
        <w:t>Appendix 1: Project Framework and Governance</w:t>
      </w:r>
    </w:p>
    <w:p w14:paraId="77D1E785" w14:textId="77777777" w:rsidR="00F76A4E" w:rsidRPr="00F76A4E" w:rsidRDefault="00F76A4E" w:rsidP="00F76A4E">
      <w:pPr>
        <w:rPr>
          <w:rFonts w:cs="Arial"/>
        </w:rPr>
      </w:pPr>
      <w:r w:rsidRPr="00F76A4E">
        <w:rPr>
          <w:rFonts w:cs="Arial"/>
        </w:rPr>
        <w:t>To support effective delivery of the Cardiology Improvement Programme, a pillar</w:t>
      </w:r>
      <w:r w:rsidRPr="00F76A4E">
        <w:rPr>
          <w:rFonts w:ascii="Cambria Math" w:hAnsi="Cambria Math" w:cs="Cambria Math"/>
        </w:rPr>
        <w:t>‑</w:t>
      </w:r>
      <w:r w:rsidRPr="00F76A4E">
        <w:rPr>
          <w:rFonts w:cs="Arial"/>
        </w:rPr>
        <w:t>based governance and delivery framework has been adopted. This approach provides a clear, structured method for organising a complex programme of work and ensures that delivery remains aligned to strategic priorities while supporting strong oversight and assurance.</w:t>
      </w:r>
    </w:p>
    <w:p w14:paraId="4AABC510" w14:textId="2957B38D" w:rsidR="00F76A4E" w:rsidRDefault="00F76A4E" w:rsidP="00F76A4E">
      <w:pPr>
        <w:rPr>
          <w:rFonts w:cs="Arial"/>
        </w:rPr>
      </w:pPr>
      <w:r w:rsidRPr="00F76A4E">
        <w:rPr>
          <w:rFonts w:cs="Arial"/>
        </w:rPr>
        <w:t>The Cardiology Review recommendations have been divided into three pillars to enable clear delivery and logical sequencing of the work. This approach provides structure, clarity, and strong governance, ensuring recommendations are aligned, manageable and delivered in a coordinated way.</w:t>
      </w:r>
    </w:p>
    <w:p w14:paraId="78073B56" w14:textId="7208CECB" w:rsidR="00F76A4E" w:rsidRDefault="00F76A4E" w:rsidP="5F996B1C">
      <w:pPr>
        <w:rPr>
          <w:rFonts w:eastAsiaTheme="minorEastAsia"/>
          <w:b/>
          <w:bCs/>
          <w:sz w:val="24"/>
          <w:szCs w:val="24"/>
        </w:rPr>
      </w:pPr>
    </w:p>
    <w:p w14:paraId="6553FE00" w14:textId="76F583BC" w:rsidR="00F76A4E" w:rsidRDefault="00F76A4E" w:rsidP="5F996B1C">
      <w:pPr>
        <w:rPr>
          <w:rFonts w:eastAsiaTheme="minorEastAsia"/>
          <w:b/>
          <w:bCs/>
          <w:sz w:val="24"/>
          <w:szCs w:val="24"/>
        </w:rPr>
      </w:pPr>
    </w:p>
    <w:p w14:paraId="6CAB5413" w14:textId="0FBA1D75" w:rsidR="00F76A4E" w:rsidRDefault="003210C0" w:rsidP="5F996B1C">
      <w:pPr>
        <w:rPr>
          <w:rFonts w:eastAsiaTheme="minorEastAsia"/>
          <w:b/>
          <w:bCs/>
          <w:sz w:val="24"/>
          <w:szCs w:val="24"/>
        </w:rPr>
      </w:pPr>
      <w:r>
        <w:rPr>
          <w:noProof/>
        </w:rPr>
        <w:drawing>
          <wp:anchor distT="0" distB="0" distL="114300" distR="114300" simplePos="0" relativeHeight="251658240" behindDoc="1" locked="0" layoutInCell="1" allowOverlap="1" wp14:anchorId="7A85701C" wp14:editId="3832BBD8">
            <wp:simplePos x="0" y="0"/>
            <wp:positionH relativeFrom="column">
              <wp:posOffset>1045166</wp:posOffset>
            </wp:positionH>
            <wp:positionV relativeFrom="paragraph">
              <wp:posOffset>-427252</wp:posOffset>
            </wp:positionV>
            <wp:extent cx="7359276" cy="3285620"/>
            <wp:effectExtent l="0" t="0" r="0" b="0"/>
            <wp:wrapTight wrapText="bothSides">
              <wp:wrapPolygon edited="0">
                <wp:start x="0" y="0"/>
                <wp:lineTo x="0" y="21416"/>
                <wp:lineTo x="21527" y="21416"/>
                <wp:lineTo x="21527" y="0"/>
                <wp:lineTo x="0" y="0"/>
              </wp:wrapPolygon>
            </wp:wrapTight>
            <wp:docPr id="147651807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1577" name=""/>
                    <pic:cNvPicPr/>
                  </pic:nvPicPr>
                  <pic:blipFill>
                    <a:blip r:embed="rId15">
                      <a:extLst>
                        <a:ext uri="{96DAC541-7B7A-43D3-8B79-37D633B846F1}">
                          <asvg:svgBlip xmlns:asvg="http://schemas.microsoft.com/office/drawing/2016/SVG/main" r:embed="rId16"/>
                        </a:ext>
                      </a:extLst>
                    </a:blip>
                    <a:srcRect/>
                    <a:stretch>
                      <a:fillRect/>
                    </a:stretch>
                  </pic:blipFill>
                  <pic:spPr>
                    <a:xfrm>
                      <a:off x="0" y="0"/>
                      <a:ext cx="7359276" cy="3285620"/>
                    </a:xfrm>
                    <a:prstGeom prst="rect">
                      <a:avLst/>
                    </a:prstGeom>
                  </pic:spPr>
                </pic:pic>
              </a:graphicData>
            </a:graphic>
            <wp14:sizeRelH relativeFrom="margin">
              <wp14:pctWidth>0</wp14:pctWidth>
            </wp14:sizeRelH>
            <wp14:sizeRelV relativeFrom="margin">
              <wp14:pctHeight>0</wp14:pctHeight>
            </wp14:sizeRelV>
          </wp:anchor>
        </w:drawing>
      </w:r>
    </w:p>
    <w:p w14:paraId="4286A987" w14:textId="77777777" w:rsidR="00F76A4E" w:rsidRDefault="00F76A4E" w:rsidP="5F996B1C">
      <w:pPr>
        <w:rPr>
          <w:rFonts w:eastAsiaTheme="minorEastAsia"/>
          <w:b/>
          <w:bCs/>
          <w:sz w:val="24"/>
          <w:szCs w:val="24"/>
        </w:rPr>
      </w:pPr>
    </w:p>
    <w:p w14:paraId="1D3D3E2E" w14:textId="77777777" w:rsidR="00F76A4E" w:rsidRDefault="00F76A4E" w:rsidP="5F996B1C">
      <w:pPr>
        <w:rPr>
          <w:rFonts w:eastAsiaTheme="minorEastAsia"/>
          <w:b/>
          <w:bCs/>
          <w:sz w:val="24"/>
          <w:szCs w:val="24"/>
        </w:rPr>
      </w:pPr>
    </w:p>
    <w:p w14:paraId="4A8C275B" w14:textId="77777777" w:rsidR="00F76A4E" w:rsidRDefault="00F76A4E" w:rsidP="5F996B1C">
      <w:pPr>
        <w:rPr>
          <w:rFonts w:eastAsiaTheme="minorEastAsia"/>
          <w:b/>
          <w:bCs/>
          <w:sz w:val="24"/>
          <w:szCs w:val="24"/>
        </w:rPr>
      </w:pPr>
    </w:p>
    <w:p w14:paraId="7BC41775" w14:textId="77777777" w:rsidR="00F76A4E" w:rsidRDefault="00F76A4E" w:rsidP="5F996B1C">
      <w:pPr>
        <w:rPr>
          <w:rFonts w:eastAsiaTheme="minorEastAsia"/>
          <w:b/>
          <w:bCs/>
          <w:sz w:val="24"/>
          <w:szCs w:val="24"/>
        </w:rPr>
      </w:pPr>
    </w:p>
    <w:p w14:paraId="16833DF9" w14:textId="77777777" w:rsidR="00F76A4E" w:rsidRDefault="00F76A4E" w:rsidP="5F996B1C">
      <w:pPr>
        <w:rPr>
          <w:rFonts w:eastAsiaTheme="minorEastAsia"/>
          <w:b/>
          <w:bCs/>
          <w:sz w:val="24"/>
          <w:szCs w:val="24"/>
        </w:rPr>
      </w:pPr>
    </w:p>
    <w:p w14:paraId="7CE47E5D" w14:textId="77777777" w:rsidR="00F76A4E" w:rsidRDefault="00F76A4E" w:rsidP="5F996B1C">
      <w:pPr>
        <w:rPr>
          <w:rFonts w:eastAsiaTheme="minorEastAsia"/>
          <w:b/>
          <w:bCs/>
          <w:sz w:val="24"/>
          <w:szCs w:val="24"/>
        </w:rPr>
      </w:pPr>
    </w:p>
    <w:p w14:paraId="3533249F" w14:textId="77777777" w:rsidR="00F76A4E" w:rsidRDefault="00F76A4E" w:rsidP="5F996B1C">
      <w:pPr>
        <w:rPr>
          <w:rFonts w:eastAsiaTheme="minorEastAsia"/>
          <w:b/>
          <w:bCs/>
          <w:sz w:val="24"/>
          <w:szCs w:val="24"/>
        </w:rPr>
      </w:pPr>
    </w:p>
    <w:p w14:paraId="4B5328F4" w14:textId="77777777" w:rsidR="00F76A4E" w:rsidRDefault="00F76A4E" w:rsidP="5F996B1C">
      <w:pPr>
        <w:rPr>
          <w:rFonts w:eastAsiaTheme="minorEastAsia"/>
          <w:b/>
          <w:bCs/>
          <w:sz w:val="24"/>
          <w:szCs w:val="24"/>
        </w:rPr>
      </w:pPr>
    </w:p>
    <w:p w14:paraId="3413F9AC" w14:textId="77777777" w:rsidR="00F76A4E" w:rsidRDefault="00F76A4E" w:rsidP="5F996B1C">
      <w:pPr>
        <w:rPr>
          <w:rFonts w:eastAsiaTheme="minorEastAsia"/>
          <w:b/>
          <w:bCs/>
          <w:sz w:val="24"/>
          <w:szCs w:val="24"/>
        </w:rPr>
      </w:pPr>
    </w:p>
    <w:p w14:paraId="6352C540" w14:textId="77777777" w:rsidR="00C65489" w:rsidRDefault="00C65489" w:rsidP="5F996B1C">
      <w:pPr>
        <w:rPr>
          <w:rFonts w:eastAsiaTheme="minorEastAsia"/>
          <w:b/>
          <w:bCs/>
          <w:sz w:val="24"/>
          <w:szCs w:val="24"/>
        </w:rPr>
      </w:pPr>
    </w:p>
    <w:p w14:paraId="3D89196A" w14:textId="77777777" w:rsidR="008514A1" w:rsidRDefault="008514A1" w:rsidP="5F996B1C">
      <w:pPr>
        <w:rPr>
          <w:rFonts w:eastAsiaTheme="minorEastAsia"/>
          <w:b/>
          <w:bCs/>
          <w:sz w:val="24"/>
          <w:szCs w:val="24"/>
        </w:rPr>
      </w:pPr>
    </w:p>
    <w:p w14:paraId="1E257A29" w14:textId="2B2ECD5C" w:rsidR="00F76A4E" w:rsidRDefault="003210C0" w:rsidP="5F996B1C">
      <w:pPr>
        <w:rPr>
          <w:rFonts w:eastAsiaTheme="minorEastAsia"/>
          <w:b/>
          <w:bCs/>
          <w:sz w:val="24"/>
          <w:szCs w:val="24"/>
        </w:rPr>
      </w:pPr>
      <w:r>
        <w:rPr>
          <w:rFonts w:eastAsiaTheme="minorEastAsia"/>
          <w:b/>
          <w:bCs/>
          <w:sz w:val="24"/>
          <w:szCs w:val="24"/>
        </w:rPr>
        <w:t>Governance Framework:</w:t>
      </w:r>
    </w:p>
    <w:p w14:paraId="0F4CC616" w14:textId="3AC1D17B" w:rsidR="003210C0" w:rsidRDefault="003210C0" w:rsidP="5F996B1C">
      <w:pPr>
        <w:rPr>
          <w:rFonts w:eastAsiaTheme="minorEastAsia"/>
          <w:b/>
          <w:bCs/>
          <w:sz w:val="24"/>
          <w:szCs w:val="24"/>
        </w:rPr>
      </w:pPr>
      <w:r>
        <w:rPr>
          <w:noProof/>
        </w:rPr>
        <w:drawing>
          <wp:anchor distT="0" distB="0" distL="114300" distR="114300" simplePos="0" relativeHeight="251658241" behindDoc="1" locked="0" layoutInCell="1" allowOverlap="1" wp14:anchorId="2A1A4423" wp14:editId="16D5C5AE">
            <wp:simplePos x="0" y="0"/>
            <wp:positionH relativeFrom="column">
              <wp:posOffset>661035</wp:posOffset>
            </wp:positionH>
            <wp:positionV relativeFrom="paragraph">
              <wp:posOffset>147955</wp:posOffset>
            </wp:positionV>
            <wp:extent cx="8773160" cy="4996180"/>
            <wp:effectExtent l="0" t="0" r="8890" b="0"/>
            <wp:wrapTight wrapText="bothSides">
              <wp:wrapPolygon edited="0">
                <wp:start x="0" y="0"/>
                <wp:lineTo x="0" y="21496"/>
                <wp:lineTo x="21575" y="21496"/>
                <wp:lineTo x="21575" y="0"/>
                <wp:lineTo x="0" y="0"/>
              </wp:wrapPolygon>
            </wp:wrapTight>
            <wp:docPr id="124270799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235604" name=""/>
                    <pic:cNvPicPr/>
                  </pic:nvPicPr>
                  <pic:blipFill>
                    <a:blip r:embed="rId17">
                      <a:extLst>
                        <a:ext uri="{96DAC541-7B7A-43D3-8B79-37D633B846F1}">
                          <asvg:svgBlip xmlns:asvg="http://schemas.microsoft.com/office/drawing/2016/SVG/main" r:embed="rId18"/>
                        </a:ext>
                      </a:extLst>
                    </a:blip>
                    <a:srcRect/>
                    <a:stretch>
                      <a:fillRect/>
                    </a:stretch>
                  </pic:blipFill>
                  <pic:spPr>
                    <a:xfrm>
                      <a:off x="0" y="0"/>
                      <a:ext cx="8773160" cy="4996180"/>
                    </a:xfrm>
                    <a:prstGeom prst="rect">
                      <a:avLst/>
                    </a:prstGeom>
                  </pic:spPr>
                </pic:pic>
              </a:graphicData>
            </a:graphic>
            <wp14:sizeRelH relativeFrom="margin">
              <wp14:pctWidth>0</wp14:pctWidth>
            </wp14:sizeRelH>
            <wp14:sizeRelV relativeFrom="margin">
              <wp14:pctHeight>0</wp14:pctHeight>
            </wp14:sizeRelV>
          </wp:anchor>
        </w:drawing>
      </w:r>
    </w:p>
    <w:p w14:paraId="3CCA946B" w14:textId="1E83A0F0" w:rsidR="003210C0" w:rsidRDefault="003210C0" w:rsidP="5F996B1C">
      <w:pPr>
        <w:rPr>
          <w:rFonts w:eastAsiaTheme="minorEastAsia"/>
          <w:b/>
          <w:bCs/>
          <w:sz w:val="24"/>
          <w:szCs w:val="24"/>
        </w:rPr>
      </w:pPr>
    </w:p>
    <w:p w14:paraId="7575DAEC" w14:textId="64D97BE1" w:rsidR="003210C0" w:rsidRDefault="003210C0" w:rsidP="5F996B1C">
      <w:pPr>
        <w:rPr>
          <w:rFonts w:eastAsiaTheme="minorEastAsia"/>
          <w:b/>
          <w:bCs/>
          <w:sz w:val="24"/>
          <w:szCs w:val="24"/>
        </w:rPr>
      </w:pPr>
    </w:p>
    <w:p w14:paraId="0AD6FE44" w14:textId="77777777" w:rsidR="003210C0" w:rsidRDefault="003210C0" w:rsidP="5F996B1C">
      <w:pPr>
        <w:rPr>
          <w:rFonts w:eastAsiaTheme="minorEastAsia"/>
          <w:b/>
          <w:bCs/>
          <w:sz w:val="24"/>
          <w:szCs w:val="24"/>
        </w:rPr>
      </w:pPr>
    </w:p>
    <w:p w14:paraId="17285188" w14:textId="77777777" w:rsidR="003210C0" w:rsidRDefault="003210C0" w:rsidP="5F996B1C">
      <w:pPr>
        <w:rPr>
          <w:rFonts w:eastAsiaTheme="minorEastAsia"/>
          <w:b/>
          <w:bCs/>
          <w:sz w:val="24"/>
          <w:szCs w:val="24"/>
        </w:rPr>
      </w:pPr>
    </w:p>
    <w:p w14:paraId="4254791E" w14:textId="77777777" w:rsidR="003210C0" w:rsidRDefault="003210C0" w:rsidP="5F996B1C">
      <w:pPr>
        <w:rPr>
          <w:rFonts w:eastAsiaTheme="minorEastAsia"/>
          <w:b/>
          <w:bCs/>
          <w:sz w:val="24"/>
          <w:szCs w:val="24"/>
        </w:rPr>
      </w:pPr>
    </w:p>
    <w:p w14:paraId="3A39FF4D" w14:textId="77777777" w:rsidR="003210C0" w:rsidRDefault="003210C0" w:rsidP="5F996B1C">
      <w:pPr>
        <w:rPr>
          <w:rFonts w:eastAsiaTheme="minorEastAsia"/>
          <w:b/>
          <w:bCs/>
          <w:sz w:val="24"/>
          <w:szCs w:val="24"/>
        </w:rPr>
      </w:pPr>
    </w:p>
    <w:p w14:paraId="587B2E48" w14:textId="77777777" w:rsidR="003210C0" w:rsidRDefault="003210C0" w:rsidP="5F996B1C">
      <w:pPr>
        <w:rPr>
          <w:rFonts w:eastAsiaTheme="minorEastAsia"/>
          <w:b/>
          <w:bCs/>
          <w:sz w:val="24"/>
          <w:szCs w:val="24"/>
        </w:rPr>
      </w:pPr>
    </w:p>
    <w:p w14:paraId="313AF6B7" w14:textId="77777777" w:rsidR="003210C0" w:rsidRDefault="003210C0" w:rsidP="5F996B1C">
      <w:pPr>
        <w:rPr>
          <w:rFonts w:eastAsiaTheme="minorEastAsia"/>
          <w:b/>
          <w:bCs/>
          <w:sz w:val="24"/>
          <w:szCs w:val="24"/>
        </w:rPr>
      </w:pPr>
    </w:p>
    <w:p w14:paraId="1E115BAE" w14:textId="77777777" w:rsidR="00F76A4E" w:rsidRDefault="00F76A4E" w:rsidP="5F996B1C">
      <w:pPr>
        <w:rPr>
          <w:rFonts w:eastAsiaTheme="minorEastAsia"/>
          <w:b/>
          <w:bCs/>
          <w:sz w:val="24"/>
          <w:szCs w:val="24"/>
        </w:rPr>
      </w:pPr>
    </w:p>
    <w:p w14:paraId="0C9879C8" w14:textId="77777777" w:rsidR="00F76A4E" w:rsidRDefault="00F76A4E" w:rsidP="5F996B1C">
      <w:pPr>
        <w:rPr>
          <w:rFonts w:eastAsiaTheme="minorEastAsia"/>
          <w:b/>
          <w:bCs/>
          <w:sz w:val="24"/>
          <w:szCs w:val="24"/>
        </w:rPr>
      </w:pPr>
    </w:p>
    <w:p w14:paraId="0D3D0EF9" w14:textId="77777777" w:rsidR="00F76A4E" w:rsidRDefault="00F76A4E" w:rsidP="5F996B1C">
      <w:pPr>
        <w:rPr>
          <w:rFonts w:eastAsiaTheme="minorEastAsia"/>
          <w:b/>
          <w:bCs/>
          <w:sz w:val="24"/>
          <w:szCs w:val="24"/>
        </w:rPr>
      </w:pPr>
    </w:p>
    <w:p w14:paraId="531F36FA" w14:textId="77777777" w:rsidR="00F76A4E" w:rsidRDefault="00F76A4E" w:rsidP="5F996B1C">
      <w:pPr>
        <w:rPr>
          <w:rFonts w:eastAsiaTheme="minorEastAsia"/>
          <w:b/>
          <w:bCs/>
          <w:sz w:val="24"/>
          <w:szCs w:val="24"/>
        </w:rPr>
      </w:pPr>
    </w:p>
    <w:p w14:paraId="0FE875D3" w14:textId="77777777" w:rsidR="00F76A4E" w:rsidRDefault="00F76A4E" w:rsidP="5F996B1C">
      <w:pPr>
        <w:rPr>
          <w:rFonts w:eastAsiaTheme="minorEastAsia"/>
          <w:b/>
          <w:bCs/>
          <w:sz w:val="24"/>
          <w:szCs w:val="24"/>
        </w:rPr>
      </w:pPr>
    </w:p>
    <w:p w14:paraId="758CE709" w14:textId="77777777" w:rsidR="00F76A4E" w:rsidRDefault="00F76A4E" w:rsidP="5F996B1C">
      <w:pPr>
        <w:rPr>
          <w:rFonts w:eastAsiaTheme="minorEastAsia"/>
          <w:b/>
          <w:bCs/>
          <w:sz w:val="24"/>
          <w:szCs w:val="24"/>
        </w:rPr>
      </w:pPr>
    </w:p>
    <w:p w14:paraId="4479D267" w14:textId="77777777" w:rsidR="003210C0" w:rsidRDefault="003210C0" w:rsidP="5F996B1C">
      <w:pPr>
        <w:rPr>
          <w:rFonts w:eastAsiaTheme="minorEastAsia"/>
          <w:b/>
          <w:bCs/>
          <w:sz w:val="24"/>
          <w:szCs w:val="24"/>
        </w:rPr>
      </w:pPr>
    </w:p>
    <w:p w14:paraId="0681B812" w14:textId="77777777" w:rsidR="003210C0" w:rsidRDefault="003210C0" w:rsidP="5F996B1C">
      <w:pPr>
        <w:rPr>
          <w:rFonts w:eastAsiaTheme="minorEastAsia"/>
          <w:b/>
          <w:bCs/>
          <w:sz w:val="24"/>
          <w:szCs w:val="24"/>
        </w:rPr>
      </w:pPr>
    </w:p>
    <w:p w14:paraId="6FF97C5A" w14:textId="77777777" w:rsidR="00AA15F0" w:rsidRDefault="00AA15F0" w:rsidP="5F996B1C">
      <w:pPr>
        <w:rPr>
          <w:rFonts w:eastAsiaTheme="minorEastAsia"/>
          <w:b/>
          <w:bCs/>
          <w:sz w:val="24"/>
          <w:szCs w:val="24"/>
        </w:rPr>
      </w:pPr>
    </w:p>
    <w:p w14:paraId="791EE60D" w14:textId="5974C6BF" w:rsidR="00412392" w:rsidRPr="00412392" w:rsidRDefault="00412392" w:rsidP="5F996B1C">
      <w:pPr>
        <w:rPr>
          <w:rFonts w:eastAsiaTheme="minorEastAsia"/>
          <w:sz w:val="24"/>
          <w:szCs w:val="24"/>
        </w:rPr>
      </w:pPr>
      <w:r w:rsidRPr="5F996B1C">
        <w:rPr>
          <w:rFonts w:eastAsiaTheme="minorEastAsia"/>
          <w:b/>
          <w:bCs/>
          <w:sz w:val="24"/>
          <w:szCs w:val="24"/>
        </w:rPr>
        <w:t xml:space="preserve">Appendix </w:t>
      </w:r>
      <w:r w:rsidR="00F76A4E">
        <w:rPr>
          <w:rFonts w:eastAsiaTheme="minorEastAsia"/>
          <w:b/>
          <w:bCs/>
          <w:sz w:val="24"/>
          <w:szCs w:val="24"/>
        </w:rPr>
        <w:t xml:space="preserve">2: </w:t>
      </w:r>
      <w:r w:rsidRPr="5F996B1C">
        <w:rPr>
          <w:rFonts w:eastAsiaTheme="minorEastAsia"/>
          <w:b/>
          <w:bCs/>
          <w:sz w:val="24"/>
          <w:szCs w:val="24"/>
        </w:rPr>
        <w:t xml:space="preserve"> Risks and Issue Summary</w:t>
      </w:r>
      <w:r w:rsidRPr="5F996B1C">
        <w:rPr>
          <w:rFonts w:eastAsiaTheme="minorEastAsia"/>
          <w:sz w:val="24"/>
          <w:szCs w:val="24"/>
        </w:rPr>
        <w:t xml:space="preserve"> </w:t>
      </w:r>
    </w:p>
    <w:p w14:paraId="22D905FE" w14:textId="6AF56541" w:rsidR="00412392" w:rsidRPr="00AA15F0" w:rsidRDefault="46ED914F" w:rsidP="0806CA8A">
      <w:pPr>
        <w:rPr>
          <w:rFonts w:eastAsiaTheme="minorEastAsia"/>
          <w:b/>
          <w:bCs/>
        </w:rPr>
      </w:pPr>
      <w:r w:rsidRPr="00AA15F0">
        <w:rPr>
          <w:rFonts w:eastAsiaTheme="minorEastAsia"/>
          <w:b/>
          <w:bCs/>
        </w:rPr>
        <w:t xml:space="preserve">Open Risks </w:t>
      </w:r>
    </w:p>
    <w:tbl>
      <w:tblPr>
        <w:tblStyle w:val="TableGrid"/>
        <w:tblW w:w="15583" w:type="dxa"/>
        <w:tblLook w:val="06A0" w:firstRow="1" w:lastRow="0" w:firstColumn="1" w:lastColumn="0" w:noHBand="1" w:noVBand="1"/>
      </w:tblPr>
      <w:tblGrid>
        <w:gridCol w:w="635"/>
        <w:gridCol w:w="4348"/>
        <w:gridCol w:w="3634"/>
        <w:gridCol w:w="848"/>
        <w:gridCol w:w="6118"/>
      </w:tblGrid>
      <w:tr w:rsidR="00AA15F0" w:rsidRPr="00AA15F0" w14:paraId="7C413DD9" w14:textId="77777777" w:rsidTr="00AA15F0">
        <w:trPr>
          <w:trHeight w:val="300"/>
        </w:trPr>
        <w:tc>
          <w:tcPr>
            <w:tcW w:w="64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7094B3C2" w14:textId="46F092EB"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 xml:space="preserve">ID </w:t>
            </w:r>
          </w:p>
        </w:tc>
        <w:tc>
          <w:tcPr>
            <w:tcW w:w="443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08F34F26" w14:textId="3770AA13"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 xml:space="preserve">Description </w:t>
            </w:r>
          </w:p>
        </w:tc>
        <w:tc>
          <w:tcPr>
            <w:tcW w:w="369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1DEFBED2" w14:textId="0C2E954F"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 xml:space="preserve">Cause/Impact </w:t>
            </w:r>
          </w:p>
        </w:tc>
        <w:tc>
          <w:tcPr>
            <w:tcW w:w="53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72F683BA" w14:textId="4F1F11C5"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 xml:space="preserve">Current Rating </w:t>
            </w:r>
          </w:p>
        </w:tc>
        <w:tc>
          <w:tcPr>
            <w:tcW w:w="626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04CD43B3" w14:textId="294A114D"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 xml:space="preserve">Mitigation </w:t>
            </w:r>
          </w:p>
        </w:tc>
      </w:tr>
      <w:tr w:rsidR="00AA15F0" w:rsidRPr="00AA15F0" w14:paraId="7EAEF9AB" w14:textId="77777777" w:rsidTr="00AA15F0">
        <w:trPr>
          <w:trHeight w:val="1656"/>
        </w:trPr>
        <w:tc>
          <w:tcPr>
            <w:tcW w:w="6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4BD853C" w14:textId="7EF6DA8B"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01</w:t>
            </w:r>
          </w:p>
        </w:tc>
        <w:tc>
          <w:tcPr>
            <w:tcW w:w="443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D79A215" w14:textId="3DFC1706" w:rsidR="00AA15F0" w:rsidRPr="00AA15F0" w:rsidRDefault="00AA15F0" w:rsidP="43145311">
            <w:pPr>
              <w:rPr>
                <w:rFonts w:eastAsia="Arial" w:cs="Arial"/>
                <w:sz w:val="18"/>
                <w:szCs w:val="18"/>
              </w:rPr>
            </w:pPr>
            <w:r w:rsidRPr="00AA15F0">
              <w:rPr>
                <w:rFonts w:eastAsia="Arial" w:cs="Arial"/>
                <w:color w:val="000000" w:themeColor="text1"/>
                <w:sz w:val="18"/>
                <w:szCs w:val="18"/>
              </w:rPr>
              <w:t>There is a risk that the wider transformational work could draw focus, capacity, and leadership attention away from the delivery of the recommendations. Both areas are important and interconnected, but the scale and visibility of the transformational work may unintentionally reduce the time and resources available to progress the recommendations at the required pace.</w:t>
            </w:r>
          </w:p>
        </w:tc>
        <w:tc>
          <w:tcPr>
            <w:tcW w:w="36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BBF9F16" w14:textId="1811301A" w:rsidR="00AA15F0" w:rsidRPr="00AA15F0" w:rsidRDefault="00AA15F0" w:rsidP="43145311">
            <w:pPr>
              <w:shd w:val="clear" w:color="auto" w:fill="FFFFFF" w:themeFill="background1"/>
              <w:rPr>
                <w:rFonts w:eastAsia="Arial" w:cs="Arial"/>
                <w:color w:val="000000" w:themeColor="text1"/>
                <w:sz w:val="18"/>
                <w:szCs w:val="18"/>
              </w:rPr>
            </w:pPr>
            <w:r w:rsidRPr="00AA15F0">
              <w:rPr>
                <w:rFonts w:eastAsia="Arial" w:cs="Arial"/>
                <w:color w:val="000000" w:themeColor="text1"/>
                <w:sz w:val="18"/>
                <w:szCs w:val="18"/>
              </w:rPr>
              <w:t>Overlapping priorities, shared resources, and concurrent delivery timelines across workstreams. Slower delivery of recommendations.</w:t>
            </w:r>
          </w:p>
          <w:p w14:paraId="4678A4AB" w14:textId="567F27FD" w:rsidR="00AA15F0" w:rsidRPr="00AA15F0" w:rsidRDefault="00AA15F0" w:rsidP="43145311">
            <w:pPr>
              <w:shd w:val="clear" w:color="auto" w:fill="FFFFFF" w:themeFill="background1"/>
              <w:rPr>
                <w:rFonts w:eastAsia="Arial" w:cs="Arial"/>
                <w:color w:val="000000" w:themeColor="text1"/>
                <w:sz w:val="18"/>
                <w:szCs w:val="18"/>
              </w:rPr>
            </w:pPr>
            <w:r w:rsidRPr="00AA15F0">
              <w:rPr>
                <w:rFonts w:eastAsia="Arial" w:cs="Arial"/>
                <w:color w:val="000000" w:themeColor="text1"/>
                <w:sz w:val="18"/>
                <w:szCs w:val="18"/>
              </w:rPr>
              <w:t>Increased pressure on operational teams managing competing demands</w:t>
            </w:r>
          </w:p>
          <w:p w14:paraId="3BE667D1" w14:textId="161D9D6F" w:rsidR="00AA15F0" w:rsidRPr="00AA15F0" w:rsidRDefault="00AA15F0" w:rsidP="43145311">
            <w:pPr>
              <w:rPr>
                <w:rFonts w:eastAsia="Arial" w:cs="Arial"/>
                <w:color w:val="000000" w:themeColor="text1"/>
                <w:sz w:val="18"/>
                <w:szCs w:val="18"/>
              </w:rPr>
            </w:pPr>
          </w:p>
        </w:tc>
        <w:tc>
          <w:tcPr>
            <w:tcW w:w="53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C000"/>
            <w:tcMar>
              <w:left w:w="108" w:type="dxa"/>
              <w:right w:w="108" w:type="dxa"/>
            </w:tcMar>
            <w:vAlign w:val="center"/>
          </w:tcPr>
          <w:p w14:paraId="7B5029EF" w14:textId="2C7ECB09"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12</w:t>
            </w:r>
          </w:p>
        </w:tc>
        <w:tc>
          <w:tcPr>
            <w:tcW w:w="626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DBA4189" w14:textId="77777777" w:rsidR="00AA15F0" w:rsidRDefault="00AA15F0" w:rsidP="00CF2334">
            <w:pPr>
              <w:shd w:val="clear" w:color="auto" w:fill="FFFFFF" w:themeFill="background1"/>
              <w:rPr>
                <w:rFonts w:eastAsia="Arial" w:cs="Arial"/>
                <w:color w:val="000000" w:themeColor="text1"/>
                <w:sz w:val="18"/>
                <w:szCs w:val="18"/>
              </w:rPr>
            </w:pPr>
            <w:r w:rsidRPr="00AA15F0">
              <w:rPr>
                <w:rFonts w:eastAsia="Arial" w:cs="Arial"/>
                <w:color w:val="000000" w:themeColor="text1"/>
                <w:sz w:val="18"/>
                <w:szCs w:val="18"/>
              </w:rPr>
              <w:t>Agree and communicate a clear prioritisation approach across both work areas. Map interdependencies to understand where sequencing or re</w:t>
            </w:r>
            <w:r w:rsidRPr="00AA15F0">
              <w:rPr>
                <w:sz w:val="18"/>
                <w:szCs w:val="18"/>
              </w:rPr>
              <w:noBreakHyphen/>
            </w:r>
            <w:r w:rsidRPr="00AA15F0">
              <w:rPr>
                <w:rFonts w:eastAsia="Arial" w:cs="Arial"/>
                <w:color w:val="000000" w:themeColor="text1"/>
                <w:sz w:val="18"/>
                <w:szCs w:val="18"/>
              </w:rPr>
              <w:t>balancing is required. Strengthen governance oversight to monitor capacity and avoid priority conflicts. Ensure regular communication to maintain shared understanding of expectations Additional capacity has been secured through two days per week support from a Programme Manager, providing increased oversight, coordination, and delivery support across both work areas</w:t>
            </w:r>
            <w:r w:rsidR="00CF2334">
              <w:rPr>
                <w:rFonts w:eastAsia="Arial" w:cs="Arial"/>
                <w:color w:val="000000" w:themeColor="text1"/>
                <w:sz w:val="18"/>
                <w:szCs w:val="18"/>
              </w:rPr>
              <w:t>.</w:t>
            </w:r>
          </w:p>
          <w:p w14:paraId="583AF683" w14:textId="4C9C016D" w:rsidR="00CF2334" w:rsidRPr="00AA15F0" w:rsidRDefault="00CF2334" w:rsidP="00CF2334">
            <w:pPr>
              <w:shd w:val="clear" w:color="auto" w:fill="FFFFFF" w:themeFill="background1"/>
              <w:rPr>
                <w:rFonts w:eastAsia="Arial" w:cs="Arial"/>
                <w:color w:val="000000" w:themeColor="text1"/>
                <w:sz w:val="18"/>
                <w:szCs w:val="18"/>
              </w:rPr>
            </w:pPr>
          </w:p>
        </w:tc>
      </w:tr>
      <w:tr w:rsidR="00AA15F0" w:rsidRPr="00AA15F0" w14:paraId="7FAB540E" w14:textId="77777777" w:rsidTr="00AA15F0">
        <w:trPr>
          <w:trHeight w:val="300"/>
        </w:trPr>
        <w:tc>
          <w:tcPr>
            <w:tcW w:w="6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E04F640" w14:textId="649F63CA"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02</w:t>
            </w:r>
          </w:p>
        </w:tc>
        <w:tc>
          <w:tcPr>
            <w:tcW w:w="443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99211A7" w14:textId="0EA13B0E"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There is a risk that limited capacity within the Directorate may delay the delivery of key project activities. Reduced availability of staff and competing operational priorities could slow progress across several workstreams, affecting the project’s ability to meet planned timelines.</w:t>
            </w:r>
          </w:p>
        </w:tc>
        <w:tc>
          <w:tcPr>
            <w:tcW w:w="36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316280F" w14:textId="77369D9F"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Limited capacity within the Directorate. Delays may necessitate re</w:t>
            </w:r>
            <w:r w:rsidRPr="00AA15F0">
              <w:rPr>
                <w:sz w:val="18"/>
                <w:szCs w:val="18"/>
              </w:rPr>
              <w:noBreakHyphen/>
            </w:r>
            <w:r w:rsidRPr="00AA15F0">
              <w:rPr>
                <w:rFonts w:eastAsia="Arial" w:cs="Arial"/>
                <w:color w:val="000000" w:themeColor="text1"/>
                <w:sz w:val="18"/>
                <w:szCs w:val="18"/>
              </w:rPr>
              <w:t>prioritisation of activities, extension of the project schedule, or additional support to maintain momentum. This could also impact stakeholder confidence and place increased pressure on existing team members.</w:t>
            </w:r>
          </w:p>
        </w:tc>
        <w:tc>
          <w:tcPr>
            <w:tcW w:w="53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C000"/>
            <w:tcMar>
              <w:left w:w="108" w:type="dxa"/>
              <w:right w:w="108" w:type="dxa"/>
            </w:tcMar>
          </w:tcPr>
          <w:p w14:paraId="03BFA6B0" w14:textId="2C7ECB09"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12</w:t>
            </w:r>
          </w:p>
        </w:tc>
        <w:tc>
          <w:tcPr>
            <w:tcW w:w="626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DA5A1F2" w14:textId="43088CA6"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Weekly scrum meetings to review progress and barriers.</w:t>
            </w:r>
          </w:p>
          <w:p w14:paraId="3B3FA5A9" w14:textId="28C54646" w:rsidR="00AA15F0" w:rsidRPr="00AA15F0" w:rsidRDefault="00AA15F0" w:rsidP="43145311">
            <w:pPr>
              <w:rPr>
                <w:sz w:val="18"/>
                <w:szCs w:val="18"/>
              </w:rPr>
            </w:pPr>
            <w:r w:rsidRPr="00AA15F0">
              <w:rPr>
                <w:rFonts w:eastAsia="Arial" w:cs="Arial"/>
                <w:color w:val="000000" w:themeColor="text1"/>
                <w:sz w:val="18"/>
                <w:szCs w:val="18"/>
              </w:rPr>
              <w:t>Review sequencing of the work.</w:t>
            </w:r>
          </w:p>
          <w:p w14:paraId="72ABF93F" w14:textId="6D6FAD2E" w:rsidR="00AA15F0" w:rsidRPr="00AA15F0" w:rsidRDefault="00AA15F0" w:rsidP="43145311">
            <w:pPr>
              <w:rPr>
                <w:sz w:val="18"/>
                <w:szCs w:val="18"/>
              </w:rPr>
            </w:pPr>
            <w:r w:rsidRPr="00AA15F0">
              <w:rPr>
                <w:rFonts w:eastAsia="Arial" w:cs="Arial"/>
                <w:color w:val="000000" w:themeColor="text1"/>
                <w:sz w:val="18"/>
                <w:szCs w:val="18"/>
              </w:rPr>
              <w:t>Escalation of resource gaps to the SRO and Project board where applicable. Map interdependencies to understand where sequencing or re</w:t>
            </w:r>
            <w:r w:rsidRPr="00AA15F0">
              <w:rPr>
                <w:sz w:val="18"/>
                <w:szCs w:val="18"/>
              </w:rPr>
              <w:noBreakHyphen/>
            </w:r>
            <w:r w:rsidRPr="00AA15F0">
              <w:rPr>
                <w:rFonts w:eastAsia="Arial" w:cs="Arial"/>
                <w:color w:val="000000" w:themeColor="text1"/>
                <w:sz w:val="18"/>
                <w:szCs w:val="18"/>
              </w:rPr>
              <w:t>balancing is required.</w:t>
            </w:r>
          </w:p>
          <w:p w14:paraId="099B8067" w14:textId="4B5A9E44" w:rsidR="00AA15F0" w:rsidRPr="00AA15F0" w:rsidRDefault="00AA15F0" w:rsidP="43145311">
            <w:pPr>
              <w:rPr>
                <w:sz w:val="18"/>
                <w:szCs w:val="18"/>
              </w:rPr>
            </w:pPr>
            <w:r w:rsidRPr="00AA15F0">
              <w:rPr>
                <w:rFonts w:eastAsia="Arial" w:cs="Arial"/>
                <w:color w:val="000000" w:themeColor="text1"/>
                <w:sz w:val="18"/>
                <w:szCs w:val="18"/>
              </w:rPr>
              <w:t>Strengthen governance oversight to monitor capacity and avoid priority conflicts.</w:t>
            </w:r>
          </w:p>
          <w:p w14:paraId="5304BE84" w14:textId="0425FEDF" w:rsidR="00AA15F0" w:rsidRPr="00AA15F0" w:rsidRDefault="00AA15F0" w:rsidP="43145311">
            <w:pPr>
              <w:rPr>
                <w:sz w:val="18"/>
                <w:szCs w:val="18"/>
              </w:rPr>
            </w:pPr>
            <w:r w:rsidRPr="00AA15F0">
              <w:rPr>
                <w:rFonts w:eastAsia="Arial" w:cs="Arial"/>
                <w:color w:val="000000" w:themeColor="text1"/>
                <w:sz w:val="18"/>
                <w:szCs w:val="18"/>
              </w:rPr>
              <w:t>Ensure regular communication to maintain shared understanding of expectations</w:t>
            </w:r>
          </w:p>
          <w:p w14:paraId="015F55B2" w14:textId="001BFFD1" w:rsidR="00AA15F0" w:rsidRPr="00AA15F0" w:rsidRDefault="00AA15F0" w:rsidP="43145311">
            <w:pPr>
              <w:rPr>
                <w:sz w:val="18"/>
                <w:szCs w:val="18"/>
              </w:rPr>
            </w:pPr>
            <w:r w:rsidRPr="00AA15F0">
              <w:rPr>
                <w:rFonts w:eastAsia="Arial" w:cs="Arial"/>
                <w:color w:val="000000" w:themeColor="text1"/>
                <w:sz w:val="18"/>
                <w:szCs w:val="18"/>
              </w:rPr>
              <w:t>Additional capacity has been secured through two days per week support from a Programme Manager and also support from Shaping Change team.</w:t>
            </w:r>
          </w:p>
          <w:p w14:paraId="7A2AFDE4" w14:textId="29EA1BE5" w:rsidR="00AA15F0" w:rsidRPr="00AA15F0" w:rsidRDefault="00AA15F0" w:rsidP="43145311">
            <w:pPr>
              <w:rPr>
                <w:rFonts w:eastAsia="Arial" w:cs="Arial"/>
                <w:color w:val="000000" w:themeColor="text1"/>
                <w:sz w:val="18"/>
                <w:szCs w:val="18"/>
              </w:rPr>
            </w:pPr>
          </w:p>
        </w:tc>
      </w:tr>
      <w:tr w:rsidR="00AA15F0" w:rsidRPr="00AA15F0" w14:paraId="45E85E47" w14:textId="77777777" w:rsidTr="00AA15F0">
        <w:trPr>
          <w:trHeight w:val="300"/>
        </w:trPr>
        <w:tc>
          <w:tcPr>
            <w:tcW w:w="6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3BA7921" w14:textId="59EC4640"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03</w:t>
            </w:r>
          </w:p>
        </w:tc>
        <w:tc>
          <w:tcPr>
            <w:tcW w:w="443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B2E997" w14:textId="4B4DD7E6"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There is a risk that limited capacity within People &amp; Culture and ECOD reduces the teams’ ability to support this project effectively due to competing demands from other programmes and projects.</w:t>
            </w:r>
          </w:p>
        </w:tc>
        <w:tc>
          <w:tcPr>
            <w:tcW w:w="36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E59AE7" w14:textId="5F13FAF2"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Delays to decision-making, reviews, and approvals. Delays to decision-making, reviews, and approvals Reduced availability for project support activities</w:t>
            </w:r>
          </w:p>
          <w:p w14:paraId="48A6D9CF" w14:textId="74995305" w:rsidR="00AA15F0" w:rsidRPr="00AA15F0" w:rsidRDefault="00AA15F0" w:rsidP="43145311">
            <w:pPr>
              <w:rPr>
                <w:sz w:val="18"/>
                <w:szCs w:val="18"/>
              </w:rPr>
            </w:pPr>
            <w:r w:rsidRPr="00AA15F0">
              <w:rPr>
                <w:rFonts w:eastAsia="Arial" w:cs="Arial"/>
                <w:color w:val="000000" w:themeColor="text1"/>
                <w:sz w:val="18"/>
                <w:szCs w:val="18"/>
              </w:rPr>
              <w:t>Slippage to planned milestones and delivery timelines Increased risk to quality due to compressed timescales or reduced input Potential misalignment between project outcomes and organisational needs</w:t>
            </w:r>
          </w:p>
          <w:p w14:paraId="60EC9F19" w14:textId="7E89ABBC" w:rsidR="00AA15F0" w:rsidRPr="00AA15F0" w:rsidRDefault="00AA15F0" w:rsidP="43145311">
            <w:pPr>
              <w:rPr>
                <w:rFonts w:eastAsia="Arial" w:cs="Arial"/>
                <w:color w:val="000000" w:themeColor="text1"/>
                <w:sz w:val="18"/>
                <w:szCs w:val="18"/>
              </w:rPr>
            </w:pPr>
          </w:p>
        </w:tc>
        <w:tc>
          <w:tcPr>
            <w:tcW w:w="53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C000"/>
            <w:tcMar>
              <w:left w:w="108" w:type="dxa"/>
              <w:right w:w="108" w:type="dxa"/>
            </w:tcMar>
          </w:tcPr>
          <w:p w14:paraId="1A9FD549" w14:textId="6956083B" w:rsidR="00AA15F0" w:rsidRPr="00AA15F0" w:rsidRDefault="00AA15F0" w:rsidP="43145311">
            <w:pPr>
              <w:jc w:val="center"/>
              <w:rPr>
                <w:rFonts w:eastAsia="Arial" w:cs="Arial"/>
                <w:b/>
                <w:bCs/>
                <w:color w:val="FFFFFF" w:themeColor="background1"/>
                <w:sz w:val="18"/>
                <w:szCs w:val="18"/>
              </w:rPr>
            </w:pPr>
            <w:r w:rsidRPr="00AA15F0">
              <w:rPr>
                <w:rFonts w:eastAsia="Arial" w:cs="Arial"/>
                <w:b/>
                <w:bCs/>
                <w:color w:val="FFFFFF" w:themeColor="background1"/>
                <w:sz w:val="18"/>
                <w:szCs w:val="18"/>
              </w:rPr>
              <w:t>12</w:t>
            </w:r>
          </w:p>
        </w:tc>
        <w:tc>
          <w:tcPr>
            <w:tcW w:w="626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209583B" w14:textId="5546AC9D"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Weekly scrums are in place with People &amp; Culture and ECOD representatives to review workload, priorities, and emerging capacity pressures.</w:t>
            </w:r>
          </w:p>
          <w:p w14:paraId="70D5692A" w14:textId="71D4B07B" w:rsidR="00AA15F0" w:rsidRPr="00AA15F0" w:rsidRDefault="00AA15F0" w:rsidP="43145311">
            <w:pPr>
              <w:rPr>
                <w:rFonts w:eastAsia="Arial" w:cs="Arial"/>
                <w:color w:val="000000" w:themeColor="text1"/>
                <w:sz w:val="18"/>
                <w:szCs w:val="18"/>
              </w:rPr>
            </w:pPr>
            <w:r w:rsidRPr="00AA15F0">
              <w:rPr>
                <w:rFonts w:eastAsia="Arial" w:cs="Arial"/>
                <w:color w:val="000000" w:themeColor="text1"/>
                <w:sz w:val="18"/>
                <w:szCs w:val="18"/>
              </w:rPr>
              <w:t>Established governance forums are used to agree priorities, manage dependencies, and resolve conflicts across programmes and projects.</w:t>
            </w:r>
          </w:p>
        </w:tc>
      </w:tr>
    </w:tbl>
    <w:p w14:paraId="7AF3786C" w14:textId="207CA6B3" w:rsidR="00412392" w:rsidRPr="00AA15F0" w:rsidRDefault="00412392" w:rsidP="0806CA8A"/>
    <w:p w14:paraId="5AE7F787" w14:textId="78F23721" w:rsidR="00397332" w:rsidRPr="00AA15F0" w:rsidRDefault="00397332" w:rsidP="0806CA8A">
      <w:pPr>
        <w:rPr>
          <w:rFonts w:eastAsiaTheme="minorEastAsia"/>
          <w:sz w:val="28"/>
          <w:szCs w:val="28"/>
        </w:rPr>
      </w:pPr>
    </w:p>
    <w:p w14:paraId="4C5303FE" w14:textId="62956655" w:rsidR="00397332" w:rsidRPr="00AA15F0" w:rsidRDefault="1A9C9636" w:rsidP="0806CA8A">
      <w:pPr>
        <w:rPr>
          <w:rFonts w:eastAsiaTheme="minorEastAsia"/>
          <w:b/>
          <w:bCs/>
          <w:sz w:val="20"/>
          <w:szCs w:val="20"/>
        </w:rPr>
      </w:pPr>
      <w:r w:rsidRPr="00AA15F0">
        <w:rPr>
          <w:rFonts w:eastAsiaTheme="minorEastAsia"/>
          <w:b/>
          <w:bCs/>
          <w:sz w:val="20"/>
          <w:szCs w:val="20"/>
        </w:rPr>
        <w:t>Open Issues</w:t>
      </w:r>
    </w:p>
    <w:tbl>
      <w:tblPr>
        <w:tblStyle w:val="TableGrid"/>
        <w:tblW w:w="15583" w:type="dxa"/>
        <w:tblLook w:val="06A0" w:firstRow="1" w:lastRow="0" w:firstColumn="1" w:lastColumn="0" w:noHBand="1" w:noVBand="1"/>
      </w:tblPr>
      <w:tblGrid>
        <w:gridCol w:w="643"/>
        <w:gridCol w:w="4463"/>
        <w:gridCol w:w="3492"/>
        <w:gridCol w:w="739"/>
        <w:gridCol w:w="6246"/>
      </w:tblGrid>
      <w:tr w:rsidR="43145311" w:rsidRPr="00AA15F0" w14:paraId="49E37D30" w14:textId="77777777" w:rsidTr="00A61D7D">
        <w:trPr>
          <w:trHeight w:val="300"/>
        </w:trPr>
        <w:tc>
          <w:tcPr>
            <w:tcW w:w="64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18301379" w14:textId="46F092EB" w:rsidR="43145311" w:rsidRPr="00CF2334" w:rsidRDefault="43145311"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 xml:space="preserve">ID </w:t>
            </w:r>
          </w:p>
        </w:tc>
        <w:tc>
          <w:tcPr>
            <w:tcW w:w="44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7FCCDB03" w14:textId="3770AA13" w:rsidR="43145311" w:rsidRPr="00CF2334" w:rsidRDefault="43145311"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 xml:space="preserve">Description </w:t>
            </w:r>
          </w:p>
        </w:tc>
        <w:tc>
          <w:tcPr>
            <w:tcW w:w="35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1854B8AA" w14:textId="0C2E954F" w:rsidR="43145311" w:rsidRPr="00CF2334" w:rsidRDefault="43145311"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 xml:space="preserve">Cause/Impact </w:t>
            </w:r>
          </w:p>
        </w:tc>
        <w:tc>
          <w:tcPr>
            <w:tcW w:w="66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4EEDD0D8" w14:textId="60034F99" w:rsidR="6C73EA77" w:rsidRPr="00CF2334" w:rsidRDefault="6C73EA77"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 xml:space="preserve">Rating </w:t>
            </w:r>
          </w:p>
        </w:tc>
        <w:tc>
          <w:tcPr>
            <w:tcW w:w="628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5B0E1" w:themeFill="accent1" w:themeFillTint="99"/>
            <w:tcMar>
              <w:left w:w="108" w:type="dxa"/>
              <w:right w:w="108" w:type="dxa"/>
            </w:tcMar>
          </w:tcPr>
          <w:p w14:paraId="6C173515" w14:textId="65D87B98" w:rsidR="6C73EA77" w:rsidRPr="00CF2334" w:rsidRDefault="6C73EA77"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 xml:space="preserve">Actions </w:t>
            </w:r>
          </w:p>
        </w:tc>
      </w:tr>
      <w:tr w:rsidR="43145311" w:rsidRPr="00AA15F0" w14:paraId="362106D5" w14:textId="77777777" w:rsidTr="00A61D7D">
        <w:trPr>
          <w:trHeight w:val="1545"/>
        </w:trPr>
        <w:tc>
          <w:tcPr>
            <w:tcW w:w="6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1AC553E" w14:textId="7EF6DA8B" w:rsidR="43145311" w:rsidRPr="00CF2334" w:rsidRDefault="43145311" w:rsidP="43145311">
            <w:pPr>
              <w:rPr>
                <w:rFonts w:eastAsia="Arial" w:cs="Arial"/>
                <w:color w:val="000000" w:themeColor="text1"/>
                <w:sz w:val="18"/>
                <w:szCs w:val="18"/>
              </w:rPr>
            </w:pPr>
            <w:r w:rsidRPr="00CF2334">
              <w:rPr>
                <w:rFonts w:eastAsia="Arial" w:cs="Arial"/>
                <w:color w:val="000000" w:themeColor="text1"/>
                <w:sz w:val="18"/>
                <w:szCs w:val="18"/>
              </w:rPr>
              <w:t>01</w:t>
            </w:r>
          </w:p>
        </w:tc>
        <w:tc>
          <w:tcPr>
            <w:tcW w:w="448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0CAF7FD" w14:textId="6BA658D1" w:rsidR="74195EDF" w:rsidRPr="00CF2334" w:rsidRDefault="74195EDF" w:rsidP="43145311">
            <w:pPr>
              <w:rPr>
                <w:rFonts w:eastAsia="Arial" w:cs="Arial"/>
                <w:color w:val="000000" w:themeColor="text1"/>
                <w:sz w:val="18"/>
                <w:szCs w:val="18"/>
              </w:rPr>
            </w:pPr>
            <w:r w:rsidRPr="00CF2334">
              <w:rPr>
                <w:rFonts w:eastAsia="Arial" w:cs="Arial"/>
                <w:color w:val="000000" w:themeColor="text1"/>
                <w:sz w:val="18"/>
                <w:szCs w:val="18"/>
              </w:rPr>
              <w:t xml:space="preserve">Current project activity would benefit from stronger coordination across workstreams. There is a need for improved clarity around planning, ownership, and communication to ensure that activities are </w:t>
            </w:r>
            <w:r w:rsidR="2878DB77" w:rsidRPr="00CF2334">
              <w:rPr>
                <w:rFonts w:eastAsia="Arial" w:cs="Arial"/>
                <w:color w:val="000000" w:themeColor="text1"/>
                <w:sz w:val="18"/>
                <w:szCs w:val="18"/>
              </w:rPr>
              <w:t>aligned,</w:t>
            </w:r>
            <w:r w:rsidRPr="00CF2334">
              <w:rPr>
                <w:rFonts w:eastAsia="Arial" w:cs="Arial"/>
                <w:color w:val="000000" w:themeColor="text1"/>
                <w:sz w:val="18"/>
                <w:szCs w:val="18"/>
              </w:rPr>
              <w:t xml:space="preserve"> and key dependencies are fully understood</w:t>
            </w:r>
          </w:p>
        </w:tc>
        <w:tc>
          <w:tcPr>
            <w:tcW w:w="3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18C6DA6" w14:textId="68FCD956" w:rsidR="74195EDF" w:rsidRPr="00CF2334" w:rsidRDefault="74195EDF" w:rsidP="43145311">
            <w:pPr>
              <w:rPr>
                <w:rFonts w:eastAsia="Arial" w:cs="Arial"/>
                <w:sz w:val="18"/>
                <w:szCs w:val="18"/>
              </w:rPr>
            </w:pPr>
            <w:r w:rsidRPr="00CF2334">
              <w:rPr>
                <w:rFonts w:eastAsia="Arial" w:cs="Arial"/>
                <w:color w:val="000000" w:themeColor="text1"/>
                <w:sz w:val="18"/>
                <w:szCs w:val="18"/>
              </w:rPr>
              <w:t>Without enhanced coordination, there is a risk of misaligned work, duplicated effort, unclear responsibilities, and delays in project delivery.</w:t>
            </w:r>
          </w:p>
        </w:tc>
        <w:tc>
          <w:tcPr>
            <w:tcW w:w="66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C000"/>
            <w:tcMar>
              <w:left w:w="108" w:type="dxa"/>
              <w:right w:w="108" w:type="dxa"/>
            </w:tcMar>
            <w:vAlign w:val="center"/>
          </w:tcPr>
          <w:p w14:paraId="6D9AC38A" w14:textId="5224A137" w:rsidR="74195EDF" w:rsidRPr="00CF2334" w:rsidRDefault="74195EDF" w:rsidP="43145311">
            <w:pPr>
              <w:jc w:val="center"/>
              <w:rPr>
                <w:rFonts w:eastAsia="Arial" w:cs="Arial"/>
                <w:b/>
                <w:bCs/>
                <w:color w:val="FFFFFF" w:themeColor="background1"/>
                <w:sz w:val="18"/>
                <w:szCs w:val="18"/>
              </w:rPr>
            </w:pPr>
            <w:r w:rsidRPr="00CF2334">
              <w:rPr>
                <w:rFonts w:eastAsia="Arial" w:cs="Arial"/>
                <w:b/>
                <w:bCs/>
                <w:color w:val="FFFFFF" w:themeColor="background1"/>
                <w:sz w:val="18"/>
                <w:szCs w:val="18"/>
              </w:rPr>
              <w:t>9</w:t>
            </w:r>
          </w:p>
        </w:tc>
        <w:tc>
          <w:tcPr>
            <w:tcW w:w="628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934107B" w14:textId="32B2FAFC" w:rsidR="74195EDF" w:rsidRPr="00CF2334" w:rsidRDefault="74195EDF" w:rsidP="43145311">
            <w:pPr>
              <w:rPr>
                <w:rFonts w:eastAsia="Arial" w:cs="Arial"/>
                <w:sz w:val="18"/>
                <w:szCs w:val="18"/>
              </w:rPr>
            </w:pPr>
            <w:r w:rsidRPr="00CF2334">
              <w:rPr>
                <w:rFonts w:eastAsia="Arial" w:cs="Arial"/>
                <w:color w:val="000000" w:themeColor="text1"/>
                <w:sz w:val="18"/>
                <w:szCs w:val="18"/>
              </w:rPr>
              <w:t>Additional capacity has been secured through two days per week support from a Programme Manager and also support from Shaping Change team</w:t>
            </w:r>
          </w:p>
        </w:tc>
      </w:tr>
    </w:tbl>
    <w:p w14:paraId="08B7A609" w14:textId="450EA16B" w:rsidR="43145311" w:rsidRDefault="43145311"/>
    <w:p w14:paraId="0DB2B203" w14:textId="6AC10AA7" w:rsidR="43145311" w:rsidRDefault="43145311" w:rsidP="43145311">
      <w:pPr>
        <w:rPr>
          <w:rFonts w:eastAsiaTheme="minorEastAsia"/>
          <w:sz w:val="28"/>
          <w:szCs w:val="28"/>
        </w:rPr>
      </w:pPr>
    </w:p>
    <w:p w14:paraId="011D6B47" w14:textId="12B41AA0" w:rsidR="00397332" w:rsidRPr="00397332" w:rsidRDefault="00397332" w:rsidP="549B974B">
      <w:pPr>
        <w:rPr>
          <w:rFonts w:eastAsiaTheme="minorEastAsia"/>
          <w:sz w:val="28"/>
          <w:szCs w:val="28"/>
        </w:rPr>
      </w:pPr>
    </w:p>
    <w:sectPr w:rsidR="00397332" w:rsidRPr="00397332" w:rsidSect="0068125D">
      <w:headerReference w:type="default" r:id="rId19"/>
      <w:footerReference w:type="default" r:id="rId20"/>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455C7" w14:textId="77777777" w:rsidR="00B7713F" w:rsidRDefault="00B7713F" w:rsidP="00061F72">
      <w:pPr>
        <w:spacing w:after="0" w:line="240" w:lineRule="auto"/>
      </w:pPr>
      <w:r>
        <w:separator/>
      </w:r>
    </w:p>
  </w:endnote>
  <w:endnote w:type="continuationSeparator" w:id="0">
    <w:p w14:paraId="7C6BED0D" w14:textId="77777777" w:rsidR="00B7713F" w:rsidRDefault="00B7713F" w:rsidP="00061F72">
      <w:pPr>
        <w:spacing w:after="0" w:line="240" w:lineRule="auto"/>
      </w:pPr>
      <w:r>
        <w:continuationSeparator/>
      </w:r>
    </w:p>
  </w:endnote>
  <w:endnote w:type="continuationNotice" w:id="1">
    <w:p w14:paraId="58B09B4F" w14:textId="77777777" w:rsidR="00B7713F" w:rsidRDefault="00B771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Narrow">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2429282"/>
      <w:docPartObj>
        <w:docPartGallery w:val="Page Numbers (Bottom of Page)"/>
        <w:docPartUnique/>
      </w:docPartObj>
    </w:sdtPr>
    <w:sdtEndPr/>
    <w:sdtContent>
      <w:p w14:paraId="0AE0C4E3" w14:textId="5C8DC128" w:rsidR="007D636E" w:rsidRDefault="007D636E">
        <w:pPr>
          <w:pStyle w:val="Footer"/>
        </w:pPr>
        <w:r>
          <w:fldChar w:fldCharType="begin"/>
        </w:r>
        <w:r>
          <w:instrText>PAGE   \* MERGEFORMAT</w:instrText>
        </w:r>
        <w:r>
          <w:fldChar w:fldCharType="separate"/>
        </w:r>
        <w:r>
          <w:t>2</w:t>
        </w:r>
        <w:r>
          <w:fldChar w:fldCharType="end"/>
        </w:r>
      </w:p>
    </w:sdtContent>
  </w:sdt>
  <w:p w14:paraId="05AEE672" w14:textId="77777777" w:rsidR="00A0129E" w:rsidRDefault="00A01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DEBEBF" w14:textId="77777777" w:rsidR="00B7713F" w:rsidRDefault="00B7713F" w:rsidP="00061F72">
      <w:pPr>
        <w:spacing w:after="0" w:line="240" w:lineRule="auto"/>
      </w:pPr>
      <w:r>
        <w:separator/>
      </w:r>
    </w:p>
  </w:footnote>
  <w:footnote w:type="continuationSeparator" w:id="0">
    <w:p w14:paraId="2045A5BF" w14:textId="77777777" w:rsidR="00B7713F" w:rsidRDefault="00B7713F" w:rsidP="00061F72">
      <w:pPr>
        <w:spacing w:after="0" w:line="240" w:lineRule="auto"/>
      </w:pPr>
      <w:r>
        <w:continuationSeparator/>
      </w:r>
    </w:p>
  </w:footnote>
  <w:footnote w:type="continuationNotice" w:id="1">
    <w:p w14:paraId="77CB07BB" w14:textId="77777777" w:rsidR="00B7713F" w:rsidRDefault="00B771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E49C2" w14:textId="71CAE066" w:rsidR="007D636E" w:rsidRDefault="7A80212E">
    <w:pPr>
      <w:pStyle w:val="Header"/>
    </w:pPr>
    <w:r>
      <w:rPr>
        <w:noProof/>
      </w:rPr>
      <w:drawing>
        <wp:inline distT="0" distB="0" distL="0" distR="0" wp14:anchorId="24E804F8" wp14:editId="1ED7EE68">
          <wp:extent cx="1455420" cy="490855"/>
          <wp:effectExtent l="0" t="0" r="0" b="4445"/>
          <wp:docPr id="19543324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5420" cy="490855"/>
                  </a:xfrm>
                  <a:prstGeom prst="rect">
                    <a:avLst/>
                  </a:prstGeom>
                  <a:noFill/>
                </pic:spPr>
              </pic:pic>
            </a:graphicData>
          </a:graphic>
        </wp:inline>
      </w:drawing>
    </w:r>
    <w:r w:rsidR="7BF8A7F6">
      <w:rPr>
        <w:noProof/>
      </w:rPr>
      <w:drawing>
        <wp:inline distT="0" distB="0" distL="0" distR="0" wp14:anchorId="04E1AC30" wp14:editId="5A9259D3">
          <wp:extent cx="533400" cy="553085"/>
          <wp:effectExtent l="0" t="0" r="0" b="0"/>
          <wp:docPr id="1870974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3400" cy="553085"/>
                  </a:xfrm>
                  <a:prstGeom prst="rect">
                    <a:avLst/>
                  </a:prstGeom>
                  <a:noFill/>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lme7nAhnZmGUNV" int2:id="4yFTlVTN">
      <int2:state int2:value="Rejected" int2:type="spell"/>
    </int2:textHash>
    <int2:textHash int2:hashCode="LT62qz7HJ7uxgl" int2:id="90iVNQWt">
      <int2:state int2:value="Rejected" int2:type="spell"/>
    </int2:textHash>
    <int2:textHash int2:hashCode="xkZBWhYgjYutSQ" int2:id="X4Cf4Ues">
      <int2:state int2:value="Rejected" int2:type="spell"/>
    </int2:textHash>
    <int2:textHash int2:hashCode="cwedXgp9cGyNSh" int2:id="aK9ifNTc">
      <int2:state int2:value="Rejected" int2:type="spell"/>
    </int2:textHash>
    <int2:textHash int2:hashCode="o3+8035xD1cS3r" int2:id="dxcah6Pr">
      <int2:state int2:value="Rejected" int2:type="spell"/>
    </int2:textHash>
    <int2:textHash int2:hashCode="7PX+qaplZ1nm8G" int2:id="e07u1twV">
      <int2:state int2:value="Rejected" int2:type="spell"/>
    </int2:textHash>
    <int2:textHash int2:hashCode="M1fgNlJ7vyBhC3" int2:id="eFvrD8k0">
      <int2:state int2:value="Rejected" int2:type="spell"/>
    </int2:textHash>
    <int2:textHash int2:hashCode="cn4ctar7v1KKlj" int2:id="fUUpVffD">
      <int2:state int2:value="Rejected" int2:type="spell"/>
    </int2:textHash>
    <int2:textHash int2:hashCode="j0sPeR0ppehl6w" int2:id="rRQiajwD">
      <int2:state int2:value="Rejected" int2:type="spell"/>
    </int2:textHash>
    <int2:textHash int2:hashCode="4SOnEK1CW8dhmA" int2:id="w47oNZQU">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A58CF"/>
    <w:multiLevelType w:val="multilevel"/>
    <w:tmpl w:val="81D69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70C66"/>
    <w:multiLevelType w:val="multilevel"/>
    <w:tmpl w:val="8B2C7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F929B8"/>
    <w:multiLevelType w:val="multilevel"/>
    <w:tmpl w:val="6234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DB5CEA"/>
    <w:multiLevelType w:val="multilevel"/>
    <w:tmpl w:val="77825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E023F4"/>
    <w:multiLevelType w:val="hybridMultilevel"/>
    <w:tmpl w:val="11DA2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B3C1A5D"/>
    <w:multiLevelType w:val="hybridMultilevel"/>
    <w:tmpl w:val="FFFFFFFF"/>
    <w:lvl w:ilvl="0" w:tplc="38BA8CB0">
      <w:start w:val="1"/>
      <w:numFmt w:val="bullet"/>
      <w:lvlText w:val=""/>
      <w:lvlJc w:val="left"/>
      <w:pPr>
        <w:ind w:left="720" w:hanging="360"/>
      </w:pPr>
      <w:rPr>
        <w:rFonts w:ascii="Symbol" w:hAnsi="Symbol" w:hint="default"/>
      </w:rPr>
    </w:lvl>
    <w:lvl w:ilvl="1" w:tplc="C6ECEB76">
      <w:start w:val="1"/>
      <w:numFmt w:val="bullet"/>
      <w:lvlText w:val="o"/>
      <w:lvlJc w:val="left"/>
      <w:pPr>
        <w:ind w:left="1440" w:hanging="360"/>
      </w:pPr>
      <w:rPr>
        <w:rFonts w:ascii="Courier New" w:hAnsi="Courier New" w:hint="default"/>
      </w:rPr>
    </w:lvl>
    <w:lvl w:ilvl="2" w:tplc="A782D29C">
      <w:start w:val="1"/>
      <w:numFmt w:val="bullet"/>
      <w:lvlText w:val=""/>
      <w:lvlJc w:val="left"/>
      <w:pPr>
        <w:ind w:left="2160" w:hanging="360"/>
      </w:pPr>
      <w:rPr>
        <w:rFonts w:ascii="Wingdings" w:hAnsi="Wingdings" w:hint="default"/>
      </w:rPr>
    </w:lvl>
    <w:lvl w:ilvl="3" w:tplc="6A8C0E98">
      <w:start w:val="1"/>
      <w:numFmt w:val="bullet"/>
      <w:lvlText w:val=""/>
      <w:lvlJc w:val="left"/>
      <w:pPr>
        <w:ind w:left="2880" w:hanging="360"/>
      </w:pPr>
      <w:rPr>
        <w:rFonts w:ascii="Symbol" w:hAnsi="Symbol" w:hint="default"/>
      </w:rPr>
    </w:lvl>
    <w:lvl w:ilvl="4" w:tplc="399C7626">
      <w:start w:val="1"/>
      <w:numFmt w:val="bullet"/>
      <w:lvlText w:val="o"/>
      <w:lvlJc w:val="left"/>
      <w:pPr>
        <w:ind w:left="3600" w:hanging="360"/>
      </w:pPr>
      <w:rPr>
        <w:rFonts w:ascii="Courier New" w:hAnsi="Courier New" w:hint="default"/>
      </w:rPr>
    </w:lvl>
    <w:lvl w:ilvl="5" w:tplc="208CF940">
      <w:start w:val="1"/>
      <w:numFmt w:val="bullet"/>
      <w:lvlText w:val=""/>
      <w:lvlJc w:val="left"/>
      <w:pPr>
        <w:ind w:left="4320" w:hanging="360"/>
      </w:pPr>
      <w:rPr>
        <w:rFonts w:ascii="Wingdings" w:hAnsi="Wingdings" w:hint="default"/>
      </w:rPr>
    </w:lvl>
    <w:lvl w:ilvl="6" w:tplc="957E9B6C">
      <w:start w:val="1"/>
      <w:numFmt w:val="bullet"/>
      <w:lvlText w:val=""/>
      <w:lvlJc w:val="left"/>
      <w:pPr>
        <w:ind w:left="5040" w:hanging="360"/>
      </w:pPr>
      <w:rPr>
        <w:rFonts w:ascii="Symbol" w:hAnsi="Symbol" w:hint="default"/>
      </w:rPr>
    </w:lvl>
    <w:lvl w:ilvl="7" w:tplc="25D48756">
      <w:start w:val="1"/>
      <w:numFmt w:val="bullet"/>
      <w:lvlText w:val="o"/>
      <w:lvlJc w:val="left"/>
      <w:pPr>
        <w:ind w:left="5760" w:hanging="360"/>
      </w:pPr>
      <w:rPr>
        <w:rFonts w:ascii="Courier New" w:hAnsi="Courier New" w:hint="default"/>
      </w:rPr>
    </w:lvl>
    <w:lvl w:ilvl="8" w:tplc="781422A2">
      <w:start w:val="1"/>
      <w:numFmt w:val="bullet"/>
      <w:lvlText w:val=""/>
      <w:lvlJc w:val="left"/>
      <w:pPr>
        <w:ind w:left="6480" w:hanging="360"/>
      </w:pPr>
      <w:rPr>
        <w:rFonts w:ascii="Wingdings" w:hAnsi="Wingdings" w:hint="default"/>
      </w:rPr>
    </w:lvl>
  </w:abstractNum>
  <w:abstractNum w:abstractNumId="6" w15:restartNumberingAfterBreak="0">
    <w:nsid w:val="12208842"/>
    <w:multiLevelType w:val="hybridMultilevel"/>
    <w:tmpl w:val="FFFFFFFF"/>
    <w:lvl w:ilvl="0" w:tplc="2E9C5EE6">
      <w:start w:val="1"/>
      <w:numFmt w:val="bullet"/>
      <w:lvlText w:val=""/>
      <w:lvlJc w:val="left"/>
      <w:pPr>
        <w:ind w:left="720" w:hanging="360"/>
      </w:pPr>
      <w:rPr>
        <w:rFonts w:ascii="Symbol" w:hAnsi="Symbol" w:hint="default"/>
      </w:rPr>
    </w:lvl>
    <w:lvl w:ilvl="1" w:tplc="1D9AE764">
      <w:start w:val="1"/>
      <w:numFmt w:val="bullet"/>
      <w:lvlText w:val="o"/>
      <w:lvlJc w:val="left"/>
      <w:pPr>
        <w:ind w:left="1440" w:hanging="360"/>
      </w:pPr>
      <w:rPr>
        <w:rFonts w:ascii="Courier New" w:hAnsi="Courier New" w:hint="default"/>
      </w:rPr>
    </w:lvl>
    <w:lvl w:ilvl="2" w:tplc="85B8722A">
      <w:start w:val="1"/>
      <w:numFmt w:val="bullet"/>
      <w:lvlText w:val=""/>
      <w:lvlJc w:val="left"/>
      <w:pPr>
        <w:ind w:left="2160" w:hanging="360"/>
      </w:pPr>
      <w:rPr>
        <w:rFonts w:ascii="Wingdings" w:hAnsi="Wingdings" w:hint="default"/>
      </w:rPr>
    </w:lvl>
    <w:lvl w:ilvl="3" w:tplc="2A0C58AE">
      <w:start w:val="1"/>
      <w:numFmt w:val="bullet"/>
      <w:lvlText w:val=""/>
      <w:lvlJc w:val="left"/>
      <w:pPr>
        <w:ind w:left="2880" w:hanging="360"/>
      </w:pPr>
      <w:rPr>
        <w:rFonts w:ascii="Symbol" w:hAnsi="Symbol" w:hint="default"/>
      </w:rPr>
    </w:lvl>
    <w:lvl w:ilvl="4" w:tplc="5FBC22F8">
      <w:start w:val="1"/>
      <w:numFmt w:val="bullet"/>
      <w:lvlText w:val="o"/>
      <w:lvlJc w:val="left"/>
      <w:pPr>
        <w:ind w:left="3600" w:hanging="360"/>
      </w:pPr>
      <w:rPr>
        <w:rFonts w:ascii="Courier New" w:hAnsi="Courier New" w:hint="default"/>
      </w:rPr>
    </w:lvl>
    <w:lvl w:ilvl="5" w:tplc="E6749D00">
      <w:start w:val="1"/>
      <w:numFmt w:val="bullet"/>
      <w:lvlText w:val=""/>
      <w:lvlJc w:val="left"/>
      <w:pPr>
        <w:ind w:left="4320" w:hanging="360"/>
      </w:pPr>
      <w:rPr>
        <w:rFonts w:ascii="Wingdings" w:hAnsi="Wingdings" w:hint="default"/>
      </w:rPr>
    </w:lvl>
    <w:lvl w:ilvl="6" w:tplc="A30C73C2">
      <w:start w:val="1"/>
      <w:numFmt w:val="bullet"/>
      <w:lvlText w:val=""/>
      <w:lvlJc w:val="left"/>
      <w:pPr>
        <w:ind w:left="5040" w:hanging="360"/>
      </w:pPr>
      <w:rPr>
        <w:rFonts w:ascii="Symbol" w:hAnsi="Symbol" w:hint="default"/>
      </w:rPr>
    </w:lvl>
    <w:lvl w:ilvl="7" w:tplc="7A769384">
      <w:start w:val="1"/>
      <w:numFmt w:val="bullet"/>
      <w:lvlText w:val="o"/>
      <w:lvlJc w:val="left"/>
      <w:pPr>
        <w:ind w:left="5760" w:hanging="360"/>
      </w:pPr>
      <w:rPr>
        <w:rFonts w:ascii="Courier New" w:hAnsi="Courier New" w:hint="default"/>
      </w:rPr>
    </w:lvl>
    <w:lvl w:ilvl="8" w:tplc="99E8FB6C">
      <w:start w:val="1"/>
      <w:numFmt w:val="bullet"/>
      <w:lvlText w:val=""/>
      <w:lvlJc w:val="left"/>
      <w:pPr>
        <w:ind w:left="6480" w:hanging="360"/>
      </w:pPr>
      <w:rPr>
        <w:rFonts w:ascii="Wingdings" w:hAnsi="Wingdings" w:hint="default"/>
      </w:rPr>
    </w:lvl>
  </w:abstractNum>
  <w:abstractNum w:abstractNumId="7" w15:restartNumberingAfterBreak="0">
    <w:nsid w:val="19C7A84E"/>
    <w:multiLevelType w:val="hybridMultilevel"/>
    <w:tmpl w:val="FFFFFFFF"/>
    <w:lvl w:ilvl="0" w:tplc="AE848BB4">
      <w:start w:val="1"/>
      <w:numFmt w:val="bullet"/>
      <w:lvlText w:val=""/>
      <w:lvlJc w:val="left"/>
      <w:pPr>
        <w:ind w:left="720" w:hanging="360"/>
      </w:pPr>
      <w:rPr>
        <w:rFonts w:ascii="Symbol" w:hAnsi="Symbol" w:hint="default"/>
      </w:rPr>
    </w:lvl>
    <w:lvl w:ilvl="1" w:tplc="18501E40">
      <w:start w:val="1"/>
      <w:numFmt w:val="bullet"/>
      <w:lvlText w:val="o"/>
      <w:lvlJc w:val="left"/>
      <w:pPr>
        <w:ind w:left="1440" w:hanging="360"/>
      </w:pPr>
      <w:rPr>
        <w:rFonts w:ascii="Courier New" w:hAnsi="Courier New" w:hint="default"/>
      </w:rPr>
    </w:lvl>
    <w:lvl w:ilvl="2" w:tplc="CEBEC56E">
      <w:start w:val="1"/>
      <w:numFmt w:val="bullet"/>
      <w:lvlText w:val=""/>
      <w:lvlJc w:val="left"/>
      <w:pPr>
        <w:ind w:left="2160" w:hanging="360"/>
      </w:pPr>
      <w:rPr>
        <w:rFonts w:ascii="Wingdings" w:hAnsi="Wingdings" w:hint="default"/>
      </w:rPr>
    </w:lvl>
    <w:lvl w:ilvl="3" w:tplc="95A8CDF4">
      <w:start w:val="1"/>
      <w:numFmt w:val="bullet"/>
      <w:lvlText w:val=""/>
      <w:lvlJc w:val="left"/>
      <w:pPr>
        <w:ind w:left="2880" w:hanging="360"/>
      </w:pPr>
      <w:rPr>
        <w:rFonts w:ascii="Symbol" w:hAnsi="Symbol" w:hint="default"/>
      </w:rPr>
    </w:lvl>
    <w:lvl w:ilvl="4" w:tplc="C46E4B92">
      <w:start w:val="1"/>
      <w:numFmt w:val="bullet"/>
      <w:lvlText w:val="o"/>
      <w:lvlJc w:val="left"/>
      <w:pPr>
        <w:ind w:left="3600" w:hanging="360"/>
      </w:pPr>
      <w:rPr>
        <w:rFonts w:ascii="Courier New" w:hAnsi="Courier New" w:hint="default"/>
      </w:rPr>
    </w:lvl>
    <w:lvl w:ilvl="5" w:tplc="91969A76">
      <w:start w:val="1"/>
      <w:numFmt w:val="bullet"/>
      <w:lvlText w:val=""/>
      <w:lvlJc w:val="left"/>
      <w:pPr>
        <w:ind w:left="4320" w:hanging="360"/>
      </w:pPr>
      <w:rPr>
        <w:rFonts w:ascii="Wingdings" w:hAnsi="Wingdings" w:hint="default"/>
      </w:rPr>
    </w:lvl>
    <w:lvl w:ilvl="6" w:tplc="087837FC">
      <w:start w:val="1"/>
      <w:numFmt w:val="bullet"/>
      <w:lvlText w:val=""/>
      <w:lvlJc w:val="left"/>
      <w:pPr>
        <w:ind w:left="5040" w:hanging="360"/>
      </w:pPr>
      <w:rPr>
        <w:rFonts w:ascii="Symbol" w:hAnsi="Symbol" w:hint="default"/>
      </w:rPr>
    </w:lvl>
    <w:lvl w:ilvl="7" w:tplc="09C2A6D2">
      <w:start w:val="1"/>
      <w:numFmt w:val="bullet"/>
      <w:lvlText w:val="o"/>
      <w:lvlJc w:val="left"/>
      <w:pPr>
        <w:ind w:left="5760" w:hanging="360"/>
      </w:pPr>
      <w:rPr>
        <w:rFonts w:ascii="Courier New" w:hAnsi="Courier New" w:hint="default"/>
      </w:rPr>
    </w:lvl>
    <w:lvl w:ilvl="8" w:tplc="6838B876">
      <w:start w:val="1"/>
      <w:numFmt w:val="bullet"/>
      <w:lvlText w:val=""/>
      <w:lvlJc w:val="left"/>
      <w:pPr>
        <w:ind w:left="6480" w:hanging="360"/>
      </w:pPr>
      <w:rPr>
        <w:rFonts w:ascii="Wingdings" w:hAnsi="Wingdings" w:hint="default"/>
      </w:rPr>
    </w:lvl>
  </w:abstractNum>
  <w:abstractNum w:abstractNumId="8" w15:restartNumberingAfterBreak="0">
    <w:nsid w:val="1B943319"/>
    <w:multiLevelType w:val="hybridMultilevel"/>
    <w:tmpl w:val="012EB8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C9BC053"/>
    <w:multiLevelType w:val="hybridMultilevel"/>
    <w:tmpl w:val="FFFFFFFF"/>
    <w:lvl w:ilvl="0" w:tplc="BA784338">
      <w:start w:val="1"/>
      <w:numFmt w:val="bullet"/>
      <w:lvlText w:val=""/>
      <w:lvlJc w:val="left"/>
      <w:pPr>
        <w:ind w:left="720" w:hanging="360"/>
      </w:pPr>
      <w:rPr>
        <w:rFonts w:ascii="Symbol" w:hAnsi="Symbol" w:hint="default"/>
      </w:rPr>
    </w:lvl>
    <w:lvl w:ilvl="1" w:tplc="1EDA0446">
      <w:start w:val="1"/>
      <w:numFmt w:val="bullet"/>
      <w:lvlText w:val="o"/>
      <w:lvlJc w:val="left"/>
      <w:pPr>
        <w:ind w:left="1440" w:hanging="360"/>
      </w:pPr>
      <w:rPr>
        <w:rFonts w:ascii="Courier New" w:hAnsi="Courier New" w:hint="default"/>
      </w:rPr>
    </w:lvl>
    <w:lvl w:ilvl="2" w:tplc="4E602642">
      <w:start w:val="1"/>
      <w:numFmt w:val="bullet"/>
      <w:lvlText w:val=""/>
      <w:lvlJc w:val="left"/>
      <w:pPr>
        <w:ind w:left="2160" w:hanging="360"/>
      </w:pPr>
      <w:rPr>
        <w:rFonts w:ascii="Wingdings" w:hAnsi="Wingdings" w:hint="default"/>
      </w:rPr>
    </w:lvl>
    <w:lvl w:ilvl="3" w:tplc="F8FEC26E">
      <w:start w:val="1"/>
      <w:numFmt w:val="bullet"/>
      <w:lvlText w:val=""/>
      <w:lvlJc w:val="left"/>
      <w:pPr>
        <w:ind w:left="2880" w:hanging="360"/>
      </w:pPr>
      <w:rPr>
        <w:rFonts w:ascii="Symbol" w:hAnsi="Symbol" w:hint="default"/>
      </w:rPr>
    </w:lvl>
    <w:lvl w:ilvl="4" w:tplc="9BD84580">
      <w:start w:val="1"/>
      <w:numFmt w:val="bullet"/>
      <w:lvlText w:val="o"/>
      <w:lvlJc w:val="left"/>
      <w:pPr>
        <w:ind w:left="3600" w:hanging="360"/>
      </w:pPr>
      <w:rPr>
        <w:rFonts w:ascii="Courier New" w:hAnsi="Courier New" w:hint="default"/>
      </w:rPr>
    </w:lvl>
    <w:lvl w:ilvl="5" w:tplc="91E69430">
      <w:start w:val="1"/>
      <w:numFmt w:val="bullet"/>
      <w:lvlText w:val=""/>
      <w:lvlJc w:val="left"/>
      <w:pPr>
        <w:ind w:left="4320" w:hanging="360"/>
      </w:pPr>
      <w:rPr>
        <w:rFonts w:ascii="Wingdings" w:hAnsi="Wingdings" w:hint="default"/>
      </w:rPr>
    </w:lvl>
    <w:lvl w:ilvl="6" w:tplc="794CB5C4">
      <w:start w:val="1"/>
      <w:numFmt w:val="bullet"/>
      <w:lvlText w:val=""/>
      <w:lvlJc w:val="left"/>
      <w:pPr>
        <w:ind w:left="5040" w:hanging="360"/>
      </w:pPr>
      <w:rPr>
        <w:rFonts w:ascii="Symbol" w:hAnsi="Symbol" w:hint="default"/>
      </w:rPr>
    </w:lvl>
    <w:lvl w:ilvl="7" w:tplc="9B90870E">
      <w:start w:val="1"/>
      <w:numFmt w:val="bullet"/>
      <w:lvlText w:val="o"/>
      <w:lvlJc w:val="left"/>
      <w:pPr>
        <w:ind w:left="5760" w:hanging="360"/>
      </w:pPr>
      <w:rPr>
        <w:rFonts w:ascii="Courier New" w:hAnsi="Courier New" w:hint="default"/>
      </w:rPr>
    </w:lvl>
    <w:lvl w:ilvl="8" w:tplc="A2E80CAC">
      <w:start w:val="1"/>
      <w:numFmt w:val="bullet"/>
      <w:lvlText w:val=""/>
      <w:lvlJc w:val="left"/>
      <w:pPr>
        <w:ind w:left="6480" w:hanging="360"/>
      </w:pPr>
      <w:rPr>
        <w:rFonts w:ascii="Wingdings" w:hAnsi="Wingdings" w:hint="default"/>
      </w:rPr>
    </w:lvl>
  </w:abstractNum>
  <w:abstractNum w:abstractNumId="10" w15:restartNumberingAfterBreak="0">
    <w:nsid w:val="1F2D682B"/>
    <w:multiLevelType w:val="hybridMultilevel"/>
    <w:tmpl w:val="FFFFFFFF"/>
    <w:lvl w:ilvl="0" w:tplc="9A400212">
      <w:start w:val="1"/>
      <w:numFmt w:val="bullet"/>
      <w:lvlText w:val=""/>
      <w:lvlJc w:val="left"/>
      <w:pPr>
        <w:ind w:left="720" w:hanging="360"/>
      </w:pPr>
      <w:rPr>
        <w:rFonts w:ascii="Symbol" w:hAnsi="Symbol" w:hint="default"/>
      </w:rPr>
    </w:lvl>
    <w:lvl w:ilvl="1" w:tplc="CFAC9722">
      <w:start w:val="1"/>
      <w:numFmt w:val="bullet"/>
      <w:lvlText w:val="o"/>
      <w:lvlJc w:val="left"/>
      <w:pPr>
        <w:ind w:left="1440" w:hanging="360"/>
      </w:pPr>
      <w:rPr>
        <w:rFonts w:ascii="Courier New" w:hAnsi="Courier New" w:hint="default"/>
      </w:rPr>
    </w:lvl>
    <w:lvl w:ilvl="2" w:tplc="77D0ED70">
      <w:start w:val="1"/>
      <w:numFmt w:val="bullet"/>
      <w:lvlText w:val=""/>
      <w:lvlJc w:val="left"/>
      <w:pPr>
        <w:ind w:left="2160" w:hanging="360"/>
      </w:pPr>
      <w:rPr>
        <w:rFonts w:ascii="Wingdings" w:hAnsi="Wingdings" w:hint="default"/>
      </w:rPr>
    </w:lvl>
    <w:lvl w:ilvl="3" w:tplc="6950BED4">
      <w:start w:val="1"/>
      <w:numFmt w:val="bullet"/>
      <w:lvlText w:val=""/>
      <w:lvlJc w:val="left"/>
      <w:pPr>
        <w:ind w:left="2880" w:hanging="360"/>
      </w:pPr>
      <w:rPr>
        <w:rFonts w:ascii="Symbol" w:hAnsi="Symbol" w:hint="default"/>
      </w:rPr>
    </w:lvl>
    <w:lvl w:ilvl="4" w:tplc="644420AE">
      <w:start w:val="1"/>
      <w:numFmt w:val="bullet"/>
      <w:lvlText w:val="o"/>
      <w:lvlJc w:val="left"/>
      <w:pPr>
        <w:ind w:left="3600" w:hanging="360"/>
      </w:pPr>
      <w:rPr>
        <w:rFonts w:ascii="Courier New" w:hAnsi="Courier New" w:hint="default"/>
      </w:rPr>
    </w:lvl>
    <w:lvl w:ilvl="5" w:tplc="168A1188">
      <w:start w:val="1"/>
      <w:numFmt w:val="bullet"/>
      <w:lvlText w:val=""/>
      <w:lvlJc w:val="left"/>
      <w:pPr>
        <w:ind w:left="4320" w:hanging="360"/>
      </w:pPr>
      <w:rPr>
        <w:rFonts w:ascii="Wingdings" w:hAnsi="Wingdings" w:hint="default"/>
      </w:rPr>
    </w:lvl>
    <w:lvl w:ilvl="6" w:tplc="E230F61A">
      <w:start w:val="1"/>
      <w:numFmt w:val="bullet"/>
      <w:lvlText w:val=""/>
      <w:lvlJc w:val="left"/>
      <w:pPr>
        <w:ind w:left="5040" w:hanging="360"/>
      </w:pPr>
      <w:rPr>
        <w:rFonts w:ascii="Symbol" w:hAnsi="Symbol" w:hint="default"/>
      </w:rPr>
    </w:lvl>
    <w:lvl w:ilvl="7" w:tplc="DE002910">
      <w:start w:val="1"/>
      <w:numFmt w:val="bullet"/>
      <w:lvlText w:val="o"/>
      <w:lvlJc w:val="left"/>
      <w:pPr>
        <w:ind w:left="5760" w:hanging="360"/>
      </w:pPr>
      <w:rPr>
        <w:rFonts w:ascii="Courier New" w:hAnsi="Courier New" w:hint="default"/>
      </w:rPr>
    </w:lvl>
    <w:lvl w:ilvl="8" w:tplc="D03C3AB8">
      <w:start w:val="1"/>
      <w:numFmt w:val="bullet"/>
      <w:lvlText w:val=""/>
      <w:lvlJc w:val="left"/>
      <w:pPr>
        <w:ind w:left="6480" w:hanging="360"/>
      </w:pPr>
      <w:rPr>
        <w:rFonts w:ascii="Wingdings" w:hAnsi="Wingdings" w:hint="default"/>
      </w:rPr>
    </w:lvl>
  </w:abstractNum>
  <w:abstractNum w:abstractNumId="11" w15:restartNumberingAfterBreak="0">
    <w:nsid w:val="1F5252A4"/>
    <w:multiLevelType w:val="hybridMultilevel"/>
    <w:tmpl w:val="DF963420"/>
    <w:lvl w:ilvl="0" w:tplc="06C639D2">
      <w:start w:val="1"/>
      <w:numFmt w:val="bullet"/>
      <w:lvlText w:val=""/>
      <w:lvlJc w:val="left"/>
      <w:pPr>
        <w:ind w:left="720" w:hanging="360"/>
      </w:pPr>
      <w:rPr>
        <w:rFonts w:ascii="Symbol" w:hAnsi="Symbol" w:hint="default"/>
      </w:rPr>
    </w:lvl>
    <w:lvl w:ilvl="1" w:tplc="AD3A318C">
      <w:start w:val="1"/>
      <w:numFmt w:val="bullet"/>
      <w:lvlText w:val="o"/>
      <w:lvlJc w:val="left"/>
      <w:pPr>
        <w:ind w:left="1440" w:hanging="360"/>
      </w:pPr>
      <w:rPr>
        <w:rFonts w:ascii="Courier New" w:hAnsi="Courier New" w:hint="default"/>
      </w:rPr>
    </w:lvl>
    <w:lvl w:ilvl="2" w:tplc="322E64F6">
      <w:start w:val="1"/>
      <w:numFmt w:val="bullet"/>
      <w:lvlText w:val=""/>
      <w:lvlJc w:val="left"/>
      <w:pPr>
        <w:ind w:left="2160" w:hanging="360"/>
      </w:pPr>
      <w:rPr>
        <w:rFonts w:ascii="Wingdings" w:hAnsi="Wingdings" w:hint="default"/>
      </w:rPr>
    </w:lvl>
    <w:lvl w:ilvl="3" w:tplc="BAD8A47E">
      <w:start w:val="1"/>
      <w:numFmt w:val="bullet"/>
      <w:lvlText w:val=""/>
      <w:lvlJc w:val="left"/>
      <w:pPr>
        <w:ind w:left="2880" w:hanging="360"/>
      </w:pPr>
      <w:rPr>
        <w:rFonts w:ascii="Symbol" w:hAnsi="Symbol" w:hint="default"/>
      </w:rPr>
    </w:lvl>
    <w:lvl w:ilvl="4" w:tplc="1BBC61A6">
      <w:start w:val="1"/>
      <w:numFmt w:val="bullet"/>
      <w:lvlText w:val="o"/>
      <w:lvlJc w:val="left"/>
      <w:pPr>
        <w:ind w:left="3600" w:hanging="360"/>
      </w:pPr>
      <w:rPr>
        <w:rFonts w:ascii="Courier New" w:hAnsi="Courier New" w:hint="default"/>
      </w:rPr>
    </w:lvl>
    <w:lvl w:ilvl="5" w:tplc="9E50EA26">
      <w:start w:val="1"/>
      <w:numFmt w:val="bullet"/>
      <w:lvlText w:val=""/>
      <w:lvlJc w:val="left"/>
      <w:pPr>
        <w:ind w:left="4320" w:hanging="360"/>
      </w:pPr>
      <w:rPr>
        <w:rFonts w:ascii="Wingdings" w:hAnsi="Wingdings" w:hint="default"/>
      </w:rPr>
    </w:lvl>
    <w:lvl w:ilvl="6" w:tplc="32A0A1EA">
      <w:start w:val="1"/>
      <w:numFmt w:val="bullet"/>
      <w:lvlText w:val=""/>
      <w:lvlJc w:val="left"/>
      <w:pPr>
        <w:ind w:left="5040" w:hanging="360"/>
      </w:pPr>
      <w:rPr>
        <w:rFonts w:ascii="Symbol" w:hAnsi="Symbol" w:hint="default"/>
      </w:rPr>
    </w:lvl>
    <w:lvl w:ilvl="7" w:tplc="1F1864E8">
      <w:start w:val="1"/>
      <w:numFmt w:val="bullet"/>
      <w:lvlText w:val="o"/>
      <w:lvlJc w:val="left"/>
      <w:pPr>
        <w:ind w:left="5760" w:hanging="360"/>
      </w:pPr>
      <w:rPr>
        <w:rFonts w:ascii="Courier New" w:hAnsi="Courier New" w:hint="default"/>
      </w:rPr>
    </w:lvl>
    <w:lvl w:ilvl="8" w:tplc="8256C52E">
      <w:start w:val="1"/>
      <w:numFmt w:val="bullet"/>
      <w:lvlText w:val=""/>
      <w:lvlJc w:val="left"/>
      <w:pPr>
        <w:ind w:left="6480" w:hanging="360"/>
      </w:pPr>
      <w:rPr>
        <w:rFonts w:ascii="Wingdings" w:hAnsi="Wingdings" w:hint="default"/>
      </w:rPr>
    </w:lvl>
  </w:abstractNum>
  <w:abstractNum w:abstractNumId="12" w15:restartNumberingAfterBreak="0">
    <w:nsid w:val="24820D80"/>
    <w:multiLevelType w:val="hybridMultilevel"/>
    <w:tmpl w:val="120EFEE6"/>
    <w:lvl w:ilvl="0" w:tplc="445010E6">
      <w:start w:val="1"/>
      <w:numFmt w:val="bullet"/>
      <w:lvlText w:val="-"/>
      <w:lvlJc w:val="left"/>
      <w:pPr>
        <w:ind w:left="720" w:hanging="360"/>
      </w:pPr>
      <w:rPr>
        <w:rFonts w:ascii="Aptos" w:hAnsi="Aptos" w:hint="default"/>
      </w:rPr>
    </w:lvl>
    <w:lvl w:ilvl="1" w:tplc="B7163AC4">
      <w:start w:val="1"/>
      <w:numFmt w:val="bullet"/>
      <w:lvlText w:val="o"/>
      <w:lvlJc w:val="left"/>
      <w:pPr>
        <w:ind w:left="1440" w:hanging="360"/>
      </w:pPr>
      <w:rPr>
        <w:rFonts w:ascii="Courier New" w:hAnsi="Courier New" w:hint="default"/>
      </w:rPr>
    </w:lvl>
    <w:lvl w:ilvl="2" w:tplc="E55A66FA">
      <w:start w:val="1"/>
      <w:numFmt w:val="bullet"/>
      <w:lvlText w:val=""/>
      <w:lvlJc w:val="left"/>
      <w:pPr>
        <w:ind w:left="2160" w:hanging="360"/>
      </w:pPr>
      <w:rPr>
        <w:rFonts w:ascii="Wingdings" w:hAnsi="Wingdings" w:hint="default"/>
      </w:rPr>
    </w:lvl>
    <w:lvl w:ilvl="3" w:tplc="026E7136">
      <w:start w:val="1"/>
      <w:numFmt w:val="bullet"/>
      <w:lvlText w:val=""/>
      <w:lvlJc w:val="left"/>
      <w:pPr>
        <w:ind w:left="2880" w:hanging="360"/>
      </w:pPr>
      <w:rPr>
        <w:rFonts w:ascii="Symbol" w:hAnsi="Symbol" w:hint="default"/>
      </w:rPr>
    </w:lvl>
    <w:lvl w:ilvl="4" w:tplc="B7AE34C0">
      <w:start w:val="1"/>
      <w:numFmt w:val="bullet"/>
      <w:lvlText w:val="o"/>
      <w:lvlJc w:val="left"/>
      <w:pPr>
        <w:ind w:left="3600" w:hanging="360"/>
      </w:pPr>
      <w:rPr>
        <w:rFonts w:ascii="Courier New" w:hAnsi="Courier New" w:hint="default"/>
      </w:rPr>
    </w:lvl>
    <w:lvl w:ilvl="5" w:tplc="2D568CD2">
      <w:start w:val="1"/>
      <w:numFmt w:val="bullet"/>
      <w:lvlText w:val=""/>
      <w:lvlJc w:val="left"/>
      <w:pPr>
        <w:ind w:left="4320" w:hanging="360"/>
      </w:pPr>
      <w:rPr>
        <w:rFonts w:ascii="Wingdings" w:hAnsi="Wingdings" w:hint="default"/>
      </w:rPr>
    </w:lvl>
    <w:lvl w:ilvl="6" w:tplc="E806F2D6">
      <w:start w:val="1"/>
      <w:numFmt w:val="bullet"/>
      <w:lvlText w:val=""/>
      <w:lvlJc w:val="left"/>
      <w:pPr>
        <w:ind w:left="5040" w:hanging="360"/>
      </w:pPr>
      <w:rPr>
        <w:rFonts w:ascii="Symbol" w:hAnsi="Symbol" w:hint="default"/>
      </w:rPr>
    </w:lvl>
    <w:lvl w:ilvl="7" w:tplc="B6567C16">
      <w:start w:val="1"/>
      <w:numFmt w:val="bullet"/>
      <w:lvlText w:val="o"/>
      <w:lvlJc w:val="left"/>
      <w:pPr>
        <w:ind w:left="5760" w:hanging="360"/>
      </w:pPr>
      <w:rPr>
        <w:rFonts w:ascii="Courier New" w:hAnsi="Courier New" w:hint="default"/>
      </w:rPr>
    </w:lvl>
    <w:lvl w:ilvl="8" w:tplc="D4101374">
      <w:start w:val="1"/>
      <w:numFmt w:val="bullet"/>
      <w:lvlText w:val=""/>
      <w:lvlJc w:val="left"/>
      <w:pPr>
        <w:ind w:left="6480" w:hanging="360"/>
      </w:pPr>
      <w:rPr>
        <w:rFonts w:ascii="Wingdings" w:hAnsi="Wingdings" w:hint="default"/>
      </w:rPr>
    </w:lvl>
  </w:abstractNum>
  <w:abstractNum w:abstractNumId="13" w15:restartNumberingAfterBreak="0">
    <w:nsid w:val="25C35256"/>
    <w:multiLevelType w:val="hybridMultilevel"/>
    <w:tmpl w:val="FFFFFFFF"/>
    <w:lvl w:ilvl="0" w:tplc="98848686">
      <w:start w:val="1"/>
      <w:numFmt w:val="bullet"/>
      <w:lvlText w:val=""/>
      <w:lvlJc w:val="left"/>
      <w:pPr>
        <w:ind w:left="720" w:hanging="360"/>
      </w:pPr>
      <w:rPr>
        <w:rFonts w:ascii="Symbol" w:hAnsi="Symbol" w:hint="default"/>
      </w:rPr>
    </w:lvl>
    <w:lvl w:ilvl="1" w:tplc="2CD65C04">
      <w:start w:val="1"/>
      <w:numFmt w:val="bullet"/>
      <w:lvlText w:val="o"/>
      <w:lvlJc w:val="left"/>
      <w:pPr>
        <w:ind w:left="1440" w:hanging="360"/>
      </w:pPr>
      <w:rPr>
        <w:rFonts w:ascii="Courier New" w:hAnsi="Courier New" w:hint="default"/>
      </w:rPr>
    </w:lvl>
    <w:lvl w:ilvl="2" w:tplc="62DABE5E">
      <w:start w:val="1"/>
      <w:numFmt w:val="bullet"/>
      <w:lvlText w:val=""/>
      <w:lvlJc w:val="left"/>
      <w:pPr>
        <w:ind w:left="2160" w:hanging="360"/>
      </w:pPr>
      <w:rPr>
        <w:rFonts w:ascii="Wingdings" w:hAnsi="Wingdings" w:hint="default"/>
      </w:rPr>
    </w:lvl>
    <w:lvl w:ilvl="3" w:tplc="934648F8">
      <w:start w:val="1"/>
      <w:numFmt w:val="bullet"/>
      <w:lvlText w:val=""/>
      <w:lvlJc w:val="left"/>
      <w:pPr>
        <w:ind w:left="2880" w:hanging="360"/>
      </w:pPr>
      <w:rPr>
        <w:rFonts w:ascii="Symbol" w:hAnsi="Symbol" w:hint="default"/>
      </w:rPr>
    </w:lvl>
    <w:lvl w:ilvl="4" w:tplc="A3BE5D2E">
      <w:start w:val="1"/>
      <w:numFmt w:val="bullet"/>
      <w:lvlText w:val="o"/>
      <w:lvlJc w:val="left"/>
      <w:pPr>
        <w:ind w:left="3600" w:hanging="360"/>
      </w:pPr>
      <w:rPr>
        <w:rFonts w:ascii="Courier New" w:hAnsi="Courier New" w:hint="default"/>
      </w:rPr>
    </w:lvl>
    <w:lvl w:ilvl="5" w:tplc="364A3316">
      <w:start w:val="1"/>
      <w:numFmt w:val="bullet"/>
      <w:lvlText w:val=""/>
      <w:lvlJc w:val="left"/>
      <w:pPr>
        <w:ind w:left="4320" w:hanging="360"/>
      </w:pPr>
      <w:rPr>
        <w:rFonts w:ascii="Wingdings" w:hAnsi="Wingdings" w:hint="default"/>
      </w:rPr>
    </w:lvl>
    <w:lvl w:ilvl="6" w:tplc="286AF2E0">
      <w:start w:val="1"/>
      <w:numFmt w:val="bullet"/>
      <w:lvlText w:val=""/>
      <w:lvlJc w:val="left"/>
      <w:pPr>
        <w:ind w:left="5040" w:hanging="360"/>
      </w:pPr>
      <w:rPr>
        <w:rFonts w:ascii="Symbol" w:hAnsi="Symbol" w:hint="default"/>
      </w:rPr>
    </w:lvl>
    <w:lvl w:ilvl="7" w:tplc="377E5F02">
      <w:start w:val="1"/>
      <w:numFmt w:val="bullet"/>
      <w:lvlText w:val="o"/>
      <w:lvlJc w:val="left"/>
      <w:pPr>
        <w:ind w:left="5760" w:hanging="360"/>
      </w:pPr>
      <w:rPr>
        <w:rFonts w:ascii="Courier New" w:hAnsi="Courier New" w:hint="default"/>
      </w:rPr>
    </w:lvl>
    <w:lvl w:ilvl="8" w:tplc="269222A8">
      <w:start w:val="1"/>
      <w:numFmt w:val="bullet"/>
      <w:lvlText w:val=""/>
      <w:lvlJc w:val="left"/>
      <w:pPr>
        <w:ind w:left="6480" w:hanging="360"/>
      </w:pPr>
      <w:rPr>
        <w:rFonts w:ascii="Wingdings" w:hAnsi="Wingdings" w:hint="default"/>
      </w:rPr>
    </w:lvl>
  </w:abstractNum>
  <w:abstractNum w:abstractNumId="14" w15:restartNumberingAfterBreak="0">
    <w:nsid w:val="2B650F3A"/>
    <w:multiLevelType w:val="hybridMultilevel"/>
    <w:tmpl w:val="2C067132"/>
    <w:lvl w:ilvl="0" w:tplc="E974BC48">
      <w:start w:val="1"/>
      <w:numFmt w:val="bullet"/>
      <w:lvlText w:val=""/>
      <w:lvlJc w:val="left"/>
      <w:pPr>
        <w:ind w:left="720" w:hanging="360"/>
      </w:pPr>
      <w:rPr>
        <w:rFonts w:ascii="Symbol" w:hAnsi="Symbol" w:hint="default"/>
      </w:rPr>
    </w:lvl>
    <w:lvl w:ilvl="1" w:tplc="B498B62E">
      <w:start w:val="1"/>
      <w:numFmt w:val="bullet"/>
      <w:lvlText w:val="o"/>
      <w:lvlJc w:val="left"/>
      <w:pPr>
        <w:ind w:left="1440" w:hanging="360"/>
      </w:pPr>
      <w:rPr>
        <w:rFonts w:ascii="Courier New" w:hAnsi="Courier New" w:hint="default"/>
      </w:rPr>
    </w:lvl>
    <w:lvl w:ilvl="2" w:tplc="75245EE4">
      <w:start w:val="1"/>
      <w:numFmt w:val="bullet"/>
      <w:lvlText w:val=""/>
      <w:lvlJc w:val="left"/>
      <w:pPr>
        <w:ind w:left="2160" w:hanging="360"/>
      </w:pPr>
      <w:rPr>
        <w:rFonts w:ascii="Wingdings" w:hAnsi="Wingdings" w:hint="default"/>
      </w:rPr>
    </w:lvl>
    <w:lvl w:ilvl="3" w:tplc="AB7681EE">
      <w:start w:val="1"/>
      <w:numFmt w:val="bullet"/>
      <w:lvlText w:val=""/>
      <w:lvlJc w:val="left"/>
      <w:pPr>
        <w:ind w:left="2880" w:hanging="360"/>
      </w:pPr>
      <w:rPr>
        <w:rFonts w:ascii="Symbol" w:hAnsi="Symbol" w:hint="default"/>
      </w:rPr>
    </w:lvl>
    <w:lvl w:ilvl="4" w:tplc="1F627A64">
      <w:start w:val="1"/>
      <w:numFmt w:val="bullet"/>
      <w:lvlText w:val="o"/>
      <w:lvlJc w:val="left"/>
      <w:pPr>
        <w:ind w:left="3600" w:hanging="360"/>
      </w:pPr>
      <w:rPr>
        <w:rFonts w:ascii="Courier New" w:hAnsi="Courier New" w:hint="default"/>
      </w:rPr>
    </w:lvl>
    <w:lvl w:ilvl="5" w:tplc="B186F516">
      <w:start w:val="1"/>
      <w:numFmt w:val="bullet"/>
      <w:lvlText w:val=""/>
      <w:lvlJc w:val="left"/>
      <w:pPr>
        <w:ind w:left="4320" w:hanging="360"/>
      </w:pPr>
      <w:rPr>
        <w:rFonts w:ascii="Wingdings" w:hAnsi="Wingdings" w:hint="default"/>
      </w:rPr>
    </w:lvl>
    <w:lvl w:ilvl="6" w:tplc="0EA2A8F2">
      <w:start w:val="1"/>
      <w:numFmt w:val="bullet"/>
      <w:lvlText w:val=""/>
      <w:lvlJc w:val="left"/>
      <w:pPr>
        <w:ind w:left="5040" w:hanging="360"/>
      </w:pPr>
      <w:rPr>
        <w:rFonts w:ascii="Symbol" w:hAnsi="Symbol" w:hint="default"/>
      </w:rPr>
    </w:lvl>
    <w:lvl w:ilvl="7" w:tplc="FDFC3AA8">
      <w:start w:val="1"/>
      <w:numFmt w:val="bullet"/>
      <w:lvlText w:val="o"/>
      <w:lvlJc w:val="left"/>
      <w:pPr>
        <w:ind w:left="5760" w:hanging="360"/>
      </w:pPr>
      <w:rPr>
        <w:rFonts w:ascii="Courier New" w:hAnsi="Courier New" w:hint="default"/>
      </w:rPr>
    </w:lvl>
    <w:lvl w:ilvl="8" w:tplc="CE74BC3A">
      <w:start w:val="1"/>
      <w:numFmt w:val="bullet"/>
      <w:lvlText w:val=""/>
      <w:lvlJc w:val="left"/>
      <w:pPr>
        <w:ind w:left="6480" w:hanging="360"/>
      </w:pPr>
      <w:rPr>
        <w:rFonts w:ascii="Wingdings" w:hAnsi="Wingdings" w:hint="default"/>
      </w:rPr>
    </w:lvl>
  </w:abstractNum>
  <w:abstractNum w:abstractNumId="15" w15:restartNumberingAfterBreak="0">
    <w:nsid w:val="2D4B025D"/>
    <w:multiLevelType w:val="hybridMultilevel"/>
    <w:tmpl w:val="E6586998"/>
    <w:lvl w:ilvl="0" w:tplc="511CF4F4">
      <w:start w:val="1"/>
      <w:numFmt w:val="bullet"/>
      <w:lvlText w:val=""/>
      <w:lvlJc w:val="left"/>
      <w:pPr>
        <w:ind w:left="720" w:hanging="360"/>
      </w:pPr>
      <w:rPr>
        <w:rFonts w:ascii="Symbol" w:hAnsi="Symbol" w:hint="default"/>
      </w:rPr>
    </w:lvl>
    <w:lvl w:ilvl="1" w:tplc="D73A6C86">
      <w:start w:val="1"/>
      <w:numFmt w:val="bullet"/>
      <w:lvlText w:val="o"/>
      <w:lvlJc w:val="left"/>
      <w:pPr>
        <w:ind w:left="1440" w:hanging="360"/>
      </w:pPr>
      <w:rPr>
        <w:rFonts w:ascii="Courier New" w:hAnsi="Courier New" w:hint="default"/>
      </w:rPr>
    </w:lvl>
    <w:lvl w:ilvl="2" w:tplc="EA7C2510">
      <w:start w:val="1"/>
      <w:numFmt w:val="bullet"/>
      <w:lvlText w:val=""/>
      <w:lvlJc w:val="left"/>
      <w:pPr>
        <w:ind w:left="2160" w:hanging="360"/>
      </w:pPr>
      <w:rPr>
        <w:rFonts w:ascii="Wingdings" w:hAnsi="Wingdings" w:hint="default"/>
      </w:rPr>
    </w:lvl>
    <w:lvl w:ilvl="3" w:tplc="4524DA06">
      <w:start w:val="1"/>
      <w:numFmt w:val="bullet"/>
      <w:lvlText w:val=""/>
      <w:lvlJc w:val="left"/>
      <w:pPr>
        <w:ind w:left="2880" w:hanging="360"/>
      </w:pPr>
      <w:rPr>
        <w:rFonts w:ascii="Symbol" w:hAnsi="Symbol" w:hint="default"/>
      </w:rPr>
    </w:lvl>
    <w:lvl w:ilvl="4" w:tplc="C8807402">
      <w:start w:val="1"/>
      <w:numFmt w:val="bullet"/>
      <w:lvlText w:val="o"/>
      <w:lvlJc w:val="left"/>
      <w:pPr>
        <w:ind w:left="3600" w:hanging="360"/>
      </w:pPr>
      <w:rPr>
        <w:rFonts w:ascii="Courier New" w:hAnsi="Courier New" w:hint="default"/>
      </w:rPr>
    </w:lvl>
    <w:lvl w:ilvl="5" w:tplc="D242DFBA">
      <w:start w:val="1"/>
      <w:numFmt w:val="bullet"/>
      <w:lvlText w:val=""/>
      <w:lvlJc w:val="left"/>
      <w:pPr>
        <w:ind w:left="4320" w:hanging="360"/>
      </w:pPr>
      <w:rPr>
        <w:rFonts w:ascii="Wingdings" w:hAnsi="Wingdings" w:hint="default"/>
      </w:rPr>
    </w:lvl>
    <w:lvl w:ilvl="6" w:tplc="5D96B1F4">
      <w:start w:val="1"/>
      <w:numFmt w:val="bullet"/>
      <w:lvlText w:val=""/>
      <w:lvlJc w:val="left"/>
      <w:pPr>
        <w:ind w:left="5040" w:hanging="360"/>
      </w:pPr>
      <w:rPr>
        <w:rFonts w:ascii="Symbol" w:hAnsi="Symbol" w:hint="default"/>
      </w:rPr>
    </w:lvl>
    <w:lvl w:ilvl="7" w:tplc="5DD66672">
      <w:start w:val="1"/>
      <w:numFmt w:val="bullet"/>
      <w:lvlText w:val="o"/>
      <w:lvlJc w:val="left"/>
      <w:pPr>
        <w:ind w:left="5760" w:hanging="360"/>
      </w:pPr>
      <w:rPr>
        <w:rFonts w:ascii="Courier New" w:hAnsi="Courier New" w:hint="default"/>
      </w:rPr>
    </w:lvl>
    <w:lvl w:ilvl="8" w:tplc="7DC46350">
      <w:start w:val="1"/>
      <w:numFmt w:val="bullet"/>
      <w:lvlText w:val=""/>
      <w:lvlJc w:val="left"/>
      <w:pPr>
        <w:ind w:left="6480" w:hanging="360"/>
      </w:pPr>
      <w:rPr>
        <w:rFonts w:ascii="Wingdings" w:hAnsi="Wingdings" w:hint="default"/>
      </w:rPr>
    </w:lvl>
  </w:abstractNum>
  <w:abstractNum w:abstractNumId="16" w15:restartNumberingAfterBreak="0">
    <w:nsid w:val="2D4CB8B4"/>
    <w:multiLevelType w:val="hybridMultilevel"/>
    <w:tmpl w:val="636478F2"/>
    <w:lvl w:ilvl="0" w:tplc="681EB632">
      <w:start w:val="1"/>
      <w:numFmt w:val="bullet"/>
      <w:lvlText w:val=""/>
      <w:lvlJc w:val="left"/>
      <w:pPr>
        <w:ind w:left="720" w:hanging="360"/>
      </w:pPr>
      <w:rPr>
        <w:rFonts w:ascii="Symbol" w:hAnsi="Symbol" w:hint="default"/>
      </w:rPr>
    </w:lvl>
    <w:lvl w:ilvl="1" w:tplc="1F80E9DA">
      <w:start w:val="1"/>
      <w:numFmt w:val="bullet"/>
      <w:lvlText w:val="o"/>
      <w:lvlJc w:val="left"/>
      <w:pPr>
        <w:ind w:left="1440" w:hanging="360"/>
      </w:pPr>
      <w:rPr>
        <w:rFonts w:ascii="Courier New" w:hAnsi="Courier New" w:hint="default"/>
      </w:rPr>
    </w:lvl>
    <w:lvl w:ilvl="2" w:tplc="FDCC0FE6">
      <w:start w:val="1"/>
      <w:numFmt w:val="bullet"/>
      <w:lvlText w:val=""/>
      <w:lvlJc w:val="left"/>
      <w:pPr>
        <w:ind w:left="2160" w:hanging="360"/>
      </w:pPr>
      <w:rPr>
        <w:rFonts w:ascii="Wingdings" w:hAnsi="Wingdings" w:hint="default"/>
      </w:rPr>
    </w:lvl>
    <w:lvl w:ilvl="3" w:tplc="6FEE94BA">
      <w:start w:val="1"/>
      <w:numFmt w:val="bullet"/>
      <w:lvlText w:val=""/>
      <w:lvlJc w:val="left"/>
      <w:pPr>
        <w:ind w:left="2880" w:hanging="360"/>
      </w:pPr>
      <w:rPr>
        <w:rFonts w:ascii="Symbol" w:hAnsi="Symbol" w:hint="default"/>
      </w:rPr>
    </w:lvl>
    <w:lvl w:ilvl="4" w:tplc="1368EB4A">
      <w:start w:val="1"/>
      <w:numFmt w:val="bullet"/>
      <w:lvlText w:val="o"/>
      <w:lvlJc w:val="left"/>
      <w:pPr>
        <w:ind w:left="3600" w:hanging="360"/>
      </w:pPr>
      <w:rPr>
        <w:rFonts w:ascii="Courier New" w:hAnsi="Courier New" w:hint="default"/>
      </w:rPr>
    </w:lvl>
    <w:lvl w:ilvl="5" w:tplc="F7D09716">
      <w:start w:val="1"/>
      <w:numFmt w:val="bullet"/>
      <w:lvlText w:val=""/>
      <w:lvlJc w:val="left"/>
      <w:pPr>
        <w:ind w:left="4320" w:hanging="360"/>
      </w:pPr>
      <w:rPr>
        <w:rFonts w:ascii="Wingdings" w:hAnsi="Wingdings" w:hint="default"/>
      </w:rPr>
    </w:lvl>
    <w:lvl w:ilvl="6" w:tplc="9E3257CA">
      <w:start w:val="1"/>
      <w:numFmt w:val="bullet"/>
      <w:lvlText w:val=""/>
      <w:lvlJc w:val="left"/>
      <w:pPr>
        <w:ind w:left="5040" w:hanging="360"/>
      </w:pPr>
      <w:rPr>
        <w:rFonts w:ascii="Symbol" w:hAnsi="Symbol" w:hint="default"/>
      </w:rPr>
    </w:lvl>
    <w:lvl w:ilvl="7" w:tplc="63F4F9BA">
      <w:start w:val="1"/>
      <w:numFmt w:val="bullet"/>
      <w:lvlText w:val="o"/>
      <w:lvlJc w:val="left"/>
      <w:pPr>
        <w:ind w:left="5760" w:hanging="360"/>
      </w:pPr>
      <w:rPr>
        <w:rFonts w:ascii="Courier New" w:hAnsi="Courier New" w:hint="default"/>
      </w:rPr>
    </w:lvl>
    <w:lvl w:ilvl="8" w:tplc="011CF5B6">
      <w:start w:val="1"/>
      <w:numFmt w:val="bullet"/>
      <w:lvlText w:val=""/>
      <w:lvlJc w:val="left"/>
      <w:pPr>
        <w:ind w:left="6480" w:hanging="360"/>
      </w:pPr>
      <w:rPr>
        <w:rFonts w:ascii="Wingdings" w:hAnsi="Wingdings" w:hint="default"/>
      </w:rPr>
    </w:lvl>
  </w:abstractNum>
  <w:abstractNum w:abstractNumId="17" w15:restartNumberingAfterBreak="0">
    <w:nsid w:val="305B15F8"/>
    <w:multiLevelType w:val="hybridMultilevel"/>
    <w:tmpl w:val="49AEEBF8"/>
    <w:lvl w:ilvl="0" w:tplc="1264CEB0">
      <w:start w:val="1"/>
      <w:numFmt w:val="bullet"/>
      <w:lvlText w:val=""/>
      <w:lvlJc w:val="left"/>
      <w:pPr>
        <w:ind w:left="720" w:hanging="360"/>
      </w:pPr>
      <w:rPr>
        <w:rFonts w:ascii="Symbol" w:hAnsi="Symbol" w:hint="default"/>
      </w:rPr>
    </w:lvl>
    <w:lvl w:ilvl="1" w:tplc="E51CF842">
      <w:start w:val="1"/>
      <w:numFmt w:val="bullet"/>
      <w:lvlText w:val="o"/>
      <w:lvlJc w:val="left"/>
      <w:pPr>
        <w:ind w:left="1440" w:hanging="360"/>
      </w:pPr>
      <w:rPr>
        <w:rFonts w:ascii="Courier New" w:hAnsi="Courier New" w:hint="default"/>
      </w:rPr>
    </w:lvl>
    <w:lvl w:ilvl="2" w:tplc="99C49422">
      <w:start w:val="1"/>
      <w:numFmt w:val="bullet"/>
      <w:lvlText w:val=""/>
      <w:lvlJc w:val="left"/>
      <w:pPr>
        <w:ind w:left="2160" w:hanging="360"/>
      </w:pPr>
      <w:rPr>
        <w:rFonts w:ascii="Wingdings" w:hAnsi="Wingdings" w:hint="default"/>
      </w:rPr>
    </w:lvl>
    <w:lvl w:ilvl="3" w:tplc="64BC10DE">
      <w:start w:val="1"/>
      <w:numFmt w:val="bullet"/>
      <w:lvlText w:val=""/>
      <w:lvlJc w:val="left"/>
      <w:pPr>
        <w:ind w:left="2880" w:hanging="360"/>
      </w:pPr>
      <w:rPr>
        <w:rFonts w:ascii="Symbol" w:hAnsi="Symbol" w:hint="default"/>
      </w:rPr>
    </w:lvl>
    <w:lvl w:ilvl="4" w:tplc="85D2398E">
      <w:start w:val="1"/>
      <w:numFmt w:val="bullet"/>
      <w:lvlText w:val="o"/>
      <w:lvlJc w:val="left"/>
      <w:pPr>
        <w:ind w:left="3600" w:hanging="360"/>
      </w:pPr>
      <w:rPr>
        <w:rFonts w:ascii="Courier New" w:hAnsi="Courier New" w:hint="default"/>
      </w:rPr>
    </w:lvl>
    <w:lvl w:ilvl="5" w:tplc="8D1E2ADE">
      <w:start w:val="1"/>
      <w:numFmt w:val="bullet"/>
      <w:lvlText w:val=""/>
      <w:lvlJc w:val="left"/>
      <w:pPr>
        <w:ind w:left="4320" w:hanging="360"/>
      </w:pPr>
      <w:rPr>
        <w:rFonts w:ascii="Wingdings" w:hAnsi="Wingdings" w:hint="default"/>
      </w:rPr>
    </w:lvl>
    <w:lvl w:ilvl="6" w:tplc="F432AF6A">
      <w:start w:val="1"/>
      <w:numFmt w:val="bullet"/>
      <w:lvlText w:val=""/>
      <w:lvlJc w:val="left"/>
      <w:pPr>
        <w:ind w:left="5040" w:hanging="360"/>
      </w:pPr>
      <w:rPr>
        <w:rFonts w:ascii="Symbol" w:hAnsi="Symbol" w:hint="default"/>
      </w:rPr>
    </w:lvl>
    <w:lvl w:ilvl="7" w:tplc="EFC61CC0">
      <w:start w:val="1"/>
      <w:numFmt w:val="bullet"/>
      <w:lvlText w:val="o"/>
      <w:lvlJc w:val="left"/>
      <w:pPr>
        <w:ind w:left="5760" w:hanging="360"/>
      </w:pPr>
      <w:rPr>
        <w:rFonts w:ascii="Courier New" w:hAnsi="Courier New" w:hint="default"/>
      </w:rPr>
    </w:lvl>
    <w:lvl w:ilvl="8" w:tplc="38C42A2E">
      <w:start w:val="1"/>
      <w:numFmt w:val="bullet"/>
      <w:lvlText w:val=""/>
      <w:lvlJc w:val="left"/>
      <w:pPr>
        <w:ind w:left="6480" w:hanging="360"/>
      </w:pPr>
      <w:rPr>
        <w:rFonts w:ascii="Wingdings" w:hAnsi="Wingdings" w:hint="default"/>
      </w:rPr>
    </w:lvl>
  </w:abstractNum>
  <w:abstractNum w:abstractNumId="18" w15:restartNumberingAfterBreak="0">
    <w:nsid w:val="37519B4D"/>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EE3F5D0"/>
    <w:multiLevelType w:val="hybridMultilevel"/>
    <w:tmpl w:val="80966D86"/>
    <w:lvl w:ilvl="0" w:tplc="449A261E">
      <w:start w:val="1"/>
      <w:numFmt w:val="bullet"/>
      <w:lvlText w:val=""/>
      <w:lvlJc w:val="left"/>
      <w:pPr>
        <w:ind w:left="720" w:hanging="360"/>
      </w:pPr>
      <w:rPr>
        <w:rFonts w:ascii="Symbol" w:hAnsi="Symbol" w:hint="default"/>
      </w:rPr>
    </w:lvl>
    <w:lvl w:ilvl="1" w:tplc="B8CE6B52">
      <w:start w:val="1"/>
      <w:numFmt w:val="bullet"/>
      <w:lvlText w:val="o"/>
      <w:lvlJc w:val="left"/>
      <w:pPr>
        <w:ind w:left="1440" w:hanging="360"/>
      </w:pPr>
      <w:rPr>
        <w:rFonts w:ascii="Courier New" w:hAnsi="Courier New" w:hint="default"/>
      </w:rPr>
    </w:lvl>
    <w:lvl w:ilvl="2" w:tplc="9F54F81A">
      <w:start w:val="1"/>
      <w:numFmt w:val="bullet"/>
      <w:lvlText w:val=""/>
      <w:lvlJc w:val="left"/>
      <w:pPr>
        <w:ind w:left="2160" w:hanging="360"/>
      </w:pPr>
      <w:rPr>
        <w:rFonts w:ascii="Wingdings" w:hAnsi="Wingdings" w:hint="default"/>
      </w:rPr>
    </w:lvl>
    <w:lvl w:ilvl="3" w:tplc="807ED4E6">
      <w:start w:val="1"/>
      <w:numFmt w:val="bullet"/>
      <w:lvlText w:val=""/>
      <w:lvlJc w:val="left"/>
      <w:pPr>
        <w:ind w:left="2880" w:hanging="360"/>
      </w:pPr>
      <w:rPr>
        <w:rFonts w:ascii="Symbol" w:hAnsi="Symbol" w:hint="default"/>
      </w:rPr>
    </w:lvl>
    <w:lvl w:ilvl="4" w:tplc="1E04D638">
      <w:start w:val="1"/>
      <w:numFmt w:val="bullet"/>
      <w:lvlText w:val="o"/>
      <w:lvlJc w:val="left"/>
      <w:pPr>
        <w:ind w:left="3600" w:hanging="360"/>
      </w:pPr>
      <w:rPr>
        <w:rFonts w:ascii="Courier New" w:hAnsi="Courier New" w:hint="default"/>
      </w:rPr>
    </w:lvl>
    <w:lvl w:ilvl="5" w:tplc="A12A6532">
      <w:start w:val="1"/>
      <w:numFmt w:val="bullet"/>
      <w:lvlText w:val=""/>
      <w:lvlJc w:val="left"/>
      <w:pPr>
        <w:ind w:left="4320" w:hanging="360"/>
      </w:pPr>
      <w:rPr>
        <w:rFonts w:ascii="Wingdings" w:hAnsi="Wingdings" w:hint="default"/>
      </w:rPr>
    </w:lvl>
    <w:lvl w:ilvl="6" w:tplc="BA6C3DFA">
      <w:start w:val="1"/>
      <w:numFmt w:val="bullet"/>
      <w:lvlText w:val=""/>
      <w:lvlJc w:val="left"/>
      <w:pPr>
        <w:ind w:left="5040" w:hanging="360"/>
      </w:pPr>
      <w:rPr>
        <w:rFonts w:ascii="Symbol" w:hAnsi="Symbol" w:hint="default"/>
      </w:rPr>
    </w:lvl>
    <w:lvl w:ilvl="7" w:tplc="1346E9C6">
      <w:start w:val="1"/>
      <w:numFmt w:val="bullet"/>
      <w:lvlText w:val="o"/>
      <w:lvlJc w:val="left"/>
      <w:pPr>
        <w:ind w:left="5760" w:hanging="360"/>
      </w:pPr>
      <w:rPr>
        <w:rFonts w:ascii="Courier New" w:hAnsi="Courier New" w:hint="default"/>
      </w:rPr>
    </w:lvl>
    <w:lvl w:ilvl="8" w:tplc="F756394C">
      <w:start w:val="1"/>
      <w:numFmt w:val="bullet"/>
      <w:lvlText w:val=""/>
      <w:lvlJc w:val="left"/>
      <w:pPr>
        <w:ind w:left="6480" w:hanging="360"/>
      </w:pPr>
      <w:rPr>
        <w:rFonts w:ascii="Wingdings" w:hAnsi="Wingdings" w:hint="default"/>
      </w:rPr>
    </w:lvl>
  </w:abstractNum>
  <w:abstractNum w:abstractNumId="20" w15:restartNumberingAfterBreak="0">
    <w:nsid w:val="4393EDBD"/>
    <w:multiLevelType w:val="hybridMultilevel"/>
    <w:tmpl w:val="03B2FDA0"/>
    <w:lvl w:ilvl="0" w:tplc="AB30F4D2">
      <w:start w:val="1"/>
      <w:numFmt w:val="bullet"/>
      <w:lvlText w:val="-"/>
      <w:lvlJc w:val="left"/>
      <w:pPr>
        <w:ind w:left="720" w:hanging="360"/>
      </w:pPr>
      <w:rPr>
        <w:rFonts w:ascii="Aptos" w:hAnsi="Aptos" w:hint="default"/>
      </w:rPr>
    </w:lvl>
    <w:lvl w:ilvl="1" w:tplc="DE84089C">
      <w:start w:val="1"/>
      <w:numFmt w:val="bullet"/>
      <w:lvlText w:val="o"/>
      <w:lvlJc w:val="left"/>
      <w:pPr>
        <w:ind w:left="1440" w:hanging="360"/>
      </w:pPr>
      <w:rPr>
        <w:rFonts w:ascii="Courier New" w:hAnsi="Courier New" w:hint="default"/>
      </w:rPr>
    </w:lvl>
    <w:lvl w:ilvl="2" w:tplc="A70027DE">
      <w:start w:val="1"/>
      <w:numFmt w:val="bullet"/>
      <w:lvlText w:val=""/>
      <w:lvlJc w:val="left"/>
      <w:pPr>
        <w:ind w:left="2160" w:hanging="360"/>
      </w:pPr>
      <w:rPr>
        <w:rFonts w:ascii="Wingdings" w:hAnsi="Wingdings" w:hint="default"/>
      </w:rPr>
    </w:lvl>
    <w:lvl w:ilvl="3" w:tplc="E8909278">
      <w:start w:val="1"/>
      <w:numFmt w:val="bullet"/>
      <w:lvlText w:val=""/>
      <w:lvlJc w:val="left"/>
      <w:pPr>
        <w:ind w:left="2880" w:hanging="360"/>
      </w:pPr>
      <w:rPr>
        <w:rFonts w:ascii="Symbol" w:hAnsi="Symbol" w:hint="default"/>
      </w:rPr>
    </w:lvl>
    <w:lvl w:ilvl="4" w:tplc="76C84F74">
      <w:start w:val="1"/>
      <w:numFmt w:val="bullet"/>
      <w:lvlText w:val="o"/>
      <w:lvlJc w:val="left"/>
      <w:pPr>
        <w:ind w:left="3600" w:hanging="360"/>
      </w:pPr>
      <w:rPr>
        <w:rFonts w:ascii="Courier New" w:hAnsi="Courier New" w:hint="default"/>
      </w:rPr>
    </w:lvl>
    <w:lvl w:ilvl="5" w:tplc="910AC9F6">
      <w:start w:val="1"/>
      <w:numFmt w:val="bullet"/>
      <w:lvlText w:val=""/>
      <w:lvlJc w:val="left"/>
      <w:pPr>
        <w:ind w:left="4320" w:hanging="360"/>
      </w:pPr>
      <w:rPr>
        <w:rFonts w:ascii="Wingdings" w:hAnsi="Wingdings" w:hint="default"/>
      </w:rPr>
    </w:lvl>
    <w:lvl w:ilvl="6" w:tplc="8B6C4A0A">
      <w:start w:val="1"/>
      <w:numFmt w:val="bullet"/>
      <w:lvlText w:val=""/>
      <w:lvlJc w:val="left"/>
      <w:pPr>
        <w:ind w:left="5040" w:hanging="360"/>
      </w:pPr>
      <w:rPr>
        <w:rFonts w:ascii="Symbol" w:hAnsi="Symbol" w:hint="default"/>
      </w:rPr>
    </w:lvl>
    <w:lvl w:ilvl="7" w:tplc="E6BC5FEA">
      <w:start w:val="1"/>
      <w:numFmt w:val="bullet"/>
      <w:lvlText w:val="o"/>
      <w:lvlJc w:val="left"/>
      <w:pPr>
        <w:ind w:left="5760" w:hanging="360"/>
      </w:pPr>
      <w:rPr>
        <w:rFonts w:ascii="Courier New" w:hAnsi="Courier New" w:hint="default"/>
      </w:rPr>
    </w:lvl>
    <w:lvl w:ilvl="8" w:tplc="F75629C0">
      <w:start w:val="1"/>
      <w:numFmt w:val="bullet"/>
      <w:lvlText w:val=""/>
      <w:lvlJc w:val="left"/>
      <w:pPr>
        <w:ind w:left="6480" w:hanging="360"/>
      </w:pPr>
      <w:rPr>
        <w:rFonts w:ascii="Wingdings" w:hAnsi="Wingdings" w:hint="default"/>
      </w:rPr>
    </w:lvl>
  </w:abstractNum>
  <w:abstractNum w:abstractNumId="21" w15:restartNumberingAfterBreak="0">
    <w:nsid w:val="49383987"/>
    <w:multiLevelType w:val="hybridMultilevel"/>
    <w:tmpl w:val="7708EC92"/>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2" w15:restartNumberingAfterBreak="0">
    <w:nsid w:val="49BF6205"/>
    <w:multiLevelType w:val="multilevel"/>
    <w:tmpl w:val="4582E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0B048C"/>
    <w:multiLevelType w:val="multilevel"/>
    <w:tmpl w:val="4E2C4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85DE9C"/>
    <w:multiLevelType w:val="hybridMultilevel"/>
    <w:tmpl w:val="FFFFFFFF"/>
    <w:lvl w:ilvl="0" w:tplc="56288D36">
      <w:start w:val="1"/>
      <w:numFmt w:val="bullet"/>
      <w:lvlText w:val=""/>
      <w:lvlJc w:val="left"/>
      <w:pPr>
        <w:ind w:left="720" w:hanging="360"/>
      </w:pPr>
      <w:rPr>
        <w:rFonts w:ascii="Symbol" w:hAnsi="Symbol" w:hint="default"/>
      </w:rPr>
    </w:lvl>
    <w:lvl w:ilvl="1" w:tplc="DB6680FC">
      <w:start w:val="1"/>
      <w:numFmt w:val="bullet"/>
      <w:lvlText w:val="o"/>
      <w:lvlJc w:val="left"/>
      <w:pPr>
        <w:ind w:left="1440" w:hanging="360"/>
      </w:pPr>
      <w:rPr>
        <w:rFonts w:ascii="Courier New" w:hAnsi="Courier New" w:hint="default"/>
      </w:rPr>
    </w:lvl>
    <w:lvl w:ilvl="2" w:tplc="B09CD908">
      <w:start w:val="1"/>
      <w:numFmt w:val="bullet"/>
      <w:lvlText w:val=""/>
      <w:lvlJc w:val="left"/>
      <w:pPr>
        <w:ind w:left="2160" w:hanging="360"/>
      </w:pPr>
      <w:rPr>
        <w:rFonts w:ascii="Wingdings" w:hAnsi="Wingdings" w:hint="default"/>
      </w:rPr>
    </w:lvl>
    <w:lvl w:ilvl="3" w:tplc="81ECCD4C">
      <w:start w:val="1"/>
      <w:numFmt w:val="bullet"/>
      <w:lvlText w:val=""/>
      <w:lvlJc w:val="left"/>
      <w:pPr>
        <w:ind w:left="2880" w:hanging="360"/>
      </w:pPr>
      <w:rPr>
        <w:rFonts w:ascii="Symbol" w:hAnsi="Symbol" w:hint="default"/>
      </w:rPr>
    </w:lvl>
    <w:lvl w:ilvl="4" w:tplc="95929924">
      <w:start w:val="1"/>
      <w:numFmt w:val="bullet"/>
      <w:lvlText w:val="o"/>
      <w:lvlJc w:val="left"/>
      <w:pPr>
        <w:ind w:left="3600" w:hanging="360"/>
      </w:pPr>
      <w:rPr>
        <w:rFonts w:ascii="Courier New" w:hAnsi="Courier New" w:hint="default"/>
      </w:rPr>
    </w:lvl>
    <w:lvl w:ilvl="5" w:tplc="9A5E7908">
      <w:start w:val="1"/>
      <w:numFmt w:val="bullet"/>
      <w:lvlText w:val=""/>
      <w:lvlJc w:val="left"/>
      <w:pPr>
        <w:ind w:left="4320" w:hanging="360"/>
      </w:pPr>
      <w:rPr>
        <w:rFonts w:ascii="Wingdings" w:hAnsi="Wingdings" w:hint="default"/>
      </w:rPr>
    </w:lvl>
    <w:lvl w:ilvl="6" w:tplc="92B835C6">
      <w:start w:val="1"/>
      <w:numFmt w:val="bullet"/>
      <w:lvlText w:val=""/>
      <w:lvlJc w:val="left"/>
      <w:pPr>
        <w:ind w:left="5040" w:hanging="360"/>
      </w:pPr>
      <w:rPr>
        <w:rFonts w:ascii="Symbol" w:hAnsi="Symbol" w:hint="default"/>
      </w:rPr>
    </w:lvl>
    <w:lvl w:ilvl="7" w:tplc="6DC481FC">
      <w:start w:val="1"/>
      <w:numFmt w:val="bullet"/>
      <w:lvlText w:val="o"/>
      <w:lvlJc w:val="left"/>
      <w:pPr>
        <w:ind w:left="5760" w:hanging="360"/>
      </w:pPr>
      <w:rPr>
        <w:rFonts w:ascii="Courier New" w:hAnsi="Courier New" w:hint="default"/>
      </w:rPr>
    </w:lvl>
    <w:lvl w:ilvl="8" w:tplc="48820C66">
      <w:start w:val="1"/>
      <w:numFmt w:val="bullet"/>
      <w:lvlText w:val=""/>
      <w:lvlJc w:val="left"/>
      <w:pPr>
        <w:ind w:left="6480" w:hanging="360"/>
      </w:pPr>
      <w:rPr>
        <w:rFonts w:ascii="Wingdings" w:hAnsi="Wingdings" w:hint="default"/>
      </w:rPr>
    </w:lvl>
  </w:abstractNum>
  <w:abstractNum w:abstractNumId="25" w15:restartNumberingAfterBreak="0">
    <w:nsid w:val="5D12E2ED"/>
    <w:multiLevelType w:val="hybridMultilevel"/>
    <w:tmpl w:val="FFFFFFFF"/>
    <w:lvl w:ilvl="0" w:tplc="96C6A822">
      <w:start w:val="1"/>
      <w:numFmt w:val="bullet"/>
      <w:lvlText w:val=""/>
      <w:lvlJc w:val="left"/>
      <w:pPr>
        <w:ind w:left="360" w:hanging="360"/>
      </w:pPr>
      <w:rPr>
        <w:rFonts w:ascii="Symbol" w:hAnsi="Symbol" w:hint="default"/>
      </w:rPr>
    </w:lvl>
    <w:lvl w:ilvl="1" w:tplc="CC3C9336">
      <w:start w:val="1"/>
      <w:numFmt w:val="bullet"/>
      <w:lvlText w:val="o"/>
      <w:lvlJc w:val="left"/>
      <w:pPr>
        <w:ind w:left="1080" w:hanging="360"/>
      </w:pPr>
      <w:rPr>
        <w:rFonts w:ascii="Courier New" w:hAnsi="Courier New" w:hint="default"/>
      </w:rPr>
    </w:lvl>
    <w:lvl w:ilvl="2" w:tplc="14181F9C">
      <w:start w:val="1"/>
      <w:numFmt w:val="bullet"/>
      <w:lvlText w:val=""/>
      <w:lvlJc w:val="left"/>
      <w:pPr>
        <w:ind w:left="1800" w:hanging="360"/>
      </w:pPr>
      <w:rPr>
        <w:rFonts w:ascii="Wingdings" w:hAnsi="Wingdings" w:hint="default"/>
      </w:rPr>
    </w:lvl>
    <w:lvl w:ilvl="3" w:tplc="F67C806A">
      <w:start w:val="1"/>
      <w:numFmt w:val="bullet"/>
      <w:lvlText w:val=""/>
      <w:lvlJc w:val="left"/>
      <w:pPr>
        <w:ind w:left="2520" w:hanging="360"/>
      </w:pPr>
      <w:rPr>
        <w:rFonts w:ascii="Symbol" w:hAnsi="Symbol" w:hint="default"/>
      </w:rPr>
    </w:lvl>
    <w:lvl w:ilvl="4" w:tplc="017AEF72">
      <w:start w:val="1"/>
      <w:numFmt w:val="bullet"/>
      <w:lvlText w:val="o"/>
      <w:lvlJc w:val="left"/>
      <w:pPr>
        <w:ind w:left="3240" w:hanging="360"/>
      </w:pPr>
      <w:rPr>
        <w:rFonts w:ascii="Courier New" w:hAnsi="Courier New" w:hint="default"/>
      </w:rPr>
    </w:lvl>
    <w:lvl w:ilvl="5" w:tplc="9B58116A">
      <w:start w:val="1"/>
      <w:numFmt w:val="bullet"/>
      <w:lvlText w:val=""/>
      <w:lvlJc w:val="left"/>
      <w:pPr>
        <w:ind w:left="3960" w:hanging="360"/>
      </w:pPr>
      <w:rPr>
        <w:rFonts w:ascii="Wingdings" w:hAnsi="Wingdings" w:hint="default"/>
      </w:rPr>
    </w:lvl>
    <w:lvl w:ilvl="6" w:tplc="88E6427E">
      <w:start w:val="1"/>
      <w:numFmt w:val="bullet"/>
      <w:lvlText w:val=""/>
      <w:lvlJc w:val="left"/>
      <w:pPr>
        <w:ind w:left="4680" w:hanging="360"/>
      </w:pPr>
      <w:rPr>
        <w:rFonts w:ascii="Symbol" w:hAnsi="Symbol" w:hint="default"/>
      </w:rPr>
    </w:lvl>
    <w:lvl w:ilvl="7" w:tplc="5D2CDE92">
      <w:start w:val="1"/>
      <w:numFmt w:val="bullet"/>
      <w:lvlText w:val="o"/>
      <w:lvlJc w:val="left"/>
      <w:pPr>
        <w:ind w:left="5400" w:hanging="360"/>
      </w:pPr>
      <w:rPr>
        <w:rFonts w:ascii="Courier New" w:hAnsi="Courier New" w:hint="default"/>
      </w:rPr>
    </w:lvl>
    <w:lvl w:ilvl="8" w:tplc="08DAE080">
      <w:start w:val="1"/>
      <w:numFmt w:val="bullet"/>
      <w:lvlText w:val=""/>
      <w:lvlJc w:val="left"/>
      <w:pPr>
        <w:ind w:left="6120" w:hanging="360"/>
      </w:pPr>
      <w:rPr>
        <w:rFonts w:ascii="Wingdings" w:hAnsi="Wingdings" w:hint="default"/>
      </w:rPr>
    </w:lvl>
  </w:abstractNum>
  <w:abstractNum w:abstractNumId="26" w15:restartNumberingAfterBreak="0">
    <w:nsid w:val="602417BD"/>
    <w:multiLevelType w:val="hybridMultilevel"/>
    <w:tmpl w:val="D8388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DAE74C"/>
    <w:multiLevelType w:val="hybridMultilevel"/>
    <w:tmpl w:val="1348FDC8"/>
    <w:lvl w:ilvl="0" w:tplc="957C2E82">
      <w:start w:val="1"/>
      <w:numFmt w:val="bullet"/>
      <w:lvlText w:val=""/>
      <w:lvlJc w:val="left"/>
      <w:pPr>
        <w:ind w:left="720" w:hanging="360"/>
      </w:pPr>
      <w:rPr>
        <w:rFonts w:ascii="Symbol" w:hAnsi="Symbol" w:hint="default"/>
      </w:rPr>
    </w:lvl>
    <w:lvl w:ilvl="1" w:tplc="AE7EA6B0">
      <w:start w:val="1"/>
      <w:numFmt w:val="bullet"/>
      <w:lvlText w:val="o"/>
      <w:lvlJc w:val="left"/>
      <w:pPr>
        <w:ind w:left="1440" w:hanging="360"/>
      </w:pPr>
      <w:rPr>
        <w:rFonts w:ascii="Courier New" w:hAnsi="Courier New" w:hint="default"/>
      </w:rPr>
    </w:lvl>
    <w:lvl w:ilvl="2" w:tplc="28FA573C">
      <w:start w:val="1"/>
      <w:numFmt w:val="bullet"/>
      <w:lvlText w:val=""/>
      <w:lvlJc w:val="left"/>
      <w:pPr>
        <w:ind w:left="2160" w:hanging="360"/>
      </w:pPr>
      <w:rPr>
        <w:rFonts w:ascii="Wingdings" w:hAnsi="Wingdings" w:hint="default"/>
      </w:rPr>
    </w:lvl>
    <w:lvl w:ilvl="3" w:tplc="0AFCE3BC">
      <w:start w:val="1"/>
      <w:numFmt w:val="bullet"/>
      <w:lvlText w:val=""/>
      <w:lvlJc w:val="left"/>
      <w:pPr>
        <w:ind w:left="2880" w:hanging="360"/>
      </w:pPr>
      <w:rPr>
        <w:rFonts w:ascii="Symbol" w:hAnsi="Symbol" w:hint="default"/>
      </w:rPr>
    </w:lvl>
    <w:lvl w:ilvl="4" w:tplc="383CC32E">
      <w:start w:val="1"/>
      <w:numFmt w:val="bullet"/>
      <w:lvlText w:val="o"/>
      <w:lvlJc w:val="left"/>
      <w:pPr>
        <w:ind w:left="3600" w:hanging="360"/>
      </w:pPr>
      <w:rPr>
        <w:rFonts w:ascii="Courier New" w:hAnsi="Courier New" w:hint="default"/>
      </w:rPr>
    </w:lvl>
    <w:lvl w:ilvl="5" w:tplc="49165452">
      <w:start w:val="1"/>
      <w:numFmt w:val="bullet"/>
      <w:lvlText w:val=""/>
      <w:lvlJc w:val="left"/>
      <w:pPr>
        <w:ind w:left="4320" w:hanging="360"/>
      </w:pPr>
      <w:rPr>
        <w:rFonts w:ascii="Wingdings" w:hAnsi="Wingdings" w:hint="default"/>
      </w:rPr>
    </w:lvl>
    <w:lvl w:ilvl="6" w:tplc="4976A9F4">
      <w:start w:val="1"/>
      <w:numFmt w:val="bullet"/>
      <w:lvlText w:val=""/>
      <w:lvlJc w:val="left"/>
      <w:pPr>
        <w:ind w:left="5040" w:hanging="360"/>
      </w:pPr>
      <w:rPr>
        <w:rFonts w:ascii="Symbol" w:hAnsi="Symbol" w:hint="default"/>
      </w:rPr>
    </w:lvl>
    <w:lvl w:ilvl="7" w:tplc="7D129546">
      <w:start w:val="1"/>
      <w:numFmt w:val="bullet"/>
      <w:lvlText w:val="o"/>
      <w:lvlJc w:val="left"/>
      <w:pPr>
        <w:ind w:left="5760" w:hanging="360"/>
      </w:pPr>
      <w:rPr>
        <w:rFonts w:ascii="Courier New" w:hAnsi="Courier New" w:hint="default"/>
      </w:rPr>
    </w:lvl>
    <w:lvl w:ilvl="8" w:tplc="29503F9C">
      <w:start w:val="1"/>
      <w:numFmt w:val="bullet"/>
      <w:lvlText w:val=""/>
      <w:lvlJc w:val="left"/>
      <w:pPr>
        <w:ind w:left="6480" w:hanging="360"/>
      </w:pPr>
      <w:rPr>
        <w:rFonts w:ascii="Wingdings" w:hAnsi="Wingdings" w:hint="default"/>
      </w:rPr>
    </w:lvl>
  </w:abstractNum>
  <w:abstractNum w:abstractNumId="28" w15:restartNumberingAfterBreak="0">
    <w:nsid w:val="64DE5937"/>
    <w:multiLevelType w:val="multilevel"/>
    <w:tmpl w:val="9F72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6E47960"/>
    <w:multiLevelType w:val="multilevel"/>
    <w:tmpl w:val="6914C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C58FF6"/>
    <w:multiLevelType w:val="hybridMultilevel"/>
    <w:tmpl w:val="93E66DFC"/>
    <w:lvl w:ilvl="0" w:tplc="FBE07A0E">
      <w:start w:val="1"/>
      <w:numFmt w:val="bullet"/>
      <w:lvlText w:val=""/>
      <w:lvlJc w:val="left"/>
      <w:pPr>
        <w:ind w:left="720" w:hanging="360"/>
      </w:pPr>
      <w:rPr>
        <w:rFonts w:ascii="Symbol" w:hAnsi="Symbol" w:hint="default"/>
      </w:rPr>
    </w:lvl>
    <w:lvl w:ilvl="1" w:tplc="08864BBE">
      <w:start w:val="1"/>
      <w:numFmt w:val="bullet"/>
      <w:lvlText w:val="o"/>
      <w:lvlJc w:val="left"/>
      <w:pPr>
        <w:ind w:left="1440" w:hanging="360"/>
      </w:pPr>
      <w:rPr>
        <w:rFonts w:ascii="Courier New" w:hAnsi="Courier New" w:hint="default"/>
      </w:rPr>
    </w:lvl>
    <w:lvl w:ilvl="2" w:tplc="3F8AF55C">
      <w:start w:val="1"/>
      <w:numFmt w:val="bullet"/>
      <w:lvlText w:val=""/>
      <w:lvlJc w:val="left"/>
      <w:pPr>
        <w:ind w:left="2160" w:hanging="360"/>
      </w:pPr>
      <w:rPr>
        <w:rFonts w:ascii="Wingdings" w:hAnsi="Wingdings" w:hint="default"/>
      </w:rPr>
    </w:lvl>
    <w:lvl w:ilvl="3" w:tplc="71E84D42">
      <w:start w:val="1"/>
      <w:numFmt w:val="bullet"/>
      <w:lvlText w:val=""/>
      <w:lvlJc w:val="left"/>
      <w:pPr>
        <w:ind w:left="2880" w:hanging="360"/>
      </w:pPr>
      <w:rPr>
        <w:rFonts w:ascii="Symbol" w:hAnsi="Symbol" w:hint="default"/>
      </w:rPr>
    </w:lvl>
    <w:lvl w:ilvl="4" w:tplc="59C074FA">
      <w:start w:val="1"/>
      <w:numFmt w:val="bullet"/>
      <w:lvlText w:val="o"/>
      <w:lvlJc w:val="left"/>
      <w:pPr>
        <w:ind w:left="3600" w:hanging="360"/>
      </w:pPr>
      <w:rPr>
        <w:rFonts w:ascii="Courier New" w:hAnsi="Courier New" w:hint="default"/>
      </w:rPr>
    </w:lvl>
    <w:lvl w:ilvl="5" w:tplc="0FF22228">
      <w:start w:val="1"/>
      <w:numFmt w:val="bullet"/>
      <w:lvlText w:val=""/>
      <w:lvlJc w:val="left"/>
      <w:pPr>
        <w:ind w:left="4320" w:hanging="360"/>
      </w:pPr>
      <w:rPr>
        <w:rFonts w:ascii="Wingdings" w:hAnsi="Wingdings" w:hint="default"/>
      </w:rPr>
    </w:lvl>
    <w:lvl w:ilvl="6" w:tplc="D69A5694">
      <w:start w:val="1"/>
      <w:numFmt w:val="bullet"/>
      <w:lvlText w:val=""/>
      <w:lvlJc w:val="left"/>
      <w:pPr>
        <w:ind w:left="5040" w:hanging="360"/>
      </w:pPr>
      <w:rPr>
        <w:rFonts w:ascii="Symbol" w:hAnsi="Symbol" w:hint="default"/>
      </w:rPr>
    </w:lvl>
    <w:lvl w:ilvl="7" w:tplc="E340B29E">
      <w:start w:val="1"/>
      <w:numFmt w:val="bullet"/>
      <w:lvlText w:val="o"/>
      <w:lvlJc w:val="left"/>
      <w:pPr>
        <w:ind w:left="5760" w:hanging="360"/>
      </w:pPr>
      <w:rPr>
        <w:rFonts w:ascii="Courier New" w:hAnsi="Courier New" w:hint="default"/>
      </w:rPr>
    </w:lvl>
    <w:lvl w:ilvl="8" w:tplc="C9242282">
      <w:start w:val="1"/>
      <w:numFmt w:val="bullet"/>
      <w:lvlText w:val=""/>
      <w:lvlJc w:val="left"/>
      <w:pPr>
        <w:ind w:left="6480" w:hanging="360"/>
      </w:pPr>
      <w:rPr>
        <w:rFonts w:ascii="Wingdings" w:hAnsi="Wingdings" w:hint="default"/>
      </w:rPr>
    </w:lvl>
  </w:abstractNum>
  <w:abstractNum w:abstractNumId="31" w15:restartNumberingAfterBreak="0">
    <w:nsid w:val="6C8694BD"/>
    <w:multiLevelType w:val="hybridMultilevel"/>
    <w:tmpl w:val="2D9289F2"/>
    <w:lvl w:ilvl="0" w:tplc="69323F06">
      <w:start w:val="1"/>
      <w:numFmt w:val="bullet"/>
      <w:lvlText w:val="-"/>
      <w:lvlJc w:val="left"/>
      <w:pPr>
        <w:ind w:left="720" w:hanging="360"/>
      </w:pPr>
      <w:rPr>
        <w:rFonts w:ascii="Aptos" w:hAnsi="Aptos" w:hint="default"/>
      </w:rPr>
    </w:lvl>
    <w:lvl w:ilvl="1" w:tplc="1FE4B09A">
      <w:start w:val="1"/>
      <w:numFmt w:val="bullet"/>
      <w:lvlText w:val="o"/>
      <w:lvlJc w:val="left"/>
      <w:pPr>
        <w:ind w:left="1440" w:hanging="360"/>
      </w:pPr>
      <w:rPr>
        <w:rFonts w:ascii="Courier New" w:hAnsi="Courier New" w:hint="default"/>
      </w:rPr>
    </w:lvl>
    <w:lvl w:ilvl="2" w:tplc="AEE65A2A">
      <w:start w:val="1"/>
      <w:numFmt w:val="bullet"/>
      <w:lvlText w:val=""/>
      <w:lvlJc w:val="left"/>
      <w:pPr>
        <w:ind w:left="2160" w:hanging="360"/>
      </w:pPr>
      <w:rPr>
        <w:rFonts w:ascii="Wingdings" w:hAnsi="Wingdings" w:hint="default"/>
      </w:rPr>
    </w:lvl>
    <w:lvl w:ilvl="3" w:tplc="58901146">
      <w:start w:val="1"/>
      <w:numFmt w:val="bullet"/>
      <w:lvlText w:val=""/>
      <w:lvlJc w:val="left"/>
      <w:pPr>
        <w:ind w:left="2880" w:hanging="360"/>
      </w:pPr>
      <w:rPr>
        <w:rFonts w:ascii="Symbol" w:hAnsi="Symbol" w:hint="default"/>
      </w:rPr>
    </w:lvl>
    <w:lvl w:ilvl="4" w:tplc="12549D42">
      <w:start w:val="1"/>
      <w:numFmt w:val="bullet"/>
      <w:lvlText w:val="o"/>
      <w:lvlJc w:val="left"/>
      <w:pPr>
        <w:ind w:left="3600" w:hanging="360"/>
      </w:pPr>
      <w:rPr>
        <w:rFonts w:ascii="Courier New" w:hAnsi="Courier New" w:hint="default"/>
      </w:rPr>
    </w:lvl>
    <w:lvl w:ilvl="5" w:tplc="853CEAEE">
      <w:start w:val="1"/>
      <w:numFmt w:val="bullet"/>
      <w:lvlText w:val=""/>
      <w:lvlJc w:val="left"/>
      <w:pPr>
        <w:ind w:left="4320" w:hanging="360"/>
      </w:pPr>
      <w:rPr>
        <w:rFonts w:ascii="Wingdings" w:hAnsi="Wingdings" w:hint="default"/>
      </w:rPr>
    </w:lvl>
    <w:lvl w:ilvl="6" w:tplc="4EEADA98">
      <w:start w:val="1"/>
      <w:numFmt w:val="bullet"/>
      <w:lvlText w:val=""/>
      <w:lvlJc w:val="left"/>
      <w:pPr>
        <w:ind w:left="5040" w:hanging="360"/>
      </w:pPr>
      <w:rPr>
        <w:rFonts w:ascii="Symbol" w:hAnsi="Symbol" w:hint="default"/>
      </w:rPr>
    </w:lvl>
    <w:lvl w:ilvl="7" w:tplc="ADF88096">
      <w:start w:val="1"/>
      <w:numFmt w:val="bullet"/>
      <w:lvlText w:val="o"/>
      <w:lvlJc w:val="left"/>
      <w:pPr>
        <w:ind w:left="5760" w:hanging="360"/>
      </w:pPr>
      <w:rPr>
        <w:rFonts w:ascii="Courier New" w:hAnsi="Courier New" w:hint="default"/>
      </w:rPr>
    </w:lvl>
    <w:lvl w:ilvl="8" w:tplc="922879EC">
      <w:start w:val="1"/>
      <w:numFmt w:val="bullet"/>
      <w:lvlText w:val=""/>
      <w:lvlJc w:val="left"/>
      <w:pPr>
        <w:ind w:left="6480" w:hanging="360"/>
      </w:pPr>
      <w:rPr>
        <w:rFonts w:ascii="Wingdings" w:hAnsi="Wingdings" w:hint="default"/>
      </w:rPr>
    </w:lvl>
  </w:abstractNum>
  <w:abstractNum w:abstractNumId="32" w15:restartNumberingAfterBreak="0">
    <w:nsid w:val="7499EFFF"/>
    <w:multiLevelType w:val="hybridMultilevel"/>
    <w:tmpl w:val="FFFFFFFF"/>
    <w:lvl w:ilvl="0" w:tplc="527E2256">
      <w:start w:val="1"/>
      <w:numFmt w:val="bullet"/>
      <w:lvlText w:val=""/>
      <w:lvlJc w:val="left"/>
      <w:pPr>
        <w:ind w:left="720" w:hanging="360"/>
      </w:pPr>
      <w:rPr>
        <w:rFonts w:ascii="Symbol" w:hAnsi="Symbol" w:hint="default"/>
      </w:rPr>
    </w:lvl>
    <w:lvl w:ilvl="1" w:tplc="C486BFEE">
      <w:start w:val="1"/>
      <w:numFmt w:val="bullet"/>
      <w:lvlText w:val="o"/>
      <w:lvlJc w:val="left"/>
      <w:pPr>
        <w:ind w:left="1440" w:hanging="360"/>
      </w:pPr>
      <w:rPr>
        <w:rFonts w:ascii="Courier New" w:hAnsi="Courier New" w:hint="default"/>
      </w:rPr>
    </w:lvl>
    <w:lvl w:ilvl="2" w:tplc="9FFE7944">
      <w:start w:val="1"/>
      <w:numFmt w:val="bullet"/>
      <w:lvlText w:val=""/>
      <w:lvlJc w:val="left"/>
      <w:pPr>
        <w:ind w:left="2160" w:hanging="360"/>
      </w:pPr>
      <w:rPr>
        <w:rFonts w:ascii="Wingdings" w:hAnsi="Wingdings" w:hint="default"/>
      </w:rPr>
    </w:lvl>
    <w:lvl w:ilvl="3" w:tplc="CC962294">
      <w:start w:val="1"/>
      <w:numFmt w:val="bullet"/>
      <w:lvlText w:val=""/>
      <w:lvlJc w:val="left"/>
      <w:pPr>
        <w:ind w:left="2880" w:hanging="360"/>
      </w:pPr>
      <w:rPr>
        <w:rFonts w:ascii="Symbol" w:hAnsi="Symbol" w:hint="default"/>
      </w:rPr>
    </w:lvl>
    <w:lvl w:ilvl="4" w:tplc="EAC087D6">
      <w:start w:val="1"/>
      <w:numFmt w:val="bullet"/>
      <w:lvlText w:val="o"/>
      <w:lvlJc w:val="left"/>
      <w:pPr>
        <w:ind w:left="3600" w:hanging="360"/>
      </w:pPr>
      <w:rPr>
        <w:rFonts w:ascii="Courier New" w:hAnsi="Courier New" w:hint="default"/>
      </w:rPr>
    </w:lvl>
    <w:lvl w:ilvl="5" w:tplc="8F80A1F6">
      <w:start w:val="1"/>
      <w:numFmt w:val="bullet"/>
      <w:lvlText w:val=""/>
      <w:lvlJc w:val="left"/>
      <w:pPr>
        <w:ind w:left="4320" w:hanging="360"/>
      </w:pPr>
      <w:rPr>
        <w:rFonts w:ascii="Wingdings" w:hAnsi="Wingdings" w:hint="default"/>
      </w:rPr>
    </w:lvl>
    <w:lvl w:ilvl="6" w:tplc="E1F873F6">
      <w:start w:val="1"/>
      <w:numFmt w:val="bullet"/>
      <w:lvlText w:val=""/>
      <w:lvlJc w:val="left"/>
      <w:pPr>
        <w:ind w:left="5040" w:hanging="360"/>
      </w:pPr>
      <w:rPr>
        <w:rFonts w:ascii="Symbol" w:hAnsi="Symbol" w:hint="default"/>
      </w:rPr>
    </w:lvl>
    <w:lvl w:ilvl="7" w:tplc="06CC3670">
      <w:start w:val="1"/>
      <w:numFmt w:val="bullet"/>
      <w:lvlText w:val="o"/>
      <w:lvlJc w:val="left"/>
      <w:pPr>
        <w:ind w:left="5760" w:hanging="360"/>
      </w:pPr>
      <w:rPr>
        <w:rFonts w:ascii="Courier New" w:hAnsi="Courier New" w:hint="default"/>
      </w:rPr>
    </w:lvl>
    <w:lvl w:ilvl="8" w:tplc="DF928004">
      <w:start w:val="1"/>
      <w:numFmt w:val="bullet"/>
      <w:lvlText w:val=""/>
      <w:lvlJc w:val="left"/>
      <w:pPr>
        <w:ind w:left="6480" w:hanging="360"/>
      </w:pPr>
      <w:rPr>
        <w:rFonts w:ascii="Wingdings" w:hAnsi="Wingdings" w:hint="default"/>
      </w:rPr>
    </w:lvl>
  </w:abstractNum>
  <w:abstractNum w:abstractNumId="33" w15:restartNumberingAfterBreak="0">
    <w:nsid w:val="7527B639"/>
    <w:multiLevelType w:val="hybridMultilevel"/>
    <w:tmpl w:val="FFFFFFFF"/>
    <w:lvl w:ilvl="0" w:tplc="A98027A6">
      <w:start w:val="1"/>
      <w:numFmt w:val="bullet"/>
      <w:lvlText w:val=""/>
      <w:lvlJc w:val="left"/>
      <w:pPr>
        <w:ind w:left="720" w:hanging="360"/>
      </w:pPr>
      <w:rPr>
        <w:rFonts w:ascii="Symbol" w:hAnsi="Symbol" w:hint="default"/>
      </w:rPr>
    </w:lvl>
    <w:lvl w:ilvl="1" w:tplc="8B68B78C">
      <w:start w:val="1"/>
      <w:numFmt w:val="bullet"/>
      <w:lvlText w:val="o"/>
      <w:lvlJc w:val="left"/>
      <w:pPr>
        <w:ind w:left="1440" w:hanging="360"/>
      </w:pPr>
      <w:rPr>
        <w:rFonts w:ascii="Courier New" w:hAnsi="Courier New" w:hint="default"/>
      </w:rPr>
    </w:lvl>
    <w:lvl w:ilvl="2" w:tplc="0564286C">
      <w:start w:val="1"/>
      <w:numFmt w:val="bullet"/>
      <w:lvlText w:val=""/>
      <w:lvlJc w:val="left"/>
      <w:pPr>
        <w:ind w:left="2160" w:hanging="360"/>
      </w:pPr>
      <w:rPr>
        <w:rFonts w:ascii="Wingdings" w:hAnsi="Wingdings" w:hint="default"/>
      </w:rPr>
    </w:lvl>
    <w:lvl w:ilvl="3" w:tplc="22100FEA">
      <w:start w:val="1"/>
      <w:numFmt w:val="bullet"/>
      <w:lvlText w:val=""/>
      <w:lvlJc w:val="left"/>
      <w:pPr>
        <w:ind w:left="2880" w:hanging="360"/>
      </w:pPr>
      <w:rPr>
        <w:rFonts w:ascii="Symbol" w:hAnsi="Symbol" w:hint="default"/>
      </w:rPr>
    </w:lvl>
    <w:lvl w:ilvl="4" w:tplc="E07EEBDC">
      <w:start w:val="1"/>
      <w:numFmt w:val="bullet"/>
      <w:lvlText w:val="o"/>
      <w:lvlJc w:val="left"/>
      <w:pPr>
        <w:ind w:left="3600" w:hanging="360"/>
      </w:pPr>
      <w:rPr>
        <w:rFonts w:ascii="Courier New" w:hAnsi="Courier New" w:hint="default"/>
      </w:rPr>
    </w:lvl>
    <w:lvl w:ilvl="5" w:tplc="E836E714">
      <w:start w:val="1"/>
      <w:numFmt w:val="bullet"/>
      <w:lvlText w:val=""/>
      <w:lvlJc w:val="left"/>
      <w:pPr>
        <w:ind w:left="4320" w:hanging="360"/>
      </w:pPr>
      <w:rPr>
        <w:rFonts w:ascii="Wingdings" w:hAnsi="Wingdings" w:hint="default"/>
      </w:rPr>
    </w:lvl>
    <w:lvl w:ilvl="6" w:tplc="90CC43D8">
      <w:start w:val="1"/>
      <w:numFmt w:val="bullet"/>
      <w:lvlText w:val=""/>
      <w:lvlJc w:val="left"/>
      <w:pPr>
        <w:ind w:left="5040" w:hanging="360"/>
      </w:pPr>
      <w:rPr>
        <w:rFonts w:ascii="Symbol" w:hAnsi="Symbol" w:hint="default"/>
      </w:rPr>
    </w:lvl>
    <w:lvl w:ilvl="7" w:tplc="051EA12C">
      <w:start w:val="1"/>
      <w:numFmt w:val="bullet"/>
      <w:lvlText w:val="o"/>
      <w:lvlJc w:val="left"/>
      <w:pPr>
        <w:ind w:left="5760" w:hanging="360"/>
      </w:pPr>
      <w:rPr>
        <w:rFonts w:ascii="Courier New" w:hAnsi="Courier New" w:hint="default"/>
      </w:rPr>
    </w:lvl>
    <w:lvl w:ilvl="8" w:tplc="C78026B0">
      <w:start w:val="1"/>
      <w:numFmt w:val="bullet"/>
      <w:lvlText w:val=""/>
      <w:lvlJc w:val="left"/>
      <w:pPr>
        <w:ind w:left="6480" w:hanging="360"/>
      </w:pPr>
      <w:rPr>
        <w:rFonts w:ascii="Wingdings" w:hAnsi="Wingdings" w:hint="default"/>
      </w:rPr>
    </w:lvl>
  </w:abstractNum>
  <w:abstractNum w:abstractNumId="34" w15:restartNumberingAfterBreak="0">
    <w:nsid w:val="7A9D18E5"/>
    <w:multiLevelType w:val="multilevel"/>
    <w:tmpl w:val="8B3CE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9165738">
    <w:abstractNumId w:val="18"/>
  </w:num>
  <w:num w:numId="2" w16cid:durableId="1025592037">
    <w:abstractNumId w:val="32"/>
  </w:num>
  <w:num w:numId="3" w16cid:durableId="2142335372">
    <w:abstractNumId w:val="5"/>
  </w:num>
  <w:num w:numId="4" w16cid:durableId="234752831">
    <w:abstractNumId w:val="33"/>
  </w:num>
  <w:num w:numId="5" w16cid:durableId="944001149">
    <w:abstractNumId w:val="6"/>
  </w:num>
  <w:num w:numId="6" w16cid:durableId="243224289">
    <w:abstractNumId w:val="9"/>
  </w:num>
  <w:num w:numId="7" w16cid:durableId="1044982287">
    <w:abstractNumId w:val="13"/>
  </w:num>
  <w:num w:numId="8" w16cid:durableId="1570920531">
    <w:abstractNumId w:val="24"/>
  </w:num>
  <w:num w:numId="9" w16cid:durableId="1660307939">
    <w:abstractNumId w:val="7"/>
  </w:num>
  <w:num w:numId="10" w16cid:durableId="1174690311">
    <w:abstractNumId w:val="30"/>
  </w:num>
  <w:num w:numId="11" w16cid:durableId="1293050944">
    <w:abstractNumId w:val="19"/>
  </w:num>
  <w:num w:numId="12" w16cid:durableId="919287885">
    <w:abstractNumId w:val="17"/>
  </w:num>
  <w:num w:numId="13" w16cid:durableId="1645427178">
    <w:abstractNumId w:val="27"/>
  </w:num>
  <w:num w:numId="14" w16cid:durableId="8026578">
    <w:abstractNumId w:val="15"/>
  </w:num>
  <w:num w:numId="15" w16cid:durableId="2122064497">
    <w:abstractNumId w:val="14"/>
  </w:num>
  <w:num w:numId="16" w16cid:durableId="89815150">
    <w:abstractNumId w:val="16"/>
  </w:num>
  <w:num w:numId="17" w16cid:durableId="162086731">
    <w:abstractNumId w:val="20"/>
  </w:num>
  <w:num w:numId="18" w16cid:durableId="580912677">
    <w:abstractNumId w:val="12"/>
  </w:num>
  <w:num w:numId="19" w16cid:durableId="1114792396">
    <w:abstractNumId w:val="11"/>
  </w:num>
  <w:num w:numId="20" w16cid:durableId="990864015">
    <w:abstractNumId w:val="31"/>
  </w:num>
  <w:num w:numId="21" w16cid:durableId="847712352">
    <w:abstractNumId w:val="10"/>
  </w:num>
  <w:num w:numId="22" w16cid:durableId="919296887">
    <w:abstractNumId w:val="25"/>
  </w:num>
  <w:num w:numId="23" w16cid:durableId="1089038102">
    <w:abstractNumId w:val="0"/>
  </w:num>
  <w:num w:numId="24" w16cid:durableId="533621785">
    <w:abstractNumId w:val="1"/>
  </w:num>
  <w:num w:numId="25" w16cid:durableId="1842574793">
    <w:abstractNumId w:val="23"/>
  </w:num>
  <w:num w:numId="26" w16cid:durableId="1311209519">
    <w:abstractNumId w:val="29"/>
  </w:num>
  <w:num w:numId="27" w16cid:durableId="841549537">
    <w:abstractNumId w:val="28"/>
  </w:num>
  <w:num w:numId="28" w16cid:durableId="937492864">
    <w:abstractNumId w:val="2"/>
  </w:num>
  <w:num w:numId="29" w16cid:durableId="2142765181">
    <w:abstractNumId w:val="22"/>
  </w:num>
  <w:num w:numId="30" w16cid:durableId="1028725157">
    <w:abstractNumId w:val="34"/>
  </w:num>
  <w:num w:numId="31" w16cid:durableId="447238750">
    <w:abstractNumId w:val="3"/>
  </w:num>
  <w:num w:numId="32" w16cid:durableId="1014725467">
    <w:abstractNumId w:val="8"/>
  </w:num>
  <w:num w:numId="33" w16cid:durableId="433942406">
    <w:abstractNumId w:val="21"/>
  </w:num>
  <w:num w:numId="34" w16cid:durableId="1508324497">
    <w:abstractNumId w:val="26"/>
  </w:num>
  <w:num w:numId="35" w16cid:durableId="66285199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25D"/>
    <w:rsid w:val="00005773"/>
    <w:rsid w:val="00007663"/>
    <w:rsid w:val="00007EB6"/>
    <w:rsid w:val="0001062C"/>
    <w:rsid w:val="0001128B"/>
    <w:rsid w:val="00015FD1"/>
    <w:rsid w:val="00016A6B"/>
    <w:rsid w:val="000349A2"/>
    <w:rsid w:val="00034AB6"/>
    <w:rsid w:val="000367C6"/>
    <w:rsid w:val="00036E02"/>
    <w:rsid w:val="0005383D"/>
    <w:rsid w:val="000572E9"/>
    <w:rsid w:val="00057316"/>
    <w:rsid w:val="00061F72"/>
    <w:rsid w:val="00064DC3"/>
    <w:rsid w:val="00071F59"/>
    <w:rsid w:val="0007300A"/>
    <w:rsid w:val="00081306"/>
    <w:rsid w:val="00084230"/>
    <w:rsid w:val="00093F4A"/>
    <w:rsid w:val="000A02E6"/>
    <w:rsid w:val="000A1343"/>
    <w:rsid w:val="000A6982"/>
    <w:rsid w:val="000C66E2"/>
    <w:rsid w:val="000C7306"/>
    <w:rsid w:val="000D2C80"/>
    <w:rsid w:val="000D3710"/>
    <w:rsid w:val="000D5619"/>
    <w:rsid w:val="000E09DD"/>
    <w:rsid w:val="000E77F6"/>
    <w:rsid w:val="000EF472"/>
    <w:rsid w:val="000F4792"/>
    <w:rsid w:val="000F74F8"/>
    <w:rsid w:val="0010015D"/>
    <w:rsid w:val="00101C4D"/>
    <w:rsid w:val="00107039"/>
    <w:rsid w:val="0011369B"/>
    <w:rsid w:val="00116F91"/>
    <w:rsid w:val="00117E7D"/>
    <w:rsid w:val="001241D1"/>
    <w:rsid w:val="00124AA4"/>
    <w:rsid w:val="00125ADB"/>
    <w:rsid w:val="00134218"/>
    <w:rsid w:val="00143C3A"/>
    <w:rsid w:val="001546AE"/>
    <w:rsid w:val="0015559A"/>
    <w:rsid w:val="00155A27"/>
    <w:rsid w:val="00171461"/>
    <w:rsid w:val="001748EA"/>
    <w:rsid w:val="00175CA5"/>
    <w:rsid w:val="0018637C"/>
    <w:rsid w:val="001950A7"/>
    <w:rsid w:val="001979C9"/>
    <w:rsid w:val="001A02D6"/>
    <w:rsid w:val="001A6970"/>
    <w:rsid w:val="001C16D2"/>
    <w:rsid w:val="001D12F8"/>
    <w:rsid w:val="001D32C6"/>
    <w:rsid w:val="001D379B"/>
    <w:rsid w:val="001D4AD5"/>
    <w:rsid w:val="001D54EC"/>
    <w:rsid w:val="001D664A"/>
    <w:rsid w:val="001D6C21"/>
    <w:rsid w:val="001D6E97"/>
    <w:rsid w:val="001E501D"/>
    <w:rsid w:val="001F2395"/>
    <w:rsid w:val="001F7E82"/>
    <w:rsid w:val="002046EC"/>
    <w:rsid w:val="0020674C"/>
    <w:rsid w:val="002147CC"/>
    <w:rsid w:val="0021853B"/>
    <w:rsid w:val="0023194F"/>
    <w:rsid w:val="00241C8C"/>
    <w:rsid w:val="00245B83"/>
    <w:rsid w:val="00250AC2"/>
    <w:rsid w:val="00250BC2"/>
    <w:rsid w:val="00255FD2"/>
    <w:rsid w:val="00265C50"/>
    <w:rsid w:val="002660AD"/>
    <w:rsid w:val="00267484"/>
    <w:rsid w:val="0027051B"/>
    <w:rsid w:val="00270C84"/>
    <w:rsid w:val="00274BA2"/>
    <w:rsid w:val="00276A6D"/>
    <w:rsid w:val="002902DF"/>
    <w:rsid w:val="002913F5"/>
    <w:rsid w:val="002940EC"/>
    <w:rsid w:val="002A3E2B"/>
    <w:rsid w:val="002A71FB"/>
    <w:rsid w:val="002B1D05"/>
    <w:rsid w:val="002C0FAE"/>
    <w:rsid w:val="002C46C8"/>
    <w:rsid w:val="002D166B"/>
    <w:rsid w:val="002D4F53"/>
    <w:rsid w:val="002E2C0B"/>
    <w:rsid w:val="002E3BB0"/>
    <w:rsid w:val="002E53BE"/>
    <w:rsid w:val="002E747A"/>
    <w:rsid w:val="002F2ADC"/>
    <w:rsid w:val="002F4B81"/>
    <w:rsid w:val="0030152F"/>
    <w:rsid w:val="0030485C"/>
    <w:rsid w:val="00311572"/>
    <w:rsid w:val="003210C0"/>
    <w:rsid w:val="003272C7"/>
    <w:rsid w:val="00347B24"/>
    <w:rsid w:val="00353CA6"/>
    <w:rsid w:val="00354857"/>
    <w:rsid w:val="00357E27"/>
    <w:rsid w:val="00366767"/>
    <w:rsid w:val="00370D52"/>
    <w:rsid w:val="0037794D"/>
    <w:rsid w:val="00382130"/>
    <w:rsid w:val="00382F1C"/>
    <w:rsid w:val="00385294"/>
    <w:rsid w:val="0039039E"/>
    <w:rsid w:val="00397332"/>
    <w:rsid w:val="003A25D8"/>
    <w:rsid w:val="003A3495"/>
    <w:rsid w:val="003A39F7"/>
    <w:rsid w:val="003B5457"/>
    <w:rsid w:val="003C11FA"/>
    <w:rsid w:val="003C3056"/>
    <w:rsid w:val="003C56DC"/>
    <w:rsid w:val="003C7B60"/>
    <w:rsid w:val="003E5EA3"/>
    <w:rsid w:val="003F0EA7"/>
    <w:rsid w:val="00401797"/>
    <w:rsid w:val="004058A0"/>
    <w:rsid w:val="00405927"/>
    <w:rsid w:val="00407CD1"/>
    <w:rsid w:val="0041174E"/>
    <w:rsid w:val="00411E9C"/>
    <w:rsid w:val="0041212E"/>
    <w:rsid w:val="00412392"/>
    <w:rsid w:val="0041356F"/>
    <w:rsid w:val="0041F2F5"/>
    <w:rsid w:val="00437EAE"/>
    <w:rsid w:val="0044676F"/>
    <w:rsid w:val="00446B84"/>
    <w:rsid w:val="00453773"/>
    <w:rsid w:val="00453E58"/>
    <w:rsid w:val="00464501"/>
    <w:rsid w:val="0046666D"/>
    <w:rsid w:val="0047297B"/>
    <w:rsid w:val="004769BE"/>
    <w:rsid w:val="00477818"/>
    <w:rsid w:val="0047796D"/>
    <w:rsid w:val="0048394B"/>
    <w:rsid w:val="0048523E"/>
    <w:rsid w:val="004878BA"/>
    <w:rsid w:val="00487AC7"/>
    <w:rsid w:val="00497292"/>
    <w:rsid w:val="00497FD3"/>
    <w:rsid w:val="004B24DE"/>
    <w:rsid w:val="004B353E"/>
    <w:rsid w:val="004B6CDD"/>
    <w:rsid w:val="004C1ED5"/>
    <w:rsid w:val="004C53AE"/>
    <w:rsid w:val="004C543B"/>
    <w:rsid w:val="004D1264"/>
    <w:rsid w:val="004D73D4"/>
    <w:rsid w:val="004E16F0"/>
    <w:rsid w:val="004E2237"/>
    <w:rsid w:val="004E6FF5"/>
    <w:rsid w:val="004E73CB"/>
    <w:rsid w:val="004E7F1B"/>
    <w:rsid w:val="004F20D9"/>
    <w:rsid w:val="004F2E13"/>
    <w:rsid w:val="004F6899"/>
    <w:rsid w:val="00505489"/>
    <w:rsid w:val="0051786A"/>
    <w:rsid w:val="00525499"/>
    <w:rsid w:val="00526013"/>
    <w:rsid w:val="00531FD0"/>
    <w:rsid w:val="00536436"/>
    <w:rsid w:val="00544049"/>
    <w:rsid w:val="005642A1"/>
    <w:rsid w:val="0057353D"/>
    <w:rsid w:val="00576378"/>
    <w:rsid w:val="00582DD6"/>
    <w:rsid w:val="0058588D"/>
    <w:rsid w:val="005A107B"/>
    <w:rsid w:val="005A685C"/>
    <w:rsid w:val="005B084D"/>
    <w:rsid w:val="005B6259"/>
    <w:rsid w:val="005C2EF4"/>
    <w:rsid w:val="005C3207"/>
    <w:rsid w:val="005C3D93"/>
    <w:rsid w:val="005C6F7C"/>
    <w:rsid w:val="005D0E73"/>
    <w:rsid w:val="005D7E79"/>
    <w:rsid w:val="005E26A0"/>
    <w:rsid w:val="005E36B2"/>
    <w:rsid w:val="005E4886"/>
    <w:rsid w:val="005F714C"/>
    <w:rsid w:val="00601C45"/>
    <w:rsid w:val="006048C1"/>
    <w:rsid w:val="00612029"/>
    <w:rsid w:val="0062266E"/>
    <w:rsid w:val="00623585"/>
    <w:rsid w:val="006239BE"/>
    <w:rsid w:val="00630536"/>
    <w:rsid w:val="0065094B"/>
    <w:rsid w:val="0066035D"/>
    <w:rsid w:val="0066434A"/>
    <w:rsid w:val="00667F30"/>
    <w:rsid w:val="006725E8"/>
    <w:rsid w:val="0067389C"/>
    <w:rsid w:val="00674BB0"/>
    <w:rsid w:val="00676E26"/>
    <w:rsid w:val="00680E8D"/>
    <w:rsid w:val="0068125D"/>
    <w:rsid w:val="00687D86"/>
    <w:rsid w:val="0069079E"/>
    <w:rsid w:val="00691351"/>
    <w:rsid w:val="006942D4"/>
    <w:rsid w:val="006956FD"/>
    <w:rsid w:val="0069720A"/>
    <w:rsid w:val="006A05EF"/>
    <w:rsid w:val="006A09B7"/>
    <w:rsid w:val="006A102C"/>
    <w:rsid w:val="006A256C"/>
    <w:rsid w:val="006A4B97"/>
    <w:rsid w:val="006B2157"/>
    <w:rsid w:val="006B6E5B"/>
    <w:rsid w:val="006B77F2"/>
    <w:rsid w:val="006C37C3"/>
    <w:rsid w:val="006C6183"/>
    <w:rsid w:val="006C7D62"/>
    <w:rsid w:val="006D3AAD"/>
    <w:rsid w:val="006D6E99"/>
    <w:rsid w:val="006E2954"/>
    <w:rsid w:val="006E37D6"/>
    <w:rsid w:val="006F7D5B"/>
    <w:rsid w:val="007016A6"/>
    <w:rsid w:val="0070235B"/>
    <w:rsid w:val="0070278A"/>
    <w:rsid w:val="00706638"/>
    <w:rsid w:val="00707149"/>
    <w:rsid w:val="00733145"/>
    <w:rsid w:val="00735DAF"/>
    <w:rsid w:val="00737DA6"/>
    <w:rsid w:val="007532BA"/>
    <w:rsid w:val="0076678B"/>
    <w:rsid w:val="00767212"/>
    <w:rsid w:val="00771F7D"/>
    <w:rsid w:val="00774823"/>
    <w:rsid w:val="007961AD"/>
    <w:rsid w:val="007A1CC4"/>
    <w:rsid w:val="007A5C00"/>
    <w:rsid w:val="007B3485"/>
    <w:rsid w:val="007B77CB"/>
    <w:rsid w:val="007C1765"/>
    <w:rsid w:val="007D636E"/>
    <w:rsid w:val="007E60C6"/>
    <w:rsid w:val="007F27A3"/>
    <w:rsid w:val="007F37DD"/>
    <w:rsid w:val="007F74AE"/>
    <w:rsid w:val="007F7A45"/>
    <w:rsid w:val="00800F93"/>
    <w:rsid w:val="00802968"/>
    <w:rsid w:val="0081404F"/>
    <w:rsid w:val="008143DE"/>
    <w:rsid w:val="008212B2"/>
    <w:rsid w:val="00833273"/>
    <w:rsid w:val="00841F40"/>
    <w:rsid w:val="00845557"/>
    <w:rsid w:val="00851405"/>
    <w:rsid w:val="008514A1"/>
    <w:rsid w:val="0086217C"/>
    <w:rsid w:val="008636BB"/>
    <w:rsid w:val="00864DBE"/>
    <w:rsid w:val="00872179"/>
    <w:rsid w:val="008742AF"/>
    <w:rsid w:val="00876B66"/>
    <w:rsid w:val="00877CE6"/>
    <w:rsid w:val="00877E07"/>
    <w:rsid w:val="00877FBD"/>
    <w:rsid w:val="00884F52"/>
    <w:rsid w:val="00893715"/>
    <w:rsid w:val="00894D49"/>
    <w:rsid w:val="008A15D5"/>
    <w:rsid w:val="008A1B43"/>
    <w:rsid w:val="008B6217"/>
    <w:rsid w:val="008C2225"/>
    <w:rsid w:val="008C38F3"/>
    <w:rsid w:val="008C4672"/>
    <w:rsid w:val="008C537D"/>
    <w:rsid w:val="008C77F9"/>
    <w:rsid w:val="008D72CA"/>
    <w:rsid w:val="008F29BA"/>
    <w:rsid w:val="008F7278"/>
    <w:rsid w:val="008F7352"/>
    <w:rsid w:val="00900564"/>
    <w:rsid w:val="0090096F"/>
    <w:rsid w:val="009026BD"/>
    <w:rsid w:val="00904B6B"/>
    <w:rsid w:val="00905F71"/>
    <w:rsid w:val="00913909"/>
    <w:rsid w:val="00914331"/>
    <w:rsid w:val="0091DE29"/>
    <w:rsid w:val="00921140"/>
    <w:rsid w:val="009225C7"/>
    <w:rsid w:val="00927A31"/>
    <w:rsid w:val="00927BAF"/>
    <w:rsid w:val="00932D55"/>
    <w:rsid w:val="00933DE9"/>
    <w:rsid w:val="00934C21"/>
    <w:rsid w:val="009508B8"/>
    <w:rsid w:val="009525D9"/>
    <w:rsid w:val="00953ED9"/>
    <w:rsid w:val="009604AA"/>
    <w:rsid w:val="00963269"/>
    <w:rsid w:val="009642BA"/>
    <w:rsid w:val="00964FD5"/>
    <w:rsid w:val="00965650"/>
    <w:rsid w:val="0097189A"/>
    <w:rsid w:val="009827E6"/>
    <w:rsid w:val="00982AD6"/>
    <w:rsid w:val="009865D7"/>
    <w:rsid w:val="00995B79"/>
    <w:rsid w:val="009B032D"/>
    <w:rsid w:val="009C00B3"/>
    <w:rsid w:val="009C17C7"/>
    <w:rsid w:val="009D24FD"/>
    <w:rsid w:val="009D32D0"/>
    <w:rsid w:val="009E383F"/>
    <w:rsid w:val="009F1451"/>
    <w:rsid w:val="009F1E4F"/>
    <w:rsid w:val="009F4124"/>
    <w:rsid w:val="009F5FD0"/>
    <w:rsid w:val="00A0129E"/>
    <w:rsid w:val="00A054F2"/>
    <w:rsid w:val="00A11C7D"/>
    <w:rsid w:val="00A15BFB"/>
    <w:rsid w:val="00A34E73"/>
    <w:rsid w:val="00A35D54"/>
    <w:rsid w:val="00A40DE3"/>
    <w:rsid w:val="00A4101B"/>
    <w:rsid w:val="00A42CA6"/>
    <w:rsid w:val="00A46AED"/>
    <w:rsid w:val="00A61D7D"/>
    <w:rsid w:val="00A66AAE"/>
    <w:rsid w:val="00A70EE3"/>
    <w:rsid w:val="00A77CEC"/>
    <w:rsid w:val="00A87664"/>
    <w:rsid w:val="00AA15EA"/>
    <w:rsid w:val="00AA15F0"/>
    <w:rsid w:val="00AA19A7"/>
    <w:rsid w:val="00AA21DC"/>
    <w:rsid w:val="00AA41D5"/>
    <w:rsid w:val="00AB19BE"/>
    <w:rsid w:val="00AB2F01"/>
    <w:rsid w:val="00AB57AB"/>
    <w:rsid w:val="00AB5E3B"/>
    <w:rsid w:val="00AC525E"/>
    <w:rsid w:val="00AD1BAD"/>
    <w:rsid w:val="00AE21EC"/>
    <w:rsid w:val="00AE27DE"/>
    <w:rsid w:val="00AE5177"/>
    <w:rsid w:val="00AE6FD9"/>
    <w:rsid w:val="00B00169"/>
    <w:rsid w:val="00B02C87"/>
    <w:rsid w:val="00B02E34"/>
    <w:rsid w:val="00B12FFC"/>
    <w:rsid w:val="00B17769"/>
    <w:rsid w:val="00B20E2D"/>
    <w:rsid w:val="00B23E23"/>
    <w:rsid w:val="00B336AD"/>
    <w:rsid w:val="00B36B11"/>
    <w:rsid w:val="00B5277C"/>
    <w:rsid w:val="00B54A2F"/>
    <w:rsid w:val="00B61F45"/>
    <w:rsid w:val="00B73E67"/>
    <w:rsid w:val="00B75C01"/>
    <w:rsid w:val="00B77099"/>
    <w:rsid w:val="00B7713F"/>
    <w:rsid w:val="00B819E7"/>
    <w:rsid w:val="00B840B8"/>
    <w:rsid w:val="00B9099A"/>
    <w:rsid w:val="00B92062"/>
    <w:rsid w:val="00B93AFB"/>
    <w:rsid w:val="00B944C1"/>
    <w:rsid w:val="00BA4CCE"/>
    <w:rsid w:val="00BB216C"/>
    <w:rsid w:val="00BB44E8"/>
    <w:rsid w:val="00BC13AA"/>
    <w:rsid w:val="00BC6BB9"/>
    <w:rsid w:val="00BC7A52"/>
    <w:rsid w:val="00BD38BC"/>
    <w:rsid w:val="00BD52D1"/>
    <w:rsid w:val="00BF0767"/>
    <w:rsid w:val="00BF2541"/>
    <w:rsid w:val="00BF614D"/>
    <w:rsid w:val="00BF7B89"/>
    <w:rsid w:val="00C00444"/>
    <w:rsid w:val="00C00866"/>
    <w:rsid w:val="00C019A6"/>
    <w:rsid w:val="00C02E13"/>
    <w:rsid w:val="00C03CB9"/>
    <w:rsid w:val="00C04812"/>
    <w:rsid w:val="00C13404"/>
    <w:rsid w:val="00C17EF2"/>
    <w:rsid w:val="00C210C1"/>
    <w:rsid w:val="00C30655"/>
    <w:rsid w:val="00C306C3"/>
    <w:rsid w:val="00C35CA4"/>
    <w:rsid w:val="00C45637"/>
    <w:rsid w:val="00C5147E"/>
    <w:rsid w:val="00C51A99"/>
    <w:rsid w:val="00C5670D"/>
    <w:rsid w:val="00C609D1"/>
    <w:rsid w:val="00C65489"/>
    <w:rsid w:val="00C665D5"/>
    <w:rsid w:val="00C70EBF"/>
    <w:rsid w:val="00C857B0"/>
    <w:rsid w:val="00C85E38"/>
    <w:rsid w:val="00C93C49"/>
    <w:rsid w:val="00C948F8"/>
    <w:rsid w:val="00C94A71"/>
    <w:rsid w:val="00CA30F7"/>
    <w:rsid w:val="00CA6CCF"/>
    <w:rsid w:val="00CB1B33"/>
    <w:rsid w:val="00CB1B8D"/>
    <w:rsid w:val="00CB6685"/>
    <w:rsid w:val="00CB6EAC"/>
    <w:rsid w:val="00CC1A23"/>
    <w:rsid w:val="00CD01D7"/>
    <w:rsid w:val="00CD285C"/>
    <w:rsid w:val="00CD6464"/>
    <w:rsid w:val="00CE6DC1"/>
    <w:rsid w:val="00CF1176"/>
    <w:rsid w:val="00CF2334"/>
    <w:rsid w:val="00D06079"/>
    <w:rsid w:val="00D13E2B"/>
    <w:rsid w:val="00D2031A"/>
    <w:rsid w:val="00D252B0"/>
    <w:rsid w:val="00D2762F"/>
    <w:rsid w:val="00D27A96"/>
    <w:rsid w:val="00D32474"/>
    <w:rsid w:val="00D32770"/>
    <w:rsid w:val="00D40038"/>
    <w:rsid w:val="00D43CCB"/>
    <w:rsid w:val="00D44891"/>
    <w:rsid w:val="00D53C51"/>
    <w:rsid w:val="00D77650"/>
    <w:rsid w:val="00D84D11"/>
    <w:rsid w:val="00D929C4"/>
    <w:rsid w:val="00DB0706"/>
    <w:rsid w:val="00DC0B32"/>
    <w:rsid w:val="00DC41A3"/>
    <w:rsid w:val="00DC5431"/>
    <w:rsid w:val="00DC66DF"/>
    <w:rsid w:val="00DC73AD"/>
    <w:rsid w:val="00DC75CE"/>
    <w:rsid w:val="00DD1423"/>
    <w:rsid w:val="00DE3099"/>
    <w:rsid w:val="00DE5BFB"/>
    <w:rsid w:val="00DF379D"/>
    <w:rsid w:val="00DF458A"/>
    <w:rsid w:val="00DF7E7E"/>
    <w:rsid w:val="00E06751"/>
    <w:rsid w:val="00E137D5"/>
    <w:rsid w:val="00E16C5D"/>
    <w:rsid w:val="00E21F9F"/>
    <w:rsid w:val="00E22BB3"/>
    <w:rsid w:val="00E333AD"/>
    <w:rsid w:val="00E361D6"/>
    <w:rsid w:val="00E41B5A"/>
    <w:rsid w:val="00E43368"/>
    <w:rsid w:val="00E4425C"/>
    <w:rsid w:val="00E465E6"/>
    <w:rsid w:val="00E60D10"/>
    <w:rsid w:val="00E73B01"/>
    <w:rsid w:val="00E82E7C"/>
    <w:rsid w:val="00EA16C7"/>
    <w:rsid w:val="00EA26B8"/>
    <w:rsid w:val="00EB7C5B"/>
    <w:rsid w:val="00ED2126"/>
    <w:rsid w:val="00EE68FE"/>
    <w:rsid w:val="00F0214E"/>
    <w:rsid w:val="00F04CD0"/>
    <w:rsid w:val="00F0531D"/>
    <w:rsid w:val="00F107D7"/>
    <w:rsid w:val="00F10D5B"/>
    <w:rsid w:val="00F13A02"/>
    <w:rsid w:val="00F16BC4"/>
    <w:rsid w:val="00F184F9"/>
    <w:rsid w:val="00F21E05"/>
    <w:rsid w:val="00F24224"/>
    <w:rsid w:val="00F26AC4"/>
    <w:rsid w:val="00F27300"/>
    <w:rsid w:val="00F31EBF"/>
    <w:rsid w:val="00F32AA5"/>
    <w:rsid w:val="00F402C7"/>
    <w:rsid w:val="00F41EE8"/>
    <w:rsid w:val="00F44A14"/>
    <w:rsid w:val="00F45CB9"/>
    <w:rsid w:val="00F542FC"/>
    <w:rsid w:val="00F5617E"/>
    <w:rsid w:val="00F5692C"/>
    <w:rsid w:val="00F70209"/>
    <w:rsid w:val="00F70AF6"/>
    <w:rsid w:val="00F71105"/>
    <w:rsid w:val="00F73BCB"/>
    <w:rsid w:val="00F76A4E"/>
    <w:rsid w:val="00F8A1EA"/>
    <w:rsid w:val="00F91FFF"/>
    <w:rsid w:val="00F9287B"/>
    <w:rsid w:val="00FB5FFF"/>
    <w:rsid w:val="00FC3F03"/>
    <w:rsid w:val="00FE6F66"/>
    <w:rsid w:val="0101DDA3"/>
    <w:rsid w:val="0107CE90"/>
    <w:rsid w:val="010E83E9"/>
    <w:rsid w:val="0119C2FB"/>
    <w:rsid w:val="011E9583"/>
    <w:rsid w:val="012596A5"/>
    <w:rsid w:val="0127A3B3"/>
    <w:rsid w:val="0136EC74"/>
    <w:rsid w:val="0139FD6C"/>
    <w:rsid w:val="013BB083"/>
    <w:rsid w:val="0145A0DB"/>
    <w:rsid w:val="015E3605"/>
    <w:rsid w:val="016AED71"/>
    <w:rsid w:val="016D8A70"/>
    <w:rsid w:val="01785963"/>
    <w:rsid w:val="017A46C9"/>
    <w:rsid w:val="01888449"/>
    <w:rsid w:val="01953BD2"/>
    <w:rsid w:val="01A76136"/>
    <w:rsid w:val="01B12993"/>
    <w:rsid w:val="01B29826"/>
    <w:rsid w:val="01C228EB"/>
    <w:rsid w:val="01CA8E7C"/>
    <w:rsid w:val="01CF0A9C"/>
    <w:rsid w:val="01D9E815"/>
    <w:rsid w:val="01E7D421"/>
    <w:rsid w:val="02138BB9"/>
    <w:rsid w:val="021419ED"/>
    <w:rsid w:val="021A2455"/>
    <w:rsid w:val="02437FCF"/>
    <w:rsid w:val="02461953"/>
    <w:rsid w:val="0253BE5A"/>
    <w:rsid w:val="02899BC3"/>
    <w:rsid w:val="029201EF"/>
    <w:rsid w:val="02A322C5"/>
    <w:rsid w:val="02AB3D0D"/>
    <w:rsid w:val="02AB54FA"/>
    <w:rsid w:val="02B14F01"/>
    <w:rsid w:val="02B45CB3"/>
    <w:rsid w:val="02DD4A79"/>
    <w:rsid w:val="02EB2097"/>
    <w:rsid w:val="02F32076"/>
    <w:rsid w:val="0303CB8F"/>
    <w:rsid w:val="03197BB9"/>
    <w:rsid w:val="031B20CB"/>
    <w:rsid w:val="033D9B9A"/>
    <w:rsid w:val="034EBBEB"/>
    <w:rsid w:val="036E388E"/>
    <w:rsid w:val="03A40A86"/>
    <w:rsid w:val="03A5FEBF"/>
    <w:rsid w:val="03B0A037"/>
    <w:rsid w:val="03B1A0AF"/>
    <w:rsid w:val="03B38BBE"/>
    <w:rsid w:val="03B57333"/>
    <w:rsid w:val="03C595EE"/>
    <w:rsid w:val="03DE54AE"/>
    <w:rsid w:val="041564AC"/>
    <w:rsid w:val="041E8366"/>
    <w:rsid w:val="0441A939"/>
    <w:rsid w:val="0464CF6B"/>
    <w:rsid w:val="048A3A13"/>
    <w:rsid w:val="048E9B29"/>
    <w:rsid w:val="04BBA866"/>
    <w:rsid w:val="04C295CC"/>
    <w:rsid w:val="04C8914D"/>
    <w:rsid w:val="04F29483"/>
    <w:rsid w:val="0509F8DA"/>
    <w:rsid w:val="0518F191"/>
    <w:rsid w:val="0522A3CD"/>
    <w:rsid w:val="052C5C1C"/>
    <w:rsid w:val="052F89FD"/>
    <w:rsid w:val="054817F9"/>
    <w:rsid w:val="055231C1"/>
    <w:rsid w:val="056B95D0"/>
    <w:rsid w:val="056D05AB"/>
    <w:rsid w:val="056D70C3"/>
    <w:rsid w:val="05790CBA"/>
    <w:rsid w:val="057CAD81"/>
    <w:rsid w:val="058676F6"/>
    <w:rsid w:val="0589FBA0"/>
    <w:rsid w:val="05D12259"/>
    <w:rsid w:val="06018F59"/>
    <w:rsid w:val="06048AE7"/>
    <w:rsid w:val="060A0076"/>
    <w:rsid w:val="060D9A27"/>
    <w:rsid w:val="0630D143"/>
    <w:rsid w:val="064BD2D6"/>
    <w:rsid w:val="064E4889"/>
    <w:rsid w:val="068C7D68"/>
    <w:rsid w:val="06A24F9F"/>
    <w:rsid w:val="06B8088B"/>
    <w:rsid w:val="06C752E9"/>
    <w:rsid w:val="06D5417C"/>
    <w:rsid w:val="06DD064E"/>
    <w:rsid w:val="06DEB527"/>
    <w:rsid w:val="0706A52F"/>
    <w:rsid w:val="070C4575"/>
    <w:rsid w:val="0730BAFA"/>
    <w:rsid w:val="0747EDBB"/>
    <w:rsid w:val="0748DE87"/>
    <w:rsid w:val="07514739"/>
    <w:rsid w:val="075A2393"/>
    <w:rsid w:val="076C03AC"/>
    <w:rsid w:val="07721EA5"/>
    <w:rsid w:val="077A5356"/>
    <w:rsid w:val="077B74CF"/>
    <w:rsid w:val="0784F41B"/>
    <w:rsid w:val="07999966"/>
    <w:rsid w:val="07A86639"/>
    <w:rsid w:val="07D0CCB8"/>
    <w:rsid w:val="07D17843"/>
    <w:rsid w:val="07D4C060"/>
    <w:rsid w:val="07D9A99D"/>
    <w:rsid w:val="080037AF"/>
    <w:rsid w:val="0803DD74"/>
    <w:rsid w:val="0806CA8A"/>
    <w:rsid w:val="081B3981"/>
    <w:rsid w:val="081D78BA"/>
    <w:rsid w:val="082600F8"/>
    <w:rsid w:val="082DE952"/>
    <w:rsid w:val="082FB15A"/>
    <w:rsid w:val="0838F727"/>
    <w:rsid w:val="0841E014"/>
    <w:rsid w:val="08495AD8"/>
    <w:rsid w:val="084E5977"/>
    <w:rsid w:val="0860DA0E"/>
    <w:rsid w:val="0863939C"/>
    <w:rsid w:val="086F2F1B"/>
    <w:rsid w:val="0891BE10"/>
    <w:rsid w:val="08A3F20D"/>
    <w:rsid w:val="08B3A46F"/>
    <w:rsid w:val="08BCE4B7"/>
    <w:rsid w:val="08C12123"/>
    <w:rsid w:val="08C3EFD4"/>
    <w:rsid w:val="08CAE47E"/>
    <w:rsid w:val="08E9BEAE"/>
    <w:rsid w:val="08F0D5FF"/>
    <w:rsid w:val="08F9A8FD"/>
    <w:rsid w:val="0901B3CB"/>
    <w:rsid w:val="0906E1C1"/>
    <w:rsid w:val="091D1131"/>
    <w:rsid w:val="0941AEAF"/>
    <w:rsid w:val="094C5F22"/>
    <w:rsid w:val="095C8123"/>
    <w:rsid w:val="098509C5"/>
    <w:rsid w:val="099A1493"/>
    <w:rsid w:val="09B0B564"/>
    <w:rsid w:val="09D82AD0"/>
    <w:rsid w:val="0A0518A6"/>
    <w:rsid w:val="0A070906"/>
    <w:rsid w:val="0A1105A7"/>
    <w:rsid w:val="0A306351"/>
    <w:rsid w:val="0A540C22"/>
    <w:rsid w:val="0A5EBD3F"/>
    <w:rsid w:val="0A673225"/>
    <w:rsid w:val="0A7C415D"/>
    <w:rsid w:val="0A8B8C80"/>
    <w:rsid w:val="0AA39BD6"/>
    <w:rsid w:val="0AC0AF99"/>
    <w:rsid w:val="0AF494D4"/>
    <w:rsid w:val="0B041F05"/>
    <w:rsid w:val="0B2B77B3"/>
    <w:rsid w:val="0B323451"/>
    <w:rsid w:val="0B435109"/>
    <w:rsid w:val="0B5A9BAE"/>
    <w:rsid w:val="0B61E870"/>
    <w:rsid w:val="0B6FE795"/>
    <w:rsid w:val="0B8A5EF8"/>
    <w:rsid w:val="0B9319C8"/>
    <w:rsid w:val="0BA503B2"/>
    <w:rsid w:val="0BD6734D"/>
    <w:rsid w:val="0BE362F5"/>
    <w:rsid w:val="0BEA1A58"/>
    <w:rsid w:val="0BEA1F21"/>
    <w:rsid w:val="0BF0E02B"/>
    <w:rsid w:val="0BFCBD4D"/>
    <w:rsid w:val="0BFD8A38"/>
    <w:rsid w:val="0C070B78"/>
    <w:rsid w:val="0C2E2AB5"/>
    <w:rsid w:val="0C57C57B"/>
    <w:rsid w:val="0C83ECA5"/>
    <w:rsid w:val="0C9DA464"/>
    <w:rsid w:val="0CA09BD7"/>
    <w:rsid w:val="0CA5A3CA"/>
    <w:rsid w:val="0CA6056C"/>
    <w:rsid w:val="0CA6AF0C"/>
    <w:rsid w:val="0CAD3BCE"/>
    <w:rsid w:val="0CCC0EB2"/>
    <w:rsid w:val="0CE2DC19"/>
    <w:rsid w:val="0CEEF67F"/>
    <w:rsid w:val="0CF4E014"/>
    <w:rsid w:val="0CF72C71"/>
    <w:rsid w:val="0CFFCE66"/>
    <w:rsid w:val="0D0107E3"/>
    <w:rsid w:val="0D0FAEAA"/>
    <w:rsid w:val="0D15E8E4"/>
    <w:rsid w:val="0D1DB5BB"/>
    <w:rsid w:val="0D2EC7FC"/>
    <w:rsid w:val="0D309349"/>
    <w:rsid w:val="0D38D129"/>
    <w:rsid w:val="0D3FC8E2"/>
    <w:rsid w:val="0D5BBD81"/>
    <w:rsid w:val="0D609665"/>
    <w:rsid w:val="0D72AF54"/>
    <w:rsid w:val="0D779B10"/>
    <w:rsid w:val="0D8F60C1"/>
    <w:rsid w:val="0D91C6EA"/>
    <w:rsid w:val="0D9C7E18"/>
    <w:rsid w:val="0DA20DBF"/>
    <w:rsid w:val="0DA3F588"/>
    <w:rsid w:val="0DD2577B"/>
    <w:rsid w:val="0DFF4CD2"/>
    <w:rsid w:val="0E188A8A"/>
    <w:rsid w:val="0E53ABA1"/>
    <w:rsid w:val="0E5AAB92"/>
    <w:rsid w:val="0E65B961"/>
    <w:rsid w:val="0E65F2A5"/>
    <w:rsid w:val="0E6DA3C5"/>
    <w:rsid w:val="0E84EB57"/>
    <w:rsid w:val="0E89491D"/>
    <w:rsid w:val="0EA3F23C"/>
    <w:rsid w:val="0EA87A5B"/>
    <w:rsid w:val="0EA87DD0"/>
    <w:rsid w:val="0ED07E12"/>
    <w:rsid w:val="0ED734C3"/>
    <w:rsid w:val="0EDD1B0F"/>
    <w:rsid w:val="0EF97D5E"/>
    <w:rsid w:val="0F030C72"/>
    <w:rsid w:val="0F046753"/>
    <w:rsid w:val="0F0ED7CF"/>
    <w:rsid w:val="0F2B4680"/>
    <w:rsid w:val="0F43C68B"/>
    <w:rsid w:val="0F523395"/>
    <w:rsid w:val="0F580630"/>
    <w:rsid w:val="0F6D34AA"/>
    <w:rsid w:val="0F6EFA13"/>
    <w:rsid w:val="0F7064CC"/>
    <w:rsid w:val="0F80BC57"/>
    <w:rsid w:val="0FBA9386"/>
    <w:rsid w:val="0FD13730"/>
    <w:rsid w:val="0FECADE5"/>
    <w:rsid w:val="10131CDA"/>
    <w:rsid w:val="101F7F47"/>
    <w:rsid w:val="10469CA6"/>
    <w:rsid w:val="10563263"/>
    <w:rsid w:val="10635206"/>
    <w:rsid w:val="10710A9E"/>
    <w:rsid w:val="10802152"/>
    <w:rsid w:val="10829ABB"/>
    <w:rsid w:val="108455FF"/>
    <w:rsid w:val="1084B38B"/>
    <w:rsid w:val="1085E121"/>
    <w:rsid w:val="108870BE"/>
    <w:rsid w:val="1089AE85"/>
    <w:rsid w:val="109E9076"/>
    <w:rsid w:val="10AEC24B"/>
    <w:rsid w:val="10ED15B2"/>
    <w:rsid w:val="10F019FA"/>
    <w:rsid w:val="10F81F36"/>
    <w:rsid w:val="1109AF3E"/>
    <w:rsid w:val="110A5970"/>
    <w:rsid w:val="110AA8AF"/>
    <w:rsid w:val="111EAC6B"/>
    <w:rsid w:val="1128C974"/>
    <w:rsid w:val="113F7544"/>
    <w:rsid w:val="114A0D50"/>
    <w:rsid w:val="11868712"/>
    <w:rsid w:val="1191C642"/>
    <w:rsid w:val="1195E7A4"/>
    <w:rsid w:val="11BEB9A6"/>
    <w:rsid w:val="11C2B0A0"/>
    <w:rsid w:val="11E5E38B"/>
    <w:rsid w:val="11F7C31C"/>
    <w:rsid w:val="11FB5797"/>
    <w:rsid w:val="12273B74"/>
    <w:rsid w:val="122A96CF"/>
    <w:rsid w:val="1240BAB1"/>
    <w:rsid w:val="1246E6E6"/>
    <w:rsid w:val="1249ECA0"/>
    <w:rsid w:val="124F92A4"/>
    <w:rsid w:val="1253AE65"/>
    <w:rsid w:val="12671346"/>
    <w:rsid w:val="127ADABF"/>
    <w:rsid w:val="1281954E"/>
    <w:rsid w:val="128C3AFD"/>
    <w:rsid w:val="1296C780"/>
    <w:rsid w:val="12998CA7"/>
    <w:rsid w:val="129CD6A9"/>
    <w:rsid w:val="12A8B7C1"/>
    <w:rsid w:val="12B58BBC"/>
    <w:rsid w:val="12B9E42A"/>
    <w:rsid w:val="12BEC483"/>
    <w:rsid w:val="12C79FF2"/>
    <w:rsid w:val="12C886E7"/>
    <w:rsid w:val="12CC7763"/>
    <w:rsid w:val="12D0D380"/>
    <w:rsid w:val="12D531F5"/>
    <w:rsid w:val="12DABBB3"/>
    <w:rsid w:val="1321CEB7"/>
    <w:rsid w:val="134B00EF"/>
    <w:rsid w:val="136356B1"/>
    <w:rsid w:val="13681D6C"/>
    <w:rsid w:val="137839A8"/>
    <w:rsid w:val="13861768"/>
    <w:rsid w:val="1388C829"/>
    <w:rsid w:val="139BC0C7"/>
    <w:rsid w:val="13A7281E"/>
    <w:rsid w:val="13AC7B2A"/>
    <w:rsid w:val="13B3A22A"/>
    <w:rsid w:val="13D646FA"/>
    <w:rsid w:val="13D69B99"/>
    <w:rsid w:val="13F71C55"/>
    <w:rsid w:val="1404969A"/>
    <w:rsid w:val="14184405"/>
    <w:rsid w:val="141B3175"/>
    <w:rsid w:val="1452927D"/>
    <w:rsid w:val="145579C4"/>
    <w:rsid w:val="145EF414"/>
    <w:rsid w:val="14850C48"/>
    <w:rsid w:val="148C46BB"/>
    <w:rsid w:val="149655F1"/>
    <w:rsid w:val="14B180C1"/>
    <w:rsid w:val="14C97D91"/>
    <w:rsid w:val="14CB8952"/>
    <w:rsid w:val="14EB449C"/>
    <w:rsid w:val="14FE438D"/>
    <w:rsid w:val="1501A497"/>
    <w:rsid w:val="15136F83"/>
    <w:rsid w:val="15275BE6"/>
    <w:rsid w:val="152E207C"/>
    <w:rsid w:val="153ABC06"/>
    <w:rsid w:val="15451BE8"/>
    <w:rsid w:val="15539180"/>
    <w:rsid w:val="1556D3FB"/>
    <w:rsid w:val="1559EDD2"/>
    <w:rsid w:val="15652E5B"/>
    <w:rsid w:val="156E473F"/>
    <w:rsid w:val="157D9F38"/>
    <w:rsid w:val="15833CA8"/>
    <w:rsid w:val="1589ED79"/>
    <w:rsid w:val="159F9FE5"/>
    <w:rsid w:val="15AEA997"/>
    <w:rsid w:val="15B1D9EB"/>
    <w:rsid w:val="15B929AF"/>
    <w:rsid w:val="15F2035B"/>
    <w:rsid w:val="1604344A"/>
    <w:rsid w:val="161AFBA4"/>
    <w:rsid w:val="16249270"/>
    <w:rsid w:val="1629F951"/>
    <w:rsid w:val="162D3504"/>
    <w:rsid w:val="1634A611"/>
    <w:rsid w:val="16354E3B"/>
    <w:rsid w:val="16486A76"/>
    <w:rsid w:val="16735925"/>
    <w:rsid w:val="167ECCC9"/>
    <w:rsid w:val="1682C229"/>
    <w:rsid w:val="16899B76"/>
    <w:rsid w:val="16AA714A"/>
    <w:rsid w:val="16C8767B"/>
    <w:rsid w:val="16E4BC37"/>
    <w:rsid w:val="16F9FF5C"/>
    <w:rsid w:val="172F74C4"/>
    <w:rsid w:val="17305B7E"/>
    <w:rsid w:val="173A784A"/>
    <w:rsid w:val="1748F0D8"/>
    <w:rsid w:val="176B23A7"/>
    <w:rsid w:val="177086A5"/>
    <w:rsid w:val="17720381"/>
    <w:rsid w:val="17AA2FCD"/>
    <w:rsid w:val="17D49968"/>
    <w:rsid w:val="17E4DA47"/>
    <w:rsid w:val="18008E9E"/>
    <w:rsid w:val="185701BF"/>
    <w:rsid w:val="1867031A"/>
    <w:rsid w:val="187A668F"/>
    <w:rsid w:val="1886BBFA"/>
    <w:rsid w:val="188EDB0C"/>
    <w:rsid w:val="18F091DE"/>
    <w:rsid w:val="1914CF11"/>
    <w:rsid w:val="192BA4B3"/>
    <w:rsid w:val="1955746F"/>
    <w:rsid w:val="197A80A0"/>
    <w:rsid w:val="1982C510"/>
    <w:rsid w:val="19993F2F"/>
    <w:rsid w:val="199C3329"/>
    <w:rsid w:val="19B412A9"/>
    <w:rsid w:val="19DB92AE"/>
    <w:rsid w:val="19E3A617"/>
    <w:rsid w:val="19E89923"/>
    <w:rsid w:val="19F896C2"/>
    <w:rsid w:val="1A1B776B"/>
    <w:rsid w:val="1A3A0608"/>
    <w:rsid w:val="1A6CC348"/>
    <w:rsid w:val="1A6FBB76"/>
    <w:rsid w:val="1A935789"/>
    <w:rsid w:val="1A9C9636"/>
    <w:rsid w:val="1AA319B3"/>
    <w:rsid w:val="1AAC8F16"/>
    <w:rsid w:val="1AE1A886"/>
    <w:rsid w:val="1B04A097"/>
    <w:rsid w:val="1B12E92B"/>
    <w:rsid w:val="1B2997A2"/>
    <w:rsid w:val="1B3506CF"/>
    <w:rsid w:val="1B46AEC5"/>
    <w:rsid w:val="1B482BF3"/>
    <w:rsid w:val="1B5152EC"/>
    <w:rsid w:val="1B830963"/>
    <w:rsid w:val="1B9248EA"/>
    <w:rsid w:val="1BA32EAB"/>
    <w:rsid w:val="1BA36C48"/>
    <w:rsid w:val="1BADCD8C"/>
    <w:rsid w:val="1BB39668"/>
    <w:rsid w:val="1BB7BB6D"/>
    <w:rsid w:val="1BC73DEE"/>
    <w:rsid w:val="1BE7C1C9"/>
    <w:rsid w:val="1BEE948B"/>
    <w:rsid w:val="1BFA74C6"/>
    <w:rsid w:val="1C1E355E"/>
    <w:rsid w:val="1C200541"/>
    <w:rsid w:val="1C3850FA"/>
    <w:rsid w:val="1C3C6A15"/>
    <w:rsid w:val="1C52456F"/>
    <w:rsid w:val="1C57D9AC"/>
    <w:rsid w:val="1C6C0E68"/>
    <w:rsid w:val="1C8DC62F"/>
    <w:rsid w:val="1C919C88"/>
    <w:rsid w:val="1CAAAAA7"/>
    <w:rsid w:val="1CB50435"/>
    <w:rsid w:val="1CB61734"/>
    <w:rsid w:val="1CC1A9E0"/>
    <w:rsid w:val="1CDC58D1"/>
    <w:rsid w:val="1CF02216"/>
    <w:rsid w:val="1CF2D71C"/>
    <w:rsid w:val="1CF5BCBB"/>
    <w:rsid w:val="1CF62963"/>
    <w:rsid w:val="1CF8F5BD"/>
    <w:rsid w:val="1CFAD77D"/>
    <w:rsid w:val="1CFB3B9A"/>
    <w:rsid w:val="1CFFF430"/>
    <w:rsid w:val="1D017A62"/>
    <w:rsid w:val="1D057ACB"/>
    <w:rsid w:val="1D139D1A"/>
    <w:rsid w:val="1D155E63"/>
    <w:rsid w:val="1D1746F3"/>
    <w:rsid w:val="1D21D01F"/>
    <w:rsid w:val="1D5CBDBC"/>
    <w:rsid w:val="1D66E1E1"/>
    <w:rsid w:val="1D72FB52"/>
    <w:rsid w:val="1D76CE5B"/>
    <w:rsid w:val="1D81AB88"/>
    <w:rsid w:val="1D891936"/>
    <w:rsid w:val="1D89C696"/>
    <w:rsid w:val="1D96519B"/>
    <w:rsid w:val="1D9D3ABC"/>
    <w:rsid w:val="1DB1D78F"/>
    <w:rsid w:val="1DB526E8"/>
    <w:rsid w:val="1DC7DB09"/>
    <w:rsid w:val="1DCDEAC7"/>
    <w:rsid w:val="1DCDEDE2"/>
    <w:rsid w:val="1DD00253"/>
    <w:rsid w:val="1DEE5EF0"/>
    <w:rsid w:val="1DF7E0AB"/>
    <w:rsid w:val="1E0CCD5A"/>
    <w:rsid w:val="1E1D1D26"/>
    <w:rsid w:val="1E2A598E"/>
    <w:rsid w:val="1E39D503"/>
    <w:rsid w:val="1E4341ED"/>
    <w:rsid w:val="1E4BA746"/>
    <w:rsid w:val="1E57A377"/>
    <w:rsid w:val="1E5E9BF4"/>
    <w:rsid w:val="1E6D923A"/>
    <w:rsid w:val="1E72B39F"/>
    <w:rsid w:val="1E97C078"/>
    <w:rsid w:val="1EAB2B0E"/>
    <w:rsid w:val="1EBFEEF8"/>
    <w:rsid w:val="1EDA73A9"/>
    <w:rsid w:val="1EE2D01A"/>
    <w:rsid w:val="1F0CB2ED"/>
    <w:rsid w:val="1F0ED5DD"/>
    <w:rsid w:val="1F112031"/>
    <w:rsid w:val="1F11FAA0"/>
    <w:rsid w:val="1F1E2DB8"/>
    <w:rsid w:val="1F45986A"/>
    <w:rsid w:val="1F523329"/>
    <w:rsid w:val="1F66DB5F"/>
    <w:rsid w:val="1F72A44F"/>
    <w:rsid w:val="1F913ED1"/>
    <w:rsid w:val="1F950999"/>
    <w:rsid w:val="1F9BCABB"/>
    <w:rsid w:val="1F9D2924"/>
    <w:rsid w:val="1FAFCF92"/>
    <w:rsid w:val="1FDC3F54"/>
    <w:rsid w:val="1FFD4F74"/>
    <w:rsid w:val="2001F0A3"/>
    <w:rsid w:val="2010158E"/>
    <w:rsid w:val="20187276"/>
    <w:rsid w:val="2018E713"/>
    <w:rsid w:val="20190834"/>
    <w:rsid w:val="202D70FD"/>
    <w:rsid w:val="204463C5"/>
    <w:rsid w:val="2052F02A"/>
    <w:rsid w:val="20565807"/>
    <w:rsid w:val="2066F643"/>
    <w:rsid w:val="2068374E"/>
    <w:rsid w:val="206CBF60"/>
    <w:rsid w:val="207C793E"/>
    <w:rsid w:val="207D0F2E"/>
    <w:rsid w:val="207FAD81"/>
    <w:rsid w:val="208CCA29"/>
    <w:rsid w:val="208CE821"/>
    <w:rsid w:val="20B79191"/>
    <w:rsid w:val="20C1B99F"/>
    <w:rsid w:val="20DD58F2"/>
    <w:rsid w:val="210B1242"/>
    <w:rsid w:val="211C4D17"/>
    <w:rsid w:val="21356260"/>
    <w:rsid w:val="213E9E0B"/>
    <w:rsid w:val="2152A7D1"/>
    <w:rsid w:val="2160FD82"/>
    <w:rsid w:val="21754518"/>
    <w:rsid w:val="2185E963"/>
    <w:rsid w:val="21978A9D"/>
    <w:rsid w:val="21A43F4F"/>
    <w:rsid w:val="21ADDA8A"/>
    <w:rsid w:val="21AED0BB"/>
    <w:rsid w:val="21B3EFEE"/>
    <w:rsid w:val="21ECB1FB"/>
    <w:rsid w:val="21F357B0"/>
    <w:rsid w:val="221719BF"/>
    <w:rsid w:val="221CDB60"/>
    <w:rsid w:val="222067A5"/>
    <w:rsid w:val="22335CA0"/>
    <w:rsid w:val="2235B6F3"/>
    <w:rsid w:val="2255C59D"/>
    <w:rsid w:val="225C62A4"/>
    <w:rsid w:val="2261A075"/>
    <w:rsid w:val="226C3BDD"/>
    <w:rsid w:val="22795D84"/>
    <w:rsid w:val="2288BC5E"/>
    <w:rsid w:val="22982FE0"/>
    <w:rsid w:val="2299FE74"/>
    <w:rsid w:val="229DCD9D"/>
    <w:rsid w:val="22ECB828"/>
    <w:rsid w:val="22F00A71"/>
    <w:rsid w:val="230C16C5"/>
    <w:rsid w:val="231A6CCC"/>
    <w:rsid w:val="23288379"/>
    <w:rsid w:val="23568041"/>
    <w:rsid w:val="236E0A27"/>
    <w:rsid w:val="237F4B82"/>
    <w:rsid w:val="2385A222"/>
    <w:rsid w:val="238C7B2C"/>
    <w:rsid w:val="239BF7F8"/>
    <w:rsid w:val="239E5B64"/>
    <w:rsid w:val="23C415A7"/>
    <w:rsid w:val="23C89872"/>
    <w:rsid w:val="23E5C057"/>
    <w:rsid w:val="23E84928"/>
    <w:rsid w:val="23F3D306"/>
    <w:rsid w:val="2415F9D3"/>
    <w:rsid w:val="24251041"/>
    <w:rsid w:val="2446FBF5"/>
    <w:rsid w:val="2450F393"/>
    <w:rsid w:val="24682AA3"/>
    <w:rsid w:val="2490FEC4"/>
    <w:rsid w:val="24A57EF0"/>
    <w:rsid w:val="24B41E40"/>
    <w:rsid w:val="24B6ABE3"/>
    <w:rsid w:val="24BCE238"/>
    <w:rsid w:val="24C7EBB4"/>
    <w:rsid w:val="24CFE9E3"/>
    <w:rsid w:val="24F61659"/>
    <w:rsid w:val="25148D69"/>
    <w:rsid w:val="2549066F"/>
    <w:rsid w:val="254C39AE"/>
    <w:rsid w:val="2554B2ED"/>
    <w:rsid w:val="256F8EEE"/>
    <w:rsid w:val="258FA5C2"/>
    <w:rsid w:val="25A738A9"/>
    <w:rsid w:val="25D6BDC0"/>
    <w:rsid w:val="25E32F6A"/>
    <w:rsid w:val="26089075"/>
    <w:rsid w:val="260F14C4"/>
    <w:rsid w:val="26162E91"/>
    <w:rsid w:val="2637FC4C"/>
    <w:rsid w:val="263C7F33"/>
    <w:rsid w:val="2640AC09"/>
    <w:rsid w:val="265342FF"/>
    <w:rsid w:val="265487CE"/>
    <w:rsid w:val="265B4AFF"/>
    <w:rsid w:val="2676487B"/>
    <w:rsid w:val="2676C744"/>
    <w:rsid w:val="268FEEC7"/>
    <w:rsid w:val="26BBDEF6"/>
    <w:rsid w:val="26CBA52B"/>
    <w:rsid w:val="26CC2075"/>
    <w:rsid w:val="26E13A69"/>
    <w:rsid w:val="26EFD650"/>
    <w:rsid w:val="27021FA0"/>
    <w:rsid w:val="2708F04D"/>
    <w:rsid w:val="270A957B"/>
    <w:rsid w:val="270F0E95"/>
    <w:rsid w:val="2714E9E7"/>
    <w:rsid w:val="27166A57"/>
    <w:rsid w:val="276CD66C"/>
    <w:rsid w:val="278CB84F"/>
    <w:rsid w:val="278F6C9C"/>
    <w:rsid w:val="278F9A7D"/>
    <w:rsid w:val="27A36123"/>
    <w:rsid w:val="27A61772"/>
    <w:rsid w:val="27AC2B7E"/>
    <w:rsid w:val="27C69509"/>
    <w:rsid w:val="27D84E36"/>
    <w:rsid w:val="27DE7F5B"/>
    <w:rsid w:val="27E0703E"/>
    <w:rsid w:val="280C9684"/>
    <w:rsid w:val="2814800F"/>
    <w:rsid w:val="28190BE9"/>
    <w:rsid w:val="28246989"/>
    <w:rsid w:val="282802C6"/>
    <w:rsid w:val="283B8442"/>
    <w:rsid w:val="285337D4"/>
    <w:rsid w:val="2878DB77"/>
    <w:rsid w:val="2887F829"/>
    <w:rsid w:val="289E7797"/>
    <w:rsid w:val="28B5A1CD"/>
    <w:rsid w:val="28BBFF70"/>
    <w:rsid w:val="28D9D728"/>
    <w:rsid w:val="28E64E4E"/>
    <w:rsid w:val="28F1E0EE"/>
    <w:rsid w:val="291DB950"/>
    <w:rsid w:val="2926918B"/>
    <w:rsid w:val="293CFF5B"/>
    <w:rsid w:val="2941000A"/>
    <w:rsid w:val="2948D370"/>
    <w:rsid w:val="296B0224"/>
    <w:rsid w:val="297A7C49"/>
    <w:rsid w:val="29B0C46D"/>
    <w:rsid w:val="29B30B92"/>
    <w:rsid w:val="29BB1A44"/>
    <w:rsid w:val="29C77B31"/>
    <w:rsid w:val="29CA03CB"/>
    <w:rsid w:val="29EDE5AA"/>
    <w:rsid w:val="29EE268E"/>
    <w:rsid w:val="29F289CE"/>
    <w:rsid w:val="29FB0230"/>
    <w:rsid w:val="29FD4048"/>
    <w:rsid w:val="2A1E171F"/>
    <w:rsid w:val="2A1EC1AB"/>
    <w:rsid w:val="2A32A9A3"/>
    <w:rsid w:val="2A3A2AC3"/>
    <w:rsid w:val="2A3B77F5"/>
    <w:rsid w:val="2A48B9CC"/>
    <w:rsid w:val="2A4AECE5"/>
    <w:rsid w:val="2A4D4E75"/>
    <w:rsid w:val="2A691F9C"/>
    <w:rsid w:val="2A7A077E"/>
    <w:rsid w:val="2A95AABA"/>
    <w:rsid w:val="2A9EB423"/>
    <w:rsid w:val="2ADBA4C0"/>
    <w:rsid w:val="2B04D7B1"/>
    <w:rsid w:val="2B0D9CF4"/>
    <w:rsid w:val="2B1A0BC1"/>
    <w:rsid w:val="2B1AB076"/>
    <w:rsid w:val="2B317710"/>
    <w:rsid w:val="2B3604D6"/>
    <w:rsid w:val="2B83F4FC"/>
    <w:rsid w:val="2B939F36"/>
    <w:rsid w:val="2B9F4175"/>
    <w:rsid w:val="2BA85AEC"/>
    <w:rsid w:val="2BB3FB0F"/>
    <w:rsid w:val="2BC44351"/>
    <w:rsid w:val="2BD7722C"/>
    <w:rsid w:val="2BD7D633"/>
    <w:rsid w:val="2BDC932C"/>
    <w:rsid w:val="2BED0A86"/>
    <w:rsid w:val="2BEFE926"/>
    <w:rsid w:val="2BFBEC8A"/>
    <w:rsid w:val="2C17B0D9"/>
    <w:rsid w:val="2C3A15CD"/>
    <w:rsid w:val="2C3B4381"/>
    <w:rsid w:val="2C4DA855"/>
    <w:rsid w:val="2C51D055"/>
    <w:rsid w:val="2C68792C"/>
    <w:rsid w:val="2C71A533"/>
    <w:rsid w:val="2C924016"/>
    <w:rsid w:val="2CA04B08"/>
    <w:rsid w:val="2CA8908F"/>
    <w:rsid w:val="2CD8BE2C"/>
    <w:rsid w:val="2CE0C8AA"/>
    <w:rsid w:val="2D048687"/>
    <w:rsid w:val="2D07BE2D"/>
    <w:rsid w:val="2D1FEA33"/>
    <w:rsid w:val="2D271229"/>
    <w:rsid w:val="2D2FA5E9"/>
    <w:rsid w:val="2D32D9D8"/>
    <w:rsid w:val="2D3D705D"/>
    <w:rsid w:val="2D3ED18E"/>
    <w:rsid w:val="2D48104F"/>
    <w:rsid w:val="2D5572C9"/>
    <w:rsid w:val="2D659473"/>
    <w:rsid w:val="2D6B8255"/>
    <w:rsid w:val="2D74F4A0"/>
    <w:rsid w:val="2D8862FE"/>
    <w:rsid w:val="2D8EA380"/>
    <w:rsid w:val="2DD0E3F3"/>
    <w:rsid w:val="2DE506B7"/>
    <w:rsid w:val="2DE5769A"/>
    <w:rsid w:val="2DE936F0"/>
    <w:rsid w:val="2E0C0324"/>
    <w:rsid w:val="2E223DED"/>
    <w:rsid w:val="2E2733DD"/>
    <w:rsid w:val="2E335F88"/>
    <w:rsid w:val="2E45E1CB"/>
    <w:rsid w:val="2E5A65EB"/>
    <w:rsid w:val="2E837F90"/>
    <w:rsid w:val="2EA08F1A"/>
    <w:rsid w:val="2EA4A978"/>
    <w:rsid w:val="2EABFF48"/>
    <w:rsid w:val="2EAC218F"/>
    <w:rsid w:val="2EB2A889"/>
    <w:rsid w:val="2EB89427"/>
    <w:rsid w:val="2EBB9BEE"/>
    <w:rsid w:val="2EDAED50"/>
    <w:rsid w:val="2F1248B4"/>
    <w:rsid w:val="2F16422A"/>
    <w:rsid w:val="2F1D058E"/>
    <w:rsid w:val="2F292BC3"/>
    <w:rsid w:val="2F42CBEF"/>
    <w:rsid w:val="2F4DE706"/>
    <w:rsid w:val="2F5B1D23"/>
    <w:rsid w:val="2F763285"/>
    <w:rsid w:val="2F85A64D"/>
    <w:rsid w:val="2F9AE6CB"/>
    <w:rsid w:val="2FA38FBB"/>
    <w:rsid w:val="2FA8EED2"/>
    <w:rsid w:val="2FBA189A"/>
    <w:rsid w:val="2FBF8156"/>
    <w:rsid w:val="2FD82F62"/>
    <w:rsid w:val="2FE20DCC"/>
    <w:rsid w:val="3005E6AE"/>
    <w:rsid w:val="300A5357"/>
    <w:rsid w:val="300D932E"/>
    <w:rsid w:val="301B4341"/>
    <w:rsid w:val="302915DA"/>
    <w:rsid w:val="304CD307"/>
    <w:rsid w:val="3062011F"/>
    <w:rsid w:val="30649AFF"/>
    <w:rsid w:val="307A2189"/>
    <w:rsid w:val="307D10D3"/>
    <w:rsid w:val="308A940C"/>
    <w:rsid w:val="308FFEE5"/>
    <w:rsid w:val="309804D1"/>
    <w:rsid w:val="30AEA63A"/>
    <w:rsid w:val="30E48D3E"/>
    <w:rsid w:val="3106593F"/>
    <w:rsid w:val="3108A0F4"/>
    <w:rsid w:val="311CDBAA"/>
    <w:rsid w:val="31207C84"/>
    <w:rsid w:val="3121C254"/>
    <w:rsid w:val="3124F1E8"/>
    <w:rsid w:val="3136F376"/>
    <w:rsid w:val="3139FCBD"/>
    <w:rsid w:val="313C5828"/>
    <w:rsid w:val="3147B812"/>
    <w:rsid w:val="314B859F"/>
    <w:rsid w:val="3158019B"/>
    <w:rsid w:val="315CEA6F"/>
    <w:rsid w:val="315F7F17"/>
    <w:rsid w:val="31933C71"/>
    <w:rsid w:val="3196355D"/>
    <w:rsid w:val="31BC7D2D"/>
    <w:rsid w:val="31D31F7A"/>
    <w:rsid w:val="32596101"/>
    <w:rsid w:val="325BD57D"/>
    <w:rsid w:val="3283FD3D"/>
    <w:rsid w:val="32857910"/>
    <w:rsid w:val="328AF695"/>
    <w:rsid w:val="3296440B"/>
    <w:rsid w:val="329FFB36"/>
    <w:rsid w:val="32A13509"/>
    <w:rsid w:val="32BFAC13"/>
    <w:rsid w:val="32C976B6"/>
    <w:rsid w:val="32DBD60C"/>
    <w:rsid w:val="32FDFCD4"/>
    <w:rsid w:val="33090E11"/>
    <w:rsid w:val="331DCAF6"/>
    <w:rsid w:val="331DD4F1"/>
    <w:rsid w:val="33222F2A"/>
    <w:rsid w:val="333AA78E"/>
    <w:rsid w:val="3362E07D"/>
    <w:rsid w:val="33676D6C"/>
    <w:rsid w:val="339D49C5"/>
    <w:rsid w:val="33A9E7F9"/>
    <w:rsid w:val="33BA44EC"/>
    <w:rsid w:val="33BE0B51"/>
    <w:rsid w:val="33BE25A8"/>
    <w:rsid w:val="33BFD8D5"/>
    <w:rsid w:val="33C2E238"/>
    <w:rsid w:val="33C841B8"/>
    <w:rsid w:val="33EDBBFC"/>
    <w:rsid w:val="33F6FCC1"/>
    <w:rsid w:val="33FB8596"/>
    <w:rsid w:val="3408A325"/>
    <w:rsid w:val="340A9940"/>
    <w:rsid w:val="340D798F"/>
    <w:rsid w:val="34421DFF"/>
    <w:rsid w:val="3449D93D"/>
    <w:rsid w:val="3455EAAC"/>
    <w:rsid w:val="346A20AE"/>
    <w:rsid w:val="3475DEE8"/>
    <w:rsid w:val="3476B55F"/>
    <w:rsid w:val="34777499"/>
    <w:rsid w:val="34915498"/>
    <w:rsid w:val="349A9F94"/>
    <w:rsid w:val="34A721A1"/>
    <w:rsid w:val="34C95939"/>
    <w:rsid w:val="34FEB65F"/>
    <w:rsid w:val="350116D8"/>
    <w:rsid w:val="3524C433"/>
    <w:rsid w:val="3525173D"/>
    <w:rsid w:val="35367DB3"/>
    <w:rsid w:val="353680D8"/>
    <w:rsid w:val="3569B903"/>
    <w:rsid w:val="357D6630"/>
    <w:rsid w:val="35888FE8"/>
    <w:rsid w:val="35968CF2"/>
    <w:rsid w:val="3599950A"/>
    <w:rsid w:val="35A09B8D"/>
    <w:rsid w:val="35A0F9C4"/>
    <w:rsid w:val="35BFAAD5"/>
    <w:rsid w:val="35BFEC41"/>
    <w:rsid w:val="35EA803F"/>
    <w:rsid w:val="35EFECA8"/>
    <w:rsid w:val="3601F994"/>
    <w:rsid w:val="3610E8A1"/>
    <w:rsid w:val="362A7BBC"/>
    <w:rsid w:val="3636AF47"/>
    <w:rsid w:val="3637C9C3"/>
    <w:rsid w:val="36381F6F"/>
    <w:rsid w:val="3640C47C"/>
    <w:rsid w:val="366D0327"/>
    <w:rsid w:val="36765C3D"/>
    <w:rsid w:val="368159FD"/>
    <w:rsid w:val="3688FD96"/>
    <w:rsid w:val="36AF38CC"/>
    <w:rsid w:val="36B8C010"/>
    <w:rsid w:val="36BD7D1B"/>
    <w:rsid w:val="36C71CE7"/>
    <w:rsid w:val="36CD55AC"/>
    <w:rsid w:val="36CE43C2"/>
    <w:rsid w:val="36CE6BB0"/>
    <w:rsid w:val="36D8722E"/>
    <w:rsid w:val="36DD155C"/>
    <w:rsid w:val="36E2C6CA"/>
    <w:rsid w:val="36F7A3BD"/>
    <w:rsid w:val="372CD3EC"/>
    <w:rsid w:val="37374A0D"/>
    <w:rsid w:val="374AAD6A"/>
    <w:rsid w:val="375657AF"/>
    <w:rsid w:val="37593A6D"/>
    <w:rsid w:val="3762594D"/>
    <w:rsid w:val="3767313A"/>
    <w:rsid w:val="377C5FAF"/>
    <w:rsid w:val="378B2000"/>
    <w:rsid w:val="378F1297"/>
    <w:rsid w:val="379B9E09"/>
    <w:rsid w:val="37AF8F66"/>
    <w:rsid w:val="37B5EEFE"/>
    <w:rsid w:val="37BEBFA2"/>
    <w:rsid w:val="37D8EC91"/>
    <w:rsid w:val="37ECBBD3"/>
    <w:rsid w:val="37EE5B9E"/>
    <w:rsid w:val="37FA5773"/>
    <w:rsid w:val="37FCFE2E"/>
    <w:rsid w:val="3826838D"/>
    <w:rsid w:val="383527FC"/>
    <w:rsid w:val="38391090"/>
    <w:rsid w:val="38573CED"/>
    <w:rsid w:val="3857B769"/>
    <w:rsid w:val="38613CE4"/>
    <w:rsid w:val="3872E331"/>
    <w:rsid w:val="3875E281"/>
    <w:rsid w:val="38C4BAD6"/>
    <w:rsid w:val="38CC50D5"/>
    <w:rsid w:val="38D34C96"/>
    <w:rsid w:val="38D6B7C8"/>
    <w:rsid w:val="38DE8CDD"/>
    <w:rsid w:val="38F1D492"/>
    <w:rsid w:val="391679C8"/>
    <w:rsid w:val="39185E54"/>
    <w:rsid w:val="393F3F3E"/>
    <w:rsid w:val="3942DF24"/>
    <w:rsid w:val="394B0BE0"/>
    <w:rsid w:val="39509E89"/>
    <w:rsid w:val="39559B1E"/>
    <w:rsid w:val="39AE1CD7"/>
    <w:rsid w:val="39B99211"/>
    <w:rsid w:val="39C98298"/>
    <w:rsid w:val="39D1B8DE"/>
    <w:rsid w:val="39EAA239"/>
    <w:rsid w:val="39FBFD88"/>
    <w:rsid w:val="3A023DBD"/>
    <w:rsid w:val="3A0E7C2A"/>
    <w:rsid w:val="3A298647"/>
    <w:rsid w:val="3A497D36"/>
    <w:rsid w:val="3A4FEB82"/>
    <w:rsid w:val="3A564A5C"/>
    <w:rsid w:val="3A671018"/>
    <w:rsid w:val="3A6717C7"/>
    <w:rsid w:val="3A77A83F"/>
    <w:rsid w:val="3A908D0B"/>
    <w:rsid w:val="3A9A1BF2"/>
    <w:rsid w:val="3A9CEE11"/>
    <w:rsid w:val="3AA8C1CB"/>
    <w:rsid w:val="3AE40879"/>
    <w:rsid w:val="3AEEC6DD"/>
    <w:rsid w:val="3AEF8D69"/>
    <w:rsid w:val="3B1E0C33"/>
    <w:rsid w:val="3B1F4A99"/>
    <w:rsid w:val="3B24675D"/>
    <w:rsid w:val="3B281896"/>
    <w:rsid w:val="3B2FD5DA"/>
    <w:rsid w:val="3B3003D4"/>
    <w:rsid w:val="3B67C071"/>
    <w:rsid w:val="3B7039DC"/>
    <w:rsid w:val="3B7054EF"/>
    <w:rsid w:val="3B710C4E"/>
    <w:rsid w:val="3B790C8A"/>
    <w:rsid w:val="3BA49F39"/>
    <w:rsid w:val="3BB56D68"/>
    <w:rsid w:val="3BBD1558"/>
    <w:rsid w:val="3BC7D752"/>
    <w:rsid w:val="3BDBAB63"/>
    <w:rsid w:val="3BEEDA1D"/>
    <w:rsid w:val="3C1432FF"/>
    <w:rsid w:val="3C2D3E44"/>
    <w:rsid w:val="3C3232AE"/>
    <w:rsid w:val="3C3448A0"/>
    <w:rsid w:val="3C99B4B6"/>
    <w:rsid w:val="3CA04408"/>
    <w:rsid w:val="3CA15FC4"/>
    <w:rsid w:val="3CAEE902"/>
    <w:rsid w:val="3CC2943E"/>
    <w:rsid w:val="3CEB23DE"/>
    <w:rsid w:val="3D06C392"/>
    <w:rsid w:val="3D409DC4"/>
    <w:rsid w:val="3D4E5388"/>
    <w:rsid w:val="3D61EC51"/>
    <w:rsid w:val="3DA8B660"/>
    <w:rsid w:val="3DC9D8E2"/>
    <w:rsid w:val="3E2CAE56"/>
    <w:rsid w:val="3E473839"/>
    <w:rsid w:val="3E52C8D8"/>
    <w:rsid w:val="3E667ED1"/>
    <w:rsid w:val="3E8AC91F"/>
    <w:rsid w:val="3E9AD756"/>
    <w:rsid w:val="3EB11CA4"/>
    <w:rsid w:val="3EB6A0A6"/>
    <w:rsid w:val="3EEB5AC5"/>
    <w:rsid w:val="3EEDCD7C"/>
    <w:rsid w:val="3EFE1B35"/>
    <w:rsid w:val="3EFFBC65"/>
    <w:rsid w:val="3F391FA2"/>
    <w:rsid w:val="3F4A0A5F"/>
    <w:rsid w:val="3F568A00"/>
    <w:rsid w:val="3F6DC8FA"/>
    <w:rsid w:val="3F77CC3D"/>
    <w:rsid w:val="3F867C23"/>
    <w:rsid w:val="3F8CC1CB"/>
    <w:rsid w:val="3FC02672"/>
    <w:rsid w:val="3FC97F5C"/>
    <w:rsid w:val="3FCA3B75"/>
    <w:rsid w:val="3FCECF4F"/>
    <w:rsid w:val="3FFDD1DD"/>
    <w:rsid w:val="400CB7F7"/>
    <w:rsid w:val="4010DB45"/>
    <w:rsid w:val="4013B774"/>
    <w:rsid w:val="401F759A"/>
    <w:rsid w:val="40276913"/>
    <w:rsid w:val="4032272D"/>
    <w:rsid w:val="403E8E40"/>
    <w:rsid w:val="404783DF"/>
    <w:rsid w:val="4057FB13"/>
    <w:rsid w:val="406F2184"/>
    <w:rsid w:val="4070A70B"/>
    <w:rsid w:val="407D7089"/>
    <w:rsid w:val="407DA702"/>
    <w:rsid w:val="409EC9A2"/>
    <w:rsid w:val="40BD8BD9"/>
    <w:rsid w:val="40BEC98E"/>
    <w:rsid w:val="40C0C358"/>
    <w:rsid w:val="40E6049B"/>
    <w:rsid w:val="40F29B80"/>
    <w:rsid w:val="40F75EB3"/>
    <w:rsid w:val="415935E8"/>
    <w:rsid w:val="415EEB04"/>
    <w:rsid w:val="4163F3B8"/>
    <w:rsid w:val="417A8FB4"/>
    <w:rsid w:val="4183A0C8"/>
    <w:rsid w:val="41945B48"/>
    <w:rsid w:val="41B6C2B6"/>
    <w:rsid w:val="41BE1585"/>
    <w:rsid w:val="41C7E06C"/>
    <w:rsid w:val="41DD2576"/>
    <w:rsid w:val="4206896E"/>
    <w:rsid w:val="422275C8"/>
    <w:rsid w:val="42270EE5"/>
    <w:rsid w:val="422866DC"/>
    <w:rsid w:val="4239F3F7"/>
    <w:rsid w:val="423C145B"/>
    <w:rsid w:val="427F4EF3"/>
    <w:rsid w:val="42878B65"/>
    <w:rsid w:val="4299FC9D"/>
    <w:rsid w:val="42B5B555"/>
    <w:rsid w:val="42C783DA"/>
    <w:rsid w:val="42D1A006"/>
    <w:rsid w:val="42DC729A"/>
    <w:rsid w:val="42E6FABB"/>
    <w:rsid w:val="42E9C976"/>
    <w:rsid w:val="43145311"/>
    <w:rsid w:val="43218128"/>
    <w:rsid w:val="43297B50"/>
    <w:rsid w:val="432A5A05"/>
    <w:rsid w:val="4334A734"/>
    <w:rsid w:val="433F0AC3"/>
    <w:rsid w:val="4350EF50"/>
    <w:rsid w:val="436C61C7"/>
    <w:rsid w:val="437A6ADF"/>
    <w:rsid w:val="438D248A"/>
    <w:rsid w:val="43966680"/>
    <w:rsid w:val="43A75E29"/>
    <w:rsid w:val="43AF0860"/>
    <w:rsid w:val="43C131FD"/>
    <w:rsid w:val="43E78D13"/>
    <w:rsid w:val="440BB3D4"/>
    <w:rsid w:val="440D0C83"/>
    <w:rsid w:val="4417EBF6"/>
    <w:rsid w:val="441F5601"/>
    <w:rsid w:val="443236FA"/>
    <w:rsid w:val="44478116"/>
    <w:rsid w:val="444B8A46"/>
    <w:rsid w:val="444CD069"/>
    <w:rsid w:val="445EAA34"/>
    <w:rsid w:val="445EE35E"/>
    <w:rsid w:val="446D0720"/>
    <w:rsid w:val="449211A0"/>
    <w:rsid w:val="4495B6E4"/>
    <w:rsid w:val="4495C803"/>
    <w:rsid w:val="449976EE"/>
    <w:rsid w:val="44A31226"/>
    <w:rsid w:val="44CEE6E6"/>
    <w:rsid w:val="44E3CAF3"/>
    <w:rsid w:val="44EE1263"/>
    <w:rsid w:val="44EE7921"/>
    <w:rsid w:val="4503B572"/>
    <w:rsid w:val="451FED0A"/>
    <w:rsid w:val="452B9DFE"/>
    <w:rsid w:val="452BF95B"/>
    <w:rsid w:val="453D0181"/>
    <w:rsid w:val="454EB51F"/>
    <w:rsid w:val="45505955"/>
    <w:rsid w:val="4568583B"/>
    <w:rsid w:val="457B1E00"/>
    <w:rsid w:val="4589F130"/>
    <w:rsid w:val="458D4707"/>
    <w:rsid w:val="4597C718"/>
    <w:rsid w:val="459AC53B"/>
    <w:rsid w:val="45A95987"/>
    <w:rsid w:val="45ACF09B"/>
    <w:rsid w:val="45BB9576"/>
    <w:rsid w:val="45E9011D"/>
    <w:rsid w:val="45EE6BFE"/>
    <w:rsid w:val="45FAA98A"/>
    <w:rsid w:val="465F6B0C"/>
    <w:rsid w:val="466501BA"/>
    <w:rsid w:val="46691818"/>
    <w:rsid w:val="467DE142"/>
    <w:rsid w:val="4694C1B3"/>
    <w:rsid w:val="469665E6"/>
    <w:rsid w:val="46ACAC19"/>
    <w:rsid w:val="46AE595E"/>
    <w:rsid w:val="46B5394C"/>
    <w:rsid w:val="46CCDD2F"/>
    <w:rsid w:val="46DD469E"/>
    <w:rsid w:val="46ED914F"/>
    <w:rsid w:val="46F943B1"/>
    <w:rsid w:val="4709FFD1"/>
    <w:rsid w:val="470A8983"/>
    <w:rsid w:val="4715E7B6"/>
    <w:rsid w:val="472AC16D"/>
    <w:rsid w:val="47393D91"/>
    <w:rsid w:val="473FE2F1"/>
    <w:rsid w:val="4743EDF3"/>
    <w:rsid w:val="47453895"/>
    <w:rsid w:val="475D85EC"/>
    <w:rsid w:val="47613519"/>
    <w:rsid w:val="476145B0"/>
    <w:rsid w:val="4764E6F0"/>
    <w:rsid w:val="477FCE71"/>
    <w:rsid w:val="479D4327"/>
    <w:rsid w:val="47B4B341"/>
    <w:rsid w:val="47BA0239"/>
    <w:rsid w:val="47C0739B"/>
    <w:rsid w:val="47F2C711"/>
    <w:rsid w:val="480B8595"/>
    <w:rsid w:val="480B94D6"/>
    <w:rsid w:val="485137D4"/>
    <w:rsid w:val="4856F009"/>
    <w:rsid w:val="487D57F9"/>
    <w:rsid w:val="487F9241"/>
    <w:rsid w:val="488966A8"/>
    <w:rsid w:val="488D1388"/>
    <w:rsid w:val="4892492D"/>
    <w:rsid w:val="489E72DF"/>
    <w:rsid w:val="48AADA5E"/>
    <w:rsid w:val="48F39DC3"/>
    <w:rsid w:val="4924DD48"/>
    <w:rsid w:val="4926F3E2"/>
    <w:rsid w:val="49399AFF"/>
    <w:rsid w:val="494417B1"/>
    <w:rsid w:val="49589D95"/>
    <w:rsid w:val="49656930"/>
    <w:rsid w:val="49926E4D"/>
    <w:rsid w:val="499F2B1A"/>
    <w:rsid w:val="49B6569F"/>
    <w:rsid w:val="49C5159B"/>
    <w:rsid w:val="49CA41ED"/>
    <w:rsid w:val="49E86270"/>
    <w:rsid w:val="49ED24DC"/>
    <w:rsid w:val="49EFEDEA"/>
    <w:rsid w:val="49F008C2"/>
    <w:rsid w:val="49FCE975"/>
    <w:rsid w:val="4A086F1F"/>
    <w:rsid w:val="4A0D933E"/>
    <w:rsid w:val="4A150403"/>
    <w:rsid w:val="4A239B96"/>
    <w:rsid w:val="4A2C7D6D"/>
    <w:rsid w:val="4A311281"/>
    <w:rsid w:val="4A38B2B5"/>
    <w:rsid w:val="4A39366D"/>
    <w:rsid w:val="4A3E9B63"/>
    <w:rsid w:val="4A4E9A6E"/>
    <w:rsid w:val="4A59866B"/>
    <w:rsid w:val="4A841E73"/>
    <w:rsid w:val="4A8E2545"/>
    <w:rsid w:val="4A97E9B0"/>
    <w:rsid w:val="4A9AF62D"/>
    <w:rsid w:val="4A9CFB14"/>
    <w:rsid w:val="4A9DDCEC"/>
    <w:rsid w:val="4AA6EB09"/>
    <w:rsid w:val="4AA795A7"/>
    <w:rsid w:val="4AB7CC5F"/>
    <w:rsid w:val="4AC2471A"/>
    <w:rsid w:val="4AF20FFE"/>
    <w:rsid w:val="4AF516E9"/>
    <w:rsid w:val="4B05DA3A"/>
    <w:rsid w:val="4B300FCD"/>
    <w:rsid w:val="4B362415"/>
    <w:rsid w:val="4B5B001B"/>
    <w:rsid w:val="4B60116B"/>
    <w:rsid w:val="4B643B7F"/>
    <w:rsid w:val="4B6DDBDA"/>
    <w:rsid w:val="4B861F7C"/>
    <w:rsid w:val="4B8D73B9"/>
    <w:rsid w:val="4BAB21D0"/>
    <w:rsid w:val="4BC12D31"/>
    <w:rsid w:val="4BCA481F"/>
    <w:rsid w:val="4BDAF2F4"/>
    <w:rsid w:val="4BE8C3C2"/>
    <w:rsid w:val="4BED48B5"/>
    <w:rsid w:val="4C060F02"/>
    <w:rsid w:val="4C0814C7"/>
    <w:rsid w:val="4C0E7E9E"/>
    <w:rsid w:val="4C1745E9"/>
    <w:rsid w:val="4C2D8E3A"/>
    <w:rsid w:val="4C325D13"/>
    <w:rsid w:val="4C344FBE"/>
    <w:rsid w:val="4C43C4F1"/>
    <w:rsid w:val="4C4EAD9A"/>
    <w:rsid w:val="4C711256"/>
    <w:rsid w:val="4C860DEF"/>
    <w:rsid w:val="4CBE69C5"/>
    <w:rsid w:val="4CC1636B"/>
    <w:rsid w:val="4CC4AC22"/>
    <w:rsid w:val="4CC7B75D"/>
    <w:rsid w:val="4CDF0840"/>
    <w:rsid w:val="4CE11903"/>
    <w:rsid w:val="4CE35C85"/>
    <w:rsid w:val="4CE40C4A"/>
    <w:rsid w:val="4D45095A"/>
    <w:rsid w:val="4D85B497"/>
    <w:rsid w:val="4D963459"/>
    <w:rsid w:val="4DC18EF8"/>
    <w:rsid w:val="4DCFA685"/>
    <w:rsid w:val="4DEFC59F"/>
    <w:rsid w:val="4DF2477B"/>
    <w:rsid w:val="4DFF7900"/>
    <w:rsid w:val="4E092B8F"/>
    <w:rsid w:val="4E1B7DFC"/>
    <w:rsid w:val="4E284886"/>
    <w:rsid w:val="4E2F4CF0"/>
    <w:rsid w:val="4E313126"/>
    <w:rsid w:val="4E32E9A6"/>
    <w:rsid w:val="4E3BE6C3"/>
    <w:rsid w:val="4E4C7007"/>
    <w:rsid w:val="4E5BF108"/>
    <w:rsid w:val="4E654BF4"/>
    <w:rsid w:val="4E69A34A"/>
    <w:rsid w:val="4E7960FF"/>
    <w:rsid w:val="4E9DBBC2"/>
    <w:rsid w:val="4EA44999"/>
    <w:rsid w:val="4EB51804"/>
    <w:rsid w:val="4EB7E64E"/>
    <w:rsid w:val="4EB9C50C"/>
    <w:rsid w:val="4ED02E2D"/>
    <w:rsid w:val="4EDF5814"/>
    <w:rsid w:val="4EE14FD7"/>
    <w:rsid w:val="4EE255A5"/>
    <w:rsid w:val="4EE50B2D"/>
    <w:rsid w:val="4EEF51EB"/>
    <w:rsid w:val="4EFD7C48"/>
    <w:rsid w:val="4F094BFB"/>
    <w:rsid w:val="4F09EB40"/>
    <w:rsid w:val="4F2B71BC"/>
    <w:rsid w:val="4F6752CC"/>
    <w:rsid w:val="4F897D18"/>
    <w:rsid w:val="4F9EAB04"/>
    <w:rsid w:val="4FEED62B"/>
    <w:rsid w:val="4FEF23C6"/>
    <w:rsid w:val="4FEF9CAF"/>
    <w:rsid w:val="4FF17086"/>
    <w:rsid w:val="502DD7C2"/>
    <w:rsid w:val="502F56A5"/>
    <w:rsid w:val="504E5068"/>
    <w:rsid w:val="507E8EDB"/>
    <w:rsid w:val="50805397"/>
    <w:rsid w:val="50857413"/>
    <w:rsid w:val="509A8CA1"/>
    <w:rsid w:val="50B5B63F"/>
    <w:rsid w:val="50B8B36D"/>
    <w:rsid w:val="50B8FBC7"/>
    <w:rsid w:val="50C87881"/>
    <w:rsid w:val="50EA34CB"/>
    <w:rsid w:val="50EA3569"/>
    <w:rsid w:val="50F513F5"/>
    <w:rsid w:val="5101ACD6"/>
    <w:rsid w:val="5101C7FA"/>
    <w:rsid w:val="51252DE0"/>
    <w:rsid w:val="51427543"/>
    <w:rsid w:val="51440EF4"/>
    <w:rsid w:val="514AC37F"/>
    <w:rsid w:val="516D1091"/>
    <w:rsid w:val="5180B59D"/>
    <w:rsid w:val="5191CB01"/>
    <w:rsid w:val="51941238"/>
    <w:rsid w:val="51A87FAA"/>
    <w:rsid w:val="51AFD12A"/>
    <w:rsid w:val="51B33969"/>
    <w:rsid w:val="51BAA50A"/>
    <w:rsid w:val="51CE117F"/>
    <w:rsid w:val="51DEC601"/>
    <w:rsid w:val="51E8B7E0"/>
    <w:rsid w:val="5205612D"/>
    <w:rsid w:val="520D14C4"/>
    <w:rsid w:val="522C756C"/>
    <w:rsid w:val="523A58A3"/>
    <w:rsid w:val="5248770E"/>
    <w:rsid w:val="525B79C4"/>
    <w:rsid w:val="526B57F7"/>
    <w:rsid w:val="52733B64"/>
    <w:rsid w:val="528F126C"/>
    <w:rsid w:val="529A0209"/>
    <w:rsid w:val="52B10501"/>
    <w:rsid w:val="52BF011B"/>
    <w:rsid w:val="52C9D45E"/>
    <w:rsid w:val="52D7CD5D"/>
    <w:rsid w:val="52DACCBF"/>
    <w:rsid w:val="52E67E9B"/>
    <w:rsid w:val="52FFBE3C"/>
    <w:rsid w:val="530ED0F3"/>
    <w:rsid w:val="53222864"/>
    <w:rsid w:val="532A789E"/>
    <w:rsid w:val="532B9749"/>
    <w:rsid w:val="53350AAC"/>
    <w:rsid w:val="53379B03"/>
    <w:rsid w:val="534720DF"/>
    <w:rsid w:val="53591D8F"/>
    <w:rsid w:val="536CDACB"/>
    <w:rsid w:val="537D7BC3"/>
    <w:rsid w:val="538E56BD"/>
    <w:rsid w:val="53A10AFE"/>
    <w:rsid w:val="53BB9E04"/>
    <w:rsid w:val="53BE8CE2"/>
    <w:rsid w:val="53D10B01"/>
    <w:rsid w:val="53DD430B"/>
    <w:rsid w:val="53E644E7"/>
    <w:rsid w:val="53FA0B51"/>
    <w:rsid w:val="540D7B5C"/>
    <w:rsid w:val="541CFDD4"/>
    <w:rsid w:val="5420CDBC"/>
    <w:rsid w:val="542C3F52"/>
    <w:rsid w:val="543A2D7C"/>
    <w:rsid w:val="543FE36D"/>
    <w:rsid w:val="5467B1A2"/>
    <w:rsid w:val="546A4BE7"/>
    <w:rsid w:val="546F7FB7"/>
    <w:rsid w:val="549B974B"/>
    <w:rsid w:val="549C05FA"/>
    <w:rsid w:val="54A5F3F3"/>
    <w:rsid w:val="54B5A6A8"/>
    <w:rsid w:val="54EA5AFB"/>
    <w:rsid w:val="54EC9AC1"/>
    <w:rsid w:val="54FA5798"/>
    <w:rsid w:val="5508037B"/>
    <w:rsid w:val="55117C41"/>
    <w:rsid w:val="552B67B1"/>
    <w:rsid w:val="5530134C"/>
    <w:rsid w:val="55625BAA"/>
    <w:rsid w:val="556FF0D8"/>
    <w:rsid w:val="5597D35D"/>
    <w:rsid w:val="5599D66F"/>
    <w:rsid w:val="559D9C5A"/>
    <w:rsid w:val="559E8D99"/>
    <w:rsid w:val="55BB395D"/>
    <w:rsid w:val="55BC1EA7"/>
    <w:rsid w:val="55C23EB5"/>
    <w:rsid w:val="55CE46F6"/>
    <w:rsid w:val="55D0FFCE"/>
    <w:rsid w:val="55D38B92"/>
    <w:rsid w:val="55D5B87D"/>
    <w:rsid w:val="55D892E7"/>
    <w:rsid w:val="5628CEE2"/>
    <w:rsid w:val="5632F240"/>
    <w:rsid w:val="5640F615"/>
    <w:rsid w:val="56531E66"/>
    <w:rsid w:val="56685D13"/>
    <w:rsid w:val="566A9B1D"/>
    <w:rsid w:val="56702FE9"/>
    <w:rsid w:val="56722410"/>
    <w:rsid w:val="568C8C9A"/>
    <w:rsid w:val="568E1558"/>
    <w:rsid w:val="569EE0E7"/>
    <w:rsid w:val="56A2BA02"/>
    <w:rsid w:val="56AF45FB"/>
    <w:rsid w:val="56D48BC6"/>
    <w:rsid w:val="56D68B12"/>
    <w:rsid w:val="56DF6FAD"/>
    <w:rsid w:val="56E01B20"/>
    <w:rsid w:val="57051A88"/>
    <w:rsid w:val="572EC40D"/>
    <w:rsid w:val="5731EF39"/>
    <w:rsid w:val="574C8AA4"/>
    <w:rsid w:val="57635714"/>
    <w:rsid w:val="577FAB50"/>
    <w:rsid w:val="5788EC40"/>
    <w:rsid w:val="579180A5"/>
    <w:rsid w:val="57AF26A5"/>
    <w:rsid w:val="57B12DEB"/>
    <w:rsid w:val="57BCA02B"/>
    <w:rsid w:val="57D66301"/>
    <w:rsid w:val="57DAFA82"/>
    <w:rsid w:val="57EAC000"/>
    <w:rsid w:val="58049CD5"/>
    <w:rsid w:val="58105EBD"/>
    <w:rsid w:val="58127442"/>
    <w:rsid w:val="5817B5D0"/>
    <w:rsid w:val="5817E438"/>
    <w:rsid w:val="5818B8F2"/>
    <w:rsid w:val="5823B461"/>
    <w:rsid w:val="582DCA34"/>
    <w:rsid w:val="5833DAC4"/>
    <w:rsid w:val="583CDD47"/>
    <w:rsid w:val="58459FD0"/>
    <w:rsid w:val="584A32E4"/>
    <w:rsid w:val="584D9A64"/>
    <w:rsid w:val="587F95D4"/>
    <w:rsid w:val="5880DB53"/>
    <w:rsid w:val="5884FF90"/>
    <w:rsid w:val="58B3C798"/>
    <w:rsid w:val="58D45C22"/>
    <w:rsid w:val="58D753B9"/>
    <w:rsid w:val="58E489A0"/>
    <w:rsid w:val="58EFF973"/>
    <w:rsid w:val="58FE15A4"/>
    <w:rsid w:val="59042578"/>
    <w:rsid w:val="590F1003"/>
    <w:rsid w:val="598508FD"/>
    <w:rsid w:val="598916B6"/>
    <w:rsid w:val="598E1E07"/>
    <w:rsid w:val="59A6B0BA"/>
    <w:rsid w:val="59C7550E"/>
    <w:rsid w:val="59C85A61"/>
    <w:rsid w:val="59D80F35"/>
    <w:rsid w:val="59DB4705"/>
    <w:rsid w:val="59E098E0"/>
    <w:rsid w:val="59FFBEDC"/>
    <w:rsid w:val="5A128271"/>
    <w:rsid w:val="5A169C74"/>
    <w:rsid w:val="5A27F0D0"/>
    <w:rsid w:val="5A31CBC9"/>
    <w:rsid w:val="5A40FAA8"/>
    <w:rsid w:val="5A4878C1"/>
    <w:rsid w:val="5A5F8DF3"/>
    <w:rsid w:val="5A7C7C87"/>
    <w:rsid w:val="5A893F00"/>
    <w:rsid w:val="5A8B0FA0"/>
    <w:rsid w:val="5A8C93AE"/>
    <w:rsid w:val="5A9ED162"/>
    <w:rsid w:val="5AA4D8D8"/>
    <w:rsid w:val="5AD93294"/>
    <w:rsid w:val="5B0DEABA"/>
    <w:rsid w:val="5B1C7ECB"/>
    <w:rsid w:val="5B24B31D"/>
    <w:rsid w:val="5B2B3CDA"/>
    <w:rsid w:val="5B422B0E"/>
    <w:rsid w:val="5B45ED2A"/>
    <w:rsid w:val="5B4901A2"/>
    <w:rsid w:val="5B4D676A"/>
    <w:rsid w:val="5B4F8D4F"/>
    <w:rsid w:val="5B5D05FD"/>
    <w:rsid w:val="5B65B30C"/>
    <w:rsid w:val="5B6FF776"/>
    <w:rsid w:val="5B82A89F"/>
    <w:rsid w:val="5B84445C"/>
    <w:rsid w:val="5B904F33"/>
    <w:rsid w:val="5B9B0E1A"/>
    <w:rsid w:val="5BE0B426"/>
    <w:rsid w:val="5BF19CFE"/>
    <w:rsid w:val="5BF88858"/>
    <w:rsid w:val="5C207551"/>
    <w:rsid w:val="5C466827"/>
    <w:rsid w:val="5C4DCE63"/>
    <w:rsid w:val="5C50D59A"/>
    <w:rsid w:val="5C5349CB"/>
    <w:rsid w:val="5C6DF3C3"/>
    <w:rsid w:val="5C844F37"/>
    <w:rsid w:val="5C86B286"/>
    <w:rsid w:val="5C88C502"/>
    <w:rsid w:val="5C99C931"/>
    <w:rsid w:val="5CA6643A"/>
    <w:rsid w:val="5CADEC31"/>
    <w:rsid w:val="5CB0E50B"/>
    <w:rsid w:val="5CBFDB0B"/>
    <w:rsid w:val="5CDC217B"/>
    <w:rsid w:val="5CE7459A"/>
    <w:rsid w:val="5CEEB3CE"/>
    <w:rsid w:val="5CFB0B36"/>
    <w:rsid w:val="5D0D9CDB"/>
    <w:rsid w:val="5D1E8C7E"/>
    <w:rsid w:val="5D203107"/>
    <w:rsid w:val="5D242477"/>
    <w:rsid w:val="5D478D28"/>
    <w:rsid w:val="5D8950F6"/>
    <w:rsid w:val="5D909833"/>
    <w:rsid w:val="5DA39CD8"/>
    <w:rsid w:val="5DA5CFB3"/>
    <w:rsid w:val="5DAB517F"/>
    <w:rsid w:val="5DE264E4"/>
    <w:rsid w:val="5DE8CE0D"/>
    <w:rsid w:val="5E12867A"/>
    <w:rsid w:val="5E131D08"/>
    <w:rsid w:val="5E178EC8"/>
    <w:rsid w:val="5E2B62AF"/>
    <w:rsid w:val="5E367E7D"/>
    <w:rsid w:val="5E54799A"/>
    <w:rsid w:val="5E5E1532"/>
    <w:rsid w:val="5E631055"/>
    <w:rsid w:val="5E6938C5"/>
    <w:rsid w:val="5E6B6A27"/>
    <w:rsid w:val="5E7BFDEF"/>
    <w:rsid w:val="5E7FD9B0"/>
    <w:rsid w:val="5E961084"/>
    <w:rsid w:val="5EE2E0EF"/>
    <w:rsid w:val="5EF3A603"/>
    <w:rsid w:val="5EFEEDA0"/>
    <w:rsid w:val="5F08FD1B"/>
    <w:rsid w:val="5F0C4B44"/>
    <w:rsid w:val="5F0E6D88"/>
    <w:rsid w:val="5F1123CD"/>
    <w:rsid w:val="5F2BAA17"/>
    <w:rsid w:val="5F316468"/>
    <w:rsid w:val="5F4608E1"/>
    <w:rsid w:val="5F55EE07"/>
    <w:rsid w:val="5F5ED0E3"/>
    <w:rsid w:val="5F5F18C8"/>
    <w:rsid w:val="5F68623F"/>
    <w:rsid w:val="5F80EAF3"/>
    <w:rsid w:val="5F8B1F5F"/>
    <w:rsid w:val="5F943CB4"/>
    <w:rsid w:val="5F996B1C"/>
    <w:rsid w:val="5FA2898F"/>
    <w:rsid w:val="5FABD4DA"/>
    <w:rsid w:val="5FC09375"/>
    <w:rsid w:val="5FED4A35"/>
    <w:rsid w:val="5FF57DEE"/>
    <w:rsid w:val="5FF729A3"/>
    <w:rsid w:val="5FF79C5E"/>
    <w:rsid w:val="5FFF16C5"/>
    <w:rsid w:val="60176487"/>
    <w:rsid w:val="601895C1"/>
    <w:rsid w:val="601974F4"/>
    <w:rsid w:val="601CAF73"/>
    <w:rsid w:val="601E9965"/>
    <w:rsid w:val="602B1FD9"/>
    <w:rsid w:val="6052FF2D"/>
    <w:rsid w:val="606BC5F0"/>
    <w:rsid w:val="607406CE"/>
    <w:rsid w:val="60940071"/>
    <w:rsid w:val="60A041B1"/>
    <w:rsid w:val="60A456FF"/>
    <w:rsid w:val="60B9C7A6"/>
    <w:rsid w:val="60BAB7A3"/>
    <w:rsid w:val="60D6C344"/>
    <w:rsid w:val="60E67D44"/>
    <w:rsid w:val="60E93C17"/>
    <w:rsid w:val="60FD0045"/>
    <w:rsid w:val="6112CAE8"/>
    <w:rsid w:val="612E7E58"/>
    <w:rsid w:val="6136E7FE"/>
    <w:rsid w:val="615AF03D"/>
    <w:rsid w:val="616D4816"/>
    <w:rsid w:val="61719EE0"/>
    <w:rsid w:val="61721604"/>
    <w:rsid w:val="617EDEAA"/>
    <w:rsid w:val="617EE977"/>
    <w:rsid w:val="61885BC4"/>
    <w:rsid w:val="61AE97C3"/>
    <w:rsid w:val="61D29DA9"/>
    <w:rsid w:val="61D352EB"/>
    <w:rsid w:val="61FDB013"/>
    <w:rsid w:val="62084C1D"/>
    <w:rsid w:val="62181DCC"/>
    <w:rsid w:val="6219A21F"/>
    <w:rsid w:val="623B6746"/>
    <w:rsid w:val="6244BDC0"/>
    <w:rsid w:val="62549431"/>
    <w:rsid w:val="626EAAD4"/>
    <w:rsid w:val="62859945"/>
    <w:rsid w:val="6288ED90"/>
    <w:rsid w:val="628DEB34"/>
    <w:rsid w:val="62A1078F"/>
    <w:rsid w:val="62AD0326"/>
    <w:rsid w:val="62B39B9E"/>
    <w:rsid w:val="62D6B4C0"/>
    <w:rsid w:val="62D8A170"/>
    <w:rsid w:val="62E1B1F3"/>
    <w:rsid w:val="62E312DB"/>
    <w:rsid w:val="630E1018"/>
    <w:rsid w:val="631A7FC0"/>
    <w:rsid w:val="63206253"/>
    <w:rsid w:val="6330275A"/>
    <w:rsid w:val="635D76D8"/>
    <w:rsid w:val="63657386"/>
    <w:rsid w:val="63738F6B"/>
    <w:rsid w:val="6385035C"/>
    <w:rsid w:val="63854D87"/>
    <w:rsid w:val="6394AE98"/>
    <w:rsid w:val="63E548C1"/>
    <w:rsid w:val="63F70B79"/>
    <w:rsid w:val="64035D74"/>
    <w:rsid w:val="6404026C"/>
    <w:rsid w:val="64134690"/>
    <w:rsid w:val="641DA89F"/>
    <w:rsid w:val="643161C4"/>
    <w:rsid w:val="6450E815"/>
    <w:rsid w:val="6453D855"/>
    <w:rsid w:val="64687E6D"/>
    <w:rsid w:val="64780BDE"/>
    <w:rsid w:val="6478DFDE"/>
    <w:rsid w:val="648E4338"/>
    <w:rsid w:val="64900493"/>
    <w:rsid w:val="6498BF83"/>
    <w:rsid w:val="64C14489"/>
    <w:rsid w:val="64EEA3E8"/>
    <w:rsid w:val="651CAD1C"/>
    <w:rsid w:val="65205070"/>
    <w:rsid w:val="6524026F"/>
    <w:rsid w:val="652A8E08"/>
    <w:rsid w:val="653DFA65"/>
    <w:rsid w:val="654FA90F"/>
    <w:rsid w:val="6560D429"/>
    <w:rsid w:val="656ADE4C"/>
    <w:rsid w:val="656F4AB6"/>
    <w:rsid w:val="6583D7CE"/>
    <w:rsid w:val="65897FAE"/>
    <w:rsid w:val="658A3275"/>
    <w:rsid w:val="6597F11A"/>
    <w:rsid w:val="659C3D61"/>
    <w:rsid w:val="659C9BA7"/>
    <w:rsid w:val="65E01B29"/>
    <w:rsid w:val="65E822E4"/>
    <w:rsid w:val="65FCFD1E"/>
    <w:rsid w:val="660BAF63"/>
    <w:rsid w:val="66136685"/>
    <w:rsid w:val="663F9631"/>
    <w:rsid w:val="664B10CA"/>
    <w:rsid w:val="665FFDD4"/>
    <w:rsid w:val="66724BD0"/>
    <w:rsid w:val="6677C5AE"/>
    <w:rsid w:val="667DEC86"/>
    <w:rsid w:val="6687DD1E"/>
    <w:rsid w:val="668D0A38"/>
    <w:rsid w:val="66A0862B"/>
    <w:rsid w:val="66B09313"/>
    <w:rsid w:val="66DE81B8"/>
    <w:rsid w:val="66EEE32D"/>
    <w:rsid w:val="66F3671B"/>
    <w:rsid w:val="66F6568A"/>
    <w:rsid w:val="6709C987"/>
    <w:rsid w:val="670E99F9"/>
    <w:rsid w:val="67163AEB"/>
    <w:rsid w:val="6716F4E9"/>
    <w:rsid w:val="67288BC0"/>
    <w:rsid w:val="672B9306"/>
    <w:rsid w:val="6731A2AB"/>
    <w:rsid w:val="673A9966"/>
    <w:rsid w:val="673E44A4"/>
    <w:rsid w:val="674A44E7"/>
    <w:rsid w:val="674B3380"/>
    <w:rsid w:val="674E4DD8"/>
    <w:rsid w:val="675D4337"/>
    <w:rsid w:val="677E48F0"/>
    <w:rsid w:val="678B8C9D"/>
    <w:rsid w:val="679D3540"/>
    <w:rsid w:val="67A3A6AB"/>
    <w:rsid w:val="67C26F1F"/>
    <w:rsid w:val="67D94F5D"/>
    <w:rsid w:val="68036ECD"/>
    <w:rsid w:val="681C3D4D"/>
    <w:rsid w:val="681E6CD3"/>
    <w:rsid w:val="682A594D"/>
    <w:rsid w:val="6836EEC6"/>
    <w:rsid w:val="683D0AE1"/>
    <w:rsid w:val="6850C2A9"/>
    <w:rsid w:val="685B1395"/>
    <w:rsid w:val="685ECC41"/>
    <w:rsid w:val="686A9F66"/>
    <w:rsid w:val="68779D8D"/>
    <w:rsid w:val="687A60FE"/>
    <w:rsid w:val="687ADA52"/>
    <w:rsid w:val="688F6392"/>
    <w:rsid w:val="689981A9"/>
    <w:rsid w:val="68BC371B"/>
    <w:rsid w:val="68C38F57"/>
    <w:rsid w:val="68CD614F"/>
    <w:rsid w:val="68D434D2"/>
    <w:rsid w:val="68D7E3F8"/>
    <w:rsid w:val="68FB41EE"/>
    <w:rsid w:val="6904279B"/>
    <w:rsid w:val="6919515A"/>
    <w:rsid w:val="691BF9D9"/>
    <w:rsid w:val="692D6896"/>
    <w:rsid w:val="69411E14"/>
    <w:rsid w:val="69586C4B"/>
    <w:rsid w:val="695CAA5F"/>
    <w:rsid w:val="6962A9B8"/>
    <w:rsid w:val="696CE11E"/>
    <w:rsid w:val="697274CD"/>
    <w:rsid w:val="697F2BAE"/>
    <w:rsid w:val="6992D260"/>
    <w:rsid w:val="69AB608A"/>
    <w:rsid w:val="69B43B3F"/>
    <w:rsid w:val="69B43C1B"/>
    <w:rsid w:val="69B883D2"/>
    <w:rsid w:val="69C98C42"/>
    <w:rsid w:val="69D448D4"/>
    <w:rsid w:val="69E26B50"/>
    <w:rsid w:val="69E8B6C7"/>
    <w:rsid w:val="69FAB709"/>
    <w:rsid w:val="6A168066"/>
    <w:rsid w:val="6A416708"/>
    <w:rsid w:val="6A5552DF"/>
    <w:rsid w:val="6A719D8E"/>
    <w:rsid w:val="6A75C8BA"/>
    <w:rsid w:val="6A865FE1"/>
    <w:rsid w:val="6A917F3C"/>
    <w:rsid w:val="6AA369E7"/>
    <w:rsid w:val="6AAA1DEB"/>
    <w:rsid w:val="6AACCEEE"/>
    <w:rsid w:val="6AB307AF"/>
    <w:rsid w:val="6AB48B7C"/>
    <w:rsid w:val="6AB5D25B"/>
    <w:rsid w:val="6AC9622C"/>
    <w:rsid w:val="6ADD883A"/>
    <w:rsid w:val="6AE9293A"/>
    <w:rsid w:val="6AF1C226"/>
    <w:rsid w:val="6B0A186C"/>
    <w:rsid w:val="6B0D3615"/>
    <w:rsid w:val="6B2C372E"/>
    <w:rsid w:val="6B2D230B"/>
    <w:rsid w:val="6B37BA2F"/>
    <w:rsid w:val="6B40387D"/>
    <w:rsid w:val="6B476D7C"/>
    <w:rsid w:val="6B5F6E9B"/>
    <w:rsid w:val="6B6B8765"/>
    <w:rsid w:val="6B743624"/>
    <w:rsid w:val="6B7B8AD1"/>
    <w:rsid w:val="6B872595"/>
    <w:rsid w:val="6BA7763C"/>
    <w:rsid w:val="6BB35324"/>
    <w:rsid w:val="6BC08AAA"/>
    <w:rsid w:val="6BD7E8E1"/>
    <w:rsid w:val="6BDAF1D5"/>
    <w:rsid w:val="6BFB3CE2"/>
    <w:rsid w:val="6BFF2B74"/>
    <w:rsid w:val="6C23C644"/>
    <w:rsid w:val="6C427BF6"/>
    <w:rsid w:val="6C73EA77"/>
    <w:rsid w:val="6C9F1F24"/>
    <w:rsid w:val="6CA27D62"/>
    <w:rsid w:val="6CA4F3A0"/>
    <w:rsid w:val="6CA5070B"/>
    <w:rsid w:val="6CA64D14"/>
    <w:rsid w:val="6CB9DEDE"/>
    <w:rsid w:val="6D06405A"/>
    <w:rsid w:val="6D105ACD"/>
    <w:rsid w:val="6D17842D"/>
    <w:rsid w:val="6D1B7DC1"/>
    <w:rsid w:val="6D1EBF32"/>
    <w:rsid w:val="6D2D4F35"/>
    <w:rsid w:val="6D44BD76"/>
    <w:rsid w:val="6D51F30F"/>
    <w:rsid w:val="6D5C7DE2"/>
    <w:rsid w:val="6D6B2BA7"/>
    <w:rsid w:val="6D72D82F"/>
    <w:rsid w:val="6D8A872F"/>
    <w:rsid w:val="6D9C1187"/>
    <w:rsid w:val="6DA91409"/>
    <w:rsid w:val="6DDBB235"/>
    <w:rsid w:val="6DDD50ED"/>
    <w:rsid w:val="6DF37286"/>
    <w:rsid w:val="6E266BA9"/>
    <w:rsid w:val="6E2E7E8B"/>
    <w:rsid w:val="6E30A13E"/>
    <w:rsid w:val="6E55AD27"/>
    <w:rsid w:val="6E64AE48"/>
    <w:rsid w:val="6E797BB5"/>
    <w:rsid w:val="6EAA1F33"/>
    <w:rsid w:val="6EB3019B"/>
    <w:rsid w:val="6EB739FD"/>
    <w:rsid w:val="6ED2CF39"/>
    <w:rsid w:val="6EEEF451"/>
    <w:rsid w:val="6F11B52C"/>
    <w:rsid w:val="6F1B98A1"/>
    <w:rsid w:val="6F309CC1"/>
    <w:rsid w:val="6F3649D1"/>
    <w:rsid w:val="6F386FA8"/>
    <w:rsid w:val="6F3DB5A3"/>
    <w:rsid w:val="6F645920"/>
    <w:rsid w:val="6F6566DB"/>
    <w:rsid w:val="6F6C816B"/>
    <w:rsid w:val="6F74CF15"/>
    <w:rsid w:val="6F8B8F1C"/>
    <w:rsid w:val="6FA6EDAE"/>
    <w:rsid w:val="6FB144D5"/>
    <w:rsid w:val="6FC25DB5"/>
    <w:rsid w:val="6FC66CDB"/>
    <w:rsid w:val="6FC9B320"/>
    <w:rsid w:val="6FCDB603"/>
    <w:rsid w:val="6FE06E8F"/>
    <w:rsid w:val="6FE7FAFB"/>
    <w:rsid w:val="700A032A"/>
    <w:rsid w:val="7011E7D1"/>
    <w:rsid w:val="7014DBDC"/>
    <w:rsid w:val="701914D5"/>
    <w:rsid w:val="701FB39E"/>
    <w:rsid w:val="7036D371"/>
    <w:rsid w:val="70573270"/>
    <w:rsid w:val="706C94C6"/>
    <w:rsid w:val="7080CACD"/>
    <w:rsid w:val="70A2B878"/>
    <w:rsid w:val="70A694CA"/>
    <w:rsid w:val="70A739EA"/>
    <w:rsid w:val="70B51FDD"/>
    <w:rsid w:val="70B8AC3E"/>
    <w:rsid w:val="70B9391D"/>
    <w:rsid w:val="70CAEF37"/>
    <w:rsid w:val="70EA4F9A"/>
    <w:rsid w:val="70F47CFA"/>
    <w:rsid w:val="710EA936"/>
    <w:rsid w:val="712B8E53"/>
    <w:rsid w:val="7154C074"/>
    <w:rsid w:val="71602FBD"/>
    <w:rsid w:val="7167F81A"/>
    <w:rsid w:val="71951E9A"/>
    <w:rsid w:val="71991FD2"/>
    <w:rsid w:val="71A626F2"/>
    <w:rsid w:val="71AB1EEF"/>
    <w:rsid w:val="71C07591"/>
    <w:rsid w:val="71C27B8A"/>
    <w:rsid w:val="71DA6547"/>
    <w:rsid w:val="71E334ED"/>
    <w:rsid w:val="71F96A9A"/>
    <w:rsid w:val="721292D6"/>
    <w:rsid w:val="721B668F"/>
    <w:rsid w:val="7222A64D"/>
    <w:rsid w:val="725477B2"/>
    <w:rsid w:val="72549415"/>
    <w:rsid w:val="7261182B"/>
    <w:rsid w:val="729B9EE7"/>
    <w:rsid w:val="72A13D02"/>
    <w:rsid w:val="72A3AE7B"/>
    <w:rsid w:val="72A7B156"/>
    <w:rsid w:val="72B1C761"/>
    <w:rsid w:val="72C2202C"/>
    <w:rsid w:val="72CE2D05"/>
    <w:rsid w:val="72DD9BBE"/>
    <w:rsid w:val="72F3FA56"/>
    <w:rsid w:val="730A7EFB"/>
    <w:rsid w:val="733E0A3E"/>
    <w:rsid w:val="73438D8E"/>
    <w:rsid w:val="7359526B"/>
    <w:rsid w:val="736B2434"/>
    <w:rsid w:val="737B651A"/>
    <w:rsid w:val="738378C3"/>
    <w:rsid w:val="73883B6E"/>
    <w:rsid w:val="738A4013"/>
    <w:rsid w:val="7397B43B"/>
    <w:rsid w:val="739E0C9D"/>
    <w:rsid w:val="73BB2068"/>
    <w:rsid w:val="73C68042"/>
    <w:rsid w:val="73CABE71"/>
    <w:rsid w:val="73CD4E64"/>
    <w:rsid w:val="73DC4F6B"/>
    <w:rsid w:val="73EE9617"/>
    <w:rsid w:val="73EE9D0B"/>
    <w:rsid w:val="73FE6D51"/>
    <w:rsid w:val="74195EDF"/>
    <w:rsid w:val="742B6D5E"/>
    <w:rsid w:val="743FDBE0"/>
    <w:rsid w:val="74493AD6"/>
    <w:rsid w:val="744C22BA"/>
    <w:rsid w:val="74638290"/>
    <w:rsid w:val="749864E9"/>
    <w:rsid w:val="74BA5B75"/>
    <w:rsid w:val="74BC4CED"/>
    <w:rsid w:val="74C55BC1"/>
    <w:rsid w:val="74F0943A"/>
    <w:rsid w:val="7508FDEE"/>
    <w:rsid w:val="751AFF3D"/>
    <w:rsid w:val="75448C8D"/>
    <w:rsid w:val="754982D3"/>
    <w:rsid w:val="755D8FD4"/>
    <w:rsid w:val="756B8CA9"/>
    <w:rsid w:val="7572CFFD"/>
    <w:rsid w:val="758990A9"/>
    <w:rsid w:val="75AA6C1B"/>
    <w:rsid w:val="75BBC50B"/>
    <w:rsid w:val="75BEC49A"/>
    <w:rsid w:val="75C66D24"/>
    <w:rsid w:val="75E24780"/>
    <w:rsid w:val="760F4DAB"/>
    <w:rsid w:val="7611C44E"/>
    <w:rsid w:val="7626F532"/>
    <w:rsid w:val="762A0EC9"/>
    <w:rsid w:val="766954CA"/>
    <w:rsid w:val="76D5015F"/>
    <w:rsid w:val="76EA1B2A"/>
    <w:rsid w:val="76F559B7"/>
    <w:rsid w:val="7706B9AE"/>
    <w:rsid w:val="7713CB87"/>
    <w:rsid w:val="7723D838"/>
    <w:rsid w:val="7729C973"/>
    <w:rsid w:val="773A98CA"/>
    <w:rsid w:val="773DC6F2"/>
    <w:rsid w:val="775CA49D"/>
    <w:rsid w:val="775F6DBE"/>
    <w:rsid w:val="7761933A"/>
    <w:rsid w:val="779DDDC1"/>
    <w:rsid w:val="77AE1BDD"/>
    <w:rsid w:val="77BB2113"/>
    <w:rsid w:val="77BE846A"/>
    <w:rsid w:val="77CAFD2D"/>
    <w:rsid w:val="77CDABBB"/>
    <w:rsid w:val="77D1A6AE"/>
    <w:rsid w:val="77F5C1AE"/>
    <w:rsid w:val="7801E78A"/>
    <w:rsid w:val="781187A3"/>
    <w:rsid w:val="7815A1A5"/>
    <w:rsid w:val="7818B380"/>
    <w:rsid w:val="781A4331"/>
    <w:rsid w:val="782449F3"/>
    <w:rsid w:val="7827E3C3"/>
    <w:rsid w:val="78622BC6"/>
    <w:rsid w:val="787BFB96"/>
    <w:rsid w:val="7894C04D"/>
    <w:rsid w:val="789D33A9"/>
    <w:rsid w:val="78A42C7B"/>
    <w:rsid w:val="78AEF006"/>
    <w:rsid w:val="78B1C9F1"/>
    <w:rsid w:val="78D7AE73"/>
    <w:rsid w:val="78E38BF1"/>
    <w:rsid w:val="78E5F976"/>
    <w:rsid w:val="78F29039"/>
    <w:rsid w:val="7906B103"/>
    <w:rsid w:val="7913B856"/>
    <w:rsid w:val="7915A129"/>
    <w:rsid w:val="79201EB7"/>
    <w:rsid w:val="792E64C4"/>
    <w:rsid w:val="792FC602"/>
    <w:rsid w:val="7931F044"/>
    <w:rsid w:val="794A932A"/>
    <w:rsid w:val="794F061B"/>
    <w:rsid w:val="797EA4B9"/>
    <w:rsid w:val="799A15D9"/>
    <w:rsid w:val="79A71C32"/>
    <w:rsid w:val="79AD2D69"/>
    <w:rsid w:val="79B3787F"/>
    <w:rsid w:val="79B3FEC8"/>
    <w:rsid w:val="79BB0110"/>
    <w:rsid w:val="79BC2E43"/>
    <w:rsid w:val="79C1F629"/>
    <w:rsid w:val="79C22B47"/>
    <w:rsid w:val="79C2AD60"/>
    <w:rsid w:val="79F445D2"/>
    <w:rsid w:val="7A05021D"/>
    <w:rsid w:val="7A0FD036"/>
    <w:rsid w:val="7A172751"/>
    <w:rsid w:val="7A1B0CBC"/>
    <w:rsid w:val="7A2B66D3"/>
    <w:rsid w:val="7A36B54B"/>
    <w:rsid w:val="7A41DA56"/>
    <w:rsid w:val="7A44182B"/>
    <w:rsid w:val="7A512944"/>
    <w:rsid w:val="7A538FF8"/>
    <w:rsid w:val="7A545B5F"/>
    <w:rsid w:val="7A635CD0"/>
    <w:rsid w:val="7A71DF96"/>
    <w:rsid w:val="7A725F37"/>
    <w:rsid w:val="7A80212E"/>
    <w:rsid w:val="7A866C68"/>
    <w:rsid w:val="7A97786D"/>
    <w:rsid w:val="7AB42AA3"/>
    <w:rsid w:val="7AC2964F"/>
    <w:rsid w:val="7AC8D323"/>
    <w:rsid w:val="7AD203EA"/>
    <w:rsid w:val="7ADE1A96"/>
    <w:rsid w:val="7B05EB94"/>
    <w:rsid w:val="7B156279"/>
    <w:rsid w:val="7B17F49E"/>
    <w:rsid w:val="7B224B47"/>
    <w:rsid w:val="7B242523"/>
    <w:rsid w:val="7B294C91"/>
    <w:rsid w:val="7B41C406"/>
    <w:rsid w:val="7B4654FD"/>
    <w:rsid w:val="7B4A1C66"/>
    <w:rsid w:val="7B4F292B"/>
    <w:rsid w:val="7B63C6C9"/>
    <w:rsid w:val="7B6BD486"/>
    <w:rsid w:val="7B8EEB9D"/>
    <w:rsid w:val="7B929C02"/>
    <w:rsid w:val="7BB04524"/>
    <w:rsid w:val="7BB94317"/>
    <w:rsid w:val="7BC04F3C"/>
    <w:rsid w:val="7BC296A1"/>
    <w:rsid w:val="7BC9684B"/>
    <w:rsid w:val="7BE22E37"/>
    <w:rsid w:val="7BF781DF"/>
    <w:rsid w:val="7BF8A7F6"/>
    <w:rsid w:val="7C0D0C58"/>
    <w:rsid w:val="7C0EA6F7"/>
    <w:rsid w:val="7C147687"/>
    <w:rsid w:val="7C553B22"/>
    <w:rsid w:val="7C710CAC"/>
    <w:rsid w:val="7C764D96"/>
    <w:rsid w:val="7C8F27BD"/>
    <w:rsid w:val="7CA54E30"/>
    <w:rsid w:val="7CBE5A6F"/>
    <w:rsid w:val="7CCB5F8A"/>
    <w:rsid w:val="7CE41271"/>
    <w:rsid w:val="7CF05278"/>
    <w:rsid w:val="7D014235"/>
    <w:rsid w:val="7D0435CF"/>
    <w:rsid w:val="7D05E79B"/>
    <w:rsid w:val="7D435E01"/>
    <w:rsid w:val="7D580E4D"/>
    <w:rsid w:val="7D6259FA"/>
    <w:rsid w:val="7D736E7A"/>
    <w:rsid w:val="7D73712B"/>
    <w:rsid w:val="7D76C9EA"/>
    <w:rsid w:val="7D78E6DE"/>
    <w:rsid w:val="7D794516"/>
    <w:rsid w:val="7D932186"/>
    <w:rsid w:val="7D93EF31"/>
    <w:rsid w:val="7DA84CEE"/>
    <w:rsid w:val="7DB0E501"/>
    <w:rsid w:val="7DC46627"/>
    <w:rsid w:val="7DD8BA98"/>
    <w:rsid w:val="7DFEF03E"/>
    <w:rsid w:val="7E1C5531"/>
    <w:rsid w:val="7E247FF5"/>
    <w:rsid w:val="7E341136"/>
    <w:rsid w:val="7E7DC6AD"/>
    <w:rsid w:val="7E8C64AE"/>
    <w:rsid w:val="7E97BB41"/>
    <w:rsid w:val="7E97E264"/>
    <w:rsid w:val="7EAF14A7"/>
    <w:rsid w:val="7EC306AA"/>
    <w:rsid w:val="7ECD8C5D"/>
    <w:rsid w:val="7ED7372F"/>
    <w:rsid w:val="7EDB4703"/>
    <w:rsid w:val="7EDFABD2"/>
    <w:rsid w:val="7EE21F49"/>
    <w:rsid w:val="7F0B433A"/>
    <w:rsid w:val="7F1F81C7"/>
    <w:rsid w:val="7F240A4D"/>
    <w:rsid w:val="7F3A39B8"/>
    <w:rsid w:val="7F3BDB19"/>
    <w:rsid w:val="7F4BA893"/>
    <w:rsid w:val="7F50798E"/>
    <w:rsid w:val="7F56E3D4"/>
    <w:rsid w:val="7F57556B"/>
    <w:rsid w:val="7F59BB21"/>
    <w:rsid w:val="7F5AC235"/>
    <w:rsid w:val="7F6BB9E5"/>
    <w:rsid w:val="7F73DBCA"/>
    <w:rsid w:val="7F8C5847"/>
    <w:rsid w:val="7FCEE86B"/>
    <w:rsid w:val="7FDD0E15"/>
    <w:rsid w:val="7FE8BB7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646D3"/>
  <w15:chartTrackingRefBased/>
  <w15:docId w15:val="{45DAC131-5902-47E0-A5B3-B8C4AA39B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125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8125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8125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8125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8125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125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125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125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125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125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8125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8125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8125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8125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125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125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125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125D"/>
    <w:rPr>
      <w:rFonts w:eastAsiaTheme="majorEastAsia" w:cstheme="majorBidi"/>
      <w:color w:val="272727" w:themeColor="text1" w:themeTint="D8"/>
    </w:rPr>
  </w:style>
  <w:style w:type="paragraph" w:styleId="Title">
    <w:name w:val="Title"/>
    <w:basedOn w:val="Normal"/>
    <w:next w:val="Normal"/>
    <w:link w:val="TitleChar"/>
    <w:uiPriority w:val="10"/>
    <w:qFormat/>
    <w:rsid w:val="006812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12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125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125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125D"/>
    <w:pPr>
      <w:spacing w:before="160"/>
      <w:jc w:val="center"/>
    </w:pPr>
    <w:rPr>
      <w:i/>
      <w:iCs/>
      <w:color w:val="404040" w:themeColor="text1" w:themeTint="BF"/>
    </w:rPr>
  </w:style>
  <w:style w:type="character" w:customStyle="1" w:styleId="QuoteChar">
    <w:name w:val="Quote Char"/>
    <w:basedOn w:val="DefaultParagraphFont"/>
    <w:link w:val="Quote"/>
    <w:uiPriority w:val="29"/>
    <w:rsid w:val="0068125D"/>
    <w:rPr>
      <w:i/>
      <w:iCs/>
      <w:color w:val="404040" w:themeColor="text1" w:themeTint="BF"/>
    </w:rPr>
  </w:style>
  <w:style w:type="paragraph" w:styleId="ListParagraph">
    <w:name w:val="List Paragraph"/>
    <w:basedOn w:val="Normal"/>
    <w:uiPriority w:val="34"/>
    <w:qFormat/>
    <w:rsid w:val="0068125D"/>
    <w:pPr>
      <w:ind w:left="720"/>
      <w:contextualSpacing/>
    </w:pPr>
  </w:style>
  <w:style w:type="character" w:styleId="IntenseEmphasis">
    <w:name w:val="Intense Emphasis"/>
    <w:basedOn w:val="DefaultParagraphFont"/>
    <w:uiPriority w:val="21"/>
    <w:qFormat/>
    <w:rsid w:val="0068125D"/>
    <w:rPr>
      <w:i/>
      <w:iCs/>
      <w:color w:val="0F4761" w:themeColor="accent1" w:themeShade="BF"/>
    </w:rPr>
  </w:style>
  <w:style w:type="paragraph" w:styleId="IntenseQuote">
    <w:name w:val="Intense Quote"/>
    <w:basedOn w:val="Normal"/>
    <w:next w:val="Normal"/>
    <w:link w:val="IntenseQuoteChar"/>
    <w:uiPriority w:val="30"/>
    <w:qFormat/>
    <w:rsid w:val="0068125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125D"/>
    <w:rPr>
      <w:i/>
      <w:iCs/>
      <w:color w:val="0F4761" w:themeColor="accent1" w:themeShade="BF"/>
    </w:rPr>
  </w:style>
  <w:style w:type="character" w:styleId="IntenseReference">
    <w:name w:val="Intense Reference"/>
    <w:basedOn w:val="DefaultParagraphFont"/>
    <w:uiPriority w:val="32"/>
    <w:qFormat/>
    <w:rsid w:val="0068125D"/>
    <w:rPr>
      <w:b/>
      <w:bCs/>
      <w:smallCaps/>
      <w:color w:val="0F4761" w:themeColor="accent1" w:themeShade="BF"/>
      <w:spacing w:val="5"/>
    </w:rPr>
  </w:style>
  <w:style w:type="paragraph" w:styleId="Header">
    <w:name w:val="header"/>
    <w:basedOn w:val="Normal"/>
    <w:link w:val="HeaderChar"/>
    <w:uiPriority w:val="99"/>
    <w:unhideWhenUsed/>
    <w:rsid w:val="00061F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F72"/>
  </w:style>
  <w:style w:type="paragraph" w:styleId="Footer">
    <w:name w:val="footer"/>
    <w:basedOn w:val="Normal"/>
    <w:link w:val="FooterChar"/>
    <w:uiPriority w:val="99"/>
    <w:unhideWhenUsed/>
    <w:rsid w:val="00061F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F72"/>
  </w:style>
  <w:style w:type="table" w:styleId="TableGrid">
    <w:name w:val="Table Grid"/>
    <w:basedOn w:val="TableNormal"/>
    <w:uiPriority w:val="59"/>
    <w:rsid w:val="005C2EF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rsid w:val="008C38F3"/>
    <w:pPr>
      <w:spacing w:line="240" w:lineRule="auto"/>
    </w:pPr>
    <w:rPr>
      <w:sz w:val="20"/>
      <w:szCs w:val="20"/>
    </w:rPr>
  </w:style>
  <w:style w:type="character" w:customStyle="1" w:styleId="CommentTextChar">
    <w:name w:val="Comment Text Char"/>
    <w:basedOn w:val="DefaultParagraphFont"/>
    <w:link w:val="CommentText"/>
    <w:uiPriority w:val="99"/>
    <w:semiHidden/>
    <w:rsid w:val="008C38F3"/>
    <w:rPr>
      <w:sz w:val="20"/>
      <w:szCs w:val="20"/>
    </w:rPr>
  </w:style>
  <w:style w:type="character" w:styleId="CommentReference">
    <w:name w:val="annotation reference"/>
    <w:basedOn w:val="DefaultParagraphFont"/>
    <w:uiPriority w:val="99"/>
    <w:semiHidden/>
    <w:unhideWhenUsed/>
    <w:rsid w:val="008C38F3"/>
    <w:rPr>
      <w:sz w:val="16"/>
      <w:szCs w:val="16"/>
    </w:rPr>
  </w:style>
  <w:style w:type="character" w:styleId="Hyperlink">
    <w:name w:val="Hyperlink"/>
    <w:basedOn w:val="DefaultParagraphFont"/>
    <w:uiPriority w:val="99"/>
    <w:unhideWhenUsed/>
    <w:rsid w:val="628DEB34"/>
    <w:rPr>
      <w:color w:val="467886"/>
      <w:u w:val="single"/>
    </w:rPr>
  </w:style>
  <w:style w:type="character" w:styleId="Strong">
    <w:name w:val="Strong"/>
    <w:basedOn w:val="DefaultParagraphFont"/>
    <w:uiPriority w:val="22"/>
    <w:qFormat/>
    <w:rsid w:val="007D636E"/>
    <w:rPr>
      <w:b/>
      <w:bCs/>
    </w:rPr>
  </w:style>
  <w:style w:type="paragraph" w:styleId="NormalWeb">
    <w:name w:val="Normal (Web)"/>
    <w:basedOn w:val="Normal"/>
    <w:uiPriority w:val="99"/>
    <w:semiHidden/>
    <w:unhideWhenUsed/>
    <w:rsid w:val="0063053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384131">
      <w:marLeft w:val="0"/>
      <w:marRight w:val="0"/>
      <w:marTop w:val="0"/>
      <w:marBottom w:val="0"/>
      <w:divBdr>
        <w:top w:val="none" w:sz="0" w:space="0" w:color="auto"/>
        <w:left w:val="none" w:sz="0" w:space="0" w:color="auto"/>
        <w:bottom w:val="none" w:sz="0" w:space="0" w:color="auto"/>
        <w:right w:val="none" w:sz="0" w:space="0" w:color="auto"/>
      </w:divBdr>
    </w:div>
    <w:div w:id="264045417">
      <w:bodyDiv w:val="1"/>
      <w:marLeft w:val="0"/>
      <w:marRight w:val="0"/>
      <w:marTop w:val="0"/>
      <w:marBottom w:val="0"/>
      <w:divBdr>
        <w:top w:val="none" w:sz="0" w:space="0" w:color="auto"/>
        <w:left w:val="none" w:sz="0" w:space="0" w:color="auto"/>
        <w:bottom w:val="none" w:sz="0" w:space="0" w:color="auto"/>
        <w:right w:val="none" w:sz="0" w:space="0" w:color="auto"/>
      </w:divBdr>
    </w:div>
    <w:div w:id="417673245">
      <w:marLeft w:val="0"/>
      <w:marRight w:val="0"/>
      <w:marTop w:val="0"/>
      <w:marBottom w:val="0"/>
      <w:divBdr>
        <w:top w:val="none" w:sz="0" w:space="0" w:color="auto"/>
        <w:left w:val="none" w:sz="0" w:space="0" w:color="auto"/>
        <w:bottom w:val="none" w:sz="0" w:space="0" w:color="auto"/>
        <w:right w:val="none" w:sz="0" w:space="0" w:color="auto"/>
      </w:divBdr>
    </w:div>
    <w:div w:id="893003354">
      <w:marLeft w:val="0"/>
      <w:marRight w:val="0"/>
      <w:marTop w:val="0"/>
      <w:marBottom w:val="0"/>
      <w:divBdr>
        <w:top w:val="none" w:sz="0" w:space="0" w:color="auto"/>
        <w:left w:val="none" w:sz="0" w:space="0" w:color="auto"/>
        <w:bottom w:val="none" w:sz="0" w:space="0" w:color="auto"/>
        <w:right w:val="none" w:sz="0" w:space="0" w:color="auto"/>
      </w:divBdr>
    </w:div>
    <w:div w:id="1129278491">
      <w:marLeft w:val="0"/>
      <w:marRight w:val="0"/>
      <w:marTop w:val="0"/>
      <w:marBottom w:val="0"/>
      <w:divBdr>
        <w:top w:val="none" w:sz="0" w:space="0" w:color="auto"/>
        <w:left w:val="none" w:sz="0" w:space="0" w:color="auto"/>
        <w:bottom w:val="none" w:sz="0" w:space="0" w:color="auto"/>
        <w:right w:val="none" w:sz="0" w:space="0" w:color="auto"/>
      </w:divBdr>
    </w:div>
    <w:div w:id="1208177062">
      <w:marLeft w:val="0"/>
      <w:marRight w:val="0"/>
      <w:marTop w:val="0"/>
      <w:marBottom w:val="0"/>
      <w:divBdr>
        <w:top w:val="none" w:sz="0" w:space="0" w:color="auto"/>
        <w:left w:val="none" w:sz="0" w:space="0" w:color="auto"/>
        <w:bottom w:val="none" w:sz="0" w:space="0" w:color="auto"/>
        <w:right w:val="none" w:sz="0" w:space="0" w:color="auto"/>
      </w:divBdr>
    </w:div>
    <w:div w:id="1394623941">
      <w:bodyDiv w:val="1"/>
      <w:marLeft w:val="0"/>
      <w:marRight w:val="0"/>
      <w:marTop w:val="0"/>
      <w:marBottom w:val="0"/>
      <w:divBdr>
        <w:top w:val="none" w:sz="0" w:space="0" w:color="auto"/>
        <w:left w:val="none" w:sz="0" w:space="0" w:color="auto"/>
        <w:bottom w:val="none" w:sz="0" w:space="0" w:color="auto"/>
        <w:right w:val="none" w:sz="0" w:space="0" w:color="auto"/>
      </w:divBdr>
      <w:divsChild>
        <w:div w:id="1293094381">
          <w:marLeft w:val="0"/>
          <w:marRight w:val="0"/>
          <w:marTop w:val="0"/>
          <w:marBottom w:val="0"/>
          <w:divBdr>
            <w:top w:val="none" w:sz="0" w:space="0" w:color="auto"/>
            <w:left w:val="none" w:sz="0" w:space="0" w:color="auto"/>
            <w:bottom w:val="none" w:sz="0" w:space="0" w:color="auto"/>
            <w:right w:val="none" w:sz="0" w:space="0" w:color="auto"/>
          </w:divBdr>
        </w:div>
      </w:divsChild>
    </w:div>
    <w:div w:id="1416315383">
      <w:marLeft w:val="0"/>
      <w:marRight w:val="0"/>
      <w:marTop w:val="0"/>
      <w:marBottom w:val="0"/>
      <w:divBdr>
        <w:top w:val="none" w:sz="0" w:space="0" w:color="auto"/>
        <w:left w:val="none" w:sz="0" w:space="0" w:color="auto"/>
        <w:bottom w:val="none" w:sz="0" w:space="0" w:color="auto"/>
        <w:right w:val="none" w:sz="0" w:space="0" w:color="auto"/>
      </w:divBdr>
    </w:div>
    <w:div w:id="1567374063">
      <w:marLeft w:val="0"/>
      <w:marRight w:val="0"/>
      <w:marTop w:val="0"/>
      <w:marBottom w:val="0"/>
      <w:divBdr>
        <w:top w:val="none" w:sz="0" w:space="0" w:color="auto"/>
        <w:left w:val="none" w:sz="0" w:space="0" w:color="auto"/>
        <w:bottom w:val="none" w:sz="0" w:space="0" w:color="auto"/>
        <w:right w:val="none" w:sz="0" w:space="0" w:color="auto"/>
      </w:divBdr>
    </w:div>
    <w:div w:id="1678383928">
      <w:bodyDiv w:val="1"/>
      <w:marLeft w:val="0"/>
      <w:marRight w:val="0"/>
      <w:marTop w:val="0"/>
      <w:marBottom w:val="0"/>
      <w:divBdr>
        <w:top w:val="none" w:sz="0" w:space="0" w:color="auto"/>
        <w:left w:val="none" w:sz="0" w:space="0" w:color="auto"/>
        <w:bottom w:val="none" w:sz="0" w:space="0" w:color="auto"/>
        <w:right w:val="none" w:sz="0" w:space="0" w:color="auto"/>
      </w:divBdr>
    </w:div>
    <w:div w:id="1930037748">
      <w:marLeft w:val="0"/>
      <w:marRight w:val="0"/>
      <w:marTop w:val="0"/>
      <w:marBottom w:val="0"/>
      <w:divBdr>
        <w:top w:val="none" w:sz="0" w:space="0" w:color="auto"/>
        <w:left w:val="none" w:sz="0" w:space="0" w:color="auto"/>
        <w:bottom w:val="none" w:sz="0" w:space="0" w:color="auto"/>
        <w:right w:val="none" w:sz="0" w:space="0" w:color="auto"/>
      </w:divBdr>
    </w:div>
    <w:div w:id="1983147609">
      <w:marLeft w:val="0"/>
      <w:marRight w:val="0"/>
      <w:marTop w:val="0"/>
      <w:marBottom w:val="0"/>
      <w:divBdr>
        <w:top w:val="none" w:sz="0" w:space="0" w:color="auto"/>
        <w:left w:val="none" w:sz="0" w:space="0" w:color="auto"/>
        <w:bottom w:val="none" w:sz="0" w:space="0" w:color="auto"/>
        <w:right w:val="none" w:sz="0" w:space="0" w:color="auto"/>
      </w:divBdr>
    </w:div>
    <w:div w:id="1993022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sv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5" Type="http://schemas.openxmlformats.org/officeDocument/2006/relationships/numbering" Target="numbering.xml"/><Relationship Id="rId15" Type="http://schemas.openxmlformats.org/officeDocument/2006/relationships/image" Target="media/image5.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28852-DAFA-4C4B-A353-48CB23C6E21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0A67717-7633-41E5-B0BC-00ACF01D646E}"/>
</file>

<file path=customXml/itemProps3.xml><?xml version="1.0" encoding="utf-8"?>
<ds:datastoreItem xmlns:ds="http://schemas.openxmlformats.org/officeDocument/2006/customXml" ds:itemID="{E45AF92E-A105-44C5-AAE9-1A0E60C77766}">
  <ds:schemaRefs>
    <ds:schemaRef ds:uri="http://schemas.microsoft.com/sharepoint/v3/contenttype/forms"/>
  </ds:schemaRefs>
</ds:datastoreItem>
</file>

<file path=customXml/itemProps4.xml><?xml version="1.0" encoding="utf-8"?>
<ds:datastoreItem xmlns:ds="http://schemas.openxmlformats.org/officeDocument/2006/customXml" ds:itemID="{274F6835-12FF-4159-A4F6-552049529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10490</Words>
  <Characters>59794</Characters>
  <Application>Microsoft Office Word</Application>
  <DocSecurity>0</DocSecurity>
  <Lines>498</Lines>
  <Paragraphs>140</Paragraphs>
  <ScaleCrop>false</ScaleCrop>
  <Company>CardiffandVale UHB</Company>
  <LinksUpToDate>false</LinksUpToDate>
  <CharactersWithSpaces>70144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Tyson (Cardiff and Vale UHB - IMPROVEMENT AND IMPLEMENTATION)</dc:creator>
  <cp:keywords/>
  <dc:description/>
  <cp:lastModifiedBy>Zoe Richards (Cardiff and Vale UHB - Operations Team)</cp:lastModifiedBy>
  <cp:revision>2</cp:revision>
  <dcterms:created xsi:type="dcterms:W3CDTF">2026-05-20T09:25:00Z</dcterms:created>
  <dcterms:modified xsi:type="dcterms:W3CDTF">2026-05-20T09:25:00Z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