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6DE318" w14:textId="6A33B00C" w:rsidR="00F26885" w:rsidRPr="00047307" w:rsidRDefault="00FA286E">
      <w:pPr>
        <w:rPr>
          <w:rFonts w:ascii="Arial" w:hAnsi="Arial" w:cs="Arial"/>
          <w:u w:val="single"/>
        </w:rPr>
      </w:pPr>
      <w:r w:rsidRPr="00047307">
        <w:rPr>
          <w:rFonts w:ascii="Arial" w:hAnsi="Arial" w:cs="Arial"/>
          <w:u w:val="single"/>
        </w:rPr>
        <w:t xml:space="preserve">Capital Cost Addendum </w:t>
      </w:r>
      <w:r w:rsidR="007F72D9">
        <w:rPr>
          <w:rFonts w:ascii="Arial" w:hAnsi="Arial" w:cs="Arial"/>
          <w:u w:val="single"/>
        </w:rPr>
        <w:t>to LHP OBC Phase 2 – Orthopaedic Surgical Hub</w:t>
      </w:r>
      <w:bookmarkStart w:id="0" w:name="_GoBack"/>
      <w:bookmarkEnd w:id="0"/>
    </w:p>
    <w:p w14:paraId="5E1A7746" w14:textId="61FB2FF6" w:rsidR="007A7A51" w:rsidRPr="00047307" w:rsidRDefault="007A7A51">
      <w:pPr>
        <w:rPr>
          <w:rFonts w:ascii="Arial" w:hAnsi="Arial" w:cs="Arial"/>
        </w:rPr>
      </w:pPr>
      <w:r w:rsidRPr="00047307">
        <w:rPr>
          <w:rFonts w:ascii="Arial" w:hAnsi="Arial" w:cs="Arial"/>
        </w:rPr>
        <w:t xml:space="preserve">This cost addendum is being provided as an update to the LHP Phase 2 OBC </w:t>
      </w:r>
      <w:r w:rsidR="008B04E9" w:rsidRPr="00047307">
        <w:rPr>
          <w:rFonts w:ascii="Arial" w:hAnsi="Arial" w:cs="Arial"/>
        </w:rPr>
        <w:t xml:space="preserve">Version 1 that has been circulated.  </w:t>
      </w:r>
    </w:p>
    <w:p w14:paraId="7C5FC85F" w14:textId="1318E1B8" w:rsidR="008B04E9" w:rsidRPr="00047307" w:rsidRDefault="008B04E9">
      <w:pPr>
        <w:rPr>
          <w:rFonts w:ascii="Arial" w:hAnsi="Arial" w:cs="Arial"/>
        </w:rPr>
      </w:pPr>
      <w:r w:rsidRPr="00047307">
        <w:rPr>
          <w:rFonts w:ascii="Arial" w:hAnsi="Arial" w:cs="Arial"/>
        </w:rPr>
        <w:t xml:space="preserve">Due to a material omission in the original cost statement it has become necessary to provide an updated capital cost statement to support the OBC.  </w:t>
      </w:r>
    </w:p>
    <w:p w14:paraId="59B603AB" w14:textId="3C97FE56" w:rsidR="001632DE" w:rsidRPr="00047307" w:rsidRDefault="008B04E9">
      <w:pPr>
        <w:rPr>
          <w:rFonts w:ascii="Arial" w:hAnsi="Arial" w:cs="Arial"/>
        </w:rPr>
      </w:pPr>
      <w:r w:rsidRPr="00047307">
        <w:rPr>
          <w:rFonts w:ascii="Arial" w:hAnsi="Arial" w:cs="Arial"/>
        </w:rPr>
        <w:t xml:space="preserve">It should be noted that at this stage this remains a cost forecast, due to </w:t>
      </w:r>
      <w:r w:rsidR="001632DE" w:rsidRPr="00047307">
        <w:rPr>
          <w:rFonts w:ascii="Arial" w:hAnsi="Arial" w:cs="Arial"/>
        </w:rPr>
        <w:t xml:space="preserve">the </w:t>
      </w:r>
      <w:r w:rsidRPr="00047307">
        <w:rPr>
          <w:rFonts w:ascii="Arial" w:hAnsi="Arial" w:cs="Arial"/>
        </w:rPr>
        <w:t xml:space="preserve">pace at which the RIBA 2 design has occurred </w:t>
      </w:r>
      <w:r w:rsidR="001632DE" w:rsidRPr="00047307">
        <w:rPr>
          <w:rFonts w:ascii="Arial" w:hAnsi="Arial" w:cs="Arial"/>
        </w:rPr>
        <w:t>since restart in September</w:t>
      </w:r>
      <w:r w:rsidRPr="00047307">
        <w:rPr>
          <w:rFonts w:ascii="Arial" w:hAnsi="Arial" w:cs="Arial"/>
        </w:rPr>
        <w:t>, some key detail</w:t>
      </w:r>
      <w:r w:rsidR="001632DE" w:rsidRPr="00047307">
        <w:rPr>
          <w:rFonts w:ascii="Arial" w:hAnsi="Arial" w:cs="Arial"/>
        </w:rPr>
        <w:t>s</w:t>
      </w:r>
      <w:r w:rsidRPr="00047307">
        <w:rPr>
          <w:rFonts w:ascii="Arial" w:hAnsi="Arial" w:cs="Arial"/>
        </w:rPr>
        <w:t xml:space="preserve"> ha</w:t>
      </w:r>
      <w:r w:rsidR="001632DE" w:rsidRPr="00047307">
        <w:rPr>
          <w:rFonts w:ascii="Arial" w:hAnsi="Arial" w:cs="Arial"/>
        </w:rPr>
        <w:t>ve</w:t>
      </w:r>
      <w:r w:rsidRPr="00047307">
        <w:rPr>
          <w:rFonts w:ascii="Arial" w:hAnsi="Arial" w:cs="Arial"/>
        </w:rPr>
        <w:t xml:space="preserve"> been received later than had been originally programmed</w:t>
      </w:r>
      <w:r w:rsidR="001632DE" w:rsidRPr="00047307">
        <w:rPr>
          <w:rFonts w:ascii="Arial" w:hAnsi="Arial" w:cs="Arial"/>
        </w:rPr>
        <w:t xml:space="preserve"> and some elements of information are still outstanding and being developed by the design team</w:t>
      </w:r>
      <w:r w:rsidRPr="00047307">
        <w:rPr>
          <w:rFonts w:ascii="Arial" w:hAnsi="Arial" w:cs="Arial"/>
        </w:rPr>
        <w:t>.  There</w:t>
      </w:r>
      <w:r w:rsidR="001632DE" w:rsidRPr="00047307">
        <w:rPr>
          <w:rFonts w:ascii="Arial" w:hAnsi="Arial" w:cs="Arial"/>
        </w:rPr>
        <w:t>fore</w:t>
      </w:r>
      <w:r w:rsidR="0010516E">
        <w:rPr>
          <w:rFonts w:ascii="Arial" w:hAnsi="Arial" w:cs="Arial"/>
        </w:rPr>
        <w:t>,</w:t>
      </w:r>
      <w:r w:rsidR="001632DE" w:rsidRPr="00047307">
        <w:rPr>
          <w:rFonts w:ascii="Arial" w:hAnsi="Arial" w:cs="Arial"/>
        </w:rPr>
        <w:t xml:space="preserve"> there</w:t>
      </w:r>
      <w:r w:rsidRPr="00047307">
        <w:rPr>
          <w:rFonts w:ascii="Arial" w:hAnsi="Arial" w:cs="Arial"/>
        </w:rPr>
        <w:t xml:space="preserve"> is still some further information to be received and verification to be carried out </w:t>
      </w:r>
      <w:r w:rsidR="001632DE" w:rsidRPr="00047307">
        <w:rPr>
          <w:rFonts w:ascii="Arial" w:hAnsi="Arial" w:cs="Arial"/>
        </w:rPr>
        <w:t>to confirm the cost level to be included in the OBC to be submitted to Welsh Government.</w:t>
      </w:r>
    </w:p>
    <w:p w14:paraId="3A582984" w14:textId="056CF21D" w:rsidR="001632DE" w:rsidRPr="00047307" w:rsidRDefault="001632DE">
      <w:pPr>
        <w:rPr>
          <w:rFonts w:ascii="Arial" w:hAnsi="Arial" w:cs="Arial"/>
        </w:rPr>
      </w:pPr>
      <w:r w:rsidRPr="00047307">
        <w:rPr>
          <w:rFonts w:ascii="Arial" w:hAnsi="Arial" w:cs="Arial"/>
        </w:rPr>
        <w:t xml:space="preserve">As a result this is proposed to be presented as a cost not to be exceeded for the purposes of Board approval in recognition that there may still be some smaller amendments to the total cost up until the beginning of December and the proposed OBC submittal date to WG.  </w:t>
      </w:r>
      <w:r w:rsidR="0010516E">
        <w:rPr>
          <w:rFonts w:ascii="Arial" w:hAnsi="Arial" w:cs="Arial"/>
        </w:rPr>
        <w:t>T</w:t>
      </w:r>
      <w:r w:rsidRPr="00047307">
        <w:rPr>
          <w:rFonts w:ascii="Arial" w:hAnsi="Arial" w:cs="Arial"/>
        </w:rPr>
        <w:t xml:space="preserve">he final capital cost included in the </w:t>
      </w:r>
      <w:r w:rsidR="0010516E">
        <w:rPr>
          <w:rFonts w:ascii="Arial" w:hAnsi="Arial" w:cs="Arial"/>
        </w:rPr>
        <w:t xml:space="preserve">WG </w:t>
      </w:r>
      <w:r w:rsidRPr="00047307">
        <w:rPr>
          <w:rFonts w:ascii="Arial" w:hAnsi="Arial" w:cs="Arial"/>
        </w:rPr>
        <w:t xml:space="preserve">submitted version will not exceed the sum in this </w:t>
      </w:r>
      <w:r w:rsidR="0010516E">
        <w:rPr>
          <w:rFonts w:ascii="Arial" w:hAnsi="Arial" w:cs="Arial"/>
        </w:rPr>
        <w:t>document and the amended OBC</w:t>
      </w:r>
      <w:r w:rsidRPr="00047307">
        <w:rPr>
          <w:rFonts w:ascii="Arial" w:hAnsi="Arial" w:cs="Arial"/>
        </w:rPr>
        <w:t>.</w:t>
      </w:r>
    </w:p>
    <w:p w14:paraId="34ACF837" w14:textId="2DED82C8" w:rsidR="008B04E9" w:rsidRPr="00047307" w:rsidRDefault="008B04E9">
      <w:pPr>
        <w:rPr>
          <w:rFonts w:ascii="Arial" w:hAnsi="Arial" w:cs="Arial"/>
          <w:u w:val="single"/>
        </w:rPr>
      </w:pPr>
      <w:r w:rsidRPr="00047307">
        <w:rPr>
          <w:rFonts w:ascii="Arial" w:hAnsi="Arial" w:cs="Arial"/>
          <w:u w:val="single"/>
        </w:rPr>
        <w:t xml:space="preserve">Adjusted Capital Cost </w:t>
      </w:r>
    </w:p>
    <w:p w14:paraId="0BBEF306" w14:textId="21953F09" w:rsidR="001632DE" w:rsidRPr="00047307" w:rsidRDefault="001632DE">
      <w:pPr>
        <w:rPr>
          <w:rFonts w:ascii="Arial" w:hAnsi="Arial" w:cs="Arial"/>
        </w:rPr>
      </w:pPr>
      <w:r w:rsidRPr="00047307">
        <w:rPr>
          <w:rFonts w:ascii="Arial" w:hAnsi="Arial" w:cs="Arial"/>
        </w:rPr>
        <w:t>The capital cost movement is as set out in the table below with a comparison between the original and revised position</w:t>
      </w:r>
      <w:r w:rsidR="00047307" w:rsidRPr="00047307">
        <w:rPr>
          <w:rFonts w:ascii="Arial" w:hAnsi="Arial" w:cs="Arial"/>
        </w:rPr>
        <w:t xml:space="preserve"> (Table 1)</w:t>
      </w:r>
      <w:r w:rsidRPr="00047307">
        <w:rPr>
          <w:rFonts w:ascii="Arial" w:hAnsi="Arial" w:cs="Arial"/>
        </w:rPr>
        <w:t>.  The following table</w:t>
      </w:r>
      <w:r w:rsidR="00047307" w:rsidRPr="00047307">
        <w:rPr>
          <w:rFonts w:ascii="Arial" w:hAnsi="Arial" w:cs="Arial"/>
        </w:rPr>
        <w:t xml:space="preserve"> (Table 2)</w:t>
      </w:r>
      <w:r w:rsidRPr="00047307">
        <w:rPr>
          <w:rFonts w:ascii="Arial" w:hAnsi="Arial" w:cs="Arial"/>
        </w:rPr>
        <w:t xml:space="preserve"> sets out the revised capital cost and funding profile</w:t>
      </w:r>
      <w:r w:rsidR="00047307" w:rsidRPr="00047307">
        <w:rPr>
          <w:rFonts w:ascii="Arial" w:hAnsi="Arial" w:cs="Arial"/>
        </w:rPr>
        <w:t xml:space="preserve">.  </w:t>
      </w:r>
    </w:p>
    <w:p w14:paraId="759FFBCE" w14:textId="38BBB112" w:rsidR="00047307" w:rsidRPr="00047307" w:rsidRDefault="00047307">
      <w:pPr>
        <w:rPr>
          <w:rFonts w:ascii="Arial" w:hAnsi="Arial" w:cs="Arial"/>
          <w:i/>
          <w:iCs/>
          <w:sz w:val="18"/>
          <w:szCs w:val="18"/>
        </w:rPr>
      </w:pPr>
      <w:r>
        <w:rPr>
          <w:rFonts w:ascii="Arial" w:hAnsi="Arial" w:cs="Arial"/>
          <w:i/>
          <w:iCs/>
          <w:sz w:val="18"/>
          <w:szCs w:val="18"/>
        </w:rPr>
        <w:t>Table 1 Original and Revised OBC Capital Cost</w:t>
      </w:r>
    </w:p>
    <w:tbl>
      <w:tblPr>
        <w:tblW w:w="6140" w:type="dxa"/>
        <w:tblLook w:val="04A0" w:firstRow="1" w:lastRow="0" w:firstColumn="1" w:lastColumn="0" w:noHBand="0" w:noVBand="1"/>
      </w:tblPr>
      <w:tblGrid>
        <w:gridCol w:w="2940"/>
        <w:gridCol w:w="960"/>
        <w:gridCol w:w="1200"/>
        <w:gridCol w:w="1107"/>
      </w:tblGrid>
      <w:tr w:rsidR="00047307" w:rsidRPr="00047307" w14:paraId="5492092E" w14:textId="77777777" w:rsidTr="00047307">
        <w:trPr>
          <w:trHeight w:val="460"/>
        </w:trPr>
        <w:tc>
          <w:tcPr>
            <w:tcW w:w="2940" w:type="dxa"/>
            <w:vMerge w:val="restart"/>
            <w:tcBorders>
              <w:top w:val="single" w:sz="8" w:space="0" w:color="A6A6A6"/>
              <w:left w:val="single" w:sz="8" w:space="0" w:color="A6A6A6"/>
              <w:bottom w:val="single" w:sz="8" w:space="0" w:color="A6A6A6"/>
              <w:right w:val="single" w:sz="8" w:space="0" w:color="A6A6A6"/>
            </w:tcBorders>
            <w:shd w:val="clear" w:color="000000" w:fill="2C4295"/>
            <w:vAlign w:val="center"/>
            <w:hideMark/>
          </w:tcPr>
          <w:p w14:paraId="03CA7CAA" w14:textId="77777777" w:rsidR="00047307" w:rsidRPr="00047307" w:rsidRDefault="00047307" w:rsidP="00047307">
            <w:pPr>
              <w:spacing w:after="0" w:line="240" w:lineRule="auto"/>
              <w:rPr>
                <w:rFonts w:ascii="Arial" w:eastAsia="Times New Roman" w:hAnsi="Arial" w:cs="Arial"/>
                <w:b/>
                <w:bCs/>
                <w:color w:val="FFFFFF"/>
                <w:sz w:val="20"/>
                <w:szCs w:val="20"/>
                <w:lang w:eastAsia="en-GB"/>
              </w:rPr>
            </w:pPr>
            <w:r w:rsidRPr="00047307">
              <w:rPr>
                <w:rFonts w:ascii="Arial" w:eastAsia="Times New Roman" w:hAnsi="Arial" w:cs="Arial"/>
                <w:b/>
                <w:bCs/>
                <w:color w:val="FFFFFF"/>
                <w:sz w:val="20"/>
                <w:szCs w:val="20"/>
                <w:lang w:eastAsia="en-GB"/>
              </w:rPr>
              <w:t>Costs</w:t>
            </w:r>
          </w:p>
        </w:tc>
        <w:tc>
          <w:tcPr>
            <w:tcW w:w="960" w:type="dxa"/>
            <w:tcBorders>
              <w:top w:val="single" w:sz="8" w:space="0" w:color="A6A6A6"/>
              <w:left w:val="nil"/>
              <w:bottom w:val="nil"/>
              <w:right w:val="single" w:sz="8" w:space="0" w:color="A6A6A6"/>
            </w:tcBorders>
            <w:shd w:val="clear" w:color="000000" w:fill="2C4295"/>
            <w:vAlign w:val="center"/>
            <w:hideMark/>
          </w:tcPr>
          <w:p w14:paraId="0A1D3EEF"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Original OBC Cost</w:t>
            </w:r>
          </w:p>
        </w:tc>
        <w:tc>
          <w:tcPr>
            <w:tcW w:w="1200" w:type="dxa"/>
            <w:tcBorders>
              <w:top w:val="single" w:sz="8" w:space="0" w:color="A6A6A6"/>
              <w:left w:val="nil"/>
              <w:bottom w:val="nil"/>
              <w:right w:val="single" w:sz="8" w:space="0" w:color="A6A6A6"/>
            </w:tcBorders>
            <w:shd w:val="clear" w:color="000000" w:fill="2C4295"/>
            <w:vAlign w:val="center"/>
            <w:hideMark/>
          </w:tcPr>
          <w:p w14:paraId="1F03FAA4"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Revised OBC Cost</w:t>
            </w:r>
          </w:p>
        </w:tc>
        <w:tc>
          <w:tcPr>
            <w:tcW w:w="1040" w:type="dxa"/>
            <w:tcBorders>
              <w:top w:val="single" w:sz="8" w:space="0" w:color="A6A6A6"/>
              <w:left w:val="nil"/>
              <w:bottom w:val="nil"/>
              <w:right w:val="single" w:sz="8" w:space="0" w:color="A6A6A6"/>
            </w:tcBorders>
            <w:shd w:val="clear" w:color="000000" w:fill="2C4295"/>
            <w:vAlign w:val="center"/>
            <w:hideMark/>
          </w:tcPr>
          <w:p w14:paraId="76B338AC"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 xml:space="preserve">Movement </w:t>
            </w:r>
          </w:p>
        </w:tc>
      </w:tr>
      <w:tr w:rsidR="00047307" w:rsidRPr="00047307" w14:paraId="59DE6815" w14:textId="77777777" w:rsidTr="00047307">
        <w:trPr>
          <w:trHeight w:val="300"/>
        </w:trPr>
        <w:tc>
          <w:tcPr>
            <w:tcW w:w="2940" w:type="dxa"/>
            <w:vMerge/>
            <w:tcBorders>
              <w:top w:val="single" w:sz="8" w:space="0" w:color="A6A6A6"/>
              <w:left w:val="single" w:sz="8" w:space="0" w:color="A6A6A6"/>
              <w:bottom w:val="single" w:sz="8" w:space="0" w:color="A6A6A6"/>
              <w:right w:val="single" w:sz="8" w:space="0" w:color="A6A6A6"/>
            </w:tcBorders>
            <w:vAlign w:val="center"/>
            <w:hideMark/>
          </w:tcPr>
          <w:p w14:paraId="01771CBB" w14:textId="77777777" w:rsidR="00047307" w:rsidRPr="00047307" w:rsidRDefault="00047307" w:rsidP="00047307">
            <w:pPr>
              <w:spacing w:after="0" w:line="240" w:lineRule="auto"/>
              <w:rPr>
                <w:rFonts w:ascii="Arial" w:eastAsia="Times New Roman" w:hAnsi="Arial" w:cs="Arial"/>
                <w:b/>
                <w:bCs/>
                <w:color w:val="FFFFFF"/>
                <w:sz w:val="20"/>
                <w:szCs w:val="20"/>
                <w:lang w:eastAsia="en-GB"/>
              </w:rPr>
            </w:pPr>
          </w:p>
        </w:tc>
        <w:tc>
          <w:tcPr>
            <w:tcW w:w="960" w:type="dxa"/>
            <w:tcBorders>
              <w:top w:val="nil"/>
              <w:left w:val="nil"/>
              <w:bottom w:val="single" w:sz="8" w:space="0" w:color="A6A6A6"/>
              <w:right w:val="single" w:sz="8" w:space="0" w:color="A6A6A6"/>
            </w:tcBorders>
            <w:shd w:val="clear" w:color="000000" w:fill="2C4295"/>
            <w:vAlign w:val="center"/>
            <w:hideMark/>
          </w:tcPr>
          <w:p w14:paraId="5195DE71"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£000</w:t>
            </w:r>
          </w:p>
        </w:tc>
        <w:tc>
          <w:tcPr>
            <w:tcW w:w="1200" w:type="dxa"/>
            <w:tcBorders>
              <w:top w:val="nil"/>
              <w:left w:val="nil"/>
              <w:bottom w:val="single" w:sz="8" w:space="0" w:color="A6A6A6"/>
              <w:right w:val="single" w:sz="8" w:space="0" w:color="A6A6A6"/>
            </w:tcBorders>
            <w:shd w:val="clear" w:color="000000" w:fill="2C4295"/>
            <w:vAlign w:val="center"/>
            <w:hideMark/>
          </w:tcPr>
          <w:p w14:paraId="7D836AD7"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£000</w:t>
            </w:r>
          </w:p>
        </w:tc>
        <w:tc>
          <w:tcPr>
            <w:tcW w:w="1040" w:type="dxa"/>
            <w:tcBorders>
              <w:top w:val="nil"/>
              <w:left w:val="nil"/>
              <w:bottom w:val="single" w:sz="8" w:space="0" w:color="A6A6A6"/>
              <w:right w:val="single" w:sz="8" w:space="0" w:color="A6A6A6"/>
            </w:tcBorders>
            <w:shd w:val="clear" w:color="000000" w:fill="2C4295"/>
            <w:vAlign w:val="center"/>
            <w:hideMark/>
          </w:tcPr>
          <w:p w14:paraId="35A6C4F3" w14:textId="77777777" w:rsidR="00047307" w:rsidRPr="00047307" w:rsidRDefault="00047307" w:rsidP="00047307">
            <w:pPr>
              <w:spacing w:after="0" w:line="240" w:lineRule="auto"/>
              <w:jc w:val="right"/>
              <w:rPr>
                <w:rFonts w:ascii="Arial" w:eastAsia="Times New Roman" w:hAnsi="Arial" w:cs="Arial"/>
                <w:b/>
                <w:bCs/>
                <w:color w:val="FFFFFF"/>
                <w:sz w:val="18"/>
                <w:szCs w:val="18"/>
                <w:lang w:eastAsia="en-GB"/>
              </w:rPr>
            </w:pPr>
            <w:r w:rsidRPr="00047307">
              <w:rPr>
                <w:rFonts w:ascii="Arial" w:eastAsia="Times New Roman" w:hAnsi="Arial" w:cs="Arial"/>
                <w:b/>
                <w:bCs/>
                <w:color w:val="FFFFFF"/>
                <w:sz w:val="18"/>
                <w:szCs w:val="18"/>
                <w:lang w:eastAsia="en-GB"/>
              </w:rPr>
              <w:t>£000</w:t>
            </w:r>
          </w:p>
        </w:tc>
      </w:tr>
      <w:tr w:rsidR="00047307" w:rsidRPr="00047307" w14:paraId="2D6F42CD"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444BC43F" w14:textId="77777777" w:rsidR="00047307" w:rsidRPr="00047307" w:rsidRDefault="00047307" w:rsidP="00047307">
            <w:pPr>
              <w:spacing w:after="0" w:line="240" w:lineRule="auto"/>
              <w:rPr>
                <w:rFonts w:ascii="Calibri" w:eastAsia="Times New Roman" w:hAnsi="Calibri" w:cs="Calibri"/>
                <w:color w:val="000000"/>
                <w:lang w:eastAsia="en-GB"/>
              </w:rPr>
            </w:pPr>
            <w:r w:rsidRPr="00047307">
              <w:rPr>
                <w:rFonts w:ascii="Calibri" w:eastAsia="Times New Roman" w:hAnsi="Calibri" w:cs="Calibri"/>
                <w:color w:val="000000"/>
                <w:lang w:eastAsia="en-GB"/>
              </w:rPr>
              <w:t>Construction Costs</w:t>
            </w:r>
          </w:p>
        </w:tc>
        <w:tc>
          <w:tcPr>
            <w:tcW w:w="960" w:type="dxa"/>
            <w:tcBorders>
              <w:top w:val="nil"/>
              <w:left w:val="nil"/>
              <w:bottom w:val="nil"/>
              <w:right w:val="single" w:sz="8" w:space="0" w:color="A6A6A6"/>
            </w:tcBorders>
            <w:shd w:val="clear" w:color="auto" w:fill="auto"/>
            <w:noWrap/>
            <w:vAlign w:val="bottom"/>
            <w:hideMark/>
          </w:tcPr>
          <w:p w14:paraId="29B47DD4"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63,042</w:t>
            </w:r>
          </w:p>
        </w:tc>
        <w:tc>
          <w:tcPr>
            <w:tcW w:w="1200" w:type="dxa"/>
            <w:tcBorders>
              <w:top w:val="nil"/>
              <w:left w:val="nil"/>
              <w:bottom w:val="nil"/>
              <w:right w:val="single" w:sz="8" w:space="0" w:color="A6A6A6"/>
            </w:tcBorders>
            <w:shd w:val="clear" w:color="auto" w:fill="auto"/>
            <w:noWrap/>
            <w:vAlign w:val="bottom"/>
            <w:hideMark/>
          </w:tcPr>
          <w:p w14:paraId="0C4BF8CC"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70,924</w:t>
            </w:r>
          </w:p>
        </w:tc>
        <w:tc>
          <w:tcPr>
            <w:tcW w:w="1040" w:type="dxa"/>
            <w:tcBorders>
              <w:top w:val="nil"/>
              <w:left w:val="nil"/>
              <w:bottom w:val="nil"/>
              <w:right w:val="single" w:sz="8" w:space="0" w:color="A6A6A6"/>
            </w:tcBorders>
            <w:shd w:val="clear" w:color="auto" w:fill="auto"/>
            <w:noWrap/>
            <w:vAlign w:val="bottom"/>
            <w:hideMark/>
          </w:tcPr>
          <w:p w14:paraId="59946839"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7,882</w:t>
            </w:r>
          </w:p>
        </w:tc>
      </w:tr>
      <w:tr w:rsidR="00047307" w:rsidRPr="00047307" w14:paraId="63CD81B2"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20628220" w14:textId="77777777" w:rsidR="00047307" w:rsidRPr="00047307" w:rsidRDefault="00047307" w:rsidP="00047307">
            <w:pPr>
              <w:spacing w:after="0" w:line="240" w:lineRule="auto"/>
              <w:rPr>
                <w:rFonts w:ascii="Calibri" w:eastAsia="Times New Roman" w:hAnsi="Calibri" w:cs="Calibri"/>
                <w:color w:val="000000"/>
                <w:lang w:eastAsia="en-GB"/>
              </w:rPr>
            </w:pPr>
            <w:r w:rsidRPr="00047307">
              <w:rPr>
                <w:rFonts w:ascii="Calibri" w:eastAsia="Times New Roman" w:hAnsi="Calibri" w:cs="Calibri"/>
                <w:color w:val="000000"/>
                <w:lang w:eastAsia="en-GB"/>
              </w:rPr>
              <w:t>Project Fees</w:t>
            </w:r>
          </w:p>
        </w:tc>
        <w:tc>
          <w:tcPr>
            <w:tcW w:w="960" w:type="dxa"/>
            <w:tcBorders>
              <w:top w:val="nil"/>
              <w:left w:val="nil"/>
              <w:bottom w:val="nil"/>
              <w:right w:val="single" w:sz="8" w:space="0" w:color="A6A6A6"/>
            </w:tcBorders>
            <w:shd w:val="clear" w:color="auto" w:fill="auto"/>
            <w:noWrap/>
            <w:vAlign w:val="bottom"/>
            <w:hideMark/>
          </w:tcPr>
          <w:p w14:paraId="7E26BC52"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9,275</w:t>
            </w:r>
          </w:p>
        </w:tc>
        <w:tc>
          <w:tcPr>
            <w:tcW w:w="1200" w:type="dxa"/>
            <w:tcBorders>
              <w:top w:val="nil"/>
              <w:left w:val="nil"/>
              <w:bottom w:val="nil"/>
              <w:right w:val="single" w:sz="8" w:space="0" w:color="A6A6A6"/>
            </w:tcBorders>
            <w:shd w:val="clear" w:color="auto" w:fill="auto"/>
            <w:noWrap/>
            <w:vAlign w:val="bottom"/>
            <w:hideMark/>
          </w:tcPr>
          <w:p w14:paraId="2F13868F"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8,357</w:t>
            </w:r>
          </w:p>
        </w:tc>
        <w:tc>
          <w:tcPr>
            <w:tcW w:w="1040" w:type="dxa"/>
            <w:tcBorders>
              <w:top w:val="nil"/>
              <w:left w:val="nil"/>
              <w:bottom w:val="nil"/>
              <w:right w:val="single" w:sz="8" w:space="0" w:color="A6A6A6"/>
            </w:tcBorders>
            <w:shd w:val="clear" w:color="auto" w:fill="auto"/>
            <w:noWrap/>
            <w:vAlign w:val="bottom"/>
            <w:hideMark/>
          </w:tcPr>
          <w:p w14:paraId="1B1DDDAA"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-918</w:t>
            </w:r>
          </w:p>
        </w:tc>
      </w:tr>
      <w:tr w:rsidR="00047307" w:rsidRPr="00047307" w14:paraId="034C773E"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5DF579AE" w14:textId="77777777" w:rsidR="00047307" w:rsidRPr="00047307" w:rsidRDefault="00047307" w:rsidP="00047307">
            <w:pPr>
              <w:spacing w:after="0" w:line="240" w:lineRule="auto"/>
              <w:rPr>
                <w:rFonts w:ascii="Calibri" w:eastAsia="Times New Roman" w:hAnsi="Calibri" w:cs="Calibri"/>
                <w:color w:val="000000"/>
                <w:lang w:eastAsia="en-GB"/>
              </w:rPr>
            </w:pPr>
            <w:proofErr w:type="gramStart"/>
            <w:r w:rsidRPr="00047307">
              <w:rPr>
                <w:rFonts w:ascii="Calibri" w:eastAsia="Times New Roman" w:hAnsi="Calibri" w:cs="Calibri"/>
                <w:color w:val="000000"/>
                <w:lang w:eastAsia="en-GB"/>
              </w:rPr>
              <w:t>Non Works</w:t>
            </w:r>
            <w:proofErr w:type="gramEnd"/>
          </w:p>
        </w:tc>
        <w:tc>
          <w:tcPr>
            <w:tcW w:w="960" w:type="dxa"/>
            <w:tcBorders>
              <w:top w:val="nil"/>
              <w:left w:val="nil"/>
              <w:bottom w:val="nil"/>
              <w:right w:val="single" w:sz="8" w:space="0" w:color="A6A6A6"/>
            </w:tcBorders>
            <w:shd w:val="clear" w:color="auto" w:fill="auto"/>
            <w:noWrap/>
            <w:vAlign w:val="bottom"/>
            <w:hideMark/>
          </w:tcPr>
          <w:p w14:paraId="2D49F742"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185</w:t>
            </w:r>
          </w:p>
        </w:tc>
        <w:tc>
          <w:tcPr>
            <w:tcW w:w="1200" w:type="dxa"/>
            <w:tcBorders>
              <w:top w:val="nil"/>
              <w:left w:val="nil"/>
              <w:bottom w:val="nil"/>
              <w:right w:val="single" w:sz="8" w:space="0" w:color="A6A6A6"/>
            </w:tcBorders>
            <w:shd w:val="clear" w:color="auto" w:fill="auto"/>
            <w:noWrap/>
            <w:vAlign w:val="bottom"/>
            <w:hideMark/>
          </w:tcPr>
          <w:p w14:paraId="099F59CD"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185</w:t>
            </w:r>
          </w:p>
        </w:tc>
        <w:tc>
          <w:tcPr>
            <w:tcW w:w="1040" w:type="dxa"/>
            <w:tcBorders>
              <w:top w:val="nil"/>
              <w:left w:val="nil"/>
              <w:bottom w:val="nil"/>
              <w:right w:val="single" w:sz="8" w:space="0" w:color="A6A6A6"/>
            </w:tcBorders>
            <w:shd w:val="clear" w:color="auto" w:fill="auto"/>
            <w:noWrap/>
            <w:vAlign w:val="bottom"/>
            <w:hideMark/>
          </w:tcPr>
          <w:p w14:paraId="4144B124"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0</w:t>
            </w:r>
          </w:p>
        </w:tc>
      </w:tr>
      <w:tr w:rsidR="00047307" w:rsidRPr="00047307" w14:paraId="16E4EBF9"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27872BBD" w14:textId="77777777" w:rsidR="00047307" w:rsidRPr="00047307" w:rsidRDefault="00047307" w:rsidP="00047307">
            <w:pPr>
              <w:spacing w:after="0" w:line="240" w:lineRule="auto"/>
              <w:rPr>
                <w:rFonts w:ascii="Calibri" w:eastAsia="Times New Roman" w:hAnsi="Calibri" w:cs="Calibri"/>
                <w:color w:val="000000"/>
                <w:lang w:eastAsia="en-GB"/>
              </w:rPr>
            </w:pPr>
            <w:r w:rsidRPr="00047307">
              <w:rPr>
                <w:rFonts w:ascii="Calibri" w:eastAsia="Times New Roman" w:hAnsi="Calibri" w:cs="Calibri"/>
                <w:color w:val="000000"/>
                <w:lang w:eastAsia="en-GB"/>
              </w:rPr>
              <w:t>Equipment Costs</w:t>
            </w:r>
          </w:p>
        </w:tc>
        <w:tc>
          <w:tcPr>
            <w:tcW w:w="960" w:type="dxa"/>
            <w:tcBorders>
              <w:top w:val="nil"/>
              <w:left w:val="nil"/>
              <w:bottom w:val="nil"/>
              <w:right w:val="single" w:sz="8" w:space="0" w:color="A6A6A6"/>
            </w:tcBorders>
            <w:shd w:val="clear" w:color="auto" w:fill="auto"/>
            <w:noWrap/>
            <w:vAlign w:val="bottom"/>
            <w:hideMark/>
          </w:tcPr>
          <w:p w14:paraId="07A5BD92"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9,805</w:t>
            </w:r>
          </w:p>
        </w:tc>
        <w:tc>
          <w:tcPr>
            <w:tcW w:w="1200" w:type="dxa"/>
            <w:tcBorders>
              <w:top w:val="nil"/>
              <w:left w:val="nil"/>
              <w:bottom w:val="nil"/>
              <w:right w:val="single" w:sz="8" w:space="0" w:color="A6A6A6"/>
            </w:tcBorders>
            <w:shd w:val="clear" w:color="auto" w:fill="auto"/>
            <w:noWrap/>
            <w:vAlign w:val="bottom"/>
            <w:hideMark/>
          </w:tcPr>
          <w:p w14:paraId="7C662E3A"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9,805</w:t>
            </w:r>
          </w:p>
        </w:tc>
        <w:tc>
          <w:tcPr>
            <w:tcW w:w="1040" w:type="dxa"/>
            <w:tcBorders>
              <w:top w:val="nil"/>
              <w:left w:val="nil"/>
              <w:bottom w:val="nil"/>
              <w:right w:val="single" w:sz="8" w:space="0" w:color="A6A6A6"/>
            </w:tcBorders>
            <w:shd w:val="clear" w:color="auto" w:fill="auto"/>
            <w:noWrap/>
            <w:vAlign w:val="bottom"/>
            <w:hideMark/>
          </w:tcPr>
          <w:p w14:paraId="77085D01"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0</w:t>
            </w:r>
          </w:p>
        </w:tc>
      </w:tr>
      <w:tr w:rsidR="00047307" w:rsidRPr="00047307" w14:paraId="483E861A"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673D65A1" w14:textId="77777777" w:rsidR="00047307" w:rsidRPr="00047307" w:rsidRDefault="00047307" w:rsidP="00047307">
            <w:pPr>
              <w:spacing w:after="0" w:line="240" w:lineRule="auto"/>
              <w:rPr>
                <w:rFonts w:ascii="Calibri" w:eastAsia="Times New Roman" w:hAnsi="Calibri" w:cs="Calibri"/>
                <w:color w:val="000000"/>
                <w:lang w:eastAsia="en-GB"/>
              </w:rPr>
            </w:pPr>
            <w:r w:rsidRPr="00047307">
              <w:rPr>
                <w:rFonts w:ascii="Calibri" w:eastAsia="Times New Roman" w:hAnsi="Calibri" w:cs="Calibri"/>
                <w:color w:val="000000"/>
                <w:lang w:eastAsia="en-GB"/>
              </w:rPr>
              <w:t xml:space="preserve">Planning Contingency </w:t>
            </w:r>
          </w:p>
        </w:tc>
        <w:tc>
          <w:tcPr>
            <w:tcW w:w="960" w:type="dxa"/>
            <w:tcBorders>
              <w:top w:val="nil"/>
              <w:left w:val="nil"/>
              <w:bottom w:val="nil"/>
              <w:right w:val="single" w:sz="8" w:space="0" w:color="A6A6A6"/>
            </w:tcBorders>
            <w:shd w:val="clear" w:color="auto" w:fill="auto"/>
            <w:noWrap/>
            <w:vAlign w:val="bottom"/>
            <w:hideMark/>
          </w:tcPr>
          <w:p w14:paraId="3970B7D7"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9,661</w:t>
            </w:r>
          </w:p>
        </w:tc>
        <w:tc>
          <w:tcPr>
            <w:tcW w:w="1200" w:type="dxa"/>
            <w:tcBorders>
              <w:top w:val="nil"/>
              <w:left w:val="nil"/>
              <w:bottom w:val="nil"/>
              <w:right w:val="single" w:sz="8" w:space="0" w:color="A6A6A6"/>
            </w:tcBorders>
            <w:shd w:val="clear" w:color="auto" w:fill="auto"/>
            <w:noWrap/>
            <w:vAlign w:val="bottom"/>
            <w:hideMark/>
          </w:tcPr>
          <w:p w14:paraId="34499197"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9,800</w:t>
            </w:r>
          </w:p>
        </w:tc>
        <w:tc>
          <w:tcPr>
            <w:tcW w:w="1040" w:type="dxa"/>
            <w:tcBorders>
              <w:top w:val="nil"/>
              <w:left w:val="nil"/>
              <w:bottom w:val="nil"/>
              <w:right w:val="single" w:sz="8" w:space="0" w:color="A6A6A6"/>
            </w:tcBorders>
            <w:shd w:val="clear" w:color="auto" w:fill="auto"/>
            <w:noWrap/>
            <w:vAlign w:val="bottom"/>
            <w:hideMark/>
          </w:tcPr>
          <w:p w14:paraId="05632992"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139</w:t>
            </w:r>
          </w:p>
        </w:tc>
      </w:tr>
      <w:tr w:rsidR="00047307" w:rsidRPr="00047307" w14:paraId="3F434C7D" w14:textId="77777777" w:rsidTr="00047307">
        <w:trPr>
          <w:trHeight w:val="290"/>
        </w:trPr>
        <w:tc>
          <w:tcPr>
            <w:tcW w:w="2940" w:type="dxa"/>
            <w:tcBorders>
              <w:top w:val="nil"/>
              <w:left w:val="single" w:sz="8" w:space="0" w:color="A6A6A6"/>
              <w:bottom w:val="nil"/>
              <w:right w:val="single" w:sz="8" w:space="0" w:color="A6A6A6"/>
            </w:tcBorders>
            <w:shd w:val="clear" w:color="auto" w:fill="auto"/>
            <w:noWrap/>
            <w:vAlign w:val="bottom"/>
            <w:hideMark/>
          </w:tcPr>
          <w:p w14:paraId="21AB78E7" w14:textId="77777777" w:rsidR="00047307" w:rsidRPr="00047307" w:rsidRDefault="00047307" w:rsidP="00047307">
            <w:pPr>
              <w:spacing w:after="0" w:line="240" w:lineRule="auto"/>
              <w:rPr>
                <w:rFonts w:ascii="Calibri" w:eastAsia="Times New Roman" w:hAnsi="Calibri" w:cs="Calibri"/>
                <w:color w:val="000000"/>
                <w:lang w:eastAsia="en-GB"/>
              </w:rPr>
            </w:pPr>
            <w:r w:rsidRPr="00047307">
              <w:rPr>
                <w:rFonts w:ascii="Calibri" w:eastAsia="Times New Roman" w:hAnsi="Calibri" w:cs="Calibri"/>
                <w:color w:val="000000"/>
                <w:lang w:eastAsia="en-GB"/>
              </w:rPr>
              <w:t xml:space="preserve">Inflation </w:t>
            </w:r>
          </w:p>
        </w:tc>
        <w:tc>
          <w:tcPr>
            <w:tcW w:w="960" w:type="dxa"/>
            <w:tcBorders>
              <w:top w:val="nil"/>
              <w:left w:val="nil"/>
              <w:bottom w:val="nil"/>
              <w:right w:val="single" w:sz="8" w:space="0" w:color="A6A6A6"/>
            </w:tcBorders>
            <w:shd w:val="clear" w:color="auto" w:fill="auto"/>
            <w:noWrap/>
            <w:vAlign w:val="bottom"/>
            <w:hideMark/>
          </w:tcPr>
          <w:p w14:paraId="4A49E725"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4,738</w:t>
            </w:r>
          </w:p>
        </w:tc>
        <w:tc>
          <w:tcPr>
            <w:tcW w:w="1200" w:type="dxa"/>
            <w:tcBorders>
              <w:top w:val="nil"/>
              <w:left w:val="nil"/>
              <w:bottom w:val="nil"/>
              <w:right w:val="single" w:sz="8" w:space="0" w:color="A6A6A6"/>
            </w:tcBorders>
            <w:shd w:val="clear" w:color="auto" w:fill="auto"/>
            <w:noWrap/>
            <w:vAlign w:val="bottom"/>
            <w:hideMark/>
          </w:tcPr>
          <w:p w14:paraId="10355D3F"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5,104</w:t>
            </w:r>
          </w:p>
        </w:tc>
        <w:tc>
          <w:tcPr>
            <w:tcW w:w="1040" w:type="dxa"/>
            <w:tcBorders>
              <w:top w:val="nil"/>
              <w:left w:val="nil"/>
              <w:bottom w:val="nil"/>
              <w:right w:val="single" w:sz="8" w:space="0" w:color="A6A6A6"/>
            </w:tcBorders>
            <w:shd w:val="clear" w:color="auto" w:fill="auto"/>
            <w:noWrap/>
            <w:vAlign w:val="bottom"/>
            <w:hideMark/>
          </w:tcPr>
          <w:p w14:paraId="6A46F574" w14:textId="77777777" w:rsidR="00047307" w:rsidRPr="00047307" w:rsidRDefault="00047307" w:rsidP="00047307">
            <w:pPr>
              <w:spacing w:after="0" w:line="240" w:lineRule="auto"/>
              <w:jc w:val="right"/>
              <w:rPr>
                <w:rFonts w:ascii="Calibri" w:eastAsia="Times New Roman" w:hAnsi="Calibri" w:cs="Calibri"/>
                <w:color w:val="000000"/>
                <w:lang w:eastAsia="en-GB"/>
              </w:rPr>
            </w:pPr>
            <w:r w:rsidRPr="00047307">
              <w:rPr>
                <w:rFonts w:ascii="Calibri" w:eastAsia="Times New Roman" w:hAnsi="Calibri" w:cs="Calibri"/>
                <w:color w:val="000000"/>
                <w:lang w:eastAsia="en-GB"/>
              </w:rPr>
              <w:t>367</w:t>
            </w:r>
          </w:p>
        </w:tc>
      </w:tr>
      <w:tr w:rsidR="00047307" w:rsidRPr="00047307" w14:paraId="07ADD703" w14:textId="77777777" w:rsidTr="00047307">
        <w:trPr>
          <w:trHeight w:val="300"/>
        </w:trPr>
        <w:tc>
          <w:tcPr>
            <w:tcW w:w="2940" w:type="dxa"/>
            <w:tcBorders>
              <w:top w:val="nil"/>
              <w:left w:val="single" w:sz="8" w:space="0" w:color="A6A6A6"/>
              <w:bottom w:val="single" w:sz="8" w:space="0" w:color="A6A6A6"/>
              <w:right w:val="single" w:sz="8" w:space="0" w:color="A6A6A6"/>
            </w:tcBorders>
            <w:shd w:val="clear" w:color="000000" w:fill="D9F0FA"/>
            <w:vAlign w:val="center"/>
            <w:hideMark/>
          </w:tcPr>
          <w:p w14:paraId="13DA4017" w14:textId="77777777" w:rsidR="00047307" w:rsidRPr="00047307" w:rsidRDefault="00047307" w:rsidP="00047307">
            <w:pPr>
              <w:spacing w:after="0" w:line="240" w:lineRule="auto"/>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Subtotal</w:t>
            </w:r>
          </w:p>
        </w:tc>
        <w:tc>
          <w:tcPr>
            <w:tcW w:w="960" w:type="dxa"/>
            <w:tcBorders>
              <w:top w:val="nil"/>
              <w:left w:val="nil"/>
              <w:bottom w:val="single" w:sz="8" w:space="0" w:color="A6A6A6"/>
              <w:right w:val="single" w:sz="8" w:space="0" w:color="A6A6A6"/>
            </w:tcBorders>
            <w:shd w:val="clear" w:color="000000" w:fill="D9F0FA"/>
            <w:vAlign w:val="center"/>
            <w:hideMark/>
          </w:tcPr>
          <w:p w14:paraId="36D95C51"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96,705</w:t>
            </w:r>
          </w:p>
        </w:tc>
        <w:tc>
          <w:tcPr>
            <w:tcW w:w="1200" w:type="dxa"/>
            <w:tcBorders>
              <w:top w:val="nil"/>
              <w:left w:val="nil"/>
              <w:bottom w:val="single" w:sz="8" w:space="0" w:color="A6A6A6"/>
              <w:right w:val="single" w:sz="8" w:space="0" w:color="A6A6A6"/>
            </w:tcBorders>
            <w:shd w:val="clear" w:color="000000" w:fill="D9F0FA"/>
            <w:vAlign w:val="center"/>
            <w:hideMark/>
          </w:tcPr>
          <w:p w14:paraId="4BB75E7A"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104,175</w:t>
            </w:r>
          </w:p>
        </w:tc>
        <w:tc>
          <w:tcPr>
            <w:tcW w:w="1040" w:type="dxa"/>
            <w:tcBorders>
              <w:top w:val="nil"/>
              <w:left w:val="nil"/>
              <w:bottom w:val="single" w:sz="8" w:space="0" w:color="A6A6A6"/>
              <w:right w:val="single" w:sz="8" w:space="0" w:color="A6A6A6"/>
            </w:tcBorders>
            <w:shd w:val="clear" w:color="000000" w:fill="D9F0FA"/>
            <w:vAlign w:val="center"/>
            <w:hideMark/>
          </w:tcPr>
          <w:p w14:paraId="54B039FF"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7,470</w:t>
            </w:r>
          </w:p>
        </w:tc>
      </w:tr>
      <w:tr w:rsidR="00047307" w:rsidRPr="00047307" w14:paraId="76A6870E" w14:textId="77777777" w:rsidTr="00047307">
        <w:trPr>
          <w:trHeight w:val="300"/>
        </w:trPr>
        <w:tc>
          <w:tcPr>
            <w:tcW w:w="2940" w:type="dxa"/>
            <w:tcBorders>
              <w:top w:val="nil"/>
              <w:left w:val="single" w:sz="8" w:space="0" w:color="A6A6A6"/>
              <w:bottom w:val="single" w:sz="8" w:space="0" w:color="A6A6A6"/>
              <w:right w:val="single" w:sz="8" w:space="0" w:color="A6A6A6"/>
            </w:tcBorders>
            <w:shd w:val="clear" w:color="000000" w:fill="D9F0FA"/>
            <w:vAlign w:val="center"/>
            <w:hideMark/>
          </w:tcPr>
          <w:p w14:paraId="331E4CBB" w14:textId="77777777" w:rsidR="00047307" w:rsidRPr="00047307" w:rsidRDefault="00047307" w:rsidP="00047307">
            <w:pPr>
              <w:spacing w:after="0" w:line="240" w:lineRule="auto"/>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VAT</w:t>
            </w:r>
          </w:p>
        </w:tc>
        <w:tc>
          <w:tcPr>
            <w:tcW w:w="960" w:type="dxa"/>
            <w:tcBorders>
              <w:top w:val="nil"/>
              <w:left w:val="nil"/>
              <w:bottom w:val="single" w:sz="8" w:space="0" w:color="A6A6A6"/>
              <w:right w:val="single" w:sz="8" w:space="0" w:color="A6A6A6"/>
            </w:tcBorders>
            <w:shd w:val="clear" w:color="000000" w:fill="D9F0FA"/>
            <w:vAlign w:val="center"/>
            <w:hideMark/>
          </w:tcPr>
          <w:p w14:paraId="2C727614" w14:textId="77777777" w:rsidR="00047307" w:rsidRPr="00047307" w:rsidRDefault="00047307" w:rsidP="00047307">
            <w:pPr>
              <w:spacing w:after="0" w:line="240" w:lineRule="auto"/>
              <w:jc w:val="right"/>
              <w:rPr>
                <w:rFonts w:ascii="Arial" w:eastAsia="Times New Roman" w:hAnsi="Arial" w:cs="Arial"/>
                <w:color w:val="000000"/>
                <w:sz w:val="18"/>
                <w:szCs w:val="18"/>
                <w:lang w:eastAsia="en-GB"/>
              </w:rPr>
            </w:pPr>
            <w:r w:rsidRPr="00047307">
              <w:rPr>
                <w:rFonts w:ascii="Arial" w:eastAsia="Times New Roman" w:hAnsi="Arial" w:cs="Arial"/>
                <w:color w:val="000000"/>
                <w:sz w:val="18"/>
                <w:szCs w:val="18"/>
                <w:lang w:eastAsia="en-GB"/>
              </w:rPr>
              <w:t>17,586</w:t>
            </w:r>
          </w:p>
        </w:tc>
        <w:tc>
          <w:tcPr>
            <w:tcW w:w="1200" w:type="dxa"/>
            <w:tcBorders>
              <w:top w:val="nil"/>
              <w:left w:val="nil"/>
              <w:bottom w:val="single" w:sz="8" w:space="0" w:color="A6A6A6"/>
              <w:right w:val="single" w:sz="8" w:space="0" w:color="A6A6A6"/>
            </w:tcBorders>
            <w:shd w:val="clear" w:color="000000" w:fill="D9F0FA"/>
            <w:vAlign w:val="center"/>
            <w:hideMark/>
          </w:tcPr>
          <w:p w14:paraId="3E28B66E" w14:textId="77777777" w:rsidR="00047307" w:rsidRPr="00047307" w:rsidRDefault="00047307" w:rsidP="00047307">
            <w:pPr>
              <w:spacing w:after="0" w:line="240" w:lineRule="auto"/>
              <w:jc w:val="right"/>
              <w:rPr>
                <w:rFonts w:ascii="Arial" w:eastAsia="Times New Roman" w:hAnsi="Arial" w:cs="Arial"/>
                <w:color w:val="000000"/>
                <w:sz w:val="18"/>
                <w:szCs w:val="18"/>
                <w:lang w:eastAsia="en-GB"/>
              </w:rPr>
            </w:pPr>
            <w:r w:rsidRPr="00047307">
              <w:rPr>
                <w:rFonts w:ascii="Arial" w:eastAsia="Times New Roman" w:hAnsi="Arial" w:cs="Arial"/>
                <w:color w:val="000000"/>
                <w:sz w:val="18"/>
                <w:szCs w:val="18"/>
                <w:lang w:eastAsia="en-GB"/>
              </w:rPr>
              <w:t>19,454</w:t>
            </w:r>
          </w:p>
        </w:tc>
        <w:tc>
          <w:tcPr>
            <w:tcW w:w="1040" w:type="dxa"/>
            <w:tcBorders>
              <w:top w:val="nil"/>
              <w:left w:val="nil"/>
              <w:bottom w:val="single" w:sz="8" w:space="0" w:color="A6A6A6"/>
              <w:right w:val="single" w:sz="8" w:space="0" w:color="A6A6A6"/>
            </w:tcBorders>
            <w:shd w:val="clear" w:color="000000" w:fill="D9F0FA"/>
            <w:vAlign w:val="center"/>
            <w:hideMark/>
          </w:tcPr>
          <w:p w14:paraId="3AEB79A5" w14:textId="77777777" w:rsidR="00047307" w:rsidRPr="00047307" w:rsidRDefault="00047307" w:rsidP="00047307">
            <w:pPr>
              <w:spacing w:after="0" w:line="240" w:lineRule="auto"/>
              <w:jc w:val="right"/>
              <w:rPr>
                <w:rFonts w:ascii="Arial" w:eastAsia="Times New Roman" w:hAnsi="Arial" w:cs="Arial"/>
                <w:color w:val="000000"/>
                <w:sz w:val="18"/>
                <w:szCs w:val="18"/>
                <w:lang w:eastAsia="en-GB"/>
              </w:rPr>
            </w:pPr>
            <w:r w:rsidRPr="00047307">
              <w:rPr>
                <w:rFonts w:ascii="Arial" w:eastAsia="Times New Roman" w:hAnsi="Arial" w:cs="Arial"/>
                <w:color w:val="000000"/>
                <w:sz w:val="18"/>
                <w:szCs w:val="18"/>
                <w:lang w:eastAsia="en-GB"/>
              </w:rPr>
              <w:t>1,868</w:t>
            </w:r>
          </w:p>
        </w:tc>
      </w:tr>
      <w:tr w:rsidR="00047307" w:rsidRPr="00047307" w14:paraId="32510D47" w14:textId="77777777" w:rsidTr="00047307">
        <w:trPr>
          <w:trHeight w:val="300"/>
        </w:trPr>
        <w:tc>
          <w:tcPr>
            <w:tcW w:w="2940" w:type="dxa"/>
            <w:tcBorders>
              <w:top w:val="nil"/>
              <w:left w:val="single" w:sz="8" w:space="0" w:color="A6A6A6"/>
              <w:bottom w:val="single" w:sz="8" w:space="0" w:color="A6A6A6"/>
              <w:right w:val="single" w:sz="8" w:space="0" w:color="A6A6A6"/>
            </w:tcBorders>
            <w:shd w:val="clear" w:color="000000" w:fill="F2F2F2"/>
            <w:vAlign w:val="center"/>
            <w:hideMark/>
          </w:tcPr>
          <w:p w14:paraId="6D98154D" w14:textId="77777777" w:rsidR="00047307" w:rsidRPr="00047307" w:rsidRDefault="00047307" w:rsidP="00047307">
            <w:pPr>
              <w:spacing w:after="0" w:line="240" w:lineRule="auto"/>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Total capital costs</w:t>
            </w:r>
          </w:p>
        </w:tc>
        <w:tc>
          <w:tcPr>
            <w:tcW w:w="960" w:type="dxa"/>
            <w:tcBorders>
              <w:top w:val="nil"/>
              <w:left w:val="nil"/>
              <w:bottom w:val="single" w:sz="8" w:space="0" w:color="A6A6A6"/>
              <w:right w:val="single" w:sz="8" w:space="0" w:color="A6A6A6"/>
            </w:tcBorders>
            <w:shd w:val="clear" w:color="000000" w:fill="F2F2F2"/>
            <w:vAlign w:val="center"/>
            <w:hideMark/>
          </w:tcPr>
          <w:p w14:paraId="7E76167E"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114,291</w:t>
            </w:r>
          </w:p>
        </w:tc>
        <w:tc>
          <w:tcPr>
            <w:tcW w:w="1200" w:type="dxa"/>
            <w:tcBorders>
              <w:top w:val="nil"/>
              <w:left w:val="nil"/>
              <w:bottom w:val="single" w:sz="8" w:space="0" w:color="A6A6A6"/>
              <w:right w:val="single" w:sz="8" w:space="0" w:color="A6A6A6"/>
            </w:tcBorders>
            <w:shd w:val="clear" w:color="000000" w:fill="F2F2F2"/>
            <w:vAlign w:val="center"/>
            <w:hideMark/>
          </w:tcPr>
          <w:p w14:paraId="1349D2CB"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123,630</w:t>
            </w:r>
          </w:p>
        </w:tc>
        <w:tc>
          <w:tcPr>
            <w:tcW w:w="1040" w:type="dxa"/>
            <w:tcBorders>
              <w:top w:val="nil"/>
              <w:left w:val="nil"/>
              <w:bottom w:val="single" w:sz="8" w:space="0" w:color="A6A6A6"/>
              <w:right w:val="single" w:sz="8" w:space="0" w:color="A6A6A6"/>
            </w:tcBorders>
            <w:shd w:val="clear" w:color="000000" w:fill="F2F2F2"/>
            <w:vAlign w:val="center"/>
            <w:hideMark/>
          </w:tcPr>
          <w:p w14:paraId="12286255" w14:textId="77777777" w:rsidR="00047307" w:rsidRPr="00047307" w:rsidRDefault="00047307" w:rsidP="00047307">
            <w:pPr>
              <w:spacing w:after="0" w:line="240" w:lineRule="auto"/>
              <w:jc w:val="right"/>
              <w:rPr>
                <w:rFonts w:ascii="Arial" w:eastAsia="Times New Roman" w:hAnsi="Arial" w:cs="Arial"/>
                <w:b/>
                <w:bCs/>
                <w:color w:val="000000"/>
                <w:sz w:val="18"/>
                <w:szCs w:val="18"/>
                <w:lang w:eastAsia="en-GB"/>
              </w:rPr>
            </w:pPr>
            <w:r w:rsidRPr="00047307">
              <w:rPr>
                <w:rFonts w:ascii="Arial" w:eastAsia="Times New Roman" w:hAnsi="Arial" w:cs="Arial"/>
                <w:b/>
                <w:bCs/>
                <w:color w:val="000000"/>
                <w:sz w:val="18"/>
                <w:szCs w:val="18"/>
                <w:lang w:eastAsia="en-GB"/>
              </w:rPr>
              <w:t>9,338</w:t>
            </w:r>
          </w:p>
        </w:tc>
      </w:tr>
    </w:tbl>
    <w:p w14:paraId="4C255222" w14:textId="3F76ACBE" w:rsidR="00047307" w:rsidRDefault="00047307">
      <w:pPr>
        <w:rPr>
          <w:rFonts w:ascii="Arial" w:hAnsi="Arial" w:cs="Arial"/>
          <w:i/>
          <w:iCs/>
          <w:sz w:val="18"/>
          <w:szCs w:val="18"/>
        </w:rPr>
      </w:pPr>
    </w:p>
    <w:p w14:paraId="46CDD60E" w14:textId="1CD2ED95" w:rsidR="00047307" w:rsidRDefault="00047307">
      <w:pPr>
        <w:rPr>
          <w:rFonts w:ascii="Arial" w:hAnsi="Arial" w:cs="Arial"/>
          <w:i/>
          <w:iCs/>
          <w:sz w:val="18"/>
          <w:szCs w:val="18"/>
        </w:rPr>
      </w:pPr>
      <w:r>
        <w:rPr>
          <w:rFonts w:ascii="Arial" w:hAnsi="Arial" w:cs="Arial"/>
          <w:i/>
          <w:iCs/>
          <w:sz w:val="18"/>
          <w:szCs w:val="18"/>
        </w:rPr>
        <w:t>Table 2 Revised Capital Cost and Funding Profile</w:t>
      </w:r>
    </w:p>
    <w:p w14:paraId="62F1391B" w14:textId="7EB04A15" w:rsidR="00047307" w:rsidRDefault="00047307">
      <w:pPr>
        <w:rPr>
          <w:rFonts w:ascii="Arial" w:hAnsi="Arial" w:cs="Arial"/>
          <w:i/>
          <w:iCs/>
          <w:sz w:val="18"/>
          <w:szCs w:val="18"/>
        </w:rPr>
      </w:pPr>
      <w:r w:rsidRPr="00047307">
        <w:rPr>
          <w:noProof/>
        </w:rPr>
        <w:lastRenderedPageBreak/>
        <w:drawing>
          <wp:inline distT="0" distB="0" distL="0" distR="0" wp14:anchorId="4D7E66D7" wp14:editId="21A7695E">
            <wp:extent cx="5480050" cy="323850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80050" cy="3238500"/>
                    </a:xfrm>
                    <a:prstGeom prst="rect">
                      <a:avLst/>
                    </a:prstGeom>
                    <a:noFill/>
                    <a:ln>
                      <a:noFill/>
                    </a:ln>
                  </pic:spPr>
                </pic:pic>
              </a:graphicData>
            </a:graphic>
          </wp:inline>
        </w:drawing>
      </w:r>
    </w:p>
    <w:p w14:paraId="4C1714B8" w14:textId="2C82B1E2" w:rsidR="00EF20B9" w:rsidRDefault="00EF20B9">
      <w:pPr>
        <w:rPr>
          <w:rFonts w:ascii="Arial" w:hAnsi="Arial" w:cs="Arial"/>
          <w:i/>
          <w:iCs/>
          <w:sz w:val="18"/>
          <w:szCs w:val="18"/>
        </w:rPr>
      </w:pPr>
    </w:p>
    <w:p w14:paraId="2CEEF92E" w14:textId="780DAB70" w:rsidR="00EF20B9" w:rsidRDefault="00EF20B9">
      <w:pPr>
        <w:rPr>
          <w:rFonts w:ascii="Arial" w:hAnsi="Arial" w:cs="Arial"/>
        </w:rPr>
      </w:pPr>
      <w:r>
        <w:rPr>
          <w:rFonts w:ascii="Arial" w:hAnsi="Arial" w:cs="Arial"/>
        </w:rPr>
        <w:t>Total capital costs are now forecast to be £123.6M, with £1.93M funded to date, this leaves a funding requirement of £121.7M from OBC approval.</w:t>
      </w:r>
    </w:p>
    <w:p w14:paraId="3F76E39F" w14:textId="0F8F1287" w:rsidR="00EF20B9" w:rsidRDefault="00EF20B9">
      <w:pPr>
        <w:rPr>
          <w:rFonts w:ascii="Arial" w:hAnsi="Arial" w:cs="Arial"/>
        </w:rPr>
      </w:pPr>
      <w:r>
        <w:rPr>
          <w:rFonts w:ascii="Arial" w:hAnsi="Arial" w:cs="Arial"/>
        </w:rPr>
        <w:t xml:space="preserve">The funding requirement to proceed to FBC approval stage remains unchanged at £1.669M, £0.71M is required in 25/26 with the balance required in 2026/27. </w:t>
      </w:r>
    </w:p>
    <w:p w14:paraId="7EC68388" w14:textId="10F99681" w:rsidR="00EF20B9" w:rsidRDefault="00EF20B9">
      <w:pPr>
        <w:rPr>
          <w:rFonts w:ascii="Arial" w:hAnsi="Arial" w:cs="Arial"/>
        </w:rPr>
      </w:pPr>
      <w:r>
        <w:rPr>
          <w:rFonts w:ascii="Arial" w:hAnsi="Arial" w:cs="Arial"/>
          <w:u w:val="single"/>
        </w:rPr>
        <w:t xml:space="preserve">Revenue Impacts </w:t>
      </w:r>
      <w:proofErr w:type="gramStart"/>
      <w:r>
        <w:rPr>
          <w:rFonts w:ascii="Arial" w:hAnsi="Arial" w:cs="Arial"/>
          <w:u w:val="single"/>
        </w:rPr>
        <w:t>From</w:t>
      </w:r>
      <w:proofErr w:type="gramEnd"/>
      <w:r>
        <w:rPr>
          <w:rFonts w:ascii="Arial" w:hAnsi="Arial" w:cs="Arial"/>
          <w:u w:val="single"/>
        </w:rPr>
        <w:t xml:space="preserve"> the Change in Capital Cost</w:t>
      </w:r>
    </w:p>
    <w:p w14:paraId="520F81EB" w14:textId="59A70FCC" w:rsidR="00EF20B9" w:rsidRDefault="00EF20B9">
      <w:pPr>
        <w:rPr>
          <w:rFonts w:ascii="Arial" w:hAnsi="Arial" w:cs="Arial"/>
        </w:rPr>
      </w:pPr>
      <w:r>
        <w:rPr>
          <w:rFonts w:ascii="Arial" w:hAnsi="Arial" w:cs="Arial"/>
        </w:rPr>
        <w:t xml:space="preserve">The only impacts on the revenue position from the changes to the capital cost are to both impairment and depreciation costs.  </w:t>
      </w:r>
    </w:p>
    <w:p w14:paraId="7915E829" w14:textId="1D929F8A" w:rsidR="00EF20B9" w:rsidRDefault="00EF20B9">
      <w:pPr>
        <w:rPr>
          <w:rFonts w:ascii="Arial" w:hAnsi="Arial" w:cs="Arial"/>
        </w:rPr>
      </w:pPr>
      <w:r>
        <w:rPr>
          <w:rFonts w:ascii="Arial" w:hAnsi="Arial" w:cs="Arial"/>
        </w:rPr>
        <w:t>Annual recurrent depreciation has increased from £3.004M to £3.160M, as WG DEL funding will be applied for the cover the total depreciation cost this does not impact on the revenue funding position.</w:t>
      </w:r>
    </w:p>
    <w:p w14:paraId="1CFF3FE3" w14:textId="11B1191E" w:rsidR="00EF20B9" w:rsidRDefault="00EF20B9">
      <w:pPr>
        <w:rPr>
          <w:rFonts w:ascii="Arial" w:hAnsi="Arial" w:cs="Arial"/>
        </w:rPr>
      </w:pPr>
      <w:r>
        <w:rPr>
          <w:rFonts w:ascii="Arial" w:hAnsi="Arial" w:cs="Arial"/>
        </w:rPr>
        <w:t>AME impairment on bringing the asset into use has increased to £84,5M and cover for this will be applied for in the year that the asset comes into use in 2028/29.</w:t>
      </w:r>
    </w:p>
    <w:p w14:paraId="521D4F51" w14:textId="2AFBDE93" w:rsidR="00EF20B9" w:rsidRDefault="00EF20B9">
      <w:pPr>
        <w:rPr>
          <w:rFonts w:ascii="Arial" w:hAnsi="Arial" w:cs="Arial"/>
        </w:rPr>
      </w:pPr>
      <w:proofErr w:type="gramStart"/>
      <w:r>
        <w:rPr>
          <w:rFonts w:ascii="Arial" w:hAnsi="Arial" w:cs="Arial"/>
        </w:rPr>
        <w:t>Therefore</w:t>
      </w:r>
      <w:proofErr w:type="gramEnd"/>
      <w:r>
        <w:rPr>
          <w:rFonts w:ascii="Arial" w:hAnsi="Arial" w:cs="Arial"/>
        </w:rPr>
        <w:t xml:space="preserve"> the revenue costs and value for money position remains unchanged.  </w:t>
      </w:r>
    </w:p>
    <w:p w14:paraId="1B967FAD" w14:textId="7151D52D" w:rsidR="00EF20B9" w:rsidRDefault="00EF20B9">
      <w:pPr>
        <w:rPr>
          <w:rFonts w:ascii="Arial" w:hAnsi="Arial" w:cs="Arial"/>
        </w:rPr>
      </w:pPr>
      <w:r>
        <w:rPr>
          <w:rFonts w:ascii="Arial" w:hAnsi="Arial" w:cs="Arial"/>
          <w:u w:val="single"/>
        </w:rPr>
        <w:t xml:space="preserve">Impact on the Economic Appraisal </w:t>
      </w:r>
    </w:p>
    <w:p w14:paraId="6B6C1342" w14:textId="5A8F63A5" w:rsidR="00EF20B9" w:rsidRDefault="007F72D9">
      <w:pPr>
        <w:rPr>
          <w:rFonts w:ascii="Arial" w:hAnsi="Arial" w:cs="Arial"/>
        </w:rPr>
      </w:pPr>
      <w:r>
        <w:rPr>
          <w:rFonts w:ascii="Arial" w:hAnsi="Arial" w:cs="Arial"/>
        </w:rPr>
        <w:t xml:space="preserve">The impact of the changed capital cost on </w:t>
      </w:r>
      <w:proofErr w:type="gramStart"/>
      <w:r>
        <w:rPr>
          <w:rFonts w:ascii="Arial" w:hAnsi="Arial" w:cs="Arial"/>
        </w:rPr>
        <w:t xml:space="preserve">the </w:t>
      </w:r>
      <w:r w:rsidR="00EF20B9">
        <w:rPr>
          <w:rFonts w:ascii="Arial" w:hAnsi="Arial" w:cs="Arial"/>
        </w:rPr>
        <w:t xml:space="preserve"> economic</w:t>
      </w:r>
      <w:proofErr w:type="gramEnd"/>
      <w:r w:rsidR="00EF20B9">
        <w:rPr>
          <w:rFonts w:ascii="Arial" w:hAnsi="Arial" w:cs="Arial"/>
        </w:rPr>
        <w:t xml:space="preserve"> appraisal </w:t>
      </w:r>
      <w:r>
        <w:rPr>
          <w:rFonts w:ascii="Arial" w:hAnsi="Arial" w:cs="Arial"/>
        </w:rPr>
        <w:t>is minimal.</w:t>
      </w:r>
    </w:p>
    <w:p w14:paraId="45AF23D6" w14:textId="77777777" w:rsidR="007F72D9" w:rsidRPr="007F72D9" w:rsidRDefault="00EF20B9">
      <w:pPr>
        <w:rPr>
          <w:rFonts w:ascii="Arial" w:hAnsi="Arial" w:cs="Arial"/>
        </w:rPr>
      </w:pPr>
      <w:r>
        <w:rPr>
          <w:rFonts w:ascii="Arial" w:hAnsi="Arial" w:cs="Arial"/>
        </w:rPr>
        <w:t xml:space="preserve">As a </w:t>
      </w:r>
      <w:proofErr w:type="gramStart"/>
      <w:r>
        <w:rPr>
          <w:rFonts w:ascii="Arial" w:hAnsi="Arial" w:cs="Arial"/>
        </w:rPr>
        <w:t>result</w:t>
      </w:r>
      <w:proofErr w:type="gramEnd"/>
      <w:r>
        <w:rPr>
          <w:rFonts w:ascii="Arial" w:hAnsi="Arial" w:cs="Arial"/>
        </w:rPr>
        <w:t xml:space="preserve"> the revised</w:t>
      </w:r>
      <w:r w:rsidR="007F72D9">
        <w:rPr>
          <w:rFonts w:ascii="Arial" w:hAnsi="Arial" w:cs="Arial"/>
        </w:rPr>
        <w:t xml:space="preserve"> capital cost, the outcome of the economic appraisal has not materially changed.  The preferred option requires</w:t>
      </w:r>
      <w:r w:rsidR="007F72D9" w:rsidRPr="007F72D9">
        <w:rPr>
          <w:rFonts w:ascii="Arial" w:hAnsi="Arial" w:cs="Arial"/>
        </w:rPr>
        <w:t xml:space="preserve"> capital investment of £123.6m (including VAT) and ongoing revenue costs of £36.8m p.a. (excluding depreciation), </w:t>
      </w:r>
      <w:r w:rsidR="007F72D9" w:rsidRPr="007F72D9">
        <w:rPr>
          <w:rFonts w:ascii="Arial" w:hAnsi="Arial" w:cs="Arial"/>
        </w:rPr>
        <w:t xml:space="preserve">and </w:t>
      </w:r>
      <w:r w:rsidR="007F72D9" w:rsidRPr="007F72D9">
        <w:rPr>
          <w:rFonts w:ascii="Arial" w:hAnsi="Arial" w:cs="Arial"/>
        </w:rPr>
        <w:t>based on estimated costs and benefits, it is anticipated that phase 2 of the LHP will deliver an incremental Net Present Social Value (NPSV) of £500.7m and a Benefit Cost Ratio (BCR) of 1.54. This represents £1.54 of incremental benefit delivered for every £1.00 of incremental whole life cost</w:t>
      </w:r>
      <w:r w:rsidR="007F72D9" w:rsidRPr="007F72D9">
        <w:rPr>
          <w:rFonts w:ascii="Arial" w:hAnsi="Arial" w:cs="Arial"/>
        </w:rPr>
        <w:t xml:space="preserve">.  </w:t>
      </w:r>
    </w:p>
    <w:p w14:paraId="37985A43" w14:textId="52BD5D3F" w:rsidR="00EF20B9" w:rsidRDefault="00EF20B9">
      <w:pPr>
        <w:rPr>
          <w:rFonts w:ascii="Arial" w:hAnsi="Arial" w:cs="Arial"/>
        </w:rPr>
      </w:pPr>
      <w:r>
        <w:rPr>
          <w:rFonts w:ascii="Arial" w:hAnsi="Arial" w:cs="Arial"/>
          <w:u w:val="single"/>
        </w:rPr>
        <w:t xml:space="preserve">Conclusion and Next Steps </w:t>
      </w:r>
    </w:p>
    <w:p w14:paraId="3C57BB99" w14:textId="18D8DF67" w:rsidR="00EF20B9" w:rsidRDefault="00EF20B9">
      <w:pPr>
        <w:rPr>
          <w:rFonts w:ascii="Arial" w:hAnsi="Arial" w:cs="Arial"/>
        </w:rPr>
      </w:pPr>
      <w:r>
        <w:rPr>
          <w:rFonts w:ascii="Arial" w:hAnsi="Arial" w:cs="Arial"/>
        </w:rPr>
        <w:lastRenderedPageBreak/>
        <w:t>A revised OBC containing the capital not to exceed figure has been circulated</w:t>
      </w:r>
      <w:r w:rsidR="0010516E">
        <w:rPr>
          <w:rFonts w:ascii="Arial" w:hAnsi="Arial" w:cs="Arial"/>
        </w:rPr>
        <w:t>. This OBC will be included in Board papers with the Board requested to approve as a not to exceed figure.</w:t>
      </w:r>
    </w:p>
    <w:p w14:paraId="49E701DD" w14:textId="52FF24FE" w:rsidR="0010516E" w:rsidRPr="00EF20B9" w:rsidRDefault="0010516E">
      <w:pPr>
        <w:rPr>
          <w:rFonts w:ascii="Arial" w:hAnsi="Arial" w:cs="Arial"/>
        </w:rPr>
      </w:pPr>
      <w:r>
        <w:rPr>
          <w:rFonts w:ascii="Arial" w:hAnsi="Arial" w:cs="Arial"/>
        </w:rPr>
        <w:t xml:space="preserve">Any capital cost adjustments required following circulation of the Board papers will be verified and included in an updated cost in the OBC submitted to WG </w:t>
      </w:r>
      <w:proofErr w:type="gramStart"/>
      <w:r>
        <w:rPr>
          <w:rFonts w:ascii="Arial" w:hAnsi="Arial" w:cs="Arial"/>
        </w:rPr>
        <w:t>as long as</w:t>
      </w:r>
      <w:proofErr w:type="gramEnd"/>
      <w:r>
        <w:rPr>
          <w:rFonts w:ascii="Arial" w:hAnsi="Arial" w:cs="Arial"/>
        </w:rPr>
        <w:t xml:space="preserve"> they do not exceed the figure contained in the latest amended OBC.</w:t>
      </w:r>
    </w:p>
    <w:sectPr w:rsidR="0010516E" w:rsidRPr="00EF20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86E"/>
    <w:rsid w:val="00047307"/>
    <w:rsid w:val="0010516E"/>
    <w:rsid w:val="001632DE"/>
    <w:rsid w:val="007A7A51"/>
    <w:rsid w:val="007F72D9"/>
    <w:rsid w:val="008B04E9"/>
    <w:rsid w:val="00EF20B9"/>
    <w:rsid w:val="00F26885"/>
    <w:rsid w:val="00FA28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3997E3"/>
  <w15:chartTrackingRefBased/>
  <w15:docId w15:val="{E4B8578C-6573-4A3A-9372-15BC146E8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203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D405D13B-9B76-40FE-965A-968D94AB047D}"/>
</file>

<file path=customXml/itemProps2.xml><?xml version="1.0" encoding="utf-8"?>
<ds:datastoreItem xmlns:ds="http://schemas.openxmlformats.org/officeDocument/2006/customXml" ds:itemID="{98964A7F-131C-4483-A613-7AC40EB9A35F}"/>
</file>

<file path=customXml/itemProps3.xml><?xml version="1.0" encoding="utf-8"?>
<ds:datastoreItem xmlns:ds="http://schemas.openxmlformats.org/officeDocument/2006/customXml" ds:itemID="{03D2FC01-08E8-40FC-BF0B-E68648DE42BE}"/>
</file>

<file path=docProps/app.xml><?xml version="1.0" encoding="utf-8"?>
<Properties xmlns="http://schemas.openxmlformats.org/officeDocument/2006/extended-properties" xmlns:vt="http://schemas.openxmlformats.org/officeDocument/2006/docPropsVTypes">
  <Template>Normal</Template>
  <TotalTime>50</TotalTime>
  <Pages>3</Pages>
  <Words>589</Words>
  <Characters>3363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Rosie Cavill (CTM UHB - Strategic and Operational Planning)</dc:creator>
  <cp:keywords/>
  <dc:description/>
  <cp:lastModifiedBy>Rosie Cavill (CTM UHB - Strategic and Operational Planning)</cp:lastModifiedBy>
  <cp:revision>3</cp:revision>
  <dcterms:created xsi:type="dcterms:W3CDTF">2025-11-15T18:02:00Z</dcterms:created>
  <dcterms:modified xsi:type="dcterms:W3CDTF">2025-11-17T08:13:00Z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