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5100" w:type="pct"/>
        <w:tblInd w:w="-113" w:type="dxa"/>
        <w:tblLayout w:type="fixed"/>
        <w:tblLook w:val="04A0" w:firstRow="1" w:lastRow="0" w:firstColumn="1" w:lastColumn="0" w:noHBand="0" w:noVBand="1"/>
      </w:tblPr>
      <w:tblGrid>
        <w:gridCol w:w="9831"/>
      </w:tblGrid>
      <w:tr w:rsidR="002216CD" w:rsidRPr="00CB4ED1" w14:paraId="3B746C6D" w14:textId="77777777" w:rsidTr="008354EB">
        <w:trPr>
          <w:trHeight w:val="1701"/>
        </w:trPr>
        <w:tc>
          <w:tcPr>
            <w:tcW w:w="9831" w:type="dxa"/>
          </w:tcPr>
          <w:bookmarkStart w:id="0" w:name="_Hlk192233248"/>
          <w:bookmarkEnd w:id="0"/>
          <w:p w14:paraId="62F711D8" w14:textId="06C21CEB" w:rsidR="002216CD" w:rsidRPr="00CB4ED1" w:rsidRDefault="00AE5329">
            <w:pPr>
              <w:jc w:val="right"/>
            </w:pPr>
            <w:sdt>
              <w:sdtPr>
                <w:alias w:val="click to insert client logo"/>
                <w:tag w:val="click to insert client logo"/>
                <w:id w:val="-714357974"/>
                <w:picture/>
              </w:sdtPr>
              <w:sdtContent>
                <w:r w:rsidR="00751D1D" w:rsidRPr="00CB4ED1">
                  <w:rPr>
                    <w:noProof/>
                  </w:rPr>
                  <w:drawing>
                    <wp:inline distT="0" distB="0" distL="0" distR="0" wp14:anchorId="1CCB2869" wp14:editId="5D404C75">
                      <wp:extent cx="3810000" cy="1019175"/>
                      <wp:effectExtent l="0" t="0" r="0" b="9525"/>
                      <wp:docPr id="11214097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10000" cy="1019175"/>
                              </a:xfrm>
                              <a:prstGeom prst="rect">
                                <a:avLst/>
                              </a:prstGeom>
                              <a:noFill/>
                              <a:ln>
                                <a:noFill/>
                              </a:ln>
                            </pic:spPr>
                          </pic:pic>
                        </a:graphicData>
                      </a:graphic>
                    </wp:inline>
                  </w:drawing>
                </w:r>
              </w:sdtContent>
            </w:sdt>
            <w:r w:rsidR="002216CD" w:rsidRPr="00CB4ED1">
              <w:t xml:space="preserve"> </w:t>
            </w:r>
          </w:p>
        </w:tc>
      </w:tr>
      <w:tr w:rsidR="002216CD" w:rsidRPr="00CB4ED1" w14:paraId="5C07B168" w14:textId="77777777" w:rsidTr="008354EB">
        <w:trPr>
          <w:trHeight w:val="1701"/>
        </w:trPr>
        <w:tc>
          <w:tcPr>
            <w:tcW w:w="9831" w:type="dxa"/>
          </w:tcPr>
          <w:p w14:paraId="7C706D15" w14:textId="5B2D89B4" w:rsidR="002216CD" w:rsidRPr="00CB4ED1" w:rsidRDefault="002216CD">
            <w:pPr>
              <w:jc w:val="right"/>
            </w:pPr>
            <w:r w:rsidRPr="00CB4ED1">
              <w:t xml:space="preserve">Produced on behalf of </w:t>
            </w:r>
            <w:r w:rsidR="00751D1D" w:rsidRPr="00CB4ED1">
              <w:t>Cwm Taf Morgan</w:t>
            </w:r>
            <w:r w:rsidR="00E249B5" w:rsidRPr="00CB4ED1">
              <w:t>nwg</w:t>
            </w:r>
            <w:r w:rsidRPr="00CB4ED1">
              <w:t xml:space="preserve"> UHB by</w:t>
            </w:r>
          </w:p>
          <w:p w14:paraId="0015B685" w14:textId="77777777" w:rsidR="002216CD" w:rsidRPr="00CB4ED1" w:rsidRDefault="002216CD">
            <w:pPr>
              <w:jc w:val="right"/>
            </w:pPr>
            <w:r w:rsidRPr="00CB4ED1">
              <w:rPr>
                <w:noProof/>
              </w:rPr>
              <w:drawing>
                <wp:inline distT="0" distB="0" distL="0" distR="0" wp14:anchorId="5664EE05" wp14:editId="2983FA73">
                  <wp:extent cx="1073426" cy="727776"/>
                  <wp:effectExtent l="0" t="0" r="0" b="0"/>
                  <wp:docPr id="1" name="Picture 1"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10;&#10;Description automatically generated"/>
                          <pic:cNvPicPr/>
                        </pic:nvPicPr>
                        <pic:blipFill rotWithShape="1">
                          <a:blip r:embed="rId12" cstate="print">
                            <a:extLst>
                              <a:ext uri="{28A0092B-C50C-407E-A947-70E740481C1C}">
                                <a14:useLocalDpi xmlns:a14="http://schemas.microsoft.com/office/drawing/2010/main" val="0"/>
                              </a:ext>
                            </a:extLst>
                          </a:blip>
                          <a:srcRect l="12362" r="12795"/>
                          <a:stretch/>
                        </pic:blipFill>
                        <pic:spPr bwMode="auto">
                          <a:xfrm>
                            <a:off x="0" y="0"/>
                            <a:ext cx="1086937" cy="736937"/>
                          </a:xfrm>
                          <a:prstGeom prst="rect">
                            <a:avLst/>
                          </a:prstGeom>
                          <a:ln>
                            <a:noFill/>
                          </a:ln>
                          <a:extLst>
                            <a:ext uri="{53640926-AAD7-44D8-BBD7-CCE9431645EC}">
                              <a14:shadowObscured xmlns:a14="http://schemas.microsoft.com/office/drawing/2010/main"/>
                            </a:ext>
                          </a:extLst>
                        </pic:spPr>
                      </pic:pic>
                    </a:graphicData>
                  </a:graphic>
                </wp:inline>
              </w:drawing>
            </w:r>
          </w:p>
        </w:tc>
      </w:tr>
      <w:tr w:rsidR="002216CD" w:rsidRPr="00CB4ED1" w14:paraId="514A9419" w14:textId="77777777" w:rsidTr="008354EB">
        <w:trPr>
          <w:trHeight w:val="3969"/>
        </w:trPr>
        <w:tc>
          <w:tcPr>
            <w:tcW w:w="9831" w:type="dxa"/>
            <w:vAlign w:val="center"/>
          </w:tcPr>
          <w:p w14:paraId="11D36C5F" w14:textId="417E8B08" w:rsidR="00AE1F62" w:rsidRPr="00CB4ED1" w:rsidRDefault="00314965" w:rsidP="00AE1F62">
            <w:pPr>
              <w:pStyle w:val="reporttitle"/>
              <w:spacing w:after="0"/>
            </w:pPr>
            <w:r w:rsidRPr="00CB4ED1">
              <w:t>Outline B</w:t>
            </w:r>
            <w:r w:rsidR="002216CD" w:rsidRPr="00CB4ED1">
              <w:t>usiness Case</w:t>
            </w:r>
          </w:p>
          <w:p w14:paraId="2B28A4E4" w14:textId="6E7D47C3" w:rsidR="002216CD" w:rsidRPr="00CB4ED1" w:rsidRDefault="002216CD" w:rsidP="002A0F1D">
            <w:pPr>
              <w:pStyle w:val="reporttitle"/>
            </w:pPr>
            <w:r w:rsidRPr="00CB4ED1">
              <w:t xml:space="preserve">for </w:t>
            </w:r>
            <w:r w:rsidRPr="00CB4ED1">
              <w:br/>
            </w:r>
            <w:r w:rsidR="00E249B5" w:rsidRPr="00CB4ED1">
              <w:t>Llantrisant Health Park</w:t>
            </w:r>
          </w:p>
        </w:tc>
      </w:tr>
      <w:tr w:rsidR="002216CD" w:rsidRPr="00CB4ED1" w14:paraId="33EA6ECE" w14:textId="77777777" w:rsidTr="008354EB">
        <w:trPr>
          <w:trHeight w:val="1418"/>
        </w:trPr>
        <w:tc>
          <w:tcPr>
            <w:tcW w:w="9831" w:type="dxa"/>
          </w:tcPr>
          <w:p w14:paraId="1989613C" w14:textId="48A526C2" w:rsidR="002216CD" w:rsidRPr="00CB4ED1" w:rsidRDefault="00116032">
            <w:pPr>
              <w:pStyle w:val="datecover"/>
            </w:pPr>
            <w:r>
              <w:t>(1</w:t>
            </w:r>
            <w:r w:rsidR="000935BB">
              <w:t>7</w:t>
            </w:r>
            <w:r>
              <w:t>) November</w:t>
            </w:r>
            <w:r w:rsidR="00D4595E" w:rsidRPr="00CB4ED1">
              <w:t xml:space="preserve"> 2025</w:t>
            </w:r>
          </w:p>
          <w:p w14:paraId="352051AF" w14:textId="5BCDCF71" w:rsidR="00F364AC" w:rsidRPr="00CB4ED1" w:rsidRDefault="00E249B5" w:rsidP="00147F7C">
            <w:pPr>
              <w:pStyle w:val="datecover"/>
            </w:pPr>
            <w:r w:rsidRPr="00CB4ED1">
              <w:t xml:space="preserve">Version </w:t>
            </w:r>
            <w:r w:rsidR="008238CA">
              <w:t>1</w:t>
            </w:r>
            <w:r w:rsidR="000935BB">
              <w:t>.1</w:t>
            </w:r>
            <w:r w:rsidRPr="00CB4ED1">
              <w:t xml:space="preserve"> DRAFT</w:t>
            </w:r>
          </w:p>
        </w:tc>
      </w:tr>
    </w:tbl>
    <w:p w14:paraId="35ADDCC0" w14:textId="4D90B175" w:rsidR="00E53CBD" w:rsidRPr="00CB4ED1" w:rsidRDefault="00E53CBD" w:rsidP="007B2711">
      <w:pPr>
        <w:spacing w:after="0"/>
      </w:pPr>
      <w:r w:rsidRPr="00CB4ED1">
        <w:br w:type="page"/>
      </w:r>
      <w:r w:rsidRPr="00CB4ED1">
        <w:lastRenderedPageBreak/>
        <w:t>Contents</w:t>
      </w:r>
      <w:r w:rsidR="00E249B5" w:rsidRPr="00CB4ED1">
        <w:t xml:space="preserve"> </w:t>
      </w:r>
    </w:p>
    <w:p w14:paraId="14F495AD" w14:textId="00970694" w:rsidR="007B2711" w:rsidRPr="00CB4ED1" w:rsidRDefault="00AE5329" w:rsidP="007B2711">
      <w:pPr>
        <w:spacing w:after="80"/>
      </w:pPr>
      <w:r>
        <w:pict w14:anchorId="3CE414A3">
          <v:rect id="_x0000_i1025" style="width:0;height:1.5pt" o:hralign="center" o:hrstd="t" o:hr="t" fillcolor="#a0a0a0" stroked="f"/>
        </w:pict>
      </w:r>
    </w:p>
    <w:p w14:paraId="2322C0E3" w14:textId="77777777" w:rsidR="001963EE" w:rsidRPr="00CB4ED1" w:rsidRDefault="001963EE" w:rsidP="00B53560">
      <w:pPr>
        <w:pStyle w:val="TOC3"/>
        <w:sectPr w:rsidR="001963EE" w:rsidRPr="00CB4ED1" w:rsidSect="00147F7C">
          <w:headerReference w:type="default" r:id="rId13"/>
          <w:footerReference w:type="default" r:id="rId14"/>
          <w:headerReference w:type="first" r:id="rId15"/>
          <w:footerReference w:type="first" r:id="rId16"/>
          <w:pgSz w:w="11906" w:h="16838" w:code="9"/>
          <w:pgMar w:top="964" w:right="1134" w:bottom="1531" w:left="1134" w:header="284" w:footer="454" w:gutter="0"/>
          <w:cols w:space="708"/>
          <w:formProt w:val="0"/>
          <w:titlePg/>
          <w:docGrid w:linePitch="360"/>
        </w:sectPr>
      </w:pPr>
    </w:p>
    <w:p w14:paraId="3BF5895B" w14:textId="77777777" w:rsidR="007D0D16" w:rsidRDefault="00D54DF5">
      <w:pPr>
        <w:pStyle w:val="TOC3"/>
        <w:rPr>
          <w:rFonts w:asciiTheme="minorHAnsi" w:eastAsiaTheme="minorEastAsia" w:hAnsiTheme="minorHAnsi" w:cstheme="minorBidi"/>
          <w:noProof/>
          <w:kern w:val="2"/>
          <w:sz w:val="24"/>
          <w:szCs w:val="24"/>
          <w:lang w:eastAsia="en-GB"/>
          <w14:ligatures w14:val="standardContextual"/>
        </w:rPr>
      </w:pPr>
      <w:r w:rsidRPr="00CB4ED1">
        <w:rPr>
          <w:sz w:val="20"/>
        </w:rPr>
        <w:fldChar w:fldCharType="begin"/>
      </w:r>
      <w:r w:rsidRPr="00CB4ED1">
        <w:instrText xml:space="preserve"> TOC \n \h \z \t "Heading 1,2,Heading 2,3,Heading 2 ALT,3,Heading 1 ALT,2,Style1,3,Heading 0,1,Appendix titles,3" </w:instrText>
      </w:r>
      <w:r w:rsidRPr="00CB4ED1">
        <w:rPr>
          <w:sz w:val="20"/>
        </w:rPr>
        <w:fldChar w:fldCharType="separate"/>
      </w:r>
      <w:hyperlink w:anchor="_Toc213865194" w:history="1">
        <w:r w:rsidR="007D0D16" w:rsidRPr="00806455">
          <w:rPr>
            <w:rStyle w:val="Hyperlink"/>
            <w:noProof/>
          </w:rPr>
          <w:t>Summary sheet</w:t>
        </w:r>
      </w:hyperlink>
    </w:p>
    <w:p w14:paraId="55A34EB6"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195" w:history="1">
        <w:r w:rsidR="007D0D16" w:rsidRPr="00806455">
          <w:rPr>
            <w:rStyle w:val="Hyperlink"/>
            <w:noProof/>
          </w:rPr>
          <w:t>Appendices</w:t>
        </w:r>
      </w:hyperlink>
    </w:p>
    <w:p w14:paraId="750F701C"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196" w:history="1">
        <w:r w:rsidR="007D0D16" w:rsidRPr="00806455">
          <w:rPr>
            <w:rStyle w:val="Hyperlink"/>
            <w:noProof/>
          </w:rPr>
          <w:t>Glossary</w:t>
        </w:r>
      </w:hyperlink>
    </w:p>
    <w:p w14:paraId="6C4CD3C3" w14:textId="77777777" w:rsidR="007D0D16" w:rsidRDefault="00AE5329">
      <w:pPr>
        <w:pStyle w:val="TOC2"/>
        <w:rPr>
          <w:rFonts w:asciiTheme="minorHAnsi" w:eastAsiaTheme="minorEastAsia" w:hAnsiTheme="minorHAnsi" w:cstheme="minorBidi"/>
          <w:b w:val="0"/>
          <w:noProof/>
          <w:color w:val="auto"/>
          <w:kern w:val="2"/>
          <w:sz w:val="24"/>
          <w:szCs w:val="24"/>
          <w:lang w:eastAsia="en-GB"/>
          <w14:ligatures w14:val="standardContextual"/>
        </w:rPr>
      </w:pPr>
      <w:hyperlink w:anchor="_Toc213865197" w:history="1">
        <w:r w:rsidR="007D0D16" w:rsidRPr="00806455">
          <w:rPr>
            <w:rStyle w:val="Hyperlink"/>
            <w:noProof/>
          </w:rPr>
          <w:t>1</w:t>
        </w:r>
        <w:r w:rsidR="007D0D16">
          <w:rPr>
            <w:rFonts w:asciiTheme="minorHAnsi" w:eastAsiaTheme="minorEastAsia" w:hAnsiTheme="minorHAnsi" w:cstheme="minorBidi"/>
            <w:b w:val="0"/>
            <w:noProof/>
            <w:color w:val="auto"/>
            <w:kern w:val="2"/>
            <w:sz w:val="24"/>
            <w:szCs w:val="24"/>
            <w:lang w:eastAsia="en-GB"/>
            <w14:ligatures w14:val="standardContextual"/>
          </w:rPr>
          <w:tab/>
        </w:r>
        <w:r w:rsidR="007D0D16" w:rsidRPr="00806455">
          <w:rPr>
            <w:rStyle w:val="Hyperlink"/>
            <w:noProof/>
          </w:rPr>
          <w:t>Executive summary</w:t>
        </w:r>
      </w:hyperlink>
    </w:p>
    <w:p w14:paraId="5A64C7C4"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198" w:history="1">
        <w:r w:rsidR="007D0D16" w:rsidRPr="00806455">
          <w:rPr>
            <w:rStyle w:val="Hyperlink"/>
            <w:rFonts w:eastAsia="Arial" w:cs="Arial"/>
            <w:noProof/>
          </w:rPr>
          <w:t>1.1</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Structure and introduction</w:t>
        </w:r>
      </w:hyperlink>
    </w:p>
    <w:p w14:paraId="675081A4"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199" w:history="1">
        <w:r w:rsidR="007D0D16" w:rsidRPr="00806455">
          <w:rPr>
            <w:rStyle w:val="Hyperlink"/>
            <w:rFonts w:eastAsia="Arial" w:cs="Arial"/>
            <w:noProof/>
          </w:rPr>
          <w:t>1.1</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Background and context</w:t>
        </w:r>
      </w:hyperlink>
    </w:p>
    <w:p w14:paraId="168A6FCF"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00" w:history="1">
        <w:r w:rsidR="007D0D16" w:rsidRPr="00806455">
          <w:rPr>
            <w:rStyle w:val="Hyperlink"/>
            <w:rFonts w:eastAsia="Arial" w:cs="Arial"/>
            <w:noProof/>
          </w:rPr>
          <w:t>1.2</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Case for change</w:t>
        </w:r>
      </w:hyperlink>
    </w:p>
    <w:p w14:paraId="57F01C02"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01" w:history="1">
        <w:r w:rsidR="007D0D16" w:rsidRPr="00806455">
          <w:rPr>
            <w:rStyle w:val="Hyperlink"/>
            <w:rFonts w:eastAsia="Arial" w:cs="Arial"/>
            <w:noProof/>
          </w:rPr>
          <w:t>1.3</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Economic Case</w:t>
        </w:r>
      </w:hyperlink>
    </w:p>
    <w:p w14:paraId="316F6154"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02" w:history="1">
        <w:r w:rsidR="007D0D16" w:rsidRPr="00806455">
          <w:rPr>
            <w:rStyle w:val="Hyperlink"/>
            <w:noProof/>
          </w:rPr>
          <w:t>1.4</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Commercial Case</w:t>
        </w:r>
      </w:hyperlink>
    </w:p>
    <w:p w14:paraId="18F59CE0"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03" w:history="1">
        <w:r w:rsidR="007D0D16" w:rsidRPr="00806455">
          <w:rPr>
            <w:rStyle w:val="Hyperlink"/>
            <w:rFonts w:eastAsia="Arial" w:cs="Arial"/>
            <w:noProof/>
          </w:rPr>
          <w:t>1.5</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Financial Case</w:t>
        </w:r>
      </w:hyperlink>
    </w:p>
    <w:p w14:paraId="218FEA2F"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04" w:history="1">
        <w:r w:rsidR="007D0D16" w:rsidRPr="00806455">
          <w:rPr>
            <w:rStyle w:val="Hyperlink"/>
            <w:rFonts w:eastAsia="Arial" w:cs="Arial"/>
            <w:noProof/>
          </w:rPr>
          <w:t>1.6</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Management Case</w:t>
        </w:r>
      </w:hyperlink>
    </w:p>
    <w:p w14:paraId="2917D861"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05" w:history="1">
        <w:r w:rsidR="007D0D16" w:rsidRPr="00806455">
          <w:rPr>
            <w:rStyle w:val="Hyperlink"/>
            <w:noProof/>
          </w:rPr>
          <w:t>1.7</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Summary recommendation and requirements</w:t>
        </w:r>
      </w:hyperlink>
    </w:p>
    <w:p w14:paraId="12D4C9C6" w14:textId="77777777" w:rsidR="007D0D16" w:rsidRDefault="00AE5329">
      <w:pPr>
        <w:pStyle w:val="TOC1"/>
        <w:rPr>
          <w:rFonts w:asciiTheme="minorHAnsi" w:eastAsiaTheme="minorEastAsia" w:hAnsiTheme="minorHAnsi" w:cstheme="minorBidi"/>
          <w:b w:val="0"/>
          <w:noProof/>
          <w:color w:val="auto"/>
          <w:kern w:val="2"/>
          <w:sz w:val="24"/>
          <w:szCs w:val="24"/>
          <w:lang w:eastAsia="en-GB"/>
          <w14:ligatures w14:val="standardContextual"/>
        </w:rPr>
      </w:pPr>
      <w:hyperlink w:anchor="_Toc213865206" w:history="1">
        <w:r w:rsidR="007D0D16" w:rsidRPr="00806455">
          <w:rPr>
            <w:rStyle w:val="Hyperlink"/>
            <w:noProof/>
          </w:rPr>
          <w:t>Strategic Case</w:t>
        </w:r>
      </w:hyperlink>
    </w:p>
    <w:p w14:paraId="084D5DD1" w14:textId="77777777" w:rsidR="007D0D16" w:rsidRDefault="00AE5329">
      <w:pPr>
        <w:pStyle w:val="TOC2"/>
        <w:rPr>
          <w:rFonts w:asciiTheme="minorHAnsi" w:eastAsiaTheme="minorEastAsia" w:hAnsiTheme="minorHAnsi" w:cstheme="minorBidi"/>
          <w:b w:val="0"/>
          <w:noProof/>
          <w:color w:val="auto"/>
          <w:kern w:val="2"/>
          <w:sz w:val="24"/>
          <w:szCs w:val="24"/>
          <w:lang w:eastAsia="en-GB"/>
          <w14:ligatures w14:val="standardContextual"/>
        </w:rPr>
      </w:pPr>
      <w:hyperlink w:anchor="_Toc213865207" w:history="1">
        <w:r w:rsidR="007D0D16" w:rsidRPr="00806455">
          <w:rPr>
            <w:rStyle w:val="Hyperlink"/>
            <w:noProof/>
          </w:rPr>
          <w:t>2</w:t>
        </w:r>
        <w:r w:rsidR="007D0D16">
          <w:rPr>
            <w:rFonts w:asciiTheme="minorHAnsi" w:eastAsiaTheme="minorEastAsia" w:hAnsiTheme="minorHAnsi" w:cstheme="minorBidi"/>
            <w:b w:val="0"/>
            <w:noProof/>
            <w:color w:val="auto"/>
            <w:kern w:val="2"/>
            <w:sz w:val="24"/>
            <w:szCs w:val="24"/>
            <w:lang w:eastAsia="en-GB"/>
            <w14:ligatures w14:val="standardContextual"/>
          </w:rPr>
          <w:tab/>
        </w:r>
        <w:r w:rsidR="007D0D16" w:rsidRPr="00806455">
          <w:rPr>
            <w:rStyle w:val="Hyperlink"/>
            <w:noProof/>
          </w:rPr>
          <w:t>Strategic context</w:t>
        </w:r>
      </w:hyperlink>
    </w:p>
    <w:p w14:paraId="1B14C6D6"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08" w:history="1">
        <w:r w:rsidR="007D0D16" w:rsidRPr="00806455">
          <w:rPr>
            <w:rStyle w:val="Hyperlink"/>
            <w:noProof/>
          </w:rPr>
          <w:t>2.1</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Introduction</w:t>
        </w:r>
      </w:hyperlink>
    </w:p>
    <w:p w14:paraId="071CC428"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09" w:history="1">
        <w:r w:rsidR="007D0D16" w:rsidRPr="00806455">
          <w:rPr>
            <w:rStyle w:val="Hyperlink"/>
            <w:noProof/>
          </w:rPr>
          <w:t>2.2</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LHP programme context and background</w:t>
        </w:r>
      </w:hyperlink>
    </w:p>
    <w:p w14:paraId="759DDFC9"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10" w:history="1">
        <w:r w:rsidR="007D0D16" w:rsidRPr="00806455">
          <w:rPr>
            <w:rStyle w:val="Hyperlink"/>
            <w:noProof/>
          </w:rPr>
          <w:t>2.3</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South East Wales regional overview</w:t>
        </w:r>
      </w:hyperlink>
    </w:p>
    <w:p w14:paraId="449F1722"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11" w:history="1">
        <w:r w:rsidR="007D0D16" w:rsidRPr="00806455">
          <w:rPr>
            <w:rStyle w:val="Hyperlink"/>
            <w:noProof/>
          </w:rPr>
          <w:t>2.4</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National and regional strategies</w:t>
        </w:r>
      </w:hyperlink>
    </w:p>
    <w:p w14:paraId="26474999"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12" w:history="1">
        <w:r w:rsidR="007D0D16" w:rsidRPr="00806455">
          <w:rPr>
            <w:rStyle w:val="Hyperlink"/>
            <w:noProof/>
          </w:rPr>
          <w:t>2.5</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Alignment with other local and national strategies</w:t>
        </w:r>
      </w:hyperlink>
    </w:p>
    <w:p w14:paraId="17DF28AF" w14:textId="77777777" w:rsidR="007D0D16" w:rsidRDefault="00AE5329">
      <w:pPr>
        <w:pStyle w:val="TOC2"/>
        <w:rPr>
          <w:rFonts w:asciiTheme="minorHAnsi" w:eastAsiaTheme="minorEastAsia" w:hAnsiTheme="minorHAnsi" w:cstheme="minorBidi"/>
          <w:b w:val="0"/>
          <w:noProof/>
          <w:color w:val="auto"/>
          <w:kern w:val="2"/>
          <w:sz w:val="24"/>
          <w:szCs w:val="24"/>
          <w:lang w:eastAsia="en-GB"/>
          <w14:ligatures w14:val="standardContextual"/>
        </w:rPr>
      </w:pPr>
      <w:hyperlink w:anchor="_Toc213865213" w:history="1">
        <w:r w:rsidR="007D0D16" w:rsidRPr="00806455">
          <w:rPr>
            <w:rStyle w:val="Hyperlink"/>
            <w:noProof/>
          </w:rPr>
          <w:t>3</w:t>
        </w:r>
        <w:r w:rsidR="007D0D16">
          <w:rPr>
            <w:rFonts w:asciiTheme="minorHAnsi" w:eastAsiaTheme="minorEastAsia" w:hAnsiTheme="minorHAnsi" w:cstheme="minorBidi"/>
            <w:b w:val="0"/>
            <w:noProof/>
            <w:color w:val="auto"/>
            <w:kern w:val="2"/>
            <w:sz w:val="24"/>
            <w:szCs w:val="24"/>
            <w:lang w:eastAsia="en-GB"/>
            <w14:ligatures w14:val="standardContextual"/>
          </w:rPr>
          <w:tab/>
        </w:r>
        <w:r w:rsidR="007D0D16" w:rsidRPr="00806455">
          <w:rPr>
            <w:rStyle w:val="Hyperlink"/>
            <w:noProof/>
          </w:rPr>
          <w:t>Case For Change</w:t>
        </w:r>
      </w:hyperlink>
    </w:p>
    <w:p w14:paraId="67287A98"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14" w:history="1">
        <w:r w:rsidR="007D0D16" w:rsidRPr="00806455">
          <w:rPr>
            <w:rStyle w:val="Hyperlink"/>
            <w:noProof/>
          </w:rPr>
          <w:t>3.1</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Introduction</w:t>
        </w:r>
      </w:hyperlink>
    </w:p>
    <w:p w14:paraId="16F3FBD4"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15" w:history="1">
        <w:r w:rsidR="007D0D16" w:rsidRPr="00806455">
          <w:rPr>
            <w:rStyle w:val="Hyperlink"/>
            <w:noProof/>
          </w:rPr>
          <w:t>3.2</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Spending objectives</w:t>
        </w:r>
      </w:hyperlink>
    </w:p>
    <w:p w14:paraId="2910A8FE"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16" w:history="1">
        <w:r w:rsidR="007D0D16" w:rsidRPr="00806455">
          <w:rPr>
            <w:rStyle w:val="Hyperlink"/>
            <w:noProof/>
          </w:rPr>
          <w:t>3.3</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Business need</w:t>
        </w:r>
      </w:hyperlink>
    </w:p>
    <w:p w14:paraId="7F2FDBDB"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17" w:history="1">
        <w:r w:rsidR="007D0D16" w:rsidRPr="00806455">
          <w:rPr>
            <w:rStyle w:val="Hyperlink"/>
            <w:noProof/>
          </w:rPr>
          <w:t>3.4</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Clinical evidence and policies underpinning LHP, including Getting it Right First Time</w:t>
        </w:r>
      </w:hyperlink>
    </w:p>
    <w:p w14:paraId="6A125A9D"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18" w:history="1">
        <w:r w:rsidR="007D0D16" w:rsidRPr="00806455">
          <w:rPr>
            <w:rStyle w:val="Hyperlink"/>
            <w:noProof/>
          </w:rPr>
          <w:t>3.5</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Growing demand for services and existing arrangements</w:t>
        </w:r>
      </w:hyperlink>
    </w:p>
    <w:p w14:paraId="5D2B3531"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19" w:history="1">
        <w:r w:rsidR="007D0D16" w:rsidRPr="00806455">
          <w:rPr>
            <w:rStyle w:val="Hyperlink"/>
            <w:noProof/>
          </w:rPr>
          <w:t>3.6</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Proposed patient pathways and clinical engagement</w:t>
        </w:r>
      </w:hyperlink>
    </w:p>
    <w:p w14:paraId="5DA471D0"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20" w:history="1">
        <w:r w:rsidR="007D0D16" w:rsidRPr="00806455">
          <w:rPr>
            <w:rStyle w:val="Hyperlink"/>
            <w:noProof/>
          </w:rPr>
          <w:t>3.7</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Demand and capacity modelling for SEW</w:t>
        </w:r>
      </w:hyperlink>
    </w:p>
    <w:p w14:paraId="08AF30AD" w14:textId="77777777" w:rsidR="007D0D16" w:rsidRDefault="00AE5329">
      <w:pPr>
        <w:pStyle w:val="TOC2"/>
        <w:rPr>
          <w:rFonts w:asciiTheme="minorHAnsi" w:eastAsiaTheme="minorEastAsia" w:hAnsiTheme="minorHAnsi" w:cstheme="minorBidi"/>
          <w:b w:val="0"/>
          <w:noProof/>
          <w:color w:val="auto"/>
          <w:kern w:val="2"/>
          <w:sz w:val="24"/>
          <w:szCs w:val="24"/>
          <w:lang w:eastAsia="en-GB"/>
          <w14:ligatures w14:val="standardContextual"/>
        </w:rPr>
      </w:pPr>
      <w:hyperlink w:anchor="_Toc213865221" w:history="1">
        <w:r w:rsidR="007D0D16" w:rsidRPr="00806455">
          <w:rPr>
            <w:rStyle w:val="Hyperlink"/>
            <w:noProof/>
          </w:rPr>
          <w:t>4</w:t>
        </w:r>
        <w:r w:rsidR="007D0D16">
          <w:rPr>
            <w:rFonts w:asciiTheme="minorHAnsi" w:eastAsiaTheme="minorEastAsia" w:hAnsiTheme="minorHAnsi" w:cstheme="minorBidi"/>
            <w:b w:val="0"/>
            <w:noProof/>
            <w:color w:val="auto"/>
            <w:kern w:val="2"/>
            <w:sz w:val="24"/>
            <w:szCs w:val="24"/>
            <w:lang w:eastAsia="en-GB"/>
            <w14:ligatures w14:val="standardContextual"/>
          </w:rPr>
          <w:tab/>
        </w:r>
        <w:r w:rsidR="007D0D16" w:rsidRPr="00806455">
          <w:rPr>
            <w:rStyle w:val="Hyperlink"/>
            <w:noProof/>
          </w:rPr>
          <w:t>Potential scope of services</w:t>
        </w:r>
      </w:hyperlink>
    </w:p>
    <w:p w14:paraId="43EB16D8"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22" w:history="1">
        <w:r w:rsidR="007D0D16" w:rsidRPr="00806455">
          <w:rPr>
            <w:rStyle w:val="Hyperlink"/>
            <w:noProof/>
          </w:rPr>
          <w:t>4.1</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Key principles of the clinical model</w:t>
        </w:r>
      </w:hyperlink>
    </w:p>
    <w:p w14:paraId="2CD82693"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23" w:history="1">
        <w:r w:rsidR="007D0D16" w:rsidRPr="00806455">
          <w:rPr>
            <w:rStyle w:val="Hyperlink"/>
            <w:noProof/>
          </w:rPr>
          <w:t>4.2</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The Non Clinical and Clinical support models</w:t>
        </w:r>
      </w:hyperlink>
    </w:p>
    <w:p w14:paraId="7B4CA187"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24" w:history="1">
        <w:r w:rsidR="007D0D16" w:rsidRPr="00806455">
          <w:rPr>
            <w:rStyle w:val="Hyperlink"/>
            <w:noProof/>
          </w:rPr>
          <w:t>4.3</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Infrastructure design influenced by clinical model</w:t>
        </w:r>
      </w:hyperlink>
    </w:p>
    <w:p w14:paraId="45DDA6DD"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25" w:history="1">
        <w:r w:rsidR="007D0D16" w:rsidRPr="00806455">
          <w:rPr>
            <w:rStyle w:val="Hyperlink"/>
            <w:noProof/>
          </w:rPr>
          <w:t>4.4</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Digital Strategy</w:t>
        </w:r>
      </w:hyperlink>
    </w:p>
    <w:p w14:paraId="635738A3" w14:textId="77777777" w:rsidR="007D0D16" w:rsidRDefault="00AE5329">
      <w:pPr>
        <w:pStyle w:val="TOC2"/>
        <w:rPr>
          <w:rFonts w:asciiTheme="minorHAnsi" w:eastAsiaTheme="minorEastAsia" w:hAnsiTheme="minorHAnsi" w:cstheme="minorBidi"/>
          <w:b w:val="0"/>
          <w:noProof/>
          <w:color w:val="auto"/>
          <w:kern w:val="2"/>
          <w:sz w:val="24"/>
          <w:szCs w:val="24"/>
          <w:lang w:eastAsia="en-GB"/>
          <w14:ligatures w14:val="standardContextual"/>
        </w:rPr>
      </w:pPr>
      <w:hyperlink w:anchor="_Toc213865226" w:history="1">
        <w:r w:rsidR="007D0D16" w:rsidRPr="00806455">
          <w:rPr>
            <w:rStyle w:val="Hyperlink"/>
            <w:noProof/>
          </w:rPr>
          <w:t>5</w:t>
        </w:r>
        <w:r w:rsidR="007D0D16">
          <w:rPr>
            <w:rFonts w:asciiTheme="minorHAnsi" w:eastAsiaTheme="minorEastAsia" w:hAnsiTheme="minorHAnsi" w:cstheme="minorBidi"/>
            <w:b w:val="0"/>
            <w:noProof/>
            <w:color w:val="auto"/>
            <w:kern w:val="2"/>
            <w:sz w:val="24"/>
            <w:szCs w:val="24"/>
            <w:lang w:eastAsia="en-GB"/>
            <w14:ligatures w14:val="standardContextual"/>
          </w:rPr>
          <w:tab/>
        </w:r>
        <w:r w:rsidR="007D0D16" w:rsidRPr="00806455">
          <w:rPr>
            <w:rStyle w:val="Hyperlink"/>
            <w:noProof/>
          </w:rPr>
          <w:t>Benefits and Risks</w:t>
        </w:r>
      </w:hyperlink>
    </w:p>
    <w:p w14:paraId="2424A294"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27" w:history="1">
        <w:r w:rsidR="007D0D16" w:rsidRPr="00806455">
          <w:rPr>
            <w:rStyle w:val="Hyperlink"/>
            <w:noProof/>
          </w:rPr>
          <w:t>5.1</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Introduction</w:t>
        </w:r>
      </w:hyperlink>
    </w:p>
    <w:p w14:paraId="2C7DC7AE"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28" w:history="1">
        <w:r w:rsidR="007D0D16" w:rsidRPr="00806455">
          <w:rPr>
            <w:rStyle w:val="Hyperlink"/>
            <w:noProof/>
          </w:rPr>
          <w:t>5.2</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Benefits case</w:t>
        </w:r>
      </w:hyperlink>
    </w:p>
    <w:p w14:paraId="706235B9"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29" w:history="1">
        <w:r w:rsidR="007D0D16" w:rsidRPr="00806455">
          <w:rPr>
            <w:rStyle w:val="Hyperlink"/>
            <w:noProof/>
          </w:rPr>
          <w:t>5.3</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Main benefits</w:t>
        </w:r>
      </w:hyperlink>
    </w:p>
    <w:p w14:paraId="02B40068"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30" w:history="1">
        <w:r w:rsidR="007D0D16" w:rsidRPr="00806455">
          <w:rPr>
            <w:rStyle w:val="Hyperlink"/>
            <w:noProof/>
          </w:rPr>
          <w:t>5.4</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Main risks</w:t>
        </w:r>
      </w:hyperlink>
    </w:p>
    <w:p w14:paraId="4E80558B"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31" w:history="1">
        <w:r w:rsidR="007D0D16" w:rsidRPr="00806455">
          <w:rPr>
            <w:rStyle w:val="Hyperlink"/>
            <w:noProof/>
          </w:rPr>
          <w:t>5.5</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Constraints</w:t>
        </w:r>
      </w:hyperlink>
    </w:p>
    <w:p w14:paraId="2C5EA571"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32" w:history="1">
        <w:r w:rsidR="007D0D16" w:rsidRPr="00806455">
          <w:rPr>
            <w:rStyle w:val="Hyperlink"/>
            <w:noProof/>
          </w:rPr>
          <w:t>5.6</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Dependencies</w:t>
        </w:r>
      </w:hyperlink>
    </w:p>
    <w:p w14:paraId="45FDB8C4" w14:textId="77777777" w:rsidR="007D0D16" w:rsidRDefault="00AE5329">
      <w:pPr>
        <w:pStyle w:val="TOC1"/>
        <w:rPr>
          <w:rFonts w:asciiTheme="minorHAnsi" w:eastAsiaTheme="minorEastAsia" w:hAnsiTheme="minorHAnsi" w:cstheme="minorBidi"/>
          <w:b w:val="0"/>
          <w:noProof/>
          <w:color w:val="auto"/>
          <w:kern w:val="2"/>
          <w:sz w:val="24"/>
          <w:szCs w:val="24"/>
          <w:lang w:eastAsia="en-GB"/>
          <w14:ligatures w14:val="standardContextual"/>
        </w:rPr>
      </w:pPr>
      <w:hyperlink w:anchor="_Toc213865233" w:history="1">
        <w:r w:rsidR="007D0D16" w:rsidRPr="00806455">
          <w:rPr>
            <w:rStyle w:val="Hyperlink"/>
            <w:noProof/>
          </w:rPr>
          <w:t>Economic Case</w:t>
        </w:r>
      </w:hyperlink>
    </w:p>
    <w:p w14:paraId="31A61371" w14:textId="77777777" w:rsidR="007D0D16" w:rsidRDefault="00AE5329">
      <w:pPr>
        <w:pStyle w:val="TOC2"/>
        <w:rPr>
          <w:rFonts w:asciiTheme="minorHAnsi" w:eastAsiaTheme="minorEastAsia" w:hAnsiTheme="minorHAnsi" w:cstheme="minorBidi"/>
          <w:b w:val="0"/>
          <w:noProof/>
          <w:color w:val="auto"/>
          <w:kern w:val="2"/>
          <w:sz w:val="24"/>
          <w:szCs w:val="24"/>
          <w:lang w:eastAsia="en-GB"/>
          <w14:ligatures w14:val="standardContextual"/>
        </w:rPr>
      </w:pPr>
      <w:hyperlink w:anchor="_Toc213865234" w:history="1">
        <w:r w:rsidR="007D0D16" w:rsidRPr="00806455">
          <w:rPr>
            <w:rStyle w:val="Hyperlink"/>
            <w:noProof/>
          </w:rPr>
          <w:t>6</w:t>
        </w:r>
        <w:r w:rsidR="007D0D16">
          <w:rPr>
            <w:rFonts w:asciiTheme="minorHAnsi" w:eastAsiaTheme="minorEastAsia" w:hAnsiTheme="minorHAnsi" w:cstheme="minorBidi"/>
            <w:b w:val="0"/>
            <w:noProof/>
            <w:color w:val="auto"/>
            <w:kern w:val="2"/>
            <w:sz w:val="24"/>
            <w:szCs w:val="24"/>
            <w:lang w:eastAsia="en-GB"/>
            <w14:ligatures w14:val="standardContextual"/>
          </w:rPr>
          <w:tab/>
        </w:r>
        <w:r w:rsidR="007D0D16" w:rsidRPr="00806455">
          <w:rPr>
            <w:rStyle w:val="Hyperlink"/>
            <w:noProof/>
          </w:rPr>
          <w:t>Options identification and appraisal</w:t>
        </w:r>
      </w:hyperlink>
    </w:p>
    <w:p w14:paraId="4B44A087" w14:textId="77777777" w:rsidR="007D0D16" w:rsidRDefault="00AE5329">
      <w:pPr>
        <w:pStyle w:val="TOC2"/>
        <w:rPr>
          <w:rFonts w:asciiTheme="minorHAnsi" w:eastAsiaTheme="minorEastAsia" w:hAnsiTheme="minorHAnsi" w:cstheme="minorBidi"/>
          <w:b w:val="0"/>
          <w:noProof/>
          <w:color w:val="auto"/>
          <w:kern w:val="2"/>
          <w:sz w:val="24"/>
          <w:szCs w:val="24"/>
          <w:lang w:eastAsia="en-GB"/>
          <w14:ligatures w14:val="standardContextual"/>
        </w:rPr>
      </w:pPr>
      <w:hyperlink w:anchor="_Toc213865235" w:history="1">
        <w:r w:rsidR="007D0D16" w:rsidRPr="00806455">
          <w:rPr>
            <w:rStyle w:val="Hyperlink"/>
            <w:noProof/>
          </w:rPr>
          <w:t>7</w:t>
        </w:r>
        <w:r w:rsidR="007D0D16">
          <w:rPr>
            <w:rFonts w:asciiTheme="minorHAnsi" w:eastAsiaTheme="minorEastAsia" w:hAnsiTheme="minorHAnsi" w:cstheme="minorBidi"/>
            <w:b w:val="0"/>
            <w:noProof/>
            <w:color w:val="auto"/>
            <w:kern w:val="2"/>
            <w:sz w:val="24"/>
            <w:szCs w:val="24"/>
            <w:lang w:eastAsia="en-GB"/>
            <w14:ligatures w14:val="standardContextual"/>
          </w:rPr>
          <w:tab/>
        </w:r>
        <w:r w:rsidR="007D0D16" w:rsidRPr="00806455">
          <w:rPr>
            <w:rStyle w:val="Hyperlink"/>
            <w:noProof/>
          </w:rPr>
          <w:t>Economic Appraisal</w:t>
        </w:r>
      </w:hyperlink>
    </w:p>
    <w:p w14:paraId="22CF4A04"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36" w:history="1">
        <w:r w:rsidR="007D0D16" w:rsidRPr="00806455">
          <w:rPr>
            <w:rStyle w:val="Hyperlink"/>
            <w:noProof/>
          </w:rPr>
          <w:t>7.1</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Introduction</w:t>
        </w:r>
      </w:hyperlink>
    </w:p>
    <w:p w14:paraId="05572F4F"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37" w:history="1">
        <w:r w:rsidR="007D0D16" w:rsidRPr="00806455">
          <w:rPr>
            <w:rStyle w:val="Hyperlink"/>
            <w:noProof/>
          </w:rPr>
          <w:t>7.2</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Summary of Phase 2 Preferred Way Forward</w:t>
        </w:r>
      </w:hyperlink>
    </w:p>
    <w:p w14:paraId="7CBE917C"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38" w:history="1">
        <w:r w:rsidR="007D0D16" w:rsidRPr="00806455">
          <w:rPr>
            <w:rStyle w:val="Hyperlink"/>
            <w:noProof/>
          </w:rPr>
          <w:t>7.3</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Capital costs</w:t>
        </w:r>
      </w:hyperlink>
    </w:p>
    <w:p w14:paraId="35E02D32"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39" w:history="1">
        <w:r w:rsidR="007D0D16" w:rsidRPr="00806455">
          <w:rPr>
            <w:rStyle w:val="Hyperlink"/>
            <w:noProof/>
          </w:rPr>
          <w:t>7.4</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Lifecycle capital costs</w:t>
        </w:r>
      </w:hyperlink>
    </w:p>
    <w:p w14:paraId="7432A769"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40" w:history="1">
        <w:r w:rsidR="007D0D16" w:rsidRPr="00806455">
          <w:rPr>
            <w:rStyle w:val="Hyperlink"/>
            <w:noProof/>
          </w:rPr>
          <w:t>7.5</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Recurring revenue costs</w:t>
        </w:r>
      </w:hyperlink>
    </w:p>
    <w:p w14:paraId="564D5596"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41" w:history="1">
        <w:r w:rsidR="007D0D16" w:rsidRPr="00806455">
          <w:rPr>
            <w:rStyle w:val="Hyperlink"/>
            <w:noProof/>
          </w:rPr>
          <w:t>7.6</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Benefits analysis</w:t>
        </w:r>
      </w:hyperlink>
    </w:p>
    <w:p w14:paraId="6FD951CD"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42" w:history="1">
        <w:r w:rsidR="007D0D16" w:rsidRPr="00806455">
          <w:rPr>
            <w:rStyle w:val="Hyperlink"/>
            <w:noProof/>
          </w:rPr>
          <w:t>7.7</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Risk analysis</w:t>
        </w:r>
      </w:hyperlink>
    </w:p>
    <w:p w14:paraId="7F241E67"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43" w:history="1">
        <w:r w:rsidR="007D0D16" w:rsidRPr="00806455">
          <w:rPr>
            <w:rStyle w:val="Hyperlink"/>
            <w:noProof/>
          </w:rPr>
          <w:t>7.8</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Economic appraisal</w:t>
        </w:r>
      </w:hyperlink>
    </w:p>
    <w:p w14:paraId="27AF5C37"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44" w:history="1">
        <w:r w:rsidR="007D0D16" w:rsidRPr="00806455">
          <w:rPr>
            <w:rStyle w:val="Hyperlink"/>
            <w:noProof/>
          </w:rPr>
          <w:t>7.9</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Sensitivity analysis</w:t>
        </w:r>
      </w:hyperlink>
    </w:p>
    <w:p w14:paraId="0D717B22"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45" w:history="1">
        <w:r w:rsidR="007D0D16" w:rsidRPr="00806455">
          <w:rPr>
            <w:rStyle w:val="Hyperlink"/>
            <w:noProof/>
          </w:rPr>
          <w:t>7.10</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Preferred option</w:t>
        </w:r>
      </w:hyperlink>
    </w:p>
    <w:p w14:paraId="558D6FF6" w14:textId="77777777" w:rsidR="007D0D16" w:rsidRDefault="00AE5329">
      <w:pPr>
        <w:pStyle w:val="TOC1"/>
        <w:rPr>
          <w:rFonts w:asciiTheme="minorHAnsi" w:eastAsiaTheme="minorEastAsia" w:hAnsiTheme="minorHAnsi" w:cstheme="minorBidi"/>
          <w:b w:val="0"/>
          <w:noProof/>
          <w:color w:val="auto"/>
          <w:kern w:val="2"/>
          <w:sz w:val="24"/>
          <w:szCs w:val="24"/>
          <w:lang w:eastAsia="en-GB"/>
          <w14:ligatures w14:val="standardContextual"/>
        </w:rPr>
      </w:pPr>
      <w:hyperlink w:anchor="_Toc213865246" w:history="1">
        <w:r w:rsidR="007D0D16" w:rsidRPr="00806455">
          <w:rPr>
            <w:rStyle w:val="Hyperlink"/>
            <w:noProof/>
          </w:rPr>
          <w:t>Commercial Case</w:t>
        </w:r>
      </w:hyperlink>
    </w:p>
    <w:p w14:paraId="2E0D1B71" w14:textId="77777777" w:rsidR="007D0D16" w:rsidRDefault="00AE5329">
      <w:pPr>
        <w:pStyle w:val="TOC2"/>
        <w:rPr>
          <w:rFonts w:asciiTheme="minorHAnsi" w:eastAsiaTheme="minorEastAsia" w:hAnsiTheme="minorHAnsi" w:cstheme="minorBidi"/>
          <w:b w:val="0"/>
          <w:noProof/>
          <w:color w:val="auto"/>
          <w:kern w:val="2"/>
          <w:sz w:val="24"/>
          <w:szCs w:val="24"/>
          <w:lang w:eastAsia="en-GB"/>
          <w14:ligatures w14:val="standardContextual"/>
        </w:rPr>
      </w:pPr>
      <w:hyperlink w:anchor="_Toc213865247" w:history="1">
        <w:r w:rsidR="007D0D16" w:rsidRPr="00806455">
          <w:rPr>
            <w:rStyle w:val="Hyperlink"/>
            <w:noProof/>
          </w:rPr>
          <w:t>8</w:t>
        </w:r>
        <w:r w:rsidR="007D0D16">
          <w:rPr>
            <w:rFonts w:asciiTheme="minorHAnsi" w:eastAsiaTheme="minorEastAsia" w:hAnsiTheme="minorHAnsi" w:cstheme="minorBidi"/>
            <w:b w:val="0"/>
            <w:noProof/>
            <w:color w:val="auto"/>
            <w:kern w:val="2"/>
            <w:sz w:val="24"/>
            <w:szCs w:val="24"/>
            <w:lang w:eastAsia="en-GB"/>
            <w14:ligatures w14:val="standardContextual"/>
          </w:rPr>
          <w:tab/>
        </w:r>
        <w:r w:rsidR="007D0D16" w:rsidRPr="00806455">
          <w:rPr>
            <w:rStyle w:val="Hyperlink"/>
            <w:noProof/>
          </w:rPr>
          <w:t>Procurement strategy</w:t>
        </w:r>
      </w:hyperlink>
    </w:p>
    <w:p w14:paraId="47E2872E"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48" w:history="1">
        <w:r w:rsidR="007D0D16" w:rsidRPr="00806455">
          <w:rPr>
            <w:rStyle w:val="Hyperlink"/>
            <w:noProof/>
          </w:rPr>
          <w:t>8.1</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Introduction</w:t>
        </w:r>
      </w:hyperlink>
    </w:p>
    <w:p w14:paraId="5868D457"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49" w:history="1">
        <w:r w:rsidR="007D0D16" w:rsidRPr="00806455">
          <w:rPr>
            <w:rStyle w:val="Hyperlink"/>
            <w:noProof/>
          </w:rPr>
          <w:t>8.2</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Demolition Contractor procurement</w:t>
        </w:r>
      </w:hyperlink>
    </w:p>
    <w:p w14:paraId="48A6E545"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50" w:history="1">
        <w:r w:rsidR="007D0D16" w:rsidRPr="00806455">
          <w:rPr>
            <w:rStyle w:val="Hyperlink"/>
            <w:noProof/>
          </w:rPr>
          <w:t>8.3</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Payment mechanism</w:t>
        </w:r>
      </w:hyperlink>
    </w:p>
    <w:p w14:paraId="45B675D6"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51" w:history="1">
        <w:r w:rsidR="007D0D16" w:rsidRPr="00806455">
          <w:rPr>
            <w:rStyle w:val="Hyperlink"/>
            <w:noProof/>
          </w:rPr>
          <w:t>8.4</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Health Board contracting arrangements</w:t>
        </w:r>
      </w:hyperlink>
    </w:p>
    <w:p w14:paraId="03D3708E"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52" w:history="1">
        <w:r w:rsidR="007D0D16" w:rsidRPr="00806455">
          <w:rPr>
            <w:rStyle w:val="Hyperlink"/>
            <w:noProof/>
          </w:rPr>
          <w:t>8.5</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Workforce Plan</w:t>
        </w:r>
      </w:hyperlink>
    </w:p>
    <w:p w14:paraId="6191BAF2"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53" w:history="1">
        <w:r w:rsidR="007D0D16" w:rsidRPr="00806455">
          <w:rPr>
            <w:rStyle w:val="Hyperlink"/>
            <w:noProof/>
          </w:rPr>
          <w:t>8.6</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Associated disposals</w:t>
        </w:r>
      </w:hyperlink>
    </w:p>
    <w:p w14:paraId="2EBDBB12"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54" w:history="1">
        <w:r w:rsidR="007D0D16" w:rsidRPr="00806455">
          <w:rPr>
            <w:rStyle w:val="Hyperlink"/>
            <w:noProof/>
          </w:rPr>
          <w:t>8.7</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Design and compliance with mandatory standards</w:t>
        </w:r>
      </w:hyperlink>
    </w:p>
    <w:p w14:paraId="3FBE5D42"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55" w:history="1">
        <w:r w:rsidR="007D0D16" w:rsidRPr="00806455">
          <w:rPr>
            <w:rStyle w:val="Hyperlink"/>
            <w:noProof/>
          </w:rPr>
          <w:t>8.8</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VAT recovery</w:t>
        </w:r>
      </w:hyperlink>
    </w:p>
    <w:p w14:paraId="050C7DE7"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56" w:history="1">
        <w:r w:rsidR="007D0D16" w:rsidRPr="00806455">
          <w:rPr>
            <w:rStyle w:val="Hyperlink"/>
            <w:noProof/>
          </w:rPr>
          <w:t>8.9</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Interface</w:t>
        </w:r>
      </w:hyperlink>
    </w:p>
    <w:p w14:paraId="4B46C0FD"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57" w:history="1">
        <w:r w:rsidR="007D0D16" w:rsidRPr="00806455">
          <w:rPr>
            <w:rStyle w:val="Hyperlink"/>
            <w:noProof/>
          </w:rPr>
          <w:t>8.10</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Summary and conclusion</w:t>
        </w:r>
      </w:hyperlink>
    </w:p>
    <w:p w14:paraId="74667AFB" w14:textId="77777777" w:rsidR="007D0D16" w:rsidRDefault="00AE5329">
      <w:pPr>
        <w:pStyle w:val="TOC1"/>
        <w:rPr>
          <w:rFonts w:asciiTheme="minorHAnsi" w:eastAsiaTheme="minorEastAsia" w:hAnsiTheme="minorHAnsi" w:cstheme="minorBidi"/>
          <w:b w:val="0"/>
          <w:noProof/>
          <w:color w:val="auto"/>
          <w:kern w:val="2"/>
          <w:sz w:val="24"/>
          <w:szCs w:val="24"/>
          <w:lang w:eastAsia="en-GB"/>
          <w14:ligatures w14:val="standardContextual"/>
        </w:rPr>
      </w:pPr>
      <w:hyperlink w:anchor="_Toc213865258" w:history="1">
        <w:r w:rsidR="007D0D16" w:rsidRPr="00806455">
          <w:rPr>
            <w:rStyle w:val="Hyperlink"/>
            <w:noProof/>
          </w:rPr>
          <w:t>Financial Case</w:t>
        </w:r>
      </w:hyperlink>
    </w:p>
    <w:p w14:paraId="1A88DD8E" w14:textId="77777777" w:rsidR="007D0D16" w:rsidRDefault="00AE5329">
      <w:pPr>
        <w:pStyle w:val="TOC2"/>
        <w:rPr>
          <w:rFonts w:asciiTheme="minorHAnsi" w:eastAsiaTheme="minorEastAsia" w:hAnsiTheme="minorHAnsi" w:cstheme="minorBidi"/>
          <w:b w:val="0"/>
          <w:noProof/>
          <w:color w:val="auto"/>
          <w:kern w:val="2"/>
          <w:sz w:val="24"/>
          <w:szCs w:val="24"/>
          <w:lang w:eastAsia="en-GB"/>
          <w14:ligatures w14:val="standardContextual"/>
        </w:rPr>
      </w:pPr>
      <w:hyperlink w:anchor="_Toc213865259" w:history="1">
        <w:r w:rsidR="007D0D16" w:rsidRPr="00806455">
          <w:rPr>
            <w:rStyle w:val="Hyperlink"/>
            <w:noProof/>
          </w:rPr>
          <w:t>9</w:t>
        </w:r>
        <w:r w:rsidR="007D0D16">
          <w:rPr>
            <w:rFonts w:asciiTheme="minorHAnsi" w:eastAsiaTheme="minorEastAsia" w:hAnsiTheme="minorHAnsi" w:cstheme="minorBidi"/>
            <w:b w:val="0"/>
            <w:noProof/>
            <w:color w:val="auto"/>
            <w:kern w:val="2"/>
            <w:sz w:val="24"/>
            <w:szCs w:val="24"/>
            <w:lang w:eastAsia="en-GB"/>
            <w14:ligatures w14:val="standardContextual"/>
          </w:rPr>
          <w:tab/>
        </w:r>
        <w:r w:rsidR="007D0D16" w:rsidRPr="00806455">
          <w:rPr>
            <w:rStyle w:val="Hyperlink"/>
            <w:noProof/>
          </w:rPr>
          <w:t>Financial Case</w:t>
        </w:r>
      </w:hyperlink>
    </w:p>
    <w:p w14:paraId="0FA8597F"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60" w:history="1">
        <w:r w:rsidR="007D0D16" w:rsidRPr="00806455">
          <w:rPr>
            <w:rStyle w:val="Hyperlink"/>
            <w:noProof/>
          </w:rPr>
          <w:t>9.1</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Introduction</w:t>
        </w:r>
      </w:hyperlink>
    </w:p>
    <w:p w14:paraId="487E067F"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61" w:history="1">
        <w:r w:rsidR="007D0D16" w:rsidRPr="00806455">
          <w:rPr>
            <w:rStyle w:val="Hyperlink"/>
            <w:noProof/>
          </w:rPr>
          <w:t>9.2</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Capital costs an</w:t>
        </w:r>
        <w:r w:rsidR="007D0D16" w:rsidRPr="00806455">
          <w:rPr>
            <w:rStyle w:val="Hyperlink"/>
            <w:noProof/>
          </w:rPr>
          <w:t>d</w:t>
        </w:r>
        <w:r w:rsidR="007D0D16" w:rsidRPr="00806455">
          <w:rPr>
            <w:rStyle w:val="Hyperlink"/>
            <w:noProof/>
          </w:rPr>
          <w:t xml:space="preserve"> funding</w:t>
        </w:r>
      </w:hyperlink>
    </w:p>
    <w:p w14:paraId="25CC1A2B"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62" w:history="1">
        <w:r w:rsidR="007D0D16" w:rsidRPr="00806455">
          <w:rPr>
            <w:rStyle w:val="Hyperlink"/>
            <w:noProof/>
          </w:rPr>
          <w:t>9.3</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Revenue affordability</w:t>
        </w:r>
      </w:hyperlink>
    </w:p>
    <w:p w14:paraId="2214A9E8"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63" w:history="1">
        <w:r w:rsidR="007D0D16" w:rsidRPr="00806455">
          <w:rPr>
            <w:rStyle w:val="Hyperlink"/>
            <w:noProof/>
          </w:rPr>
          <w:t>9.4</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Accounting treatment and capital charges</w:t>
        </w:r>
      </w:hyperlink>
    </w:p>
    <w:p w14:paraId="0DC6EB4C"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64" w:history="1">
        <w:r w:rsidR="007D0D16" w:rsidRPr="00806455">
          <w:rPr>
            <w:rStyle w:val="Hyperlink"/>
            <w:noProof/>
          </w:rPr>
          <w:t>9.5</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Overall affordability</w:t>
        </w:r>
      </w:hyperlink>
    </w:p>
    <w:p w14:paraId="233D7710" w14:textId="77777777" w:rsidR="007D0D16" w:rsidRDefault="00AE5329">
      <w:pPr>
        <w:pStyle w:val="TOC1"/>
        <w:rPr>
          <w:rFonts w:asciiTheme="minorHAnsi" w:eastAsiaTheme="minorEastAsia" w:hAnsiTheme="minorHAnsi" w:cstheme="minorBidi"/>
          <w:b w:val="0"/>
          <w:noProof/>
          <w:color w:val="auto"/>
          <w:kern w:val="2"/>
          <w:sz w:val="24"/>
          <w:szCs w:val="24"/>
          <w:lang w:eastAsia="en-GB"/>
          <w14:ligatures w14:val="standardContextual"/>
        </w:rPr>
      </w:pPr>
      <w:hyperlink w:anchor="_Toc213865265" w:history="1">
        <w:r w:rsidR="007D0D16" w:rsidRPr="00806455">
          <w:rPr>
            <w:rStyle w:val="Hyperlink"/>
            <w:noProof/>
          </w:rPr>
          <w:t>Management Case</w:t>
        </w:r>
      </w:hyperlink>
    </w:p>
    <w:p w14:paraId="080D59FD" w14:textId="77777777" w:rsidR="007D0D16" w:rsidRDefault="00AE5329">
      <w:pPr>
        <w:pStyle w:val="TOC2"/>
        <w:rPr>
          <w:rFonts w:asciiTheme="minorHAnsi" w:eastAsiaTheme="minorEastAsia" w:hAnsiTheme="minorHAnsi" w:cstheme="minorBidi"/>
          <w:b w:val="0"/>
          <w:noProof/>
          <w:color w:val="auto"/>
          <w:kern w:val="2"/>
          <w:sz w:val="24"/>
          <w:szCs w:val="24"/>
          <w:lang w:eastAsia="en-GB"/>
          <w14:ligatures w14:val="standardContextual"/>
        </w:rPr>
      </w:pPr>
      <w:hyperlink w:anchor="_Toc213865266" w:history="1">
        <w:r w:rsidR="007D0D16" w:rsidRPr="00806455">
          <w:rPr>
            <w:rStyle w:val="Hyperlink"/>
            <w:noProof/>
          </w:rPr>
          <w:t>10</w:t>
        </w:r>
        <w:r w:rsidR="007D0D16">
          <w:rPr>
            <w:rFonts w:asciiTheme="minorHAnsi" w:eastAsiaTheme="minorEastAsia" w:hAnsiTheme="minorHAnsi" w:cstheme="minorBidi"/>
            <w:b w:val="0"/>
            <w:noProof/>
            <w:color w:val="auto"/>
            <w:kern w:val="2"/>
            <w:sz w:val="24"/>
            <w:szCs w:val="24"/>
            <w:lang w:eastAsia="en-GB"/>
            <w14:ligatures w14:val="standardContextual"/>
          </w:rPr>
          <w:tab/>
        </w:r>
        <w:r w:rsidR="007D0D16" w:rsidRPr="00806455">
          <w:rPr>
            <w:rStyle w:val="Hyperlink"/>
            <w:noProof/>
          </w:rPr>
          <w:t>Management arrangements</w:t>
        </w:r>
      </w:hyperlink>
    </w:p>
    <w:p w14:paraId="0341E2BB"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67" w:history="1">
        <w:r w:rsidR="007D0D16" w:rsidRPr="00806455">
          <w:rPr>
            <w:rStyle w:val="Hyperlink"/>
            <w:noProof/>
          </w:rPr>
          <w:t>10.1</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Introduction</w:t>
        </w:r>
      </w:hyperlink>
    </w:p>
    <w:p w14:paraId="11A3CCAB"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68" w:history="1">
        <w:r w:rsidR="007D0D16" w:rsidRPr="00806455">
          <w:rPr>
            <w:rStyle w:val="Hyperlink"/>
            <w:noProof/>
          </w:rPr>
          <w:t>10.2</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Project management arrangements</w:t>
        </w:r>
      </w:hyperlink>
    </w:p>
    <w:p w14:paraId="53EF8075"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69" w:history="1">
        <w:r w:rsidR="007D0D16" w:rsidRPr="00806455">
          <w:rPr>
            <w:rStyle w:val="Hyperlink"/>
            <w:noProof/>
          </w:rPr>
          <w:t>10.3</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Special advisors – roles and responsibilities</w:t>
        </w:r>
      </w:hyperlink>
    </w:p>
    <w:p w14:paraId="261FEC29"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70" w:history="1">
        <w:r w:rsidR="007D0D16" w:rsidRPr="00806455">
          <w:rPr>
            <w:rStyle w:val="Hyperlink"/>
            <w:noProof/>
          </w:rPr>
          <w:t>10.4</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PM and professional fees budget</w:t>
        </w:r>
      </w:hyperlink>
    </w:p>
    <w:p w14:paraId="31B3AAB3"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71" w:history="1">
        <w:r w:rsidR="007D0D16" w:rsidRPr="00806455">
          <w:rPr>
            <w:rStyle w:val="Hyperlink"/>
            <w:noProof/>
          </w:rPr>
          <w:t>10.5</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Key milestones</w:t>
        </w:r>
      </w:hyperlink>
    </w:p>
    <w:p w14:paraId="54A86BA5"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72" w:history="1">
        <w:r w:rsidR="007D0D16" w:rsidRPr="00806455">
          <w:rPr>
            <w:rStyle w:val="Hyperlink"/>
            <w:noProof/>
          </w:rPr>
          <w:t>10.6</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Workforce Plans</w:t>
        </w:r>
      </w:hyperlink>
    </w:p>
    <w:p w14:paraId="5C3671E1"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73" w:history="1">
        <w:r w:rsidR="007D0D16" w:rsidRPr="00806455">
          <w:rPr>
            <w:rStyle w:val="Hyperlink"/>
            <w:noProof/>
          </w:rPr>
          <w:t>10.7</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Stakeholder engagement</w:t>
        </w:r>
      </w:hyperlink>
    </w:p>
    <w:p w14:paraId="2FBBB5E2"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74" w:history="1">
        <w:r w:rsidR="007D0D16" w:rsidRPr="00806455">
          <w:rPr>
            <w:rStyle w:val="Hyperlink"/>
            <w:noProof/>
          </w:rPr>
          <w:t>10.8</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Project assurance</w:t>
        </w:r>
      </w:hyperlink>
    </w:p>
    <w:p w14:paraId="4F3D5D37"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75" w:history="1">
        <w:r w:rsidR="007D0D16" w:rsidRPr="00806455">
          <w:rPr>
            <w:rStyle w:val="Hyperlink"/>
            <w:noProof/>
          </w:rPr>
          <w:t>10.9</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Change management</w:t>
        </w:r>
      </w:hyperlink>
    </w:p>
    <w:p w14:paraId="002DF714"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76" w:history="1">
        <w:r w:rsidR="007D0D16" w:rsidRPr="00806455">
          <w:rPr>
            <w:rStyle w:val="Hyperlink"/>
            <w:noProof/>
          </w:rPr>
          <w:t>10.10</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Contingency plans</w:t>
        </w:r>
      </w:hyperlink>
    </w:p>
    <w:p w14:paraId="7E6C638C"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77" w:history="1">
        <w:r w:rsidR="007D0D16" w:rsidRPr="00806455">
          <w:rPr>
            <w:rStyle w:val="Hyperlink"/>
            <w:noProof/>
          </w:rPr>
          <w:t>10.11</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Benefits realisation</w:t>
        </w:r>
      </w:hyperlink>
    </w:p>
    <w:p w14:paraId="1F33F54A"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78" w:history="1">
        <w:r w:rsidR="007D0D16" w:rsidRPr="00806455">
          <w:rPr>
            <w:rStyle w:val="Hyperlink"/>
            <w:noProof/>
          </w:rPr>
          <w:t>10.12</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Risk management</w:t>
        </w:r>
      </w:hyperlink>
    </w:p>
    <w:p w14:paraId="2755CA50"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79" w:history="1">
        <w:r w:rsidR="007D0D16" w:rsidRPr="00806455">
          <w:rPr>
            <w:rStyle w:val="Hyperlink"/>
            <w:noProof/>
          </w:rPr>
          <w:t>10.13</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Contract management</w:t>
        </w:r>
      </w:hyperlink>
    </w:p>
    <w:p w14:paraId="213F1BE8" w14:textId="77777777" w:rsidR="007D0D16" w:rsidRDefault="00AE5329">
      <w:pPr>
        <w:pStyle w:val="TOC3"/>
        <w:rPr>
          <w:rFonts w:asciiTheme="minorHAnsi" w:eastAsiaTheme="minorEastAsia" w:hAnsiTheme="minorHAnsi" w:cstheme="minorBidi"/>
          <w:noProof/>
          <w:kern w:val="2"/>
          <w:sz w:val="24"/>
          <w:szCs w:val="24"/>
          <w:lang w:eastAsia="en-GB"/>
          <w14:ligatures w14:val="standardContextual"/>
        </w:rPr>
      </w:pPr>
      <w:hyperlink w:anchor="_Toc213865280" w:history="1">
        <w:r w:rsidR="007D0D16" w:rsidRPr="00806455">
          <w:rPr>
            <w:rStyle w:val="Hyperlink"/>
            <w:noProof/>
          </w:rPr>
          <w:t>10.14</w:t>
        </w:r>
        <w:r w:rsidR="007D0D16">
          <w:rPr>
            <w:rFonts w:asciiTheme="minorHAnsi" w:eastAsiaTheme="minorEastAsia" w:hAnsiTheme="minorHAnsi" w:cstheme="minorBidi"/>
            <w:noProof/>
            <w:kern w:val="2"/>
            <w:sz w:val="24"/>
            <w:szCs w:val="24"/>
            <w:lang w:eastAsia="en-GB"/>
            <w14:ligatures w14:val="standardContextual"/>
          </w:rPr>
          <w:tab/>
        </w:r>
        <w:r w:rsidR="007D0D16" w:rsidRPr="00806455">
          <w:rPr>
            <w:rStyle w:val="Hyperlink"/>
            <w:noProof/>
          </w:rPr>
          <w:t>Post-project evaluation</w:t>
        </w:r>
      </w:hyperlink>
    </w:p>
    <w:p w14:paraId="42A86570" w14:textId="0D1E59A4" w:rsidR="00E53CBD" w:rsidRPr="00CB4ED1" w:rsidRDefault="00D54DF5" w:rsidP="00AE4D15">
      <w:r w:rsidRPr="00CB4ED1">
        <w:fldChar w:fldCharType="end"/>
      </w:r>
    </w:p>
    <w:p w14:paraId="30FF4443" w14:textId="77777777" w:rsidR="00566F08" w:rsidRDefault="00566F08">
      <w:pPr>
        <w:spacing w:after="160" w:line="259" w:lineRule="auto"/>
        <w:rPr>
          <w:rFonts w:asciiTheme="majorHAnsi" w:eastAsiaTheme="majorEastAsia" w:hAnsiTheme="majorHAnsi" w:cstheme="majorBidi"/>
          <w:bCs/>
          <w:i/>
          <w:iCs/>
          <w:color w:val="356A91" w:themeColor="accent1"/>
          <w:sz w:val="24"/>
        </w:rPr>
      </w:pPr>
      <w:r>
        <w:br w:type="page"/>
      </w:r>
    </w:p>
    <w:p w14:paraId="7DA78A7E" w14:textId="77777777" w:rsidR="005A6CA6" w:rsidRDefault="005A6CA6" w:rsidP="005A6CA6">
      <w:pPr>
        <w:pStyle w:val="NoSpacing"/>
      </w:pPr>
    </w:p>
    <w:p w14:paraId="51485F37" w14:textId="7CCA72EB" w:rsidR="00B27690" w:rsidRPr="00CB4ED1" w:rsidRDefault="00B27690" w:rsidP="00B27690">
      <w:pPr>
        <w:pStyle w:val="Heading5"/>
      </w:pPr>
      <w:r w:rsidRPr="00CB4ED1">
        <w:t>Schedule of Tables</w:t>
      </w:r>
    </w:p>
    <w:p w14:paraId="4BFF62CA" w14:textId="77777777" w:rsidR="007D0D16" w:rsidRDefault="006873FF">
      <w:pPr>
        <w:pStyle w:val="TableofFigures"/>
        <w:rPr>
          <w:rFonts w:asciiTheme="minorHAnsi" w:eastAsiaTheme="minorEastAsia" w:hAnsiTheme="minorHAnsi" w:cstheme="minorBidi"/>
          <w:kern w:val="2"/>
          <w:sz w:val="24"/>
          <w:szCs w:val="24"/>
          <w:lang w:eastAsia="en-GB"/>
          <w14:ligatures w14:val="standardContextual"/>
        </w:rPr>
      </w:pPr>
      <w:r w:rsidRPr="00CB4ED1">
        <w:rPr>
          <w:noProof w:val="0"/>
          <w:sz w:val="19"/>
        </w:rPr>
        <w:fldChar w:fldCharType="begin"/>
      </w:r>
      <w:r w:rsidRPr="00CB4ED1">
        <w:rPr>
          <w:noProof w:val="0"/>
        </w:rPr>
        <w:instrText xml:space="preserve"> TOC \n \h \z \c "Table" </w:instrText>
      </w:r>
      <w:r w:rsidRPr="00CB4ED1">
        <w:rPr>
          <w:noProof w:val="0"/>
          <w:sz w:val="19"/>
        </w:rPr>
        <w:fldChar w:fldCharType="separate"/>
      </w:r>
      <w:hyperlink w:anchor="_Toc213865281" w:history="1">
        <w:r w:rsidR="007D0D16" w:rsidRPr="0033710E">
          <w:rPr>
            <w:rStyle w:val="Hyperlink"/>
          </w:rPr>
          <w:t>Table 1 - Spending objectives</w:t>
        </w:r>
      </w:hyperlink>
    </w:p>
    <w:p w14:paraId="1F7DBACC"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82" w:history="1">
        <w:r w:rsidR="007D0D16" w:rsidRPr="0033710E">
          <w:rPr>
            <w:rStyle w:val="Hyperlink"/>
          </w:rPr>
          <w:t>Table 2 - GIRFT best practice recommendations for elective orthopaedics</w:t>
        </w:r>
      </w:hyperlink>
    </w:p>
    <w:p w14:paraId="3573EEAA"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83" w:history="1">
        <w:r w:rsidR="007D0D16" w:rsidRPr="0033710E">
          <w:rPr>
            <w:rStyle w:val="Hyperlink"/>
          </w:rPr>
          <w:t>Table 3 - Engagement undertaken so far</w:t>
        </w:r>
      </w:hyperlink>
    </w:p>
    <w:p w14:paraId="3B97BF55"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84" w:history="1">
        <w:r w:rsidR="007D0D16" w:rsidRPr="0033710E">
          <w:rPr>
            <w:rStyle w:val="Hyperlink"/>
          </w:rPr>
          <w:t>Table 4 – Projected Orthopaedic demand growth (by UHB and region)</w:t>
        </w:r>
      </w:hyperlink>
    </w:p>
    <w:p w14:paraId="4793F5F9"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85" w:history="1">
        <w:r w:rsidR="007D0D16" w:rsidRPr="0033710E">
          <w:rPr>
            <w:rStyle w:val="Hyperlink"/>
          </w:rPr>
          <w:t>Table 5 - Future demand / capacity gaps for orthopaedics across the South East Wales region</w:t>
        </w:r>
      </w:hyperlink>
    </w:p>
    <w:p w14:paraId="12501FFC" w14:textId="77777777" w:rsidR="007D0D16" w:rsidRPr="00E67800"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86" w:history="1">
        <w:r w:rsidR="007D0D16" w:rsidRPr="00E67800">
          <w:rPr>
            <w:rStyle w:val="Hyperlink"/>
          </w:rPr>
          <w:t>Table 6 – Regional orthopaedic lower limb activity</w:t>
        </w:r>
      </w:hyperlink>
    </w:p>
    <w:p w14:paraId="26E7C7D0"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87" w:history="1">
        <w:r w:rsidR="007D0D16" w:rsidRPr="00E67800">
          <w:rPr>
            <w:rStyle w:val="Hyperlink"/>
          </w:rPr>
          <w:t>Table 7 – Orthopaedic lower limb forecast increase in activity (to 2034)</w:t>
        </w:r>
      </w:hyperlink>
    </w:p>
    <w:p w14:paraId="24E9320F"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88" w:history="1">
        <w:r w:rsidR="007D0D16" w:rsidRPr="0033710E">
          <w:rPr>
            <w:rStyle w:val="Hyperlink"/>
          </w:rPr>
          <w:t>Table 8 - LHP theatre capacity</w:t>
        </w:r>
      </w:hyperlink>
    </w:p>
    <w:p w14:paraId="21322578"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89" w:history="1">
        <w:r w:rsidR="007D0D16" w:rsidRPr="0033710E">
          <w:rPr>
            <w:rStyle w:val="Hyperlink"/>
          </w:rPr>
          <w:t>Table 9 - 5 Year demand and capacity modelling and impact of LHP capacity on net gap</w:t>
        </w:r>
      </w:hyperlink>
    </w:p>
    <w:p w14:paraId="1BD43307"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90" w:history="1">
        <w:r w:rsidR="007D0D16" w:rsidRPr="0033710E">
          <w:rPr>
            <w:rStyle w:val="Hyperlink"/>
          </w:rPr>
          <w:t>Table 10 - Main benefits</w:t>
        </w:r>
      </w:hyperlink>
    </w:p>
    <w:p w14:paraId="36B6637E"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91" w:history="1">
        <w:r w:rsidR="007D0D16" w:rsidRPr="0033710E">
          <w:rPr>
            <w:rStyle w:val="Hyperlink"/>
          </w:rPr>
          <w:t>Table 11 - Top risks</w:t>
        </w:r>
      </w:hyperlink>
    </w:p>
    <w:p w14:paraId="0E13AB59"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92" w:history="1">
        <w:r w:rsidR="007D0D16" w:rsidRPr="0033710E">
          <w:rPr>
            <w:rStyle w:val="Hyperlink"/>
          </w:rPr>
          <w:t>Table 12 – Capital Costs</w:t>
        </w:r>
      </w:hyperlink>
    </w:p>
    <w:p w14:paraId="23A12F41"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93" w:history="1">
        <w:r w:rsidR="007D0D16" w:rsidRPr="0033710E">
          <w:rPr>
            <w:rStyle w:val="Hyperlink"/>
          </w:rPr>
          <w:t>Table 13 - Lifecycle costs</w:t>
        </w:r>
      </w:hyperlink>
    </w:p>
    <w:p w14:paraId="799E93BF"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94" w:history="1">
        <w:r w:rsidR="007D0D16" w:rsidRPr="0033710E">
          <w:rPr>
            <w:rStyle w:val="Hyperlink"/>
          </w:rPr>
          <w:t>Table 14 – Annual revenue costs</w:t>
        </w:r>
      </w:hyperlink>
    </w:p>
    <w:p w14:paraId="5396FCFF"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95" w:history="1">
        <w:r w:rsidR="007D0D16" w:rsidRPr="0033710E">
          <w:rPr>
            <w:rStyle w:val="Hyperlink"/>
          </w:rPr>
          <w:t>Table 15 - Overview of Phase 2 (Orthopaedic) LHP benefits</w:t>
        </w:r>
      </w:hyperlink>
    </w:p>
    <w:p w14:paraId="6274B127"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96" w:history="1">
        <w:r w:rsidR="007D0D16" w:rsidRPr="0033710E">
          <w:rPr>
            <w:rStyle w:val="Hyperlink"/>
          </w:rPr>
          <w:t>Table 16 – Monetisable benefits values after confidence rating (when benefits are fully realised)</w:t>
        </w:r>
      </w:hyperlink>
    </w:p>
    <w:p w14:paraId="31BD224D"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97" w:history="1">
        <w:r w:rsidR="007D0D16" w:rsidRPr="0033710E">
          <w:rPr>
            <w:rStyle w:val="Hyperlink"/>
          </w:rPr>
          <w:t>Table 17 – Unmonetisable benefits analysis</w:t>
        </w:r>
      </w:hyperlink>
    </w:p>
    <w:p w14:paraId="3FD9A47C"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98" w:history="1">
        <w:r w:rsidR="007D0D16" w:rsidRPr="0033710E">
          <w:rPr>
            <w:rStyle w:val="Hyperlink"/>
          </w:rPr>
          <w:t>Table 18 - Risk assumptions</w:t>
        </w:r>
      </w:hyperlink>
    </w:p>
    <w:p w14:paraId="1B8811F3"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299" w:history="1">
        <w:r w:rsidR="007D0D16" w:rsidRPr="0033710E">
          <w:rPr>
            <w:rStyle w:val="Hyperlink"/>
          </w:rPr>
          <w:t xml:space="preserve">Table </w:t>
        </w:r>
        <w:r w:rsidR="007D0D16" w:rsidRPr="0033710E">
          <w:rPr>
            <w:rStyle w:val="Hyperlink"/>
            <w:highlight w:val="darkGray"/>
          </w:rPr>
          <w:t>19</w:t>
        </w:r>
        <w:r w:rsidR="007D0D16" w:rsidRPr="0033710E">
          <w:rPr>
            <w:rStyle w:val="Hyperlink"/>
          </w:rPr>
          <w:t xml:space="preserve"> - Economic summary</w:t>
        </w:r>
      </w:hyperlink>
    </w:p>
    <w:p w14:paraId="4E255624"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00" w:history="1">
        <w:r w:rsidR="007D0D16" w:rsidRPr="0033710E">
          <w:rPr>
            <w:rStyle w:val="Hyperlink"/>
          </w:rPr>
          <w:t xml:space="preserve">Table </w:t>
        </w:r>
        <w:r w:rsidR="007D0D16" w:rsidRPr="0033710E">
          <w:rPr>
            <w:rStyle w:val="Hyperlink"/>
            <w:highlight w:val="darkGray"/>
          </w:rPr>
          <w:t>20</w:t>
        </w:r>
        <w:r w:rsidR="007D0D16" w:rsidRPr="0033710E">
          <w:rPr>
            <w:rStyle w:val="Hyperlink"/>
          </w:rPr>
          <w:t xml:space="preserve"> - Sensitivity analysis – scenarios</w:t>
        </w:r>
      </w:hyperlink>
    </w:p>
    <w:p w14:paraId="09668C22"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01" w:history="1">
        <w:r w:rsidR="007D0D16" w:rsidRPr="0033710E">
          <w:rPr>
            <w:rStyle w:val="Hyperlink"/>
          </w:rPr>
          <w:t xml:space="preserve">Table </w:t>
        </w:r>
        <w:r w:rsidR="007D0D16" w:rsidRPr="0033710E">
          <w:rPr>
            <w:rStyle w:val="Hyperlink"/>
            <w:highlight w:val="darkGray"/>
          </w:rPr>
          <w:t>21</w:t>
        </w:r>
        <w:r w:rsidR="007D0D16" w:rsidRPr="0033710E">
          <w:rPr>
            <w:rStyle w:val="Hyperlink"/>
          </w:rPr>
          <w:t xml:space="preserve"> - Results of options appraisal</w:t>
        </w:r>
      </w:hyperlink>
    </w:p>
    <w:p w14:paraId="3E1A9ACA"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02" w:history="1">
        <w:r w:rsidR="007D0D16" w:rsidRPr="0033710E">
          <w:rPr>
            <w:rStyle w:val="Hyperlink"/>
          </w:rPr>
          <w:t>Table 22 - Comparison of phased PSC fees to original tendered fees</w:t>
        </w:r>
      </w:hyperlink>
    </w:p>
    <w:p w14:paraId="1DB11831"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03" w:history="1">
        <w:r w:rsidR="007D0D16" w:rsidRPr="0033710E">
          <w:rPr>
            <w:rStyle w:val="Hyperlink"/>
          </w:rPr>
          <w:t>Table 23 – Total costs</w:t>
        </w:r>
      </w:hyperlink>
    </w:p>
    <w:p w14:paraId="2DF9DD5A"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04" w:history="1">
        <w:r w:rsidR="007D0D16" w:rsidRPr="0033710E">
          <w:rPr>
            <w:rStyle w:val="Hyperlink"/>
          </w:rPr>
          <w:t>Table 24 – Opportunities and risks</w:t>
        </w:r>
      </w:hyperlink>
    </w:p>
    <w:p w14:paraId="65AD9F75"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05" w:history="1">
        <w:r w:rsidR="007D0D16" w:rsidRPr="0033710E">
          <w:rPr>
            <w:rStyle w:val="Hyperlink"/>
          </w:rPr>
          <w:t>Table 25 – Capital Costs</w:t>
        </w:r>
      </w:hyperlink>
    </w:p>
    <w:p w14:paraId="50CB3C92"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06" w:history="1">
        <w:r w:rsidR="007D0D16" w:rsidRPr="0033710E">
          <w:rPr>
            <w:rStyle w:val="Hyperlink"/>
          </w:rPr>
          <w:t>Table 26 – Capital cashflow and funding sources</w:t>
        </w:r>
      </w:hyperlink>
    </w:p>
    <w:p w14:paraId="1FDF8A8D"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07" w:history="1">
        <w:r w:rsidR="007D0D16" w:rsidRPr="0033710E">
          <w:rPr>
            <w:rStyle w:val="Hyperlink"/>
          </w:rPr>
          <w:t>Table 27 – Summary of revenue costs</w:t>
        </w:r>
      </w:hyperlink>
    </w:p>
    <w:p w14:paraId="5DD31112"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08" w:history="1">
        <w:r w:rsidR="007D0D16" w:rsidRPr="0033710E">
          <w:rPr>
            <w:rStyle w:val="Hyperlink"/>
          </w:rPr>
          <w:t>Table 28 – Sources of funding</w:t>
        </w:r>
      </w:hyperlink>
    </w:p>
    <w:p w14:paraId="0542D52E"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09" w:history="1">
        <w:r w:rsidR="007D0D16" w:rsidRPr="0033710E">
          <w:rPr>
            <w:rStyle w:val="Hyperlink"/>
          </w:rPr>
          <w:t>Table 29 - Funding model</w:t>
        </w:r>
      </w:hyperlink>
    </w:p>
    <w:p w14:paraId="6FF8FFED"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10" w:history="1">
        <w:r w:rsidR="007D0D16" w:rsidRPr="0033710E">
          <w:rPr>
            <w:rStyle w:val="Hyperlink"/>
          </w:rPr>
          <w:t>Table 30 – Professional fees for Phase 2</w:t>
        </w:r>
      </w:hyperlink>
    </w:p>
    <w:p w14:paraId="3E7F2C78"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11" w:history="1">
        <w:r w:rsidR="007D0D16" w:rsidRPr="0033710E">
          <w:rPr>
            <w:rStyle w:val="Hyperlink"/>
          </w:rPr>
          <w:t>Table 31 - Project timeline</w:t>
        </w:r>
      </w:hyperlink>
    </w:p>
    <w:p w14:paraId="2FD9DDB9"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12" w:history="1">
        <w:r w:rsidR="007D0D16" w:rsidRPr="0033710E">
          <w:rPr>
            <w:rStyle w:val="Hyperlink"/>
          </w:rPr>
          <w:t>Table 32 - Risk consequence definitions</w:t>
        </w:r>
      </w:hyperlink>
    </w:p>
    <w:p w14:paraId="541BCBC9"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13" w:history="1">
        <w:r w:rsidR="007D0D16" w:rsidRPr="0033710E">
          <w:rPr>
            <w:rStyle w:val="Hyperlink"/>
          </w:rPr>
          <w:t xml:space="preserve">Table 33 - Risk </w:t>
        </w:r>
        <w:r w:rsidR="007D0D16" w:rsidRPr="0033710E">
          <w:rPr>
            <w:rStyle w:val="Hyperlink"/>
            <w:b/>
            <w:bCs/>
          </w:rPr>
          <w:t>likelihood</w:t>
        </w:r>
        <w:r w:rsidR="007D0D16" w:rsidRPr="0033710E">
          <w:rPr>
            <w:rStyle w:val="Hyperlink"/>
          </w:rPr>
          <w:t xml:space="preserve"> definitions</w:t>
        </w:r>
      </w:hyperlink>
    </w:p>
    <w:p w14:paraId="60799F8A" w14:textId="4965C618" w:rsidR="00B27690" w:rsidRPr="00CB4ED1" w:rsidRDefault="006873FF">
      <w:pPr>
        <w:spacing w:after="160"/>
      </w:pPr>
      <w:r w:rsidRPr="00CB4ED1">
        <w:rPr>
          <w:b/>
          <w:bCs/>
        </w:rPr>
        <w:fldChar w:fldCharType="end"/>
      </w:r>
    </w:p>
    <w:p w14:paraId="4C7B509E" w14:textId="77777777" w:rsidR="006B3A58" w:rsidRPr="00CB4ED1" w:rsidRDefault="00E03D46" w:rsidP="005A6CA6">
      <w:pPr>
        <w:pStyle w:val="NoSpacing"/>
      </w:pPr>
      <w:r w:rsidRPr="00CB4ED1">
        <w:br w:type="column"/>
      </w:r>
    </w:p>
    <w:p w14:paraId="1C9E34DF" w14:textId="74CBE0C8" w:rsidR="00B27690" w:rsidRPr="00CB4ED1" w:rsidRDefault="00B27690" w:rsidP="00B27690">
      <w:pPr>
        <w:pStyle w:val="Heading5"/>
      </w:pPr>
      <w:r w:rsidRPr="00CB4ED1">
        <w:t>Schedule of Figures</w:t>
      </w:r>
    </w:p>
    <w:p w14:paraId="4B59D0BC" w14:textId="77777777" w:rsidR="007D0D16" w:rsidRDefault="006873FF">
      <w:pPr>
        <w:pStyle w:val="TableofFigures"/>
        <w:rPr>
          <w:rFonts w:asciiTheme="minorHAnsi" w:eastAsiaTheme="minorEastAsia" w:hAnsiTheme="minorHAnsi" w:cstheme="minorBidi"/>
          <w:kern w:val="2"/>
          <w:sz w:val="24"/>
          <w:szCs w:val="24"/>
          <w:lang w:eastAsia="en-GB"/>
          <w14:ligatures w14:val="standardContextual"/>
        </w:rPr>
      </w:pPr>
      <w:r w:rsidRPr="00CB4ED1">
        <w:rPr>
          <w:noProof w:val="0"/>
          <w:sz w:val="19"/>
        </w:rPr>
        <w:fldChar w:fldCharType="begin"/>
      </w:r>
      <w:r w:rsidRPr="00CB4ED1">
        <w:rPr>
          <w:noProof w:val="0"/>
        </w:rPr>
        <w:instrText xml:space="preserve"> TOC \n \h \z \c "Figure" </w:instrText>
      </w:r>
      <w:r w:rsidRPr="00CB4ED1">
        <w:rPr>
          <w:noProof w:val="0"/>
          <w:sz w:val="19"/>
        </w:rPr>
        <w:fldChar w:fldCharType="separate"/>
      </w:r>
      <w:hyperlink w:anchor="_Toc213865314" w:history="1">
        <w:r w:rsidR="007D0D16" w:rsidRPr="00D8084C">
          <w:rPr>
            <w:rStyle w:val="Hyperlink"/>
          </w:rPr>
          <w:t>Figure 1 - Welsh Government programme for Transforming and Modernising Planned Care Goals and Priorities</w:t>
        </w:r>
      </w:hyperlink>
    </w:p>
    <w:p w14:paraId="4FA9A13A"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15" w:history="1">
        <w:r w:rsidR="007D0D16" w:rsidRPr="00D8084C">
          <w:rPr>
            <w:rStyle w:val="Hyperlink"/>
          </w:rPr>
          <w:t>Figure 2 - SEW lower limb IPDC treatment, demand v capacity</w:t>
        </w:r>
      </w:hyperlink>
    </w:p>
    <w:p w14:paraId="399AFB3F"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16" w:history="1">
        <w:r w:rsidR="007D0D16" w:rsidRPr="00D8084C">
          <w:rPr>
            <w:rStyle w:val="Hyperlink"/>
          </w:rPr>
          <w:t>Figure 3 - Digital framework</w:t>
        </w:r>
      </w:hyperlink>
    </w:p>
    <w:p w14:paraId="09A57D2D"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17" w:history="1">
        <w:r w:rsidR="007D0D16" w:rsidRPr="00D8084C">
          <w:rPr>
            <w:rStyle w:val="Hyperlink"/>
          </w:rPr>
          <w:t>Figure 4 - Digital architecture framework</w:t>
        </w:r>
      </w:hyperlink>
    </w:p>
    <w:p w14:paraId="2CBFE04B"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18" w:history="1">
        <w:r w:rsidR="007D0D16" w:rsidRPr="00D8084C">
          <w:rPr>
            <w:rStyle w:val="Hyperlink"/>
          </w:rPr>
          <w:t xml:space="preserve">Figure 5 - </w:t>
        </w:r>
        <w:r w:rsidR="007D0D16" w:rsidRPr="00D8084C">
          <w:rPr>
            <w:rStyle w:val="Hyperlink"/>
            <w:rFonts w:cs="Arial"/>
          </w:rPr>
          <w:t>Benefit analysis process</w:t>
        </w:r>
      </w:hyperlink>
    </w:p>
    <w:p w14:paraId="580C78E2"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19" w:history="1">
        <w:r w:rsidR="007D0D16" w:rsidRPr="00D8084C">
          <w:rPr>
            <w:rStyle w:val="Hyperlink"/>
          </w:rPr>
          <w:t>Figure 6 – Investment logic mapping approach</w:t>
        </w:r>
      </w:hyperlink>
    </w:p>
    <w:p w14:paraId="7186558F"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20" w:history="1">
        <w:r w:rsidR="007D0D16" w:rsidRPr="00D8084C">
          <w:rPr>
            <w:rStyle w:val="Hyperlink"/>
          </w:rPr>
          <w:t xml:space="preserve">Figure 7 – Benefits mapping: creation of </w:t>
        </w:r>
        <w:r w:rsidR="007D0D16" w:rsidRPr="00D8084C">
          <w:rPr>
            <w:rStyle w:val="Hyperlink"/>
            <w:b/>
            <w:bCs/>
          </w:rPr>
          <w:t>Surgical Hub</w:t>
        </w:r>
      </w:hyperlink>
    </w:p>
    <w:p w14:paraId="498D3886"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21" w:history="1">
        <w:r w:rsidR="007D0D16" w:rsidRPr="00D8084C">
          <w:rPr>
            <w:rStyle w:val="Hyperlink"/>
          </w:rPr>
          <w:t>Figure 8 – Benefits mapping: model of care transformation</w:t>
        </w:r>
      </w:hyperlink>
    </w:p>
    <w:p w14:paraId="49BE43F9"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22" w:history="1">
        <w:r w:rsidR="007D0D16" w:rsidRPr="00D8084C">
          <w:rPr>
            <w:rStyle w:val="Hyperlink"/>
          </w:rPr>
          <w:t xml:space="preserve">Figure 9 – Benefits mapping: </w:t>
        </w:r>
        <w:r w:rsidR="007D0D16" w:rsidRPr="00D8084C">
          <w:rPr>
            <w:rStyle w:val="Hyperlink"/>
            <w:b/>
            <w:bCs/>
          </w:rPr>
          <w:t>patient experience</w:t>
        </w:r>
      </w:hyperlink>
    </w:p>
    <w:p w14:paraId="23427263"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23" w:history="1">
        <w:r w:rsidR="007D0D16" w:rsidRPr="00D8084C">
          <w:rPr>
            <w:rStyle w:val="Hyperlink"/>
          </w:rPr>
          <w:t xml:space="preserve">Figure 10 – Benefits </w:t>
        </w:r>
        <w:r w:rsidR="007D0D16" w:rsidRPr="00D8084C">
          <w:rPr>
            <w:rStyle w:val="Hyperlink"/>
            <w:b/>
            <w:bCs/>
          </w:rPr>
          <w:t>mapping: sustainable estate</w:t>
        </w:r>
      </w:hyperlink>
    </w:p>
    <w:p w14:paraId="472B0C04"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24" w:history="1">
        <w:r w:rsidR="007D0D16" w:rsidRPr="00D8084C">
          <w:rPr>
            <w:rStyle w:val="Hyperlink"/>
          </w:rPr>
          <w:t>Figure 11 – Benefits categories</w:t>
        </w:r>
      </w:hyperlink>
    </w:p>
    <w:p w14:paraId="5978DD4D"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25" w:history="1">
        <w:r w:rsidR="007D0D16" w:rsidRPr="00D8084C">
          <w:rPr>
            <w:rStyle w:val="Hyperlink"/>
          </w:rPr>
          <w:t>Figure 12 – Benefits approach</w:t>
        </w:r>
      </w:hyperlink>
    </w:p>
    <w:p w14:paraId="0CCEC9BD"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26" w:history="1">
        <w:r w:rsidR="007D0D16" w:rsidRPr="00D8084C">
          <w:rPr>
            <w:rStyle w:val="Hyperlink"/>
          </w:rPr>
          <w:t>Figure 13 – Benefits categories</w:t>
        </w:r>
      </w:hyperlink>
    </w:p>
    <w:p w14:paraId="741E0750"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27" w:history="1">
        <w:r w:rsidR="007D0D16" w:rsidRPr="00D8084C">
          <w:rPr>
            <w:rStyle w:val="Hyperlink"/>
            <w:rFonts w:cs="Arial"/>
          </w:rPr>
          <w:t>Figure 14 - Risk quantification approach using single-point probability analysis</w:t>
        </w:r>
      </w:hyperlink>
    </w:p>
    <w:p w14:paraId="3F0B75FC"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28" w:history="1">
        <w:r w:rsidR="007D0D16" w:rsidRPr="00D8084C">
          <w:rPr>
            <w:rStyle w:val="Hyperlink"/>
          </w:rPr>
          <w:t>Figure 15 - Project management principles and themes</w:t>
        </w:r>
      </w:hyperlink>
    </w:p>
    <w:p w14:paraId="35BA0A02"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29" w:history="1">
        <w:r w:rsidR="007D0D16" w:rsidRPr="00D8084C">
          <w:rPr>
            <w:rStyle w:val="Hyperlink"/>
          </w:rPr>
          <w:t>Figure 16 - Project governance arrangements</w:t>
        </w:r>
      </w:hyperlink>
    </w:p>
    <w:p w14:paraId="3D1EB0D0"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30" w:history="1">
        <w:r w:rsidR="007D0D16" w:rsidRPr="00D8084C">
          <w:rPr>
            <w:rStyle w:val="Hyperlink"/>
          </w:rPr>
          <w:t>Figure 17 - All Wales strategic workforce planning key requirements</w:t>
        </w:r>
      </w:hyperlink>
    </w:p>
    <w:p w14:paraId="5D71FD58"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31" w:history="1">
        <w:r w:rsidR="007D0D16" w:rsidRPr="00D8084C">
          <w:rPr>
            <w:rStyle w:val="Hyperlink"/>
          </w:rPr>
          <w:t>Figure 18 - Fig – All Wales strategic workforce planning six step framework</w:t>
        </w:r>
      </w:hyperlink>
    </w:p>
    <w:p w14:paraId="7910F461" w14:textId="77777777" w:rsidR="007D0D16" w:rsidRDefault="00AE5329">
      <w:pPr>
        <w:pStyle w:val="TableofFigures"/>
        <w:rPr>
          <w:rFonts w:asciiTheme="minorHAnsi" w:eastAsiaTheme="minorEastAsia" w:hAnsiTheme="minorHAnsi" w:cstheme="minorBidi"/>
          <w:kern w:val="2"/>
          <w:sz w:val="24"/>
          <w:szCs w:val="24"/>
          <w:lang w:eastAsia="en-GB"/>
          <w14:ligatures w14:val="standardContextual"/>
        </w:rPr>
      </w:pPr>
      <w:hyperlink w:anchor="_Toc213865332" w:history="1">
        <w:r w:rsidR="007D0D16" w:rsidRPr="00D8084C">
          <w:rPr>
            <w:rStyle w:val="Hyperlink"/>
          </w:rPr>
          <w:t>Figure 19 - Risk scoring matrix (Likelihood x Consequence = Risk score)</w:t>
        </w:r>
      </w:hyperlink>
    </w:p>
    <w:p w14:paraId="3F05CB15" w14:textId="1A7C1E28" w:rsidR="001963EE" w:rsidRPr="00CB4ED1" w:rsidRDefault="006873FF">
      <w:pPr>
        <w:spacing w:after="160"/>
        <w:rPr>
          <w:b/>
          <w:bCs/>
        </w:rPr>
      </w:pPr>
      <w:r w:rsidRPr="00CB4ED1">
        <w:rPr>
          <w:b/>
          <w:bCs/>
        </w:rPr>
        <w:fldChar w:fldCharType="end"/>
      </w:r>
    </w:p>
    <w:p w14:paraId="084D8698" w14:textId="77777777" w:rsidR="006873FF" w:rsidRPr="00CB4ED1" w:rsidRDefault="006873FF">
      <w:pPr>
        <w:spacing w:after="160"/>
        <w:rPr>
          <w:b/>
          <w:bCs/>
        </w:rPr>
      </w:pPr>
    </w:p>
    <w:p w14:paraId="074E77A5" w14:textId="5C4CC5CF" w:rsidR="006873FF" w:rsidRPr="00CB4ED1" w:rsidRDefault="006873FF">
      <w:pPr>
        <w:spacing w:after="160"/>
        <w:rPr>
          <w:b/>
          <w:bCs/>
        </w:rPr>
        <w:sectPr w:rsidR="006873FF" w:rsidRPr="00CB4ED1" w:rsidSect="0026148B">
          <w:headerReference w:type="default" r:id="rId17"/>
          <w:headerReference w:type="first" r:id="rId18"/>
          <w:footerReference w:type="first" r:id="rId19"/>
          <w:type w:val="continuous"/>
          <w:pgSz w:w="11906" w:h="16838" w:code="9"/>
          <w:pgMar w:top="964" w:right="1134" w:bottom="1531" w:left="1134" w:header="284" w:footer="454" w:gutter="0"/>
          <w:cols w:num="2" w:space="708"/>
          <w:formProt w:val="0"/>
          <w:docGrid w:linePitch="360"/>
        </w:sectPr>
      </w:pPr>
    </w:p>
    <w:p w14:paraId="7EDD2A69" w14:textId="77777777" w:rsidR="005A6CA6" w:rsidRDefault="005A6CA6">
      <w:pPr>
        <w:spacing w:after="160" w:line="259" w:lineRule="auto"/>
        <w:rPr>
          <w:rFonts w:asciiTheme="majorHAnsi" w:eastAsiaTheme="majorEastAsia" w:hAnsiTheme="majorHAnsi" w:cstheme="majorBidi"/>
          <w:bCs/>
          <w:color w:val="356A91" w:themeColor="accent1"/>
          <w:sz w:val="32"/>
          <w:szCs w:val="26"/>
        </w:rPr>
      </w:pPr>
      <w:r>
        <w:br w:type="page"/>
      </w:r>
    </w:p>
    <w:p w14:paraId="4F19BA3B" w14:textId="3A0221F3" w:rsidR="00E635F6" w:rsidRPr="00CB4ED1" w:rsidRDefault="00C716F8" w:rsidP="00E635F6">
      <w:pPr>
        <w:pStyle w:val="Heading2ALT"/>
      </w:pPr>
      <w:bookmarkStart w:id="1" w:name="_Toc213865194"/>
      <w:r w:rsidRPr="00CB4ED1">
        <w:lastRenderedPageBreak/>
        <w:t>Summary sheet</w:t>
      </w:r>
      <w:bookmarkEnd w:id="1"/>
    </w:p>
    <w:p w14:paraId="3C45CB5E" w14:textId="067CD861" w:rsidR="00E635F6" w:rsidRPr="00CB4ED1" w:rsidRDefault="00E635F6" w:rsidP="005A6CA6">
      <w:pPr>
        <w:pStyle w:val="NoSpacing"/>
      </w:pPr>
    </w:p>
    <w:tbl>
      <w:tblPr>
        <w:tblW w:w="5000" w:type="pct"/>
        <w:tblCellMar>
          <w:left w:w="0" w:type="dxa"/>
          <w:right w:w="0" w:type="dxa"/>
        </w:tblCellMar>
        <w:tblLook w:val="04A0" w:firstRow="1" w:lastRow="0" w:firstColumn="1" w:lastColumn="0" w:noHBand="0" w:noVBand="1"/>
      </w:tblPr>
      <w:tblGrid>
        <w:gridCol w:w="2541"/>
        <w:gridCol w:w="7077"/>
      </w:tblGrid>
      <w:tr w:rsidR="00244FB8" w:rsidRPr="00CB4ED1" w14:paraId="3F7A901A" w14:textId="77777777" w:rsidTr="009B5DE6">
        <w:trPr>
          <w:tblHeader/>
        </w:trPr>
        <w:tc>
          <w:tcPr>
            <w:tcW w:w="5000" w:type="pct"/>
            <w:gridSpan w:val="2"/>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shd w:val="clear" w:color="auto" w:fill="DBE8F1" w:themeFill="accent4"/>
            <w:tcMar>
              <w:top w:w="85" w:type="dxa"/>
              <w:left w:w="85" w:type="dxa"/>
            </w:tcMar>
            <w:vAlign w:val="center"/>
          </w:tcPr>
          <w:p w14:paraId="5B16B597" w14:textId="6C7C6CE8" w:rsidR="00244FB8" w:rsidRPr="00CB4ED1" w:rsidRDefault="00E249B5" w:rsidP="005A6CA6">
            <w:pPr>
              <w:spacing w:before="60" w:after="60"/>
              <w:ind w:left="709" w:hanging="709"/>
              <w:rPr>
                <w:b/>
                <w:bCs/>
                <w:color w:val="000000"/>
                <w:sz w:val="24"/>
                <w:szCs w:val="24"/>
                <w:lang w:eastAsia="en-GB"/>
              </w:rPr>
            </w:pPr>
            <w:r w:rsidRPr="00CB4ED1">
              <w:rPr>
                <w:b/>
                <w:bCs/>
                <w:color w:val="000000"/>
                <w:sz w:val="24"/>
                <w:szCs w:val="24"/>
                <w:lang w:eastAsia="en-GB"/>
              </w:rPr>
              <w:t xml:space="preserve">Llantrisant </w:t>
            </w:r>
            <w:r w:rsidR="00244FB8" w:rsidRPr="00CB4ED1">
              <w:rPr>
                <w:b/>
                <w:bCs/>
                <w:color w:val="000000"/>
                <w:sz w:val="24"/>
                <w:szCs w:val="24"/>
                <w:lang w:eastAsia="en-GB"/>
              </w:rPr>
              <w:t>Health Centre</w:t>
            </w:r>
          </w:p>
          <w:p w14:paraId="5C979D4E" w14:textId="1C58995C" w:rsidR="00244FB8" w:rsidRPr="00CB4ED1" w:rsidRDefault="003B7671" w:rsidP="005A6CA6">
            <w:pPr>
              <w:spacing w:before="60" w:after="60"/>
              <w:rPr>
                <w:color w:val="000000"/>
                <w:lang w:eastAsia="en-GB"/>
              </w:rPr>
            </w:pPr>
            <w:r w:rsidRPr="00CB4ED1">
              <w:rPr>
                <w:lang w:eastAsia="en-GB"/>
              </w:rPr>
              <w:t>OUTLINE BUSINESS CASE (OBC) – HIGH VALUE (OVER £2 MILLION VALUE OF PROCUREMENT)</w:t>
            </w:r>
          </w:p>
        </w:tc>
      </w:tr>
      <w:tr w:rsidR="00E4307F" w:rsidRPr="00CB4ED1" w14:paraId="0CCF1B06" w14:textId="77777777" w:rsidTr="009B5DE6">
        <w:tc>
          <w:tcPr>
            <w:tcW w:w="1321" w:type="pct"/>
            <w:tcBorders>
              <w:top w:val="nil"/>
              <w:left w:val="single" w:sz="8" w:space="0" w:color="BFBFBF" w:themeColor="accent6" w:themeShade="BF"/>
              <w:bottom w:val="single" w:sz="8" w:space="0" w:color="BFBFBF" w:themeColor="accent6" w:themeShade="BF"/>
              <w:right w:val="single" w:sz="8" w:space="0" w:color="BFBFBF" w:themeColor="accent6" w:themeShade="BF"/>
            </w:tcBorders>
            <w:tcMar>
              <w:top w:w="85" w:type="dxa"/>
              <w:left w:w="85" w:type="dxa"/>
            </w:tcMar>
            <w:vAlign w:val="center"/>
          </w:tcPr>
          <w:p w14:paraId="2B19FE35" w14:textId="54B7635C" w:rsidR="00E4307F" w:rsidRPr="00CB4ED1" w:rsidRDefault="00244FB8" w:rsidP="005A6CA6">
            <w:pPr>
              <w:spacing w:before="60" w:after="60"/>
            </w:pPr>
            <w:bookmarkStart w:id="2" w:name="_Hlk89353104"/>
            <w:r w:rsidRPr="00CB4ED1">
              <w:t>SRO</w:t>
            </w:r>
          </w:p>
        </w:tc>
        <w:tc>
          <w:tcPr>
            <w:tcW w:w="3679" w:type="pct"/>
            <w:tcBorders>
              <w:top w:val="nil"/>
              <w:left w:val="single" w:sz="8" w:space="0" w:color="BFBFBF" w:themeColor="accent6" w:themeShade="BF"/>
              <w:bottom w:val="single" w:sz="8" w:space="0" w:color="BFBFBF" w:themeColor="accent6" w:themeShade="BF"/>
              <w:right w:val="single" w:sz="8" w:space="0" w:color="BFBFBF" w:themeColor="accent6" w:themeShade="BF"/>
            </w:tcBorders>
            <w:tcMar>
              <w:top w:w="85" w:type="dxa"/>
              <w:left w:w="85" w:type="dxa"/>
              <w:bottom w:w="0" w:type="dxa"/>
              <w:right w:w="108" w:type="dxa"/>
            </w:tcMar>
            <w:vAlign w:val="center"/>
          </w:tcPr>
          <w:p w14:paraId="1F39F094" w14:textId="193D6636" w:rsidR="00E4307F" w:rsidRPr="00CB4ED1" w:rsidRDefault="00E4697D" w:rsidP="005A6CA6">
            <w:pPr>
              <w:spacing w:before="60" w:after="60"/>
            </w:pPr>
            <w:r w:rsidRPr="00CB4ED1">
              <w:t xml:space="preserve">Paul Mears, CEO Cwm Taf </w:t>
            </w:r>
            <w:r w:rsidR="67937277" w:rsidRPr="00CB4ED1">
              <w:t>Morgannwg</w:t>
            </w:r>
            <w:r w:rsidR="639670F8" w:rsidRPr="00CB4ED1">
              <w:t xml:space="preserve"> </w:t>
            </w:r>
            <w:r w:rsidR="136FF75D" w:rsidRPr="00CB4ED1">
              <w:t>University Health Board</w:t>
            </w:r>
          </w:p>
        </w:tc>
      </w:tr>
      <w:tr w:rsidR="00E4307F" w:rsidRPr="00CB4ED1" w14:paraId="64409D15" w14:textId="77777777" w:rsidTr="009B5DE6">
        <w:tc>
          <w:tcPr>
            <w:tcW w:w="1321" w:type="pct"/>
            <w:tcBorders>
              <w:top w:val="nil"/>
              <w:left w:val="single" w:sz="8" w:space="0" w:color="BFBFBF" w:themeColor="accent6" w:themeShade="BF"/>
              <w:bottom w:val="single" w:sz="8" w:space="0" w:color="BFBFBF" w:themeColor="accent6" w:themeShade="BF"/>
              <w:right w:val="single" w:sz="8" w:space="0" w:color="BFBFBF" w:themeColor="accent6" w:themeShade="BF"/>
            </w:tcBorders>
            <w:tcMar>
              <w:top w:w="85" w:type="dxa"/>
              <w:left w:w="85" w:type="dxa"/>
            </w:tcMar>
            <w:vAlign w:val="center"/>
          </w:tcPr>
          <w:p w14:paraId="68825A31" w14:textId="77C3C0C9" w:rsidR="00E4307F" w:rsidRPr="00CB4ED1" w:rsidRDefault="00244FB8" w:rsidP="005A6CA6">
            <w:pPr>
              <w:spacing w:before="60" w:after="60"/>
            </w:pPr>
            <w:r w:rsidRPr="00CB4ED1">
              <w:t>Pro</w:t>
            </w:r>
            <w:r w:rsidR="00E249B5" w:rsidRPr="00CB4ED1">
              <w:t>gramme</w:t>
            </w:r>
            <w:r w:rsidRPr="00CB4ED1">
              <w:t xml:space="preserve"> </w:t>
            </w:r>
            <w:r w:rsidR="00E249B5" w:rsidRPr="00CB4ED1">
              <w:t>Director</w:t>
            </w:r>
          </w:p>
        </w:tc>
        <w:tc>
          <w:tcPr>
            <w:tcW w:w="3679" w:type="pct"/>
            <w:tcBorders>
              <w:top w:val="nil"/>
              <w:left w:val="single" w:sz="8" w:space="0" w:color="BFBFBF" w:themeColor="accent6" w:themeShade="BF"/>
              <w:bottom w:val="single" w:sz="8" w:space="0" w:color="BFBFBF" w:themeColor="accent6" w:themeShade="BF"/>
              <w:right w:val="single" w:sz="8" w:space="0" w:color="BFBFBF" w:themeColor="accent6" w:themeShade="BF"/>
            </w:tcBorders>
            <w:tcMar>
              <w:top w:w="85" w:type="dxa"/>
              <w:left w:w="85" w:type="dxa"/>
              <w:bottom w:w="0" w:type="dxa"/>
              <w:right w:w="108" w:type="dxa"/>
            </w:tcMar>
            <w:vAlign w:val="center"/>
          </w:tcPr>
          <w:p w14:paraId="6BCAF5B2" w14:textId="791FDEE8" w:rsidR="00E4307F" w:rsidRPr="00CB4ED1" w:rsidRDefault="00E249B5" w:rsidP="005A6CA6">
            <w:pPr>
              <w:spacing w:before="60" w:after="60"/>
            </w:pPr>
            <w:r w:rsidRPr="00CB4ED1">
              <w:t>Rosie Cavill, Programme Director</w:t>
            </w:r>
          </w:p>
        </w:tc>
      </w:tr>
      <w:tr w:rsidR="00E4307F" w:rsidRPr="00CB4ED1" w14:paraId="65F6449D" w14:textId="77777777" w:rsidTr="009B5DE6">
        <w:tc>
          <w:tcPr>
            <w:tcW w:w="1321" w:type="pct"/>
            <w:tcBorders>
              <w:top w:val="nil"/>
              <w:left w:val="single" w:sz="8" w:space="0" w:color="BFBFBF" w:themeColor="accent6" w:themeShade="BF"/>
              <w:bottom w:val="single" w:sz="8" w:space="0" w:color="BFBFBF" w:themeColor="accent6" w:themeShade="BF"/>
              <w:right w:val="single" w:sz="8" w:space="0" w:color="BFBFBF" w:themeColor="accent6" w:themeShade="BF"/>
            </w:tcBorders>
            <w:tcMar>
              <w:top w:w="85" w:type="dxa"/>
              <w:left w:w="85" w:type="dxa"/>
            </w:tcMar>
            <w:vAlign w:val="center"/>
          </w:tcPr>
          <w:p w14:paraId="09668939" w14:textId="070B8767" w:rsidR="00E4307F" w:rsidRPr="00CB4ED1" w:rsidRDefault="00244FB8" w:rsidP="005A6CA6">
            <w:pPr>
              <w:spacing w:before="60" w:after="60"/>
            </w:pPr>
            <w:r w:rsidRPr="00CB4ED1">
              <w:t>Organisation</w:t>
            </w:r>
          </w:p>
        </w:tc>
        <w:tc>
          <w:tcPr>
            <w:tcW w:w="3679" w:type="pct"/>
            <w:tcBorders>
              <w:top w:val="nil"/>
              <w:left w:val="single" w:sz="8" w:space="0" w:color="BFBFBF" w:themeColor="accent6" w:themeShade="BF"/>
              <w:bottom w:val="single" w:sz="8" w:space="0" w:color="BFBFBF" w:themeColor="accent6" w:themeShade="BF"/>
              <w:right w:val="single" w:sz="8" w:space="0" w:color="BFBFBF" w:themeColor="accent6" w:themeShade="BF"/>
            </w:tcBorders>
            <w:tcMar>
              <w:top w:w="85" w:type="dxa"/>
              <w:left w:w="85" w:type="dxa"/>
              <w:bottom w:w="0" w:type="dxa"/>
              <w:right w:w="108" w:type="dxa"/>
            </w:tcMar>
            <w:vAlign w:val="center"/>
          </w:tcPr>
          <w:p w14:paraId="6CFDB263" w14:textId="77777777" w:rsidR="00E4307F" w:rsidRPr="00CB4ED1" w:rsidRDefault="00E249B5" w:rsidP="005A6CA6">
            <w:pPr>
              <w:spacing w:before="60" w:after="60"/>
            </w:pPr>
            <w:r w:rsidRPr="00CB4ED1">
              <w:t>Cwm Taf Morgannwg University Health Board</w:t>
            </w:r>
          </w:p>
          <w:p w14:paraId="0458E5D5" w14:textId="152F07EE" w:rsidR="00E249B5" w:rsidRPr="00CB4ED1" w:rsidRDefault="00E249B5" w:rsidP="005A6CA6">
            <w:pPr>
              <w:spacing w:before="60" w:after="60"/>
            </w:pPr>
            <w:r w:rsidRPr="00CB4ED1">
              <w:t xml:space="preserve">Cardiff </w:t>
            </w:r>
            <w:r w:rsidR="006E1F56" w:rsidRPr="00CB4ED1">
              <w:t xml:space="preserve">and </w:t>
            </w:r>
            <w:r w:rsidRPr="00CB4ED1">
              <w:t>Vale University Health Board</w:t>
            </w:r>
          </w:p>
          <w:p w14:paraId="3DAB0BF3" w14:textId="41E3DA3E" w:rsidR="00E249B5" w:rsidRPr="00CB4ED1" w:rsidRDefault="00E4697D" w:rsidP="005A6CA6">
            <w:pPr>
              <w:spacing w:before="60" w:after="60"/>
            </w:pPr>
            <w:r w:rsidRPr="00CB4ED1">
              <w:t>Aneurin Bevan University Health Board</w:t>
            </w:r>
          </w:p>
        </w:tc>
      </w:tr>
      <w:bookmarkEnd w:id="2"/>
    </w:tbl>
    <w:p w14:paraId="17710B87" w14:textId="77777777" w:rsidR="003B5C4B" w:rsidRPr="00CB4ED1" w:rsidRDefault="003B5C4B" w:rsidP="003B5C4B"/>
    <w:p w14:paraId="6DE1123E" w14:textId="77777777" w:rsidR="003B5C4B" w:rsidRPr="00CB4ED1" w:rsidRDefault="003B5C4B" w:rsidP="003B5C4B"/>
    <w:p w14:paraId="79C7DF5D" w14:textId="6E85D672" w:rsidR="002703CE" w:rsidRPr="00CB4ED1" w:rsidRDefault="002703CE" w:rsidP="007D0D16">
      <w:pPr>
        <w:pStyle w:val="Heading4"/>
      </w:pPr>
      <w:r w:rsidRPr="00CB4ED1">
        <w:t>Version control – record of edits</w:t>
      </w:r>
    </w:p>
    <w:tbl>
      <w:tblPr>
        <w:tblW w:w="9464" w:type="dxa"/>
        <w:tblInd w:w="-113" w:type="dxa"/>
        <w:tbl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insideH w:val="single" w:sz="4" w:space="0" w:color="BFBFBF" w:themeColor="accent6" w:themeShade="BF"/>
          <w:insideV w:val="single" w:sz="4" w:space="0" w:color="BFBFBF" w:themeColor="accent6" w:themeShade="BF"/>
        </w:tblBorders>
        <w:tblLayout w:type="fixed"/>
        <w:tblLook w:val="01E0" w:firstRow="1" w:lastRow="1" w:firstColumn="1" w:lastColumn="1" w:noHBand="0" w:noVBand="0"/>
      </w:tblPr>
      <w:tblGrid>
        <w:gridCol w:w="1242"/>
        <w:gridCol w:w="4536"/>
        <w:gridCol w:w="2268"/>
        <w:gridCol w:w="1418"/>
      </w:tblGrid>
      <w:tr w:rsidR="00345A8F" w:rsidRPr="007D0D16" w14:paraId="7B27875D" w14:textId="77777777" w:rsidTr="007D0D16">
        <w:trPr>
          <w:tblHeader/>
        </w:trPr>
        <w:tc>
          <w:tcPr>
            <w:tcW w:w="1242" w:type="dxa"/>
            <w:shd w:val="clear" w:color="auto" w:fill="374264" w:themeFill="text2"/>
            <w:vAlign w:val="center"/>
          </w:tcPr>
          <w:p w14:paraId="03D0E25B" w14:textId="77777777" w:rsidR="002D4F84" w:rsidRPr="007D0D16" w:rsidRDefault="002D4F84" w:rsidP="007D0D16">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80" w:after="80"/>
              <w:rPr>
                <w:rFonts w:cs="Arial"/>
                <w:b/>
                <w:color w:val="FFFFFF" w:themeColor="background1"/>
                <w:sz w:val="20"/>
                <w:szCs w:val="20"/>
              </w:rPr>
            </w:pPr>
            <w:r w:rsidRPr="007D0D16">
              <w:rPr>
                <w:rFonts w:cs="Arial"/>
                <w:b/>
                <w:color w:val="FFFFFF" w:themeColor="background1"/>
                <w:sz w:val="20"/>
                <w:szCs w:val="20"/>
              </w:rPr>
              <w:t>Version</w:t>
            </w:r>
          </w:p>
        </w:tc>
        <w:tc>
          <w:tcPr>
            <w:tcW w:w="4536" w:type="dxa"/>
            <w:shd w:val="clear" w:color="auto" w:fill="374264" w:themeFill="text2"/>
            <w:vAlign w:val="center"/>
          </w:tcPr>
          <w:p w14:paraId="7F88825D" w14:textId="77777777" w:rsidR="002D4F84" w:rsidRPr="007D0D16" w:rsidRDefault="002D4F84" w:rsidP="007D0D16">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80" w:after="80"/>
              <w:rPr>
                <w:rFonts w:cs="Arial"/>
                <w:b/>
                <w:color w:val="FFFFFF" w:themeColor="background1"/>
                <w:sz w:val="20"/>
                <w:szCs w:val="20"/>
              </w:rPr>
            </w:pPr>
            <w:r w:rsidRPr="007D0D16">
              <w:rPr>
                <w:rFonts w:cs="Arial"/>
                <w:b/>
                <w:color w:val="FFFFFF" w:themeColor="background1"/>
                <w:sz w:val="20"/>
                <w:szCs w:val="20"/>
              </w:rPr>
              <w:t>Changes made</w:t>
            </w:r>
          </w:p>
        </w:tc>
        <w:tc>
          <w:tcPr>
            <w:tcW w:w="2268" w:type="dxa"/>
            <w:shd w:val="clear" w:color="auto" w:fill="374264" w:themeFill="text2"/>
            <w:vAlign w:val="center"/>
          </w:tcPr>
          <w:p w14:paraId="32FE2AAA" w14:textId="77777777" w:rsidR="002D4F84" w:rsidRPr="007D0D16" w:rsidRDefault="002D4F84" w:rsidP="007D0D16">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80" w:after="80"/>
              <w:rPr>
                <w:rFonts w:cs="Arial"/>
                <w:b/>
                <w:color w:val="FFFFFF" w:themeColor="background1"/>
                <w:sz w:val="20"/>
                <w:szCs w:val="20"/>
              </w:rPr>
            </w:pPr>
            <w:r w:rsidRPr="007D0D16">
              <w:rPr>
                <w:rFonts w:cs="Arial"/>
                <w:b/>
                <w:color w:val="FFFFFF" w:themeColor="background1"/>
                <w:sz w:val="20"/>
                <w:szCs w:val="20"/>
              </w:rPr>
              <w:t>By</w:t>
            </w:r>
          </w:p>
        </w:tc>
        <w:tc>
          <w:tcPr>
            <w:tcW w:w="1418" w:type="dxa"/>
            <w:shd w:val="clear" w:color="auto" w:fill="374264" w:themeFill="text2"/>
            <w:vAlign w:val="center"/>
          </w:tcPr>
          <w:p w14:paraId="29A00689" w14:textId="77777777" w:rsidR="002D4F84" w:rsidRPr="007D0D16" w:rsidRDefault="002D4F84" w:rsidP="007D0D16">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80" w:after="80"/>
              <w:rPr>
                <w:rFonts w:cs="Arial"/>
                <w:b/>
                <w:color w:val="FFFFFF" w:themeColor="background1"/>
                <w:sz w:val="20"/>
                <w:szCs w:val="20"/>
              </w:rPr>
            </w:pPr>
            <w:r w:rsidRPr="007D0D16">
              <w:rPr>
                <w:rFonts w:cs="Arial"/>
                <w:b/>
                <w:color w:val="FFFFFF" w:themeColor="background1"/>
                <w:sz w:val="20"/>
                <w:szCs w:val="20"/>
              </w:rPr>
              <w:t>Date</w:t>
            </w:r>
          </w:p>
        </w:tc>
      </w:tr>
      <w:tr w:rsidR="00345A8F" w:rsidRPr="007D0D16" w14:paraId="60803D7D" w14:textId="77777777" w:rsidTr="007D0D16">
        <w:tc>
          <w:tcPr>
            <w:tcW w:w="1242" w:type="dxa"/>
            <w:shd w:val="clear" w:color="auto" w:fill="FFFFFF" w:themeFill="accent6"/>
            <w:vAlign w:val="center"/>
          </w:tcPr>
          <w:p w14:paraId="3680F392" w14:textId="17208ADD" w:rsidR="002D4F84" w:rsidRPr="007D0D16" w:rsidRDefault="002D4F84" w:rsidP="007D0D16">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80" w:after="80"/>
              <w:rPr>
                <w:rFonts w:cs="Arial"/>
                <w:bCs/>
                <w:sz w:val="20"/>
                <w:szCs w:val="20"/>
              </w:rPr>
            </w:pPr>
            <w:r w:rsidRPr="007D0D16">
              <w:rPr>
                <w:rFonts w:cs="Arial"/>
                <w:bCs/>
                <w:sz w:val="20"/>
                <w:szCs w:val="20"/>
              </w:rPr>
              <w:t>0.1</w:t>
            </w:r>
          </w:p>
        </w:tc>
        <w:tc>
          <w:tcPr>
            <w:tcW w:w="4536" w:type="dxa"/>
            <w:shd w:val="clear" w:color="auto" w:fill="FFFFFF" w:themeFill="accent6"/>
            <w:vAlign w:val="center"/>
          </w:tcPr>
          <w:p w14:paraId="0C0CFA64" w14:textId="25970137" w:rsidR="002D4F84" w:rsidRPr="007D0D16" w:rsidRDefault="002D4F84" w:rsidP="007D0D16">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80" w:after="80"/>
              <w:rPr>
                <w:rFonts w:cs="Arial"/>
                <w:bCs/>
                <w:sz w:val="20"/>
                <w:szCs w:val="20"/>
              </w:rPr>
            </w:pPr>
            <w:r w:rsidRPr="007D0D16">
              <w:rPr>
                <w:rFonts w:cs="Arial"/>
                <w:bCs/>
                <w:sz w:val="20"/>
                <w:szCs w:val="20"/>
              </w:rPr>
              <w:t>Set up template and populate using relevant origin</w:t>
            </w:r>
            <w:r w:rsidR="004C62B0" w:rsidRPr="007D0D16">
              <w:rPr>
                <w:rFonts w:cs="Arial"/>
                <w:bCs/>
                <w:sz w:val="20"/>
                <w:szCs w:val="20"/>
              </w:rPr>
              <w:t>al OBC content</w:t>
            </w:r>
          </w:p>
        </w:tc>
        <w:tc>
          <w:tcPr>
            <w:tcW w:w="2268" w:type="dxa"/>
            <w:shd w:val="clear" w:color="auto" w:fill="FFFFFF" w:themeFill="accent6"/>
            <w:vAlign w:val="center"/>
          </w:tcPr>
          <w:p w14:paraId="68EE7357" w14:textId="4F7A641A" w:rsidR="002D4F84" w:rsidRPr="007D0D16" w:rsidRDefault="004C62B0" w:rsidP="007D0D16">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80" w:after="80"/>
              <w:rPr>
                <w:rFonts w:cs="Arial"/>
                <w:bCs/>
                <w:sz w:val="20"/>
                <w:szCs w:val="20"/>
              </w:rPr>
            </w:pPr>
            <w:r w:rsidRPr="007D0D16">
              <w:rPr>
                <w:rFonts w:cs="Arial"/>
                <w:bCs/>
                <w:sz w:val="20"/>
                <w:szCs w:val="20"/>
              </w:rPr>
              <w:t>Bev Letherby</w:t>
            </w:r>
          </w:p>
        </w:tc>
        <w:tc>
          <w:tcPr>
            <w:tcW w:w="1418" w:type="dxa"/>
            <w:shd w:val="clear" w:color="auto" w:fill="FFFFFF" w:themeFill="accent6"/>
            <w:vAlign w:val="center"/>
          </w:tcPr>
          <w:p w14:paraId="0A89B8B9" w14:textId="661EBA21" w:rsidR="002D4F84" w:rsidRPr="007D0D16" w:rsidRDefault="004C62B0" w:rsidP="007D0D16">
            <w:pPr>
              <w:tabs>
                <w:tab w:val="left" w:pos="566"/>
                <w:tab w:val="left" w:pos="1133"/>
                <w:tab w:val="left" w:pos="1700"/>
                <w:tab w:val="left" w:pos="2267"/>
                <w:tab w:val="left" w:pos="2834"/>
                <w:tab w:val="left" w:pos="3401"/>
                <w:tab w:val="left" w:pos="3968"/>
                <w:tab w:val="left" w:pos="4535"/>
                <w:tab w:val="left" w:pos="5102"/>
                <w:tab w:val="left" w:pos="5669"/>
                <w:tab w:val="left" w:pos="6236"/>
                <w:tab w:val="left" w:pos="6803"/>
              </w:tabs>
              <w:spacing w:before="80" w:after="80"/>
              <w:rPr>
                <w:rFonts w:cs="Arial"/>
                <w:bCs/>
                <w:sz w:val="20"/>
                <w:szCs w:val="20"/>
              </w:rPr>
            </w:pPr>
            <w:r w:rsidRPr="007D0D16">
              <w:rPr>
                <w:rFonts w:cs="Arial"/>
                <w:bCs/>
                <w:sz w:val="20"/>
                <w:szCs w:val="20"/>
              </w:rPr>
              <w:t>07/10/</w:t>
            </w:r>
            <w:r w:rsidR="002D4F84" w:rsidRPr="007D0D16">
              <w:rPr>
                <w:rFonts w:cs="Arial"/>
                <w:bCs/>
                <w:sz w:val="20"/>
                <w:szCs w:val="20"/>
              </w:rPr>
              <w:t>25</w:t>
            </w:r>
          </w:p>
        </w:tc>
      </w:tr>
      <w:tr w:rsidR="00345A8F" w:rsidRPr="007D0D16" w14:paraId="4B4AF583" w14:textId="77777777" w:rsidTr="007D0D16">
        <w:tc>
          <w:tcPr>
            <w:tcW w:w="1242" w:type="dxa"/>
            <w:vAlign w:val="center"/>
          </w:tcPr>
          <w:p w14:paraId="32C3CBAA" w14:textId="0CEAF64C" w:rsidR="002D4F84" w:rsidRPr="007D0D16" w:rsidRDefault="00C05AF7" w:rsidP="007D0D16">
            <w:pPr>
              <w:spacing w:before="80" w:after="80"/>
              <w:rPr>
                <w:rFonts w:cs="Arial"/>
                <w:bCs/>
                <w:sz w:val="20"/>
                <w:szCs w:val="20"/>
              </w:rPr>
            </w:pPr>
            <w:r w:rsidRPr="007D0D16">
              <w:rPr>
                <w:rFonts w:cs="Arial"/>
                <w:bCs/>
                <w:sz w:val="20"/>
                <w:szCs w:val="20"/>
              </w:rPr>
              <w:t>0.2</w:t>
            </w:r>
          </w:p>
        </w:tc>
        <w:tc>
          <w:tcPr>
            <w:tcW w:w="4536" w:type="dxa"/>
            <w:vAlign w:val="center"/>
          </w:tcPr>
          <w:p w14:paraId="1C68F7C6" w14:textId="620B4F4C" w:rsidR="002D4F84" w:rsidRPr="007D0D16" w:rsidRDefault="00C05AF7" w:rsidP="007D0D16">
            <w:pPr>
              <w:spacing w:before="80" w:after="80"/>
              <w:rPr>
                <w:rFonts w:cs="Arial"/>
                <w:bCs/>
                <w:sz w:val="20"/>
                <w:szCs w:val="20"/>
              </w:rPr>
            </w:pPr>
            <w:r w:rsidRPr="007D0D16">
              <w:rPr>
                <w:rFonts w:cs="Arial"/>
                <w:bCs/>
                <w:sz w:val="20"/>
                <w:szCs w:val="20"/>
              </w:rPr>
              <w:t xml:space="preserve">Updated Strategic </w:t>
            </w:r>
            <w:r w:rsidR="00F67096" w:rsidRPr="007D0D16">
              <w:rPr>
                <w:rFonts w:cs="Arial"/>
                <w:bCs/>
                <w:sz w:val="20"/>
                <w:szCs w:val="20"/>
              </w:rPr>
              <w:t>Case</w:t>
            </w:r>
          </w:p>
        </w:tc>
        <w:tc>
          <w:tcPr>
            <w:tcW w:w="2268" w:type="dxa"/>
            <w:vAlign w:val="center"/>
          </w:tcPr>
          <w:p w14:paraId="01F6378F" w14:textId="66EE0B6C" w:rsidR="002D4F84" w:rsidRPr="007D0D16" w:rsidRDefault="00C05AF7" w:rsidP="007D0D16">
            <w:pPr>
              <w:spacing w:before="80" w:after="80"/>
              <w:rPr>
                <w:rFonts w:cs="Arial"/>
                <w:bCs/>
                <w:sz w:val="20"/>
                <w:szCs w:val="20"/>
              </w:rPr>
            </w:pPr>
            <w:r w:rsidRPr="007D0D16">
              <w:rPr>
                <w:rFonts w:cs="Arial"/>
                <w:bCs/>
                <w:sz w:val="20"/>
                <w:szCs w:val="20"/>
              </w:rPr>
              <w:t xml:space="preserve">Glenys Mansfield </w:t>
            </w:r>
          </w:p>
        </w:tc>
        <w:tc>
          <w:tcPr>
            <w:tcW w:w="1418" w:type="dxa"/>
            <w:vAlign w:val="center"/>
          </w:tcPr>
          <w:p w14:paraId="5E24F800" w14:textId="55390EE4" w:rsidR="002D4F84" w:rsidRPr="007D0D16" w:rsidRDefault="00C05AF7" w:rsidP="007D0D16">
            <w:pPr>
              <w:spacing w:before="80" w:after="80"/>
              <w:rPr>
                <w:rFonts w:cs="Arial"/>
                <w:bCs/>
                <w:sz w:val="20"/>
                <w:szCs w:val="20"/>
              </w:rPr>
            </w:pPr>
            <w:r w:rsidRPr="007D0D16">
              <w:rPr>
                <w:rFonts w:cs="Arial"/>
                <w:bCs/>
                <w:sz w:val="20"/>
                <w:szCs w:val="20"/>
              </w:rPr>
              <w:t>28/10/25</w:t>
            </w:r>
          </w:p>
        </w:tc>
      </w:tr>
      <w:tr w:rsidR="00345A8F" w:rsidRPr="007D0D16" w14:paraId="724F1DCF" w14:textId="77777777" w:rsidTr="007D0D16">
        <w:tc>
          <w:tcPr>
            <w:tcW w:w="1242" w:type="dxa"/>
            <w:vAlign w:val="center"/>
          </w:tcPr>
          <w:p w14:paraId="15B97071" w14:textId="7344763A" w:rsidR="002D4F84" w:rsidRPr="007D0D16" w:rsidRDefault="00F64CEF" w:rsidP="007D0D16">
            <w:pPr>
              <w:spacing w:before="80" w:after="80"/>
              <w:rPr>
                <w:rFonts w:cs="Arial"/>
                <w:bCs/>
                <w:sz w:val="20"/>
                <w:szCs w:val="20"/>
              </w:rPr>
            </w:pPr>
            <w:r w:rsidRPr="007D0D16">
              <w:rPr>
                <w:rFonts w:cs="Arial"/>
                <w:bCs/>
                <w:sz w:val="20"/>
                <w:szCs w:val="20"/>
              </w:rPr>
              <w:t>0.3</w:t>
            </w:r>
          </w:p>
        </w:tc>
        <w:tc>
          <w:tcPr>
            <w:tcW w:w="4536" w:type="dxa"/>
            <w:vAlign w:val="center"/>
          </w:tcPr>
          <w:p w14:paraId="061B6E54" w14:textId="365738AE" w:rsidR="002D4F84" w:rsidRPr="007D0D16" w:rsidRDefault="00F67096" w:rsidP="007D0D16">
            <w:pPr>
              <w:spacing w:before="80" w:after="80"/>
              <w:rPr>
                <w:rFonts w:cs="Arial"/>
                <w:bCs/>
                <w:sz w:val="20"/>
                <w:szCs w:val="20"/>
              </w:rPr>
            </w:pPr>
            <w:r w:rsidRPr="007D0D16">
              <w:rPr>
                <w:rFonts w:cs="Arial"/>
                <w:bCs/>
                <w:sz w:val="20"/>
                <w:szCs w:val="20"/>
              </w:rPr>
              <w:t xml:space="preserve">Strategic Case </w:t>
            </w:r>
            <w:r w:rsidR="00100CB7" w:rsidRPr="007D0D16">
              <w:rPr>
                <w:rFonts w:cs="Arial"/>
                <w:bCs/>
                <w:sz w:val="20"/>
                <w:szCs w:val="20"/>
              </w:rPr>
              <w:t>and commercial case updates</w:t>
            </w:r>
          </w:p>
        </w:tc>
        <w:tc>
          <w:tcPr>
            <w:tcW w:w="2268" w:type="dxa"/>
            <w:vAlign w:val="center"/>
          </w:tcPr>
          <w:p w14:paraId="656446BC" w14:textId="163E7B30" w:rsidR="002D4F84" w:rsidRPr="007D0D16" w:rsidRDefault="00100CB7" w:rsidP="007D0D16">
            <w:pPr>
              <w:spacing w:before="80" w:after="80"/>
              <w:rPr>
                <w:rFonts w:cs="Arial"/>
                <w:bCs/>
                <w:sz w:val="20"/>
                <w:szCs w:val="20"/>
              </w:rPr>
            </w:pPr>
            <w:r w:rsidRPr="007D0D16">
              <w:rPr>
                <w:rFonts w:cs="Arial"/>
                <w:bCs/>
                <w:sz w:val="20"/>
                <w:szCs w:val="20"/>
              </w:rPr>
              <w:t>Rosie Cavill</w:t>
            </w:r>
          </w:p>
        </w:tc>
        <w:tc>
          <w:tcPr>
            <w:tcW w:w="1418" w:type="dxa"/>
            <w:vAlign w:val="center"/>
          </w:tcPr>
          <w:p w14:paraId="6E0C8B76" w14:textId="51FEB364" w:rsidR="002D4F84" w:rsidRPr="007D0D16" w:rsidRDefault="00100CB7" w:rsidP="007D0D16">
            <w:pPr>
              <w:spacing w:before="80" w:after="80"/>
              <w:rPr>
                <w:rFonts w:cs="Arial"/>
                <w:bCs/>
                <w:sz w:val="20"/>
                <w:szCs w:val="20"/>
              </w:rPr>
            </w:pPr>
            <w:r w:rsidRPr="007D0D16">
              <w:rPr>
                <w:rFonts w:cs="Arial"/>
                <w:bCs/>
                <w:sz w:val="20"/>
                <w:szCs w:val="20"/>
              </w:rPr>
              <w:t>2</w:t>
            </w:r>
            <w:r w:rsidR="005B45DE" w:rsidRPr="007D0D16">
              <w:rPr>
                <w:rFonts w:cs="Arial"/>
                <w:bCs/>
                <w:sz w:val="20"/>
                <w:szCs w:val="20"/>
              </w:rPr>
              <w:t>8/</w:t>
            </w:r>
            <w:r w:rsidRPr="007D0D16">
              <w:rPr>
                <w:rFonts w:cs="Arial"/>
                <w:bCs/>
                <w:sz w:val="20"/>
                <w:szCs w:val="20"/>
              </w:rPr>
              <w:t>10/25</w:t>
            </w:r>
          </w:p>
        </w:tc>
      </w:tr>
      <w:tr w:rsidR="00345A8F" w:rsidRPr="007D0D16" w14:paraId="352DA3AB" w14:textId="77777777" w:rsidTr="007D0D16">
        <w:tc>
          <w:tcPr>
            <w:tcW w:w="1242" w:type="dxa"/>
            <w:vAlign w:val="center"/>
          </w:tcPr>
          <w:p w14:paraId="6037766C" w14:textId="32CDF3C4" w:rsidR="002D4F84" w:rsidRPr="007D0D16" w:rsidRDefault="005B45DE" w:rsidP="007D0D16">
            <w:pPr>
              <w:spacing w:before="80" w:after="80"/>
              <w:rPr>
                <w:rFonts w:cs="Arial"/>
                <w:bCs/>
                <w:sz w:val="20"/>
                <w:szCs w:val="20"/>
              </w:rPr>
            </w:pPr>
            <w:r w:rsidRPr="007D0D16">
              <w:rPr>
                <w:rFonts w:cs="Arial"/>
                <w:bCs/>
                <w:sz w:val="20"/>
                <w:szCs w:val="20"/>
              </w:rPr>
              <w:t>0.4</w:t>
            </w:r>
          </w:p>
        </w:tc>
        <w:tc>
          <w:tcPr>
            <w:tcW w:w="4536" w:type="dxa"/>
            <w:vAlign w:val="center"/>
          </w:tcPr>
          <w:p w14:paraId="4AC7008C" w14:textId="32D263CC" w:rsidR="002D4F84" w:rsidRPr="007D0D16" w:rsidRDefault="005B45DE" w:rsidP="007D0D16">
            <w:pPr>
              <w:spacing w:before="80" w:after="80"/>
              <w:rPr>
                <w:rFonts w:cs="Arial"/>
                <w:bCs/>
                <w:sz w:val="20"/>
                <w:szCs w:val="20"/>
              </w:rPr>
            </w:pPr>
            <w:r w:rsidRPr="007D0D16">
              <w:rPr>
                <w:rFonts w:cs="Arial"/>
                <w:bCs/>
                <w:sz w:val="20"/>
                <w:szCs w:val="20"/>
              </w:rPr>
              <w:t xml:space="preserve">Updated master version </w:t>
            </w:r>
          </w:p>
        </w:tc>
        <w:tc>
          <w:tcPr>
            <w:tcW w:w="2268" w:type="dxa"/>
            <w:vAlign w:val="center"/>
          </w:tcPr>
          <w:p w14:paraId="4F6CE99A" w14:textId="4CD30EF5" w:rsidR="002D4F84" w:rsidRPr="007D0D16" w:rsidRDefault="005B45DE" w:rsidP="007D0D16">
            <w:pPr>
              <w:spacing w:before="80" w:after="80"/>
              <w:rPr>
                <w:rFonts w:cs="Arial"/>
                <w:bCs/>
                <w:sz w:val="20"/>
                <w:szCs w:val="20"/>
              </w:rPr>
            </w:pPr>
            <w:r w:rsidRPr="007D0D16">
              <w:rPr>
                <w:rFonts w:cs="Arial"/>
                <w:bCs/>
                <w:sz w:val="20"/>
                <w:szCs w:val="20"/>
              </w:rPr>
              <w:t>Bev Letherby</w:t>
            </w:r>
          </w:p>
        </w:tc>
        <w:tc>
          <w:tcPr>
            <w:tcW w:w="1418" w:type="dxa"/>
            <w:vAlign w:val="center"/>
          </w:tcPr>
          <w:p w14:paraId="6A9A1BE9" w14:textId="012E8F8B" w:rsidR="002D4F84" w:rsidRPr="007D0D16" w:rsidRDefault="005B45DE" w:rsidP="007D0D16">
            <w:pPr>
              <w:spacing w:before="80" w:after="80"/>
              <w:rPr>
                <w:rFonts w:cs="Arial"/>
                <w:bCs/>
                <w:sz w:val="20"/>
                <w:szCs w:val="20"/>
              </w:rPr>
            </w:pPr>
            <w:r w:rsidRPr="007D0D16">
              <w:rPr>
                <w:rFonts w:cs="Arial"/>
                <w:bCs/>
                <w:sz w:val="20"/>
                <w:szCs w:val="20"/>
              </w:rPr>
              <w:t>29/10/25</w:t>
            </w:r>
          </w:p>
        </w:tc>
      </w:tr>
      <w:tr w:rsidR="00345A8F" w:rsidRPr="007D0D16" w14:paraId="2E0950B8" w14:textId="77777777" w:rsidTr="007D0D16">
        <w:tc>
          <w:tcPr>
            <w:tcW w:w="1242" w:type="dxa"/>
            <w:vAlign w:val="center"/>
          </w:tcPr>
          <w:p w14:paraId="32ECB1C9" w14:textId="4D45A8C9" w:rsidR="002D4F84" w:rsidRPr="007D0D16" w:rsidRDefault="00BA3941" w:rsidP="007D0D16">
            <w:pPr>
              <w:spacing w:before="80" w:after="80"/>
              <w:rPr>
                <w:rFonts w:cs="Arial"/>
                <w:bCs/>
                <w:sz w:val="20"/>
                <w:szCs w:val="20"/>
              </w:rPr>
            </w:pPr>
            <w:r w:rsidRPr="007D0D16">
              <w:rPr>
                <w:rFonts w:cs="Arial"/>
                <w:bCs/>
                <w:sz w:val="20"/>
                <w:szCs w:val="20"/>
              </w:rPr>
              <w:t>0.4a</w:t>
            </w:r>
          </w:p>
        </w:tc>
        <w:tc>
          <w:tcPr>
            <w:tcW w:w="4536" w:type="dxa"/>
            <w:vAlign w:val="center"/>
          </w:tcPr>
          <w:p w14:paraId="3D6D3D9E" w14:textId="22565C2A" w:rsidR="002D4F84" w:rsidRPr="007D0D16" w:rsidRDefault="00BA3941" w:rsidP="007D0D16">
            <w:pPr>
              <w:spacing w:before="80" w:after="80"/>
              <w:rPr>
                <w:rFonts w:cs="Arial"/>
                <w:sz w:val="20"/>
                <w:szCs w:val="20"/>
              </w:rPr>
            </w:pPr>
            <w:r w:rsidRPr="007D0D16">
              <w:rPr>
                <w:rFonts w:cs="Arial"/>
                <w:sz w:val="20"/>
                <w:szCs w:val="20"/>
              </w:rPr>
              <w:t>Formatted version</w:t>
            </w:r>
          </w:p>
        </w:tc>
        <w:tc>
          <w:tcPr>
            <w:tcW w:w="2268" w:type="dxa"/>
            <w:vAlign w:val="center"/>
          </w:tcPr>
          <w:p w14:paraId="22E1A8D2" w14:textId="3136E9F9" w:rsidR="002D4F84" w:rsidRPr="007D0D16" w:rsidRDefault="00BA3941" w:rsidP="007D0D16">
            <w:pPr>
              <w:spacing w:before="80" w:after="80"/>
              <w:rPr>
                <w:rFonts w:cs="Arial"/>
                <w:sz w:val="20"/>
                <w:szCs w:val="20"/>
              </w:rPr>
            </w:pPr>
            <w:r w:rsidRPr="007D0D16">
              <w:rPr>
                <w:rFonts w:cs="Arial"/>
                <w:sz w:val="20"/>
                <w:szCs w:val="20"/>
              </w:rPr>
              <w:t>Kath Leeder</w:t>
            </w:r>
          </w:p>
        </w:tc>
        <w:tc>
          <w:tcPr>
            <w:tcW w:w="1418" w:type="dxa"/>
            <w:vAlign w:val="center"/>
          </w:tcPr>
          <w:p w14:paraId="616D0297" w14:textId="2503E3F5" w:rsidR="002D4F84" w:rsidRPr="007D0D16" w:rsidRDefault="00BA3941" w:rsidP="007D0D16">
            <w:pPr>
              <w:spacing w:before="80" w:after="80"/>
              <w:rPr>
                <w:rFonts w:cs="Arial"/>
                <w:sz w:val="20"/>
                <w:szCs w:val="20"/>
              </w:rPr>
            </w:pPr>
            <w:r w:rsidRPr="007D0D16">
              <w:rPr>
                <w:rFonts w:cs="Arial"/>
                <w:sz w:val="20"/>
                <w:szCs w:val="20"/>
              </w:rPr>
              <w:t>31/10</w:t>
            </w:r>
            <w:r w:rsidR="000348F7" w:rsidRPr="007D0D16">
              <w:rPr>
                <w:rFonts w:cs="Arial"/>
                <w:sz w:val="20"/>
                <w:szCs w:val="20"/>
              </w:rPr>
              <w:t>/25</w:t>
            </w:r>
          </w:p>
        </w:tc>
      </w:tr>
      <w:tr w:rsidR="00345A8F" w:rsidRPr="007D0D16" w14:paraId="2E548766" w14:textId="77777777" w:rsidTr="007D0D16">
        <w:tc>
          <w:tcPr>
            <w:tcW w:w="1242" w:type="dxa"/>
            <w:vAlign w:val="center"/>
          </w:tcPr>
          <w:p w14:paraId="366A71F8" w14:textId="7F573E1A" w:rsidR="002D4F84" w:rsidRPr="007D0D16" w:rsidRDefault="004B0AF9" w:rsidP="007D0D16">
            <w:pPr>
              <w:spacing w:before="80" w:after="80"/>
              <w:rPr>
                <w:rFonts w:cs="Arial"/>
                <w:sz w:val="20"/>
                <w:szCs w:val="20"/>
              </w:rPr>
            </w:pPr>
            <w:r w:rsidRPr="007D0D16">
              <w:rPr>
                <w:rFonts w:cs="Arial"/>
                <w:sz w:val="20"/>
                <w:szCs w:val="20"/>
              </w:rPr>
              <w:t>0.5</w:t>
            </w:r>
          </w:p>
        </w:tc>
        <w:tc>
          <w:tcPr>
            <w:tcW w:w="4536" w:type="dxa"/>
            <w:vAlign w:val="center"/>
          </w:tcPr>
          <w:p w14:paraId="2CA309BE" w14:textId="6062AAF7" w:rsidR="002D4F84" w:rsidRPr="007D0D16" w:rsidRDefault="004B0AF9" w:rsidP="007D0D16">
            <w:pPr>
              <w:spacing w:before="80" w:after="80"/>
              <w:rPr>
                <w:rFonts w:cs="Arial"/>
                <w:sz w:val="20"/>
                <w:szCs w:val="20"/>
              </w:rPr>
            </w:pPr>
            <w:r w:rsidRPr="007D0D16">
              <w:rPr>
                <w:rFonts w:cs="Arial"/>
                <w:sz w:val="20"/>
                <w:szCs w:val="20"/>
              </w:rPr>
              <w:t>Updated Strategic Context</w:t>
            </w:r>
            <w:r w:rsidR="009B0C2B" w:rsidRPr="007D0D16">
              <w:rPr>
                <w:rFonts w:cs="Arial"/>
                <w:sz w:val="20"/>
                <w:szCs w:val="20"/>
              </w:rPr>
              <w:t>, Commercial and Management cases</w:t>
            </w:r>
          </w:p>
        </w:tc>
        <w:tc>
          <w:tcPr>
            <w:tcW w:w="2268" w:type="dxa"/>
            <w:vAlign w:val="center"/>
          </w:tcPr>
          <w:p w14:paraId="05B97EEA" w14:textId="00FFD875" w:rsidR="002D4F84" w:rsidRPr="007D0D16" w:rsidRDefault="004B0AF9" w:rsidP="007D0D16">
            <w:pPr>
              <w:spacing w:before="80" w:after="80"/>
              <w:rPr>
                <w:rFonts w:cs="Arial"/>
                <w:sz w:val="20"/>
                <w:szCs w:val="20"/>
              </w:rPr>
            </w:pPr>
            <w:r w:rsidRPr="007D0D16">
              <w:rPr>
                <w:rFonts w:cs="Arial"/>
                <w:bCs/>
                <w:sz w:val="20"/>
                <w:szCs w:val="20"/>
              </w:rPr>
              <w:t>RC / KL</w:t>
            </w:r>
          </w:p>
        </w:tc>
        <w:tc>
          <w:tcPr>
            <w:tcW w:w="1418" w:type="dxa"/>
            <w:vAlign w:val="center"/>
          </w:tcPr>
          <w:p w14:paraId="06F634CE" w14:textId="53A86A86" w:rsidR="002D4F84" w:rsidRPr="007D0D16" w:rsidRDefault="004B0AF9" w:rsidP="007D0D16">
            <w:pPr>
              <w:spacing w:before="80" w:after="80"/>
              <w:rPr>
                <w:rFonts w:cs="Arial"/>
                <w:sz w:val="20"/>
                <w:szCs w:val="20"/>
              </w:rPr>
            </w:pPr>
            <w:r w:rsidRPr="007D0D16">
              <w:rPr>
                <w:rFonts w:cs="Arial"/>
                <w:sz w:val="20"/>
                <w:szCs w:val="20"/>
              </w:rPr>
              <w:t>10/11/25</w:t>
            </w:r>
          </w:p>
        </w:tc>
      </w:tr>
      <w:tr w:rsidR="00345A8F" w:rsidRPr="007D0D16" w14:paraId="2B8B097B" w14:textId="77777777" w:rsidTr="007D0D16">
        <w:tc>
          <w:tcPr>
            <w:tcW w:w="1242" w:type="dxa"/>
            <w:vAlign w:val="center"/>
          </w:tcPr>
          <w:p w14:paraId="7BDB0F3F" w14:textId="2C9C23F7" w:rsidR="002D4F84" w:rsidRPr="007D0D16" w:rsidRDefault="001C134C" w:rsidP="007D0D16">
            <w:pPr>
              <w:spacing w:before="80" w:after="80"/>
              <w:rPr>
                <w:rFonts w:cs="Arial"/>
                <w:bCs/>
                <w:sz w:val="20"/>
                <w:szCs w:val="20"/>
              </w:rPr>
            </w:pPr>
            <w:r w:rsidRPr="007D0D16">
              <w:rPr>
                <w:rFonts w:cs="Arial"/>
                <w:bCs/>
                <w:sz w:val="20"/>
                <w:szCs w:val="20"/>
              </w:rPr>
              <w:t>0.5a</w:t>
            </w:r>
          </w:p>
        </w:tc>
        <w:tc>
          <w:tcPr>
            <w:tcW w:w="4536" w:type="dxa"/>
            <w:vAlign w:val="center"/>
          </w:tcPr>
          <w:p w14:paraId="1DE4D0C3" w14:textId="6C8E4EE3" w:rsidR="002D4F84" w:rsidRPr="007D0D16" w:rsidRDefault="001C134C" w:rsidP="007D0D16">
            <w:pPr>
              <w:spacing w:before="80" w:after="80"/>
              <w:rPr>
                <w:rFonts w:cs="Arial"/>
                <w:bCs/>
                <w:sz w:val="20"/>
                <w:szCs w:val="20"/>
              </w:rPr>
            </w:pPr>
            <w:r w:rsidRPr="007D0D16">
              <w:rPr>
                <w:rFonts w:cs="Arial"/>
                <w:bCs/>
                <w:sz w:val="20"/>
                <w:szCs w:val="20"/>
              </w:rPr>
              <w:t>Formatted version</w:t>
            </w:r>
          </w:p>
        </w:tc>
        <w:tc>
          <w:tcPr>
            <w:tcW w:w="2268" w:type="dxa"/>
            <w:vAlign w:val="center"/>
          </w:tcPr>
          <w:p w14:paraId="6E297977" w14:textId="66E56B65" w:rsidR="002D4F84" w:rsidRPr="007D0D16" w:rsidRDefault="001C134C" w:rsidP="007D0D16">
            <w:pPr>
              <w:spacing w:before="80" w:after="80"/>
              <w:rPr>
                <w:rFonts w:cs="Arial"/>
                <w:sz w:val="20"/>
                <w:szCs w:val="20"/>
              </w:rPr>
            </w:pPr>
            <w:r w:rsidRPr="007D0D16">
              <w:rPr>
                <w:rFonts w:cs="Arial"/>
                <w:sz w:val="20"/>
                <w:szCs w:val="20"/>
              </w:rPr>
              <w:t>Bev Letherby</w:t>
            </w:r>
          </w:p>
        </w:tc>
        <w:tc>
          <w:tcPr>
            <w:tcW w:w="1418" w:type="dxa"/>
            <w:vAlign w:val="center"/>
          </w:tcPr>
          <w:p w14:paraId="6C2A3DA0" w14:textId="620BE32E" w:rsidR="002D4F84" w:rsidRPr="007D0D16" w:rsidRDefault="001C134C" w:rsidP="007D0D16">
            <w:pPr>
              <w:spacing w:before="80" w:after="80"/>
              <w:rPr>
                <w:rFonts w:cs="Arial"/>
                <w:sz w:val="20"/>
                <w:szCs w:val="20"/>
              </w:rPr>
            </w:pPr>
            <w:r w:rsidRPr="007D0D16">
              <w:rPr>
                <w:rFonts w:cs="Arial"/>
                <w:sz w:val="20"/>
                <w:szCs w:val="20"/>
              </w:rPr>
              <w:t>11/11/25</w:t>
            </w:r>
          </w:p>
        </w:tc>
      </w:tr>
      <w:tr w:rsidR="00345A8F" w:rsidRPr="007D0D16" w14:paraId="75974BF9" w14:textId="77777777" w:rsidTr="007D0D16">
        <w:tc>
          <w:tcPr>
            <w:tcW w:w="1242" w:type="dxa"/>
            <w:vAlign w:val="center"/>
          </w:tcPr>
          <w:p w14:paraId="0FF76BF5" w14:textId="769340A7" w:rsidR="002D4F84" w:rsidRPr="007D0D16" w:rsidRDefault="008238CA" w:rsidP="007D0D16">
            <w:pPr>
              <w:spacing w:before="80" w:after="80"/>
              <w:rPr>
                <w:rFonts w:cs="Arial"/>
                <w:bCs/>
                <w:sz w:val="20"/>
                <w:szCs w:val="20"/>
              </w:rPr>
            </w:pPr>
            <w:r w:rsidRPr="007D0D16">
              <w:rPr>
                <w:rFonts w:cs="Arial"/>
                <w:bCs/>
                <w:sz w:val="20"/>
                <w:szCs w:val="20"/>
              </w:rPr>
              <w:t>1</w:t>
            </w:r>
          </w:p>
        </w:tc>
        <w:tc>
          <w:tcPr>
            <w:tcW w:w="4536" w:type="dxa"/>
            <w:vAlign w:val="center"/>
          </w:tcPr>
          <w:p w14:paraId="21F5594B" w14:textId="6A8631E4" w:rsidR="002D4F84" w:rsidRPr="007D0D16" w:rsidRDefault="008238CA" w:rsidP="007D0D16">
            <w:pPr>
              <w:spacing w:before="80" w:after="80"/>
              <w:rPr>
                <w:rFonts w:cs="Arial"/>
                <w:bCs/>
                <w:sz w:val="20"/>
                <w:szCs w:val="20"/>
              </w:rPr>
            </w:pPr>
            <w:r w:rsidRPr="007D0D16">
              <w:rPr>
                <w:rFonts w:cs="Arial"/>
                <w:bCs/>
                <w:sz w:val="20"/>
                <w:szCs w:val="20"/>
              </w:rPr>
              <w:t>Economic and Financial Cases added</w:t>
            </w:r>
          </w:p>
        </w:tc>
        <w:tc>
          <w:tcPr>
            <w:tcW w:w="2268" w:type="dxa"/>
            <w:vAlign w:val="center"/>
          </w:tcPr>
          <w:p w14:paraId="5C6F4A11" w14:textId="32A46D25" w:rsidR="002D4F84" w:rsidRPr="007D0D16" w:rsidRDefault="008238CA" w:rsidP="007D0D16">
            <w:pPr>
              <w:spacing w:before="80" w:after="80"/>
              <w:rPr>
                <w:rFonts w:cs="Arial"/>
                <w:sz w:val="20"/>
                <w:szCs w:val="20"/>
              </w:rPr>
            </w:pPr>
            <w:r w:rsidRPr="007D0D16">
              <w:rPr>
                <w:rFonts w:cs="Arial"/>
                <w:sz w:val="20"/>
                <w:szCs w:val="20"/>
              </w:rPr>
              <w:t>Henry Mony de Kerloy</w:t>
            </w:r>
          </w:p>
        </w:tc>
        <w:tc>
          <w:tcPr>
            <w:tcW w:w="1418" w:type="dxa"/>
            <w:vAlign w:val="center"/>
          </w:tcPr>
          <w:p w14:paraId="2DA6DDCA" w14:textId="161B0F44" w:rsidR="002D4F84" w:rsidRPr="007D0D16" w:rsidRDefault="008238CA" w:rsidP="007D0D16">
            <w:pPr>
              <w:spacing w:before="80" w:after="80"/>
              <w:rPr>
                <w:rFonts w:cs="Arial"/>
                <w:sz w:val="20"/>
                <w:szCs w:val="20"/>
              </w:rPr>
            </w:pPr>
            <w:r w:rsidRPr="007D0D16">
              <w:rPr>
                <w:rFonts w:cs="Arial"/>
                <w:sz w:val="20"/>
                <w:szCs w:val="20"/>
              </w:rPr>
              <w:t>12/11/25</w:t>
            </w:r>
          </w:p>
        </w:tc>
      </w:tr>
      <w:tr w:rsidR="00345A8F" w:rsidRPr="007D0D16" w14:paraId="19E35383" w14:textId="77777777" w:rsidTr="007D0D16">
        <w:tc>
          <w:tcPr>
            <w:tcW w:w="1242" w:type="dxa"/>
            <w:vAlign w:val="center"/>
          </w:tcPr>
          <w:p w14:paraId="2E8755FD" w14:textId="28C94612" w:rsidR="002D4F84" w:rsidRPr="000935BB" w:rsidRDefault="000935BB" w:rsidP="007D0D16">
            <w:pPr>
              <w:spacing w:before="80" w:after="80"/>
              <w:rPr>
                <w:rFonts w:cs="Arial"/>
                <w:bCs/>
                <w:sz w:val="20"/>
                <w:szCs w:val="20"/>
              </w:rPr>
            </w:pPr>
            <w:r w:rsidRPr="000935BB">
              <w:rPr>
                <w:rFonts w:cs="Arial"/>
                <w:bCs/>
                <w:sz w:val="20"/>
                <w:szCs w:val="20"/>
              </w:rPr>
              <w:t>1.1</w:t>
            </w:r>
          </w:p>
        </w:tc>
        <w:tc>
          <w:tcPr>
            <w:tcW w:w="4536" w:type="dxa"/>
            <w:vAlign w:val="center"/>
          </w:tcPr>
          <w:p w14:paraId="18FA9145" w14:textId="3BD4E6B9" w:rsidR="002D4F84" w:rsidRPr="007D0D16" w:rsidRDefault="000935BB" w:rsidP="007D0D16">
            <w:pPr>
              <w:spacing w:before="80" w:after="80"/>
              <w:rPr>
                <w:rFonts w:cs="Arial"/>
                <w:sz w:val="20"/>
                <w:szCs w:val="20"/>
              </w:rPr>
            </w:pPr>
            <w:r>
              <w:rPr>
                <w:rFonts w:cs="Arial"/>
                <w:sz w:val="20"/>
                <w:szCs w:val="20"/>
              </w:rPr>
              <w:t>Updated with latest Capital Cost Profile</w:t>
            </w:r>
          </w:p>
        </w:tc>
        <w:tc>
          <w:tcPr>
            <w:tcW w:w="2268" w:type="dxa"/>
            <w:vAlign w:val="center"/>
          </w:tcPr>
          <w:p w14:paraId="5FA3CD0C" w14:textId="7491160F" w:rsidR="002D4F84" w:rsidRPr="007D0D16" w:rsidRDefault="000935BB" w:rsidP="007D0D16">
            <w:pPr>
              <w:spacing w:before="80" w:after="80"/>
              <w:rPr>
                <w:rFonts w:cs="Arial"/>
                <w:sz w:val="20"/>
                <w:szCs w:val="20"/>
              </w:rPr>
            </w:pPr>
            <w:r>
              <w:rPr>
                <w:rFonts w:cs="Arial"/>
                <w:sz w:val="20"/>
                <w:szCs w:val="20"/>
              </w:rPr>
              <w:t>Henry Mony de Kerloy</w:t>
            </w:r>
          </w:p>
        </w:tc>
        <w:tc>
          <w:tcPr>
            <w:tcW w:w="1418" w:type="dxa"/>
            <w:vAlign w:val="center"/>
          </w:tcPr>
          <w:p w14:paraId="1486FEA2" w14:textId="3730FA15" w:rsidR="002D4F84" w:rsidRPr="007D0D16" w:rsidRDefault="000935BB" w:rsidP="007D0D16">
            <w:pPr>
              <w:spacing w:before="80" w:after="80"/>
              <w:rPr>
                <w:rFonts w:cs="Arial"/>
                <w:sz w:val="20"/>
                <w:szCs w:val="20"/>
              </w:rPr>
            </w:pPr>
            <w:r>
              <w:rPr>
                <w:rFonts w:cs="Arial"/>
                <w:sz w:val="20"/>
                <w:szCs w:val="20"/>
              </w:rPr>
              <w:t>16/11/25</w:t>
            </w:r>
          </w:p>
        </w:tc>
      </w:tr>
      <w:tr w:rsidR="00345A8F" w:rsidRPr="007D0D16" w14:paraId="47ACB7FD" w14:textId="77777777" w:rsidTr="007D0D16">
        <w:tc>
          <w:tcPr>
            <w:tcW w:w="1242" w:type="dxa"/>
            <w:vAlign w:val="center"/>
          </w:tcPr>
          <w:p w14:paraId="41078715" w14:textId="77777777" w:rsidR="002D4F84" w:rsidRPr="007D0D16" w:rsidRDefault="002D4F84" w:rsidP="007D0D16">
            <w:pPr>
              <w:spacing w:before="80" w:after="80"/>
              <w:rPr>
                <w:rFonts w:cs="Arial"/>
                <w:b/>
                <w:sz w:val="20"/>
                <w:szCs w:val="20"/>
              </w:rPr>
            </w:pPr>
          </w:p>
        </w:tc>
        <w:tc>
          <w:tcPr>
            <w:tcW w:w="4536" w:type="dxa"/>
            <w:vAlign w:val="center"/>
          </w:tcPr>
          <w:p w14:paraId="58D5F6D6" w14:textId="77777777" w:rsidR="002D4F84" w:rsidRPr="007D0D16" w:rsidRDefault="002D4F84" w:rsidP="007D0D16">
            <w:pPr>
              <w:spacing w:before="80" w:after="80"/>
              <w:rPr>
                <w:rFonts w:cs="Arial"/>
                <w:sz w:val="20"/>
                <w:szCs w:val="20"/>
              </w:rPr>
            </w:pPr>
          </w:p>
        </w:tc>
        <w:tc>
          <w:tcPr>
            <w:tcW w:w="2268" w:type="dxa"/>
            <w:vAlign w:val="center"/>
          </w:tcPr>
          <w:p w14:paraId="236B5127" w14:textId="77777777" w:rsidR="002D4F84" w:rsidRPr="007D0D16" w:rsidRDefault="002D4F84" w:rsidP="007D0D16">
            <w:pPr>
              <w:spacing w:before="80" w:after="80"/>
              <w:rPr>
                <w:rFonts w:cs="Arial"/>
                <w:sz w:val="20"/>
                <w:szCs w:val="20"/>
              </w:rPr>
            </w:pPr>
          </w:p>
        </w:tc>
        <w:tc>
          <w:tcPr>
            <w:tcW w:w="1418" w:type="dxa"/>
            <w:vAlign w:val="center"/>
          </w:tcPr>
          <w:p w14:paraId="2B571AD2" w14:textId="77777777" w:rsidR="002D4F84" w:rsidRPr="007D0D16" w:rsidRDefault="002D4F84" w:rsidP="007D0D16">
            <w:pPr>
              <w:spacing w:before="80" w:after="80"/>
              <w:rPr>
                <w:rFonts w:cs="Arial"/>
                <w:sz w:val="20"/>
                <w:szCs w:val="20"/>
              </w:rPr>
            </w:pPr>
          </w:p>
        </w:tc>
      </w:tr>
    </w:tbl>
    <w:p w14:paraId="7B9D803C" w14:textId="77777777" w:rsidR="00B27690" w:rsidRPr="00CB4ED1" w:rsidRDefault="00B27690">
      <w:pPr>
        <w:spacing w:after="160"/>
      </w:pPr>
    </w:p>
    <w:p w14:paraId="2BB0030C" w14:textId="77777777" w:rsidR="00011CAF" w:rsidRPr="00CB4ED1" w:rsidRDefault="00011CAF">
      <w:pPr>
        <w:spacing w:after="160" w:line="259" w:lineRule="auto"/>
        <w:rPr>
          <w:rFonts w:asciiTheme="majorHAnsi" w:eastAsiaTheme="majorEastAsia" w:hAnsiTheme="majorHAnsi" w:cstheme="majorBidi"/>
          <w:bCs/>
          <w:color w:val="356A91" w:themeColor="accent1"/>
          <w:sz w:val="32"/>
          <w:szCs w:val="26"/>
        </w:rPr>
      </w:pPr>
      <w:r w:rsidRPr="00CB4ED1">
        <w:br w:type="page"/>
      </w:r>
    </w:p>
    <w:p w14:paraId="769D55DE" w14:textId="7DAB3227" w:rsidR="00572290" w:rsidRPr="00CB4ED1" w:rsidRDefault="00572290" w:rsidP="00572290">
      <w:pPr>
        <w:pStyle w:val="Heading2ALT"/>
      </w:pPr>
      <w:bookmarkStart w:id="3" w:name="_Toc213865195"/>
      <w:r w:rsidRPr="00CB4ED1">
        <w:lastRenderedPageBreak/>
        <w:t>Appendices</w:t>
      </w:r>
      <w:bookmarkEnd w:id="3"/>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1E0" w:firstRow="1" w:lastRow="1" w:firstColumn="1" w:lastColumn="1" w:noHBand="0" w:noVBand="0"/>
      </w:tblPr>
      <w:tblGrid>
        <w:gridCol w:w="1820"/>
        <w:gridCol w:w="8001"/>
      </w:tblGrid>
      <w:tr w:rsidR="00002720" w:rsidRPr="00CB4ED1" w14:paraId="5EFBD42C" w14:textId="77777777">
        <w:tc>
          <w:tcPr>
            <w:tcW w:w="1704" w:type="dxa"/>
            <w:shd w:val="clear" w:color="auto" w:fill="374264" w:themeFill="text2"/>
          </w:tcPr>
          <w:p w14:paraId="0CF418BE" w14:textId="126F6A35" w:rsidR="00572290" w:rsidRPr="00CB4ED1" w:rsidRDefault="00572290">
            <w:pPr>
              <w:pStyle w:val="tabletext"/>
              <w:rPr>
                <w:b/>
                <w:bCs/>
                <w:color w:val="FFFFFF" w:themeColor="background1"/>
              </w:rPr>
            </w:pPr>
            <w:r w:rsidRPr="00CB4ED1">
              <w:rPr>
                <w:b/>
                <w:bCs/>
                <w:color w:val="FFFFFF" w:themeColor="background1"/>
              </w:rPr>
              <w:t>Appendix Ref</w:t>
            </w:r>
          </w:p>
        </w:tc>
        <w:tc>
          <w:tcPr>
            <w:tcW w:w="7492" w:type="dxa"/>
            <w:shd w:val="clear" w:color="auto" w:fill="374264" w:themeFill="text2"/>
          </w:tcPr>
          <w:p w14:paraId="0B65E481" w14:textId="1B7A6D0A" w:rsidR="00572290" w:rsidRPr="00CB4ED1" w:rsidRDefault="00572290">
            <w:pPr>
              <w:pStyle w:val="tabletext"/>
              <w:rPr>
                <w:b/>
                <w:bCs/>
                <w:color w:val="FFFFFF" w:themeColor="background1"/>
              </w:rPr>
            </w:pPr>
            <w:r w:rsidRPr="00CB4ED1">
              <w:rPr>
                <w:b/>
                <w:bCs/>
                <w:color w:val="FFFFFF" w:themeColor="background1"/>
              </w:rPr>
              <w:t>Appendix Name</w:t>
            </w:r>
          </w:p>
        </w:tc>
      </w:tr>
      <w:tr w:rsidR="00EC335C" w:rsidRPr="00CB4ED1" w14:paraId="3D735B33" w14:textId="77777777">
        <w:tc>
          <w:tcPr>
            <w:tcW w:w="1704" w:type="dxa"/>
          </w:tcPr>
          <w:p w14:paraId="7E07755F" w14:textId="0C4A91DC" w:rsidR="00572290" w:rsidRPr="00CB4ED1" w:rsidRDefault="00011CAF">
            <w:pPr>
              <w:pStyle w:val="tabletext"/>
            </w:pPr>
            <w:r w:rsidRPr="00CB4ED1">
              <w:t>Appendix 1</w:t>
            </w:r>
          </w:p>
        </w:tc>
        <w:tc>
          <w:tcPr>
            <w:tcW w:w="7492" w:type="dxa"/>
          </w:tcPr>
          <w:p w14:paraId="7F2EB219" w14:textId="567E2BF9" w:rsidR="00572290" w:rsidRPr="00CB4ED1" w:rsidRDefault="001D38E8">
            <w:pPr>
              <w:pStyle w:val="tabletext"/>
            </w:pPr>
            <w:r>
              <w:t xml:space="preserve">Strategic Overview Document </w:t>
            </w:r>
          </w:p>
        </w:tc>
      </w:tr>
      <w:tr w:rsidR="001F1980" w:rsidRPr="00CB4ED1" w14:paraId="03070970" w14:textId="77777777">
        <w:tc>
          <w:tcPr>
            <w:tcW w:w="1704" w:type="dxa"/>
          </w:tcPr>
          <w:p w14:paraId="498C045C" w14:textId="713EA0D7" w:rsidR="00572290" w:rsidRPr="00CB4ED1" w:rsidRDefault="00011CAF">
            <w:pPr>
              <w:pStyle w:val="tabletext"/>
            </w:pPr>
            <w:r w:rsidRPr="00CB4ED1">
              <w:t>Appendix 2</w:t>
            </w:r>
          </w:p>
        </w:tc>
        <w:tc>
          <w:tcPr>
            <w:tcW w:w="7492" w:type="dxa"/>
          </w:tcPr>
          <w:p w14:paraId="1B901F22" w14:textId="4169DA61" w:rsidR="00572290" w:rsidRPr="00CB4ED1" w:rsidRDefault="001D38E8">
            <w:pPr>
              <w:pStyle w:val="tabletext"/>
            </w:pPr>
            <w:r>
              <w:t>Orthopaedic Regional Plan</w:t>
            </w:r>
          </w:p>
        </w:tc>
      </w:tr>
      <w:tr w:rsidR="00EC335C" w:rsidRPr="00CB4ED1" w14:paraId="6915D5CB" w14:textId="77777777">
        <w:tc>
          <w:tcPr>
            <w:tcW w:w="1704" w:type="dxa"/>
          </w:tcPr>
          <w:p w14:paraId="0D7E7F95" w14:textId="35D14FA7" w:rsidR="00572290" w:rsidRPr="00CB4ED1" w:rsidRDefault="00011CAF">
            <w:pPr>
              <w:pStyle w:val="tabletext"/>
            </w:pPr>
            <w:r w:rsidRPr="00CB4ED1">
              <w:t>Appendix 3</w:t>
            </w:r>
          </w:p>
        </w:tc>
        <w:tc>
          <w:tcPr>
            <w:tcW w:w="7492" w:type="dxa"/>
          </w:tcPr>
          <w:p w14:paraId="48F1389E" w14:textId="14EB9CCC" w:rsidR="00572290" w:rsidRPr="00CB4ED1" w:rsidRDefault="001D38E8">
            <w:pPr>
              <w:pStyle w:val="tabletext"/>
            </w:pPr>
            <w:r>
              <w:t xml:space="preserve">Arthroplasty Pathway </w:t>
            </w:r>
          </w:p>
        </w:tc>
      </w:tr>
      <w:tr w:rsidR="00EC335C" w:rsidRPr="00CB4ED1" w14:paraId="35B9C63E" w14:textId="77777777">
        <w:tc>
          <w:tcPr>
            <w:tcW w:w="1704" w:type="dxa"/>
          </w:tcPr>
          <w:p w14:paraId="05B7C922" w14:textId="6FCCFFAD" w:rsidR="00572290" w:rsidRPr="00CB4ED1" w:rsidRDefault="00011CAF">
            <w:pPr>
              <w:pStyle w:val="tabletext"/>
            </w:pPr>
            <w:r w:rsidRPr="00CB4ED1">
              <w:t xml:space="preserve">Appendix </w:t>
            </w:r>
            <w:r w:rsidR="00972BDF" w:rsidRPr="00CB4ED1">
              <w:t>4</w:t>
            </w:r>
          </w:p>
        </w:tc>
        <w:tc>
          <w:tcPr>
            <w:tcW w:w="7492" w:type="dxa"/>
          </w:tcPr>
          <w:p w14:paraId="76ABBE8B" w14:textId="2DEB049E" w:rsidR="00572290" w:rsidRPr="00CB4ED1" w:rsidRDefault="001D38E8">
            <w:pPr>
              <w:pStyle w:val="tabletext"/>
            </w:pPr>
            <w:r>
              <w:t>LHP Operational and Clinical Model</w:t>
            </w:r>
          </w:p>
        </w:tc>
      </w:tr>
      <w:tr w:rsidR="00EC335C" w:rsidRPr="00CB4ED1" w14:paraId="135EA586" w14:textId="77777777">
        <w:tc>
          <w:tcPr>
            <w:tcW w:w="1704" w:type="dxa"/>
          </w:tcPr>
          <w:p w14:paraId="32F71A28" w14:textId="20E890DA" w:rsidR="00572290" w:rsidRPr="00CB4ED1" w:rsidRDefault="00011CAF">
            <w:pPr>
              <w:pStyle w:val="tabletext"/>
            </w:pPr>
            <w:r w:rsidRPr="00CB4ED1">
              <w:t xml:space="preserve">Appendix </w:t>
            </w:r>
            <w:r w:rsidR="00972BDF" w:rsidRPr="00CB4ED1">
              <w:t>5</w:t>
            </w:r>
          </w:p>
        </w:tc>
        <w:tc>
          <w:tcPr>
            <w:tcW w:w="7492" w:type="dxa"/>
          </w:tcPr>
          <w:p w14:paraId="4CB33E02" w14:textId="2EB1C02B" w:rsidR="00572290" w:rsidRPr="00CB4ED1" w:rsidRDefault="00972BDF">
            <w:pPr>
              <w:pStyle w:val="tabletext"/>
            </w:pPr>
            <w:r w:rsidRPr="00CB4ED1">
              <w:t>Benefits Register</w:t>
            </w:r>
          </w:p>
        </w:tc>
      </w:tr>
      <w:tr w:rsidR="001F1980" w:rsidRPr="00CB4ED1" w14:paraId="7B91749D" w14:textId="77777777">
        <w:tc>
          <w:tcPr>
            <w:tcW w:w="1704" w:type="dxa"/>
          </w:tcPr>
          <w:p w14:paraId="238E8A71" w14:textId="306D636C" w:rsidR="00011CAF" w:rsidRPr="00CB4ED1" w:rsidRDefault="00011CAF">
            <w:pPr>
              <w:pStyle w:val="tabletext"/>
            </w:pPr>
            <w:r w:rsidRPr="00CB4ED1">
              <w:t xml:space="preserve">Appendix </w:t>
            </w:r>
            <w:r w:rsidR="00972BDF" w:rsidRPr="00CB4ED1">
              <w:t>6</w:t>
            </w:r>
          </w:p>
        </w:tc>
        <w:tc>
          <w:tcPr>
            <w:tcW w:w="7492" w:type="dxa"/>
          </w:tcPr>
          <w:p w14:paraId="2E61DE14" w14:textId="2C1CF851" w:rsidR="00011CAF" w:rsidRPr="00CB4ED1" w:rsidRDefault="001D38E8">
            <w:pPr>
              <w:pStyle w:val="tabletext"/>
            </w:pPr>
            <w:r w:rsidRPr="00CB4ED1">
              <w:t>Risk Register</w:t>
            </w:r>
          </w:p>
        </w:tc>
      </w:tr>
      <w:tr w:rsidR="001F1980" w:rsidRPr="00CB4ED1" w14:paraId="4A6C7E81" w14:textId="77777777">
        <w:tc>
          <w:tcPr>
            <w:tcW w:w="1704" w:type="dxa"/>
          </w:tcPr>
          <w:p w14:paraId="24DCB27C" w14:textId="695605C9" w:rsidR="00011CAF" w:rsidRPr="00CB4ED1" w:rsidRDefault="00011CAF">
            <w:pPr>
              <w:pStyle w:val="tabletext"/>
            </w:pPr>
            <w:r w:rsidRPr="00CB4ED1">
              <w:t xml:space="preserve">Appendix </w:t>
            </w:r>
            <w:r w:rsidR="00972BDF" w:rsidRPr="00CB4ED1">
              <w:t>7</w:t>
            </w:r>
          </w:p>
        </w:tc>
        <w:tc>
          <w:tcPr>
            <w:tcW w:w="7492" w:type="dxa"/>
          </w:tcPr>
          <w:p w14:paraId="41B7FCDD" w14:textId="598498E2" w:rsidR="00011CAF" w:rsidRPr="00CB4ED1" w:rsidRDefault="001B186D">
            <w:pPr>
              <w:pStyle w:val="tabletext"/>
            </w:pPr>
            <w:r w:rsidRPr="00CB4ED1">
              <w:t>Capital Cost Plan</w:t>
            </w:r>
          </w:p>
        </w:tc>
      </w:tr>
      <w:tr w:rsidR="001F1980" w:rsidRPr="00CB4ED1" w14:paraId="2CA42CA6" w14:textId="77777777">
        <w:tc>
          <w:tcPr>
            <w:tcW w:w="1704" w:type="dxa"/>
          </w:tcPr>
          <w:p w14:paraId="00895106" w14:textId="51AB8B58" w:rsidR="00011CAF" w:rsidRPr="00CB4ED1" w:rsidRDefault="00011CAF">
            <w:pPr>
              <w:pStyle w:val="tabletext"/>
            </w:pPr>
            <w:r w:rsidRPr="00CB4ED1">
              <w:t xml:space="preserve">Appendix </w:t>
            </w:r>
            <w:r w:rsidR="00972BDF" w:rsidRPr="00CB4ED1">
              <w:t>8</w:t>
            </w:r>
          </w:p>
        </w:tc>
        <w:tc>
          <w:tcPr>
            <w:tcW w:w="7492" w:type="dxa"/>
          </w:tcPr>
          <w:p w14:paraId="2EF5F426" w14:textId="72D8237B" w:rsidR="00011CAF" w:rsidRPr="00CB4ED1" w:rsidRDefault="008D3DE6">
            <w:pPr>
              <w:pStyle w:val="tabletext"/>
            </w:pPr>
            <w:r w:rsidRPr="00CB4ED1">
              <w:t xml:space="preserve">Revenue </w:t>
            </w:r>
            <w:r w:rsidR="0002671D" w:rsidRPr="00CB4ED1">
              <w:t>Costs Working Paper</w:t>
            </w:r>
          </w:p>
        </w:tc>
      </w:tr>
      <w:tr w:rsidR="001F1980" w:rsidRPr="00CB4ED1" w14:paraId="34F5EBA5" w14:textId="77777777">
        <w:tc>
          <w:tcPr>
            <w:tcW w:w="1704" w:type="dxa"/>
          </w:tcPr>
          <w:p w14:paraId="16E607EF" w14:textId="4C03F656" w:rsidR="00011CAF" w:rsidRPr="00CB4ED1" w:rsidRDefault="00011CAF">
            <w:pPr>
              <w:pStyle w:val="tabletext"/>
            </w:pPr>
            <w:r w:rsidRPr="00CB4ED1">
              <w:t xml:space="preserve">Appendix </w:t>
            </w:r>
            <w:r w:rsidR="00972BDF" w:rsidRPr="00CB4ED1">
              <w:t>9</w:t>
            </w:r>
          </w:p>
        </w:tc>
        <w:tc>
          <w:tcPr>
            <w:tcW w:w="7492" w:type="dxa"/>
          </w:tcPr>
          <w:p w14:paraId="11CB07C6" w14:textId="428892A6" w:rsidR="00011CAF" w:rsidRPr="00CB4ED1" w:rsidRDefault="002F166A">
            <w:pPr>
              <w:pStyle w:val="tabletext"/>
            </w:pPr>
            <w:r w:rsidRPr="00CB4ED1">
              <w:t>Comprehensive Investment Appraisal (</w:t>
            </w:r>
            <w:r w:rsidR="008D3DE6" w:rsidRPr="00CB4ED1">
              <w:t>CIA</w:t>
            </w:r>
            <w:r w:rsidRPr="00CB4ED1">
              <w:t>)</w:t>
            </w:r>
            <w:r w:rsidR="008D3DE6" w:rsidRPr="00CB4ED1">
              <w:t xml:space="preserve"> Model</w:t>
            </w:r>
          </w:p>
        </w:tc>
      </w:tr>
      <w:tr w:rsidR="001F1980" w:rsidRPr="00CB4ED1" w14:paraId="2B4E80AD" w14:textId="77777777">
        <w:tc>
          <w:tcPr>
            <w:tcW w:w="1704" w:type="dxa"/>
          </w:tcPr>
          <w:p w14:paraId="083F3AF1" w14:textId="4F0E172F" w:rsidR="00011CAF" w:rsidRPr="00CB4ED1" w:rsidRDefault="00011CAF">
            <w:pPr>
              <w:pStyle w:val="tabletext"/>
            </w:pPr>
            <w:r w:rsidRPr="00CB4ED1">
              <w:t>Appendix 1</w:t>
            </w:r>
            <w:r w:rsidR="00972BDF" w:rsidRPr="00CB4ED1">
              <w:t>0</w:t>
            </w:r>
          </w:p>
        </w:tc>
        <w:tc>
          <w:tcPr>
            <w:tcW w:w="7492" w:type="dxa"/>
          </w:tcPr>
          <w:p w14:paraId="7CC4F741" w14:textId="0CC712CB" w:rsidR="00011CAF" w:rsidRPr="00CB4ED1" w:rsidRDefault="006F4DBE">
            <w:pPr>
              <w:pStyle w:val="tabletext"/>
            </w:pPr>
            <w:r>
              <w:t xml:space="preserve">Phase 2 </w:t>
            </w:r>
            <w:r w:rsidR="002F166A" w:rsidRPr="00CB4ED1">
              <w:t>Programme</w:t>
            </w:r>
          </w:p>
        </w:tc>
      </w:tr>
    </w:tbl>
    <w:p w14:paraId="644D7DC6" w14:textId="77777777" w:rsidR="00B27690" w:rsidRPr="00CB4ED1" w:rsidRDefault="00B27690">
      <w:pPr>
        <w:spacing w:after="160"/>
      </w:pPr>
    </w:p>
    <w:p w14:paraId="0BDEF810" w14:textId="77777777" w:rsidR="00B27690" w:rsidRPr="00CB4ED1" w:rsidRDefault="00B27690">
      <w:pPr>
        <w:spacing w:after="160"/>
        <w:rPr>
          <w:rFonts w:asciiTheme="majorHAnsi" w:eastAsiaTheme="majorEastAsia" w:hAnsiTheme="majorHAnsi" w:cstheme="majorBidi"/>
          <w:bCs/>
          <w:color w:val="356A91" w:themeColor="accent1"/>
          <w:sz w:val="32"/>
          <w:szCs w:val="26"/>
        </w:rPr>
      </w:pPr>
      <w:r w:rsidRPr="00CB4ED1">
        <w:br w:type="page"/>
      </w:r>
    </w:p>
    <w:p w14:paraId="03DF3D35" w14:textId="77777777" w:rsidR="00B27690" w:rsidRPr="00CB4ED1" w:rsidRDefault="00B27690" w:rsidP="00B27690">
      <w:pPr>
        <w:pStyle w:val="Heading2ALT"/>
      </w:pPr>
      <w:bookmarkStart w:id="4" w:name="_Toc213865196"/>
      <w:r w:rsidRPr="00CB4ED1">
        <w:lastRenderedPageBreak/>
        <w:t>Glossary</w:t>
      </w:r>
      <w:bookmarkEnd w:id="4"/>
    </w:p>
    <w:p w14:paraId="3024F0AF" w14:textId="77777777" w:rsidR="001C02CC" w:rsidRDefault="001C02CC" w:rsidP="00AB0A8B">
      <w:pPr>
        <w:pStyle w:val="tabletext"/>
        <w:rPr>
          <w:b/>
          <w:bCs/>
          <w:color w:val="FFFFFF" w:themeColor="background1"/>
        </w:rPr>
        <w:sectPr w:rsidR="001C02CC" w:rsidSect="0024497C">
          <w:headerReference w:type="default" r:id="rId20"/>
          <w:footerReference w:type="first" r:id="rId21"/>
          <w:type w:val="continuous"/>
          <w:pgSz w:w="11906" w:h="16838" w:code="9"/>
          <w:pgMar w:top="964" w:right="1134" w:bottom="1531" w:left="1134" w:header="284" w:footer="454" w:gutter="0"/>
          <w:cols w:space="708"/>
          <w:docGrid w:linePitch="360"/>
        </w:sectPr>
      </w:pPr>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1E0" w:firstRow="1" w:lastRow="1" w:firstColumn="1" w:lastColumn="1" w:noHBand="0" w:noVBand="0"/>
      </w:tblPr>
      <w:tblGrid>
        <w:gridCol w:w="1242"/>
        <w:gridCol w:w="3302"/>
      </w:tblGrid>
      <w:tr w:rsidR="00002720" w:rsidRPr="00CB4ED1" w14:paraId="4201EABA" w14:textId="77777777" w:rsidTr="001C02CC">
        <w:trPr>
          <w:tblHeader/>
        </w:trPr>
        <w:tc>
          <w:tcPr>
            <w:tcW w:w="1242" w:type="dxa"/>
            <w:shd w:val="clear" w:color="auto" w:fill="374264" w:themeFill="text2"/>
          </w:tcPr>
          <w:p w14:paraId="7F0D133B" w14:textId="24B4DEC5" w:rsidR="003B5C4B" w:rsidRPr="00CB4ED1" w:rsidRDefault="001C02CC" w:rsidP="00AB0A8B">
            <w:pPr>
              <w:pStyle w:val="tabletext"/>
              <w:rPr>
                <w:b/>
                <w:bCs/>
                <w:color w:val="FFFFFF" w:themeColor="background1"/>
              </w:rPr>
            </w:pPr>
            <w:r>
              <w:rPr>
                <w:b/>
                <w:bCs/>
                <w:color w:val="FFFFFF" w:themeColor="background1"/>
              </w:rPr>
              <w:t xml:space="preserve">Term </w:t>
            </w:r>
          </w:p>
        </w:tc>
        <w:tc>
          <w:tcPr>
            <w:tcW w:w="3302" w:type="dxa"/>
            <w:shd w:val="clear" w:color="auto" w:fill="374264" w:themeFill="text2"/>
          </w:tcPr>
          <w:p w14:paraId="33A7A8C2" w14:textId="77777777" w:rsidR="003B5C4B" w:rsidRPr="00CB4ED1" w:rsidRDefault="003B5C4B" w:rsidP="00AB0A8B">
            <w:pPr>
              <w:pStyle w:val="tabletext"/>
              <w:rPr>
                <w:b/>
                <w:bCs/>
                <w:color w:val="FFFFFF" w:themeColor="background1"/>
              </w:rPr>
            </w:pPr>
            <w:r w:rsidRPr="00CB4ED1">
              <w:rPr>
                <w:b/>
                <w:bCs/>
                <w:color w:val="FFFFFF" w:themeColor="background1"/>
              </w:rPr>
              <w:t>Description</w:t>
            </w:r>
          </w:p>
        </w:tc>
      </w:tr>
      <w:tr w:rsidR="00497BB1" w:rsidRPr="00CB4ED1" w14:paraId="2BB12F3B" w14:textId="77777777" w:rsidTr="001C02CC">
        <w:tc>
          <w:tcPr>
            <w:tcW w:w="1242" w:type="dxa"/>
          </w:tcPr>
          <w:p w14:paraId="5E96A9A6" w14:textId="6C4F6F79" w:rsidR="003B5C4B" w:rsidRPr="00CB4ED1" w:rsidRDefault="003B5C4B" w:rsidP="00AB0A8B">
            <w:pPr>
              <w:pStyle w:val="tabletext"/>
            </w:pPr>
            <w:r w:rsidRPr="00CB4ED1">
              <w:t>ABUHB</w:t>
            </w:r>
            <w:r w:rsidR="00275209" w:rsidRPr="00CB4ED1">
              <w:t>/AB</w:t>
            </w:r>
          </w:p>
        </w:tc>
        <w:tc>
          <w:tcPr>
            <w:tcW w:w="3302" w:type="dxa"/>
          </w:tcPr>
          <w:p w14:paraId="54F73B77" w14:textId="77777777" w:rsidR="003B5C4B" w:rsidRPr="00CB4ED1" w:rsidRDefault="003B5C4B" w:rsidP="00AB0A8B">
            <w:pPr>
              <w:pStyle w:val="tabletext"/>
            </w:pPr>
            <w:r w:rsidRPr="00CB4ED1">
              <w:t>Aneurin Bevan University Health Board</w:t>
            </w:r>
          </w:p>
        </w:tc>
      </w:tr>
      <w:tr w:rsidR="00497BB1" w:rsidRPr="00CB4ED1" w14:paraId="243AA063" w14:textId="77777777" w:rsidTr="001C02CC">
        <w:tc>
          <w:tcPr>
            <w:tcW w:w="1242" w:type="dxa"/>
          </w:tcPr>
          <w:p w14:paraId="476DAC98" w14:textId="77777777" w:rsidR="003B5C4B" w:rsidRPr="00CB4ED1" w:rsidRDefault="003B5C4B" w:rsidP="00AB0A8B">
            <w:pPr>
              <w:pStyle w:val="tabletext"/>
            </w:pPr>
            <w:r w:rsidRPr="00CB4ED1">
              <w:t>BAU</w:t>
            </w:r>
          </w:p>
        </w:tc>
        <w:tc>
          <w:tcPr>
            <w:tcW w:w="3302" w:type="dxa"/>
          </w:tcPr>
          <w:p w14:paraId="55832BF8" w14:textId="77777777" w:rsidR="003B5C4B" w:rsidRPr="00CB4ED1" w:rsidRDefault="003B5C4B" w:rsidP="00AB0A8B">
            <w:pPr>
              <w:pStyle w:val="tabletext"/>
            </w:pPr>
            <w:r w:rsidRPr="00CB4ED1">
              <w:t xml:space="preserve">Business </w:t>
            </w:r>
            <w:proofErr w:type="gramStart"/>
            <w:r w:rsidRPr="00CB4ED1">
              <w:t>As</w:t>
            </w:r>
            <w:proofErr w:type="gramEnd"/>
            <w:r w:rsidRPr="00CB4ED1">
              <w:t xml:space="preserve"> Usual</w:t>
            </w:r>
          </w:p>
        </w:tc>
      </w:tr>
      <w:tr w:rsidR="00497BB1" w:rsidRPr="00CB4ED1" w14:paraId="69777B72" w14:textId="77777777" w:rsidTr="001C02CC">
        <w:tc>
          <w:tcPr>
            <w:tcW w:w="1242" w:type="dxa"/>
          </w:tcPr>
          <w:p w14:paraId="7827C0E4" w14:textId="77777777" w:rsidR="003B5C4B" w:rsidRPr="00CB4ED1" w:rsidRDefault="003B5C4B" w:rsidP="00AB0A8B">
            <w:pPr>
              <w:pStyle w:val="tabletext"/>
            </w:pPr>
            <w:r w:rsidRPr="00CB4ED1">
              <w:t>BCR</w:t>
            </w:r>
          </w:p>
        </w:tc>
        <w:tc>
          <w:tcPr>
            <w:tcW w:w="3302" w:type="dxa"/>
          </w:tcPr>
          <w:p w14:paraId="281FDD3F" w14:textId="77777777" w:rsidR="003B5C4B" w:rsidRPr="00CB4ED1" w:rsidRDefault="003B5C4B" w:rsidP="00AB0A8B">
            <w:pPr>
              <w:pStyle w:val="tabletext"/>
            </w:pPr>
            <w:r w:rsidRPr="00CB4ED1">
              <w:t>Benefit Cost Ratio</w:t>
            </w:r>
          </w:p>
        </w:tc>
      </w:tr>
      <w:tr w:rsidR="00497BB1" w:rsidRPr="00CB4ED1" w14:paraId="1EA4EC8A" w14:textId="77777777" w:rsidTr="001C02CC">
        <w:tc>
          <w:tcPr>
            <w:tcW w:w="1242" w:type="dxa"/>
          </w:tcPr>
          <w:p w14:paraId="27C7C225" w14:textId="77777777" w:rsidR="003B5C4B" w:rsidRPr="00CB4ED1" w:rsidRDefault="003B5C4B" w:rsidP="00AB0A8B">
            <w:pPr>
              <w:pStyle w:val="tabletext"/>
            </w:pPr>
            <w:proofErr w:type="spellStart"/>
            <w:r w:rsidRPr="00CB4ED1">
              <w:t>BfW</w:t>
            </w:r>
            <w:proofErr w:type="spellEnd"/>
          </w:p>
        </w:tc>
        <w:tc>
          <w:tcPr>
            <w:tcW w:w="3302" w:type="dxa"/>
          </w:tcPr>
          <w:p w14:paraId="356FD757" w14:textId="77777777" w:rsidR="003B5C4B" w:rsidRPr="00CB4ED1" w:rsidRDefault="003B5C4B" w:rsidP="00AB0A8B">
            <w:pPr>
              <w:pStyle w:val="tabletext"/>
            </w:pPr>
            <w:r w:rsidRPr="00CB4ED1">
              <w:t>Building for Wales</w:t>
            </w:r>
          </w:p>
        </w:tc>
      </w:tr>
      <w:tr w:rsidR="00497BB1" w:rsidRPr="00CB4ED1" w14:paraId="51E6635D" w14:textId="77777777" w:rsidTr="001C02CC">
        <w:tc>
          <w:tcPr>
            <w:tcW w:w="1242" w:type="dxa"/>
          </w:tcPr>
          <w:p w14:paraId="38132BFF" w14:textId="77777777" w:rsidR="003B5C4B" w:rsidRPr="00CB4ED1" w:rsidRDefault="003B5C4B" w:rsidP="00AB0A8B">
            <w:pPr>
              <w:pStyle w:val="tabletext"/>
            </w:pPr>
            <w:r w:rsidRPr="00CB4ED1">
              <w:t>BIM</w:t>
            </w:r>
          </w:p>
        </w:tc>
        <w:tc>
          <w:tcPr>
            <w:tcW w:w="3302" w:type="dxa"/>
          </w:tcPr>
          <w:p w14:paraId="528BA283" w14:textId="77777777" w:rsidR="003B5C4B" w:rsidRPr="00CB4ED1" w:rsidRDefault="003B5C4B" w:rsidP="00AB0A8B">
            <w:pPr>
              <w:pStyle w:val="tabletext"/>
            </w:pPr>
            <w:r w:rsidRPr="00CB4ED1">
              <w:t>Building Information Modelling</w:t>
            </w:r>
          </w:p>
        </w:tc>
      </w:tr>
      <w:tr w:rsidR="00497BB1" w:rsidRPr="00CB4ED1" w14:paraId="59871C76" w14:textId="77777777" w:rsidTr="001C02CC">
        <w:tc>
          <w:tcPr>
            <w:tcW w:w="1242" w:type="dxa"/>
          </w:tcPr>
          <w:p w14:paraId="0E7ED695" w14:textId="77777777" w:rsidR="003B5C4B" w:rsidRPr="00CB4ED1" w:rsidRDefault="003B5C4B" w:rsidP="00AB0A8B">
            <w:pPr>
              <w:pStyle w:val="tabletext"/>
            </w:pPr>
            <w:r w:rsidRPr="00CB4ED1">
              <w:t>BREEAM</w:t>
            </w:r>
          </w:p>
        </w:tc>
        <w:tc>
          <w:tcPr>
            <w:tcW w:w="3302" w:type="dxa"/>
          </w:tcPr>
          <w:p w14:paraId="32FAC5E8" w14:textId="77777777" w:rsidR="003B5C4B" w:rsidRPr="00CB4ED1" w:rsidRDefault="003B5C4B" w:rsidP="00AB0A8B">
            <w:pPr>
              <w:pStyle w:val="tabletext"/>
            </w:pPr>
            <w:r w:rsidRPr="00CB4ED1">
              <w:t>Building Research Establishment Environmental Assessment Method</w:t>
            </w:r>
          </w:p>
        </w:tc>
      </w:tr>
      <w:tr w:rsidR="00497BB1" w:rsidRPr="00CB4ED1" w14:paraId="47F45CB7" w14:textId="77777777" w:rsidTr="001C02CC">
        <w:tc>
          <w:tcPr>
            <w:tcW w:w="1242" w:type="dxa"/>
          </w:tcPr>
          <w:p w14:paraId="2F5BCA23" w14:textId="77777777" w:rsidR="003B5C4B" w:rsidRPr="00CB4ED1" w:rsidRDefault="003B5C4B" w:rsidP="00AB0A8B">
            <w:pPr>
              <w:pStyle w:val="tabletext"/>
            </w:pPr>
            <w:r w:rsidRPr="00CB4ED1">
              <w:t>CDE</w:t>
            </w:r>
          </w:p>
        </w:tc>
        <w:tc>
          <w:tcPr>
            <w:tcW w:w="3302" w:type="dxa"/>
          </w:tcPr>
          <w:p w14:paraId="6F667070" w14:textId="77777777" w:rsidR="003B5C4B" w:rsidRPr="00CB4ED1" w:rsidRDefault="003B5C4B" w:rsidP="00AB0A8B">
            <w:pPr>
              <w:pStyle w:val="tabletext"/>
            </w:pPr>
            <w:r w:rsidRPr="00CB4ED1">
              <w:t xml:space="preserve">Common Data Environment </w:t>
            </w:r>
          </w:p>
        </w:tc>
      </w:tr>
      <w:tr w:rsidR="00497BB1" w:rsidRPr="00CB4ED1" w14:paraId="268255B5" w14:textId="77777777" w:rsidTr="001C02CC">
        <w:tc>
          <w:tcPr>
            <w:tcW w:w="1242" w:type="dxa"/>
          </w:tcPr>
          <w:p w14:paraId="0495C535" w14:textId="77777777" w:rsidR="003B5C4B" w:rsidRPr="00CB4ED1" w:rsidRDefault="003B5C4B" w:rsidP="00AB0A8B">
            <w:pPr>
              <w:pStyle w:val="tabletext"/>
            </w:pPr>
            <w:r w:rsidRPr="00CB4ED1">
              <w:t>CIA</w:t>
            </w:r>
          </w:p>
        </w:tc>
        <w:tc>
          <w:tcPr>
            <w:tcW w:w="3302" w:type="dxa"/>
          </w:tcPr>
          <w:p w14:paraId="00BB24E0" w14:textId="77777777" w:rsidR="003B5C4B" w:rsidRPr="00CB4ED1" w:rsidRDefault="003B5C4B" w:rsidP="00AB0A8B">
            <w:pPr>
              <w:pStyle w:val="tabletext"/>
            </w:pPr>
            <w:r w:rsidRPr="00CB4ED1">
              <w:t>Comprehensive Investment Appraisal</w:t>
            </w:r>
          </w:p>
        </w:tc>
      </w:tr>
      <w:tr w:rsidR="00497BB1" w:rsidRPr="00CB4ED1" w14:paraId="57055B9A" w14:textId="77777777" w:rsidTr="001C02CC">
        <w:tc>
          <w:tcPr>
            <w:tcW w:w="1242" w:type="dxa"/>
          </w:tcPr>
          <w:p w14:paraId="711EBA4C" w14:textId="77777777" w:rsidR="003B5C4B" w:rsidRPr="00CB4ED1" w:rsidRDefault="003B5C4B" w:rsidP="00AB0A8B">
            <w:pPr>
              <w:pStyle w:val="tabletext"/>
            </w:pPr>
            <w:r w:rsidRPr="00CB4ED1">
              <w:t xml:space="preserve">CIA </w:t>
            </w:r>
          </w:p>
        </w:tc>
        <w:tc>
          <w:tcPr>
            <w:tcW w:w="3302" w:type="dxa"/>
          </w:tcPr>
          <w:p w14:paraId="42DDEE22" w14:textId="77777777" w:rsidR="003B5C4B" w:rsidRPr="00CB4ED1" w:rsidRDefault="003B5C4B" w:rsidP="00AB0A8B">
            <w:pPr>
              <w:pStyle w:val="tabletext"/>
            </w:pPr>
            <w:r w:rsidRPr="00CB4ED1">
              <w:t>Comprehensive Investment Appraisal</w:t>
            </w:r>
          </w:p>
        </w:tc>
      </w:tr>
      <w:tr w:rsidR="00497BB1" w:rsidRPr="00CB4ED1" w14:paraId="44FCEA7E" w14:textId="77777777" w:rsidTr="001C02CC">
        <w:tc>
          <w:tcPr>
            <w:tcW w:w="1242" w:type="dxa"/>
          </w:tcPr>
          <w:p w14:paraId="03980734" w14:textId="77777777" w:rsidR="003B5C4B" w:rsidRPr="00CB4ED1" w:rsidRDefault="003B5C4B" w:rsidP="00AB0A8B">
            <w:pPr>
              <w:pStyle w:val="tabletext"/>
            </w:pPr>
            <w:r w:rsidRPr="00CB4ED1">
              <w:t>CSF</w:t>
            </w:r>
          </w:p>
        </w:tc>
        <w:tc>
          <w:tcPr>
            <w:tcW w:w="3302" w:type="dxa"/>
          </w:tcPr>
          <w:p w14:paraId="7A590AB6" w14:textId="77777777" w:rsidR="003B5C4B" w:rsidRPr="00CB4ED1" w:rsidRDefault="003B5C4B" w:rsidP="00AB0A8B">
            <w:pPr>
              <w:pStyle w:val="tabletext"/>
            </w:pPr>
            <w:r w:rsidRPr="00CB4ED1">
              <w:t>Critical success factor</w:t>
            </w:r>
          </w:p>
        </w:tc>
      </w:tr>
      <w:tr w:rsidR="00497BB1" w:rsidRPr="00CB4ED1" w14:paraId="77D8EB14" w14:textId="77777777" w:rsidTr="001C02CC">
        <w:tc>
          <w:tcPr>
            <w:tcW w:w="1242" w:type="dxa"/>
          </w:tcPr>
          <w:p w14:paraId="35BCBFB6" w14:textId="515CF9B9" w:rsidR="003B5C4B" w:rsidRPr="00CB4ED1" w:rsidRDefault="003B5C4B" w:rsidP="00AB0A8B">
            <w:pPr>
              <w:pStyle w:val="tabletext"/>
            </w:pPr>
            <w:r w:rsidRPr="00CB4ED1">
              <w:t>CTMUHB</w:t>
            </w:r>
            <w:r w:rsidR="00275209" w:rsidRPr="00CB4ED1">
              <w:t>/CTM</w:t>
            </w:r>
          </w:p>
        </w:tc>
        <w:tc>
          <w:tcPr>
            <w:tcW w:w="3302" w:type="dxa"/>
          </w:tcPr>
          <w:p w14:paraId="25137E16" w14:textId="77777777" w:rsidR="003B5C4B" w:rsidRPr="00CB4ED1" w:rsidRDefault="003B5C4B" w:rsidP="00AB0A8B">
            <w:pPr>
              <w:pStyle w:val="tabletext"/>
            </w:pPr>
            <w:r w:rsidRPr="00CB4ED1">
              <w:t>Cwm Taf University Health Board</w:t>
            </w:r>
          </w:p>
        </w:tc>
      </w:tr>
      <w:tr w:rsidR="00497BB1" w:rsidRPr="00CB4ED1" w14:paraId="613C1CBB" w14:textId="77777777" w:rsidTr="001C02CC">
        <w:tc>
          <w:tcPr>
            <w:tcW w:w="1242" w:type="dxa"/>
          </w:tcPr>
          <w:p w14:paraId="57BF5D58" w14:textId="20C58A10" w:rsidR="003B5C4B" w:rsidRPr="00CB4ED1" w:rsidRDefault="003B5C4B" w:rsidP="00AB0A8B">
            <w:pPr>
              <w:pStyle w:val="tabletext"/>
            </w:pPr>
            <w:r w:rsidRPr="00CB4ED1">
              <w:t>C</w:t>
            </w:r>
            <w:r w:rsidR="00275209" w:rsidRPr="00CB4ED1">
              <w:t>A</w:t>
            </w:r>
            <w:r w:rsidRPr="00CB4ED1">
              <w:t>VUHB</w:t>
            </w:r>
            <w:r w:rsidR="00275209" w:rsidRPr="00CB4ED1">
              <w:t>/CAV</w:t>
            </w:r>
          </w:p>
        </w:tc>
        <w:tc>
          <w:tcPr>
            <w:tcW w:w="3302" w:type="dxa"/>
          </w:tcPr>
          <w:p w14:paraId="636CD534" w14:textId="77777777" w:rsidR="003B5C4B" w:rsidRPr="00CB4ED1" w:rsidRDefault="003B5C4B" w:rsidP="00AB0A8B">
            <w:pPr>
              <w:pStyle w:val="tabletext"/>
            </w:pPr>
            <w:r w:rsidRPr="00CB4ED1">
              <w:t>Cardiff and Vale University Health Board</w:t>
            </w:r>
          </w:p>
        </w:tc>
      </w:tr>
      <w:tr w:rsidR="00497BB1" w:rsidRPr="00CB4ED1" w14:paraId="12789E81" w14:textId="77777777" w:rsidTr="001C02CC">
        <w:tc>
          <w:tcPr>
            <w:tcW w:w="1242" w:type="dxa"/>
          </w:tcPr>
          <w:p w14:paraId="5A2720E7" w14:textId="77777777" w:rsidR="003B5C4B" w:rsidRPr="00CB4ED1" w:rsidRDefault="003B5C4B" w:rsidP="00AB0A8B">
            <w:pPr>
              <w:pStyle w:val="tabletext"/>
            </w:pPr>
            <w:r w:rsidRPr="00CB4ED1">
              <w:t xml:space="preserve">DHSC </w:t>
            </w:r>
          </w:p>
        </w:tc>
        <w:tc>
          <w:tcPr>
            <w:tcW w:w="3302" w:type="dxa"/>
          </w:tcPr>
          <w:p w14:paraId="2A261822" w14:textId="77777777" w:rsidR="003B5C4B" w:rsidRPr="00CB4ED1" w:rsidRDefault="003B5C4B" w:rsidP="00AB0A8B">
            <w:pPr>
              <w:pStyle w:val="tabletext"/>
            </w:pPr>
            <w:r w:rsidRPr="00CB4ED1">
              <w:t>Department of Health and Social Care</w:t>
            </w:r>
          </w:p>
        </w:tc>
      </w:tr>
      <w:tr w:rsidR="00497BB1" w:rsidRPr="00CB4ED1" w14:paraId="0760F6EE" w14:textId="77777777" w:rsidTr="001C02CC">
        <w:tc>
          <w:tcPr>
            <w:tcW w:w="1242" w:type="dxa"/>
          </w:tcPr>
          <w:p w14:paraId="38657FA6" w14:textId="77777777" w:rsidR="003B5C4B" w:rsidRPr="00CB4ED1" w:rsidRDefault="003B5C4B" w:rsidP="00AB0A8B">
            <w:pPr>
              <w:pStyle w:val="tabletext"/>
            </w:pPr>
            <w:r w:rsidRPr="00CB4ED1">
              <w:t>FBC</w:t>
            </w:r>
          </w:p>
        </w:tc>
        <w:tc>
          <w:tcPr>
            <w:tcW w:w="3302" w:type="dxa"/>
          </w:tcPr>
          <w:p w14:paraId="28DED368" w14:textId="77777777" w:rsidR="003B5C4B" w:rsidRPr="00CB4ED1" w:rsidRDefault="003B5C4B" w:rsidP="00AB0A8B">
            <w:pPr>
              <w:pStyle w:val="tabletext"/>
            </w:pPr>
            <w:r w:rsidRPr="00CB4ED1">
              <w:t>Full Business Case</w:t>
            </w:r>
          </w:p>
        </w:tc>
      </w:tr>
      <w:tr w:rsidR="00497BB1" w:rsidRPr="00CB4ED1" w14:paraId="7AB35EEF" w14:textId="77777777" w:rsidTr="001C02CC">
        <w:tc>
          <w:tcPr>
            <w:tcW w:w="1242" w:type="dxa"/>
          </w:tcPr>
          <w:p w14:paraId="2DEDBA24" w14:textId="77777777" w:rsidR="003B5C4B" w:rsidRPr="00CB4ED1" w:rsidRDefault="003B5C4B" w:rsidP="00AB0A8B">
            <w:pPr>
              <w:pStyle w:val="tabletext"/>
            </w:pPr>
            <w:r w:rsidRPr="00CB4ED1">
              <w:t>GiRFT</w:t>
            </w:r>
          </w:p>
        </w:tc>
        <w:tc>
          <w:tcPr>
            <w:tcW w:w="3302" w:type="dxa"/>
          </w:tcPr>
          <w:p w14:paraId="140ABAF7" w14:textId="77777777" w:rsidR="003B5C4B" w:rsidRPr="00CB4ED1" w:rsidRDefault="003B5C4B" w:rsidP="00AB0A8B">
            <w:pPr>
              <w:pStyle w:val="tabletext"/>
            </w:pPr>
            <w:r w:rsidRPr="00CB4ED1">
              <w:t>Get it Right First Time</w:t>
            </w:r>
          </w:p>
        </w:tc>
      </w:tr>
      <w:tr w:rsidR="00497BB1" w:rsidRPr="00CB4ED1" w14:paraId="5C00EC70" w14:textId="77777777" w:rsidTr="001C02CC">
        <w:tc>
          <w:tcPr>
            <w:tcW w:w="1242" w:type="dxa"/>
          </w:tcPr>
          <w:p w14:paraId="4E4DE26C" w14:textId="77777777" w:rsidR="003B5C4B" w:rsidRPr="00CB4ED1" w:rsidRDefault="003B5C4B" w:rsidP="00AB0A8B">
            <w:pPr>
              <w:pStyle w:val="tabletext"/>
            </w:pPr>
            <w:r w:rsidRPr="00CB4ED1">
              <w:t>HB</w:t>
            </w:r>
          </w:p>
        </w:tc>
        <w:tc>
          <w:tcPr>
            <w:tcW w:w="3302" w:type="dxa"/>
          </w:tcPr>
          <w:p w14:paraId="1CF41CC8" w14:textId="77777777" w:rsidR="003B5C4B" w:rsidRPr="00CB4ED1" w:rsidRDefault="003B5C4B" w:rsidP="00AB0A8B">
            <w:pPr>
              <w:pStyle w:val="tabletext"/>
            </w:pPr>
            <w:r w:rsidRPr="00CB4ED1">
              <w:t>Health Board</w:t>
            </w:r>
          </w:p>
        </w:tc>
      </w:tr>
      <w:tr w:rsidR="00275209" w:rsidRPr="00CB4ED1" w14:paraId="2FB47416" w14:textId="77777777" w:rsidTr="001C02CC">
        <w:tc>
          <w:tcPr>
            <w:tcW w:w="1242" w:type="dxa"/>
          </w:tcPr>
          <w:p w14:paraId="4C59F6F2" w14:textId="2CF7ADBE" w:rsidR="00275209" w:rsidRPr="00CB4ED1" w:rsidRDefault="00275209" w:rsidP="00AB0A8B">
            <w:pPr>
              <w:pStyle w:val="tabletext"/>
            </w:pPr>
            <w:r w:rsidRPr="00CB4ED1">
              <w:t>JAG</w:t>
            </w:r>
          </w:p>
        </w:tc>
        <w:tc>
          <w:tcPr>
            <w:tcW w:w="3302" w:type="dxa"/>
          </w:tcPr>
          <w:p w14:paraId="32638A11" w14:textId="326326D5" w:rsidR="00275209" w:rsidRPr="00CB4ED1" w:rsidRDefault="00A51B16" w:rsidP="00AB0A8B">
            <w:pPr>
              <w:pStyle w:val="tabletext"/>
            </w:pPr>
            <w:r>
              <w:t>Joint Advisory Group</w:t>
            </w:r>
          </w:p>
        </w:tc>
      </w:tr>
      <w:tr w:rsidR="00497BB1" w:rsidRPr="00CB4ED1" w14:paraId="04DAEB38" w14:textId="77777777" w:rsidTr="001C02CC">
        <w:tc>
          <w:tcPr>
            <w:tcW w:w="1242" w:type="dxa"/>
          </w:tcPr>
          <w:p w14:paraId="2A7B5EFA" w14:textId="77777777" w:rsidR="003B5C4B" w:rsidRPr="00CB4ED1" w:rsidRDefault="003B5C4B" w:rsidP="00AB0A8B">
            <w:pPr>
              <w:pStyle w:val="tabletext"/>
            </w:pPr>
            <w:r w:rsidRPr="00CB4ED1">
              <w:t xml:space="preserve">MMC </w:t>
            </w:r>
          </w:p>
        </w:tc>
        <w:tc>
          <w:tcPr>
            <w:tcW w:w="3302" w:type="dxa"/>
          </w:tcPr>
          <w:p w14:paraId="59F771F0" w14:textId="77777777" w:rsidR="003B5C4B" w:rsidRPr="00CB4ED1" w:rsidRDefault="003B5C4B" w:rsidP="00AB0A8B">
            <w:pPr>
              <w:pStyle w:val="tabletext"/>
            </w:pPr>
            <w:r w:rsidRPr="00CB4ED1">
              <w:t xml:space="preserve">Modern Methods of Construction </w:t>
            </w:r>
          </w:p>
        </w:tc>
      </w:tr>
      <w:tr w:rsidR="00497BB1" w:rsidRPr="00CB4ED1" w14:paraId="04252D6D" w14:textId="77777777" w:rsidTr="001C02CC">
        <w:tc>
          <w:tcPr>
            <w:tcW w:w="1242" w:type="dxa"/>
          </w:tcPr>
          <w:p w14:paraId="5D7E6D74" w14:textId="77777777" w:rsidR="003B5C4B" w:rsidRPr="00CB4ED1" w:rsidRDefault="003B5C4B" w:rsidP="00AB0A8B">
            <w:pPr>
              <w:pStyle w:val="tabletext"/>
            </w:pPr>
            <w:r w:rsidRPr="00CB4ED1">
              <w:t>NEC</w:t>
            </w:r>
          </w:p>
        </w:tc>
        <w:tc>
          <w:tcPr>
            <w:tcW w:w="3302" w:type="dxa"/>
          </w:tcPr>
          <w:p w14:paraId="5639D820" w14:textId="77777777" w:rsidR="003B5C4B" w:rsidRPr="00CB4ED1" w:rsidRDefault="003B5C4B" w:rsidP="00AB0A8B">
            <w:pPr>
              <w:pStyle w:val="tabletext"/>
            </w:pPr>
            <w:r w:rsidRPr="00CB4ED1">
              <w:t>New Engineering Contract</w:t>
            </w:r>
          </w:p>
        </w:tc>
      </w:tr>
      <w:tr w:rsidR="00497BB1" w:rsidRPr="00CB4ED1" w14:paraId="057F821E" w14:textId="77777777" w:rsidTr="001C02CC">
        <w:tc>
          <w:tcPr>
            <w:tcW w:w="1242" w:type="dxa"/>
          </w:tcPr>
          <w:p w14:paraId="214C745C" w14:textId="77777777" w:rsidR="003B5C4B" w:rsidRPr="00CB4ED1" w:rsidRDefault="003B5C4B" w:rsidP="00AB0A8B">
            <w:pPr>
              <w:pStyle w:val="tabletext"/>
            </w:pPr>
            <w:r w:rsidRPr="00CB4ED1">
              <w:t>NPC</w:t>
            </w:r>
          </w:p>
        </w:tc>
        <w:tc>
          <w:tcPr>
            <w:tcW w:w="3302" w:type="dxa"/>
          </w:tcPr>
          <w:p w14:paraId="0D18A506" w14:textId="77777777" w:rsidR="003B5C4B" w:rsidRPr="00CB4ED1" w:rsidRDefault="003B5C4B" w:rsidP="00AB0A8B">
            <w:pPr>
              <w:pStyle w:val="tabletext"/>
            </w:pPr>
            <w:r w:rsidRPr="00CB4ED1">
              <w:t>Net Present Cost</w:t>
            </w:r>
          </w:p>
        </w:tc>
      </w:tr>
      <w:tr w:rsidR="00497BB1" w:rsidRPr="00CB4ED1" w14:paraId="467A79C4" w14:textId="77777777" w:rsidTr="001C02CC">
        <w:tc>
          <w:tcPr>
            <w:tcW w:w="1242" w:type="dxa"/>
          </w:tcPr>
          <w:p w14:paraId="07AF6F73" w14:textId="77777777" w:rsidR="003B5C4B" w:rsidRPr="00CB4ED1" w:rsidRDefault="003B5C4B" w:rsidP="00AB0A8B">
            <w:pPr>
              <w:pStyle w:val="tabletext"/>
            </w:pPr>
            <w:r w:rsidRPr="00CB4ED1">
              <w:t>NPSV</w:t>
            </w:r>
          </w:p>
        </w:tc>
        <w:tc>
          <w:tcPr>
            <w:tcW w:w="3302" w:type="dxa"/>
          </w:tcPr>
          <w:p w14:paraId="70534B3E" w14:textId="77777777" w:rsidR="003B5C4B" w:rsidRPr="00CB4ED1" w:rsidRDefault="003B5C4B" w:rsidP="00AB0A8B">
            <w:pPr>
              <w:pStyle w:val="tabletext"/>
            </w:pPr>
            <w:r w:rsidRPr="00CB4ED1">
              <w:t>Net Present Social Value</w:t>
            </w:r>
          </w:p>
        </w:tc>
      </w:tr>
      <w:tr w:rsidR="00497BB1" w:rsidRPr="00CB4ED1" w14:paraId="4C8754D3" w14:textId="77777777" w:rsidTr="001C02CC">
        <w:tc>
          <w:tcPr>
            <w:tcW w:w="1242" w:type="dxa"/>
          </w:tcPr>
          <w:p w14:paraId="639E31F0" w14:textId="77777777" w:rsidR="003B5C4B" w:rsidRPr="00CB4ED1" w:rsidRDefault="003B5C4B" w:rsidP="00AB0A8B">
            <w:pPr>
              <w:pStyle w:val="tabletext"/>
            </w:pPr>
            <w:r w:rsidRPr="00CB4ED1">
              <w:t>NWSSP - SES</w:t>
            </w:r>
          </w:p>
        </w:tc>
        <w:tc>
          <w:tcPr>
            <w:tcW w:w="3302" w:type="dxa"/>
          </w:tcPr>
          <w:p w14:paraId="46EEA6F1" w14:textId="77777777" w:rsidR="003B5C4B" w:rsidRPr="00CB4ED1" w:rsidRDefault="003B5C4B" w:rsidP="00AB0A8B">
            <w:pPr>
              <w:pStyle w:val="tabletext"/>
            </w:pPr>
            <w:r w:rsidRPr="00CB4ED1">
              <w:t>NHS Wales Shared Services Partnership - Specialist Estates Services</w:t>
            </w:r>
          </w:p>
        </w:tc>
      </w:tr>
      <w:tr w:rsidR="00497BB1" w:rsidRPr="00CB4ED1" w14:paraId="0BDC4067" w14:textId="77777777" w:rsidTr="001C02CC">
        <w:tc>
          <w:tcPr>
            <w:tcW w:w="1242" w:type="dxa"/>
          </w:tcPr>
          <w:p w14:paraId="7ECE045B" w14:textId="77777777" w:rsidR="003B5C4B" w:rsidRPr="00CB4ED1" w:rsidRDefault="003B5C4B" w:rsidP="00AB0A8B">
            <w:pPr>
              <w:pStyle w:val="tabletext"/>
            </w:pPr>
            <w:r w:rsidRPr="00CB4ED1">
              <w:t>NZC</w:t>
            </w:r>
          </w:p>
        </w:tc>
        <w:tc>
          <w:tcPr>
            <w:tcW w:w="3302" w:type="dxa"/>
          </w:tcPr>
          <w:p w14:paraId="408A11DE" w14:textId="77777777" w:rsidR="003B5C4B" w:rsidRPr="00CB4ED1" w:rsidRDefault="003B5C4B" w:rsidP="00AB0A8B">
            <w:pPr>
              <w:pStyle w:val="tabletext"/>
            </w:pPr>
            <w:r w:rsidRPr="00CB4ED1">
              <w:t>Net Zero Carbon</w:t>
            </w:r>
          </w:p>
        </w:tc>
      </w:tr>
      <w:tr w:rsidR="00497BB1" w:rsidRPr="00CB4ED1" w14:paraId="7D9DE098" w14:textId="77777777" w:rsidTr="001C02CC">
        <w:tc>
          <w:tcPr>
            <w:tcW w:w="1242" w:type="dxa"/>
          </w:tcPr>
          <w:p w14:paraId="02B0B824" w14:textId="77777777" w:rsidR="003B5C4B" w:rsidRPr="00CB4ED1" w:rsidRDefault="003B5C4B" w:rsidP="00AB0A8B">
            <w:pPr>
              <w:pStyle w:val="tabletext"/>
            </w:pPr>
            <w:r w:rsidRPr="00CB4ED1">
              <w:t>OBC</w:t>
            </w:r>
          </w:p>
        </w:tc>
        <w:tc>
          <w:tcPr>
            <w:tcW w:w="3302" w:type="dxa"/>
          </w:tcPr>
          <w:p w14:paraId="5094F593" w14:textId="77777777" w:rsidR="003B5C4B" w:rsidRPr="00CB4ED1" w:rsidRDefault="003B5C4B" w:rsidP="00AB0A8B">
            <w:pPr>
              <w:pStyle w:val="tabletext"/>
            </w:pPr>
            <w:r w:rsidRPr="00CB4ED1">
              <w:t>Outline Business Case</w:t>
            </w:r>
          </w:p>
        </w:tc>
      </w:tr>
      <w:tr w:rsidR="00275209" w:rsidRPr="00CB4ED1" w14:paraId="6728E3D9" w14:textId="77777777" w:rsidTr="001C02CC">
        <w:tc>
          <w:tcPr>
            <w:tcW w:w="1242" w:type="dxa"/>
          </w:tcPr>
          <w:p w14:paraId="6E28CA0A" w14:textId="4D773BEC" w:rsidR="00275209" w:rsidRPr="00CB4ED1" w:rsidRDefault="00275209" w:rsidP="00AB0A8B">
            <w:pPr>
              <w:pStyle w:val="tabletext"/>
            </w:pPr>
            <w:r w:rsidRPr="00CB4ED1">
              <w:t>POWH</w:t>
            </w:r>
          </w:p>
        </w:tc>
        <w:tc>
          <w:tcPr>
            <w:tcW w:w="3302" w:type="dxa"/>
          </w:tcPr>
          <w:p w14:paraId="2DDBDFE3" w14:textId="71CD8B47" w:rsidR="00275209" w:rsidRPr="00CB4ED1" w:rsidRDefault="00275209" w:rsidP="00AB0A8B">
            <w:pPr>
              <w:pStyle w:val="tabletext"/>
            </w:pPr>
            <w:r w:rsidRPr="00CB4ED1">
              <w:t xml:space="preserve">Princess of Wales Hospital </w:t>
            </w:r>
          </w:p>
        </w:tc>
      </w:tr>
      <w:tr w:rsidR="00497BB1" w:rsidRPr="00CB4ED1" w14:paraId="6FC3F06B" w14:textId="77777777" w:rsidTr="001C02CC">
        <w:tc>
          <w:tcPr>
            <w:tcW w:w="1242" w:type="dxa"/>
          </w:tcPr>
          <w:p w14:paraId="3BF90B56" w14:textId="77777777" w:rsidR="003B5C4B" w:rsidRPr="00CB4ED1" w:rsidRDefault="003B5C4B" w:rsidP="00AB0A8B">
            <w:pPr>
              <w:pStyle w:val="tabletext"/>
            </w:pPr>
            <w:r w:rsidRPr="00CB4ED1">
              <w:t>PM</w:t>
            </w:r>
          </w:p>
        </w:tc>
        <w:tc>
          <w:tcPr>
            <w:tcW w:w="3302" w:type="dxa"/>
          </w:tcPr>
          <w:p w14:paraId="5C34C705" w14:textId="02782BD5" w:rsidR="003B5C4B" w:rsidRPr="00CB4ED1" w:rsidRDefault="003B5C4B" w:rsidP="00AB0A8B">
            <w:pPr>
              <w:pStyle w:val="tabletext"/>
            </w:pPr>
            <w:r w:rsidRPr="00CB4ED1">
              <w:t>Project Manager</w:t>
            </w:r>
            <w:r w:rsidR="00CD4262" w:rsidRPr="00CB4ED1">
              <w:t xml:space="preserve"> </w:t>
            </w:r>
            <w:r w:rsidRPr="00CB4ED1">
              <w:t>/</w:t>
            </w:r>
            <w:r w:rsidR="00CD4262" w:rsidRPr="00CB4ED1">
              <w:t xml:space="preserve"> </w:t>
            </w:r>
            <w:r w:rsidRPr="00CB4ED1">
              <w:t>Programme Manager</w:t>
            </w:r>
            <w:r w:rsidR="00CD4262" w:rsidRPr="00CB4ED1">
              <w:t xml:space="preserve"> / Project Management</w:t>
            </w:r>
          </w:p>
        </w:tc>
      </w:tr>
      <w:tr w:rsidR="00497BB1" w:rsidRPr="00CB4ED1" w14:paraId="6BEC0296" w14:textId="77777777" w:rsidTr="001C02CC">
        <w:tc>
          <w:tcPr>
            <w:tcW w:w="1242" w:type="dxa"/>
          </w:tcPr>
          <w:p w14:paraId="4AEB1E66" w14:textId="77777777" w:rsidR="003B5C4B" w:rsidRPr="00CB4ED1" w:rsidRDefault="003B5C4B" w:rsidP="00AB0A8B">
            <w:pPr>
              <w:pStyle w:val="tabletext"/>
            </w:pPr>
            <w:r w:rsidRPr="00CB4ED1">
              <w:t>PSC</w:t>
            </w:r>
          </w:p>
        </w:tc>
        <w:tc>
          <w:tcPr>
            <w:tcW w:w="3302" w:type="dxa"/>
          </w:tcPr>
          <w:p w14:paraId="38FA0DB1" w14:textId="77777777" w:rsidR="003B5C4B" w:rsidRPr="00CB4ED1" w:rsidRDefault="003B5C4B" w:rsidP="00AB0A8B">
            <w:pPr>
              <w:pStyle w:val="tabletext"/>
            </w:pPr>
            <w:r w:rsidRPr="00CB4ED1">
              <w:t xml:space="preserve">Professional Services Contract </w:t>
            </w:r>
          </w:p>
        </w:tc>
      </w:tr>
      <w:tr w:rsidR="00497BB1" w:rsidRPr="00CB4ED1" w14:paraId="6D626C24" w14:textId="77777777" w:rsidTr="001C02CC">
        <w:tc>
          <w:tcPr>
            <w:tcW w:w="1242" w:type="dxa"/>
          </w:tcPr>
          <w:p w14:paraId="582C12AD" w14:textId="77777777" w:rsidR="003B5C4B" w:rsidRPr="00CB4ED1" w:rsidRDefault="003B5C4B" w:rsidP="00AB0A8B">
            <w:pPr>
              <w:pStyle w:val="tabletext"/>
            </w:pPr>
            <w:r w:rsidRPr="00CB4ED1">
              <w:t>PWF</w:t>
            </w:r>
          </w:p>
        </w:tc>
        <w:tc>
          <w:tcPr>
            <w:tcW w:w="3302" w:type="dxa"/>
          </w:tcPr>
          <w:p w14:paraId="2DD55D20" w14:textId="77777777" w:rsidR="003B5C4B" w:rsidRPr="00CB4ED1" w:rsidRDefault="003B5C4B" w:rsidP="00AB0A8B">
            <w:pPr>
              <w:pStyle w:val="tabletext"/>
            </w:pPr>
            <w:r w:rsidRPr="00CB4ED1">
              <w:t>Preferred Way Forward</w:t>
            </w:r>
          </w:p>
        </w:tc>
      </w:tr>
      <w:tr w:rsidR="00275209" w:rsidRPr="00CB4ED1" w14:paraId="5ED7A429" w14:textId="77777777" w:rsidTr="001C02CC">
        <w:tc>
          <w:tcPr>
            <w:tcW w:w="1242" w:type="dxa"/>
          </w:tcPr>
          <w:p w14:paraId="60AB3A6C" w14:textId="4027819B" w:rsidR="00275209" w:rsidRPr="00CB4ED1" w:rsidRDefault="00275209" w:rsidP="00AB0A8B">
            <w:pPr>
              <w:pStyle w:val="tabletext"/>
            </w:pPr>
            <w:r w:rsidRPr="00CB4ED1">
              <w:t>RGH</w:t>
            </w:r>
          </w:p>
        </w:tc>
        <w:tc>
          <w:tcPr>
            <w:tcW w:w="3302" w:type="dxa"/>
          </w:tcPr>
          <w:p w14:paraId="23ED3A05" w14:textId="6AF2C060" w:rsidR="00275209" w:rsidRPr="00CB4ED1" w:rsidRDefault="00275209" w:rsidP="00AB0A8B">
            <w:pPr>
              <w:pStyle w:val="tabletext"/>
            </w:pPr>
            <w:r w:rsidRPr="00CB4ED1">
              <w:t>Royal Glamorgan Hospital</w:t>
            </w:r>
          </w:p>
        </w:tc>
      </w:tr>
      <w:tr w:rsidR="00497BB1" w:rsidRPr="00CB4ED1" w14:paraId="19408596" w14:textId="77777777" w:rsidTr="001C02CC">
        <w:tc>
          <w:tcPr>
            <w:tcW w:w="1242" w:type="dxa"/>
          </w:tcPr>
          <w:p w14:paraId="73DB80E9" w14:textId="77777777" w:rsidR="003B5C4B" w:rsidRPr="00CB4ED1" w:rsidRDefault="003B5C4B" w:rsidP="00AB0A8B">
            <w:pPr>
              <w:pStyle w:val="tabletext"/>
            </w:pPr>
            <w:r w:rsidRPr="00CB4ED1">
              <w:t>RPA</w:t>
            </w:r>
          </w:p>
        </w:tc>
        <w:tc>
          <w:tcPr>
            <w:tcW w:w="3302" w:type="dxa"/>
          </w:tcPr>
          <w:p w14:paraId="46ED50C6" w14:textId="77777777" w:rsidR="003B5C4B" w:rsidRPr="00CB4ED1" w:rsidRDefault="003B5C4B" w:rsidP="00AB0A8B">
            <w:pPr>
              <w:pStyle w:val="tabletext"/>
            </w:pPr>
            <w:r w:rsidRPr="00CB4ED1">
              <w:t>Risk Potential Assessment</w:t>
            </w:r>
          </w:p>
        </w:tc>
      </w:tr>
      <w:tr w:rsidR="00497BB1" w:rsidRPr="00CB4ED1" w14:paraId="2E6D64A7" w14:textId="77777777" w:rsidTr="001C02CC">
        <w:tc>
          <w:tcPr>
            <w:tcW w:w="1242" w:type="dxa"/>
          </w:tcPr>
          <w:p w14:paraId="5B51942C" w14:textId="77777777" w:rsidR="003B5C4B" w:rsidRPr="00CB4ED1" w:rsidRDefault="003B5C4B" w:rsidP="00AB0A8B">
            <w:pPr>
              <w:pStyle w:val="tabletext"/>
            </w:pPr>
            <w:r w:rsidRPr="00CB4ED1">
              <w:t>SAB</w:t>
            </w:r>
          </w:p>
        </w:tc>
        <w:tc>
          <w:tcPr>
            <w:tcW w:w="3302" w:type="dxa"/>
          </w:tcPr>
          <w:p w14:paraId="63AE3D2A" w14:textId="77777777" w:rsidR="003B5C4B" w:rsidRPr="00CB4ED1" w:rsidRDefault="003B5C4B" w:rsidP="00AB0A8B">
            <w:pPr>
              <w:pStyle w:val="tabletext"/>
            </w:pPr>
            <w:proofErr w:type="spellStart"/>
            <w:r w:rsidRPr="00CB4ED1">
              <w:t>SuDS</w:t>
            </w:r>
            <w:proofErr w:type="spellEnd"/>
            <w:r w:rsidRPr="00CB4ED1">
              <w:t xml:space="preserve"> Approval Body </w:t>
            </w:r>
          </w:p>
        </w:tc>
      </w:tr>
      <w:tr w:rsidR="00497BB1" w:rsidRPr="00CB4ED1" w14:paraId="0EA89720" w14:textId="77777777" w:rsidTr="001C02CC">
        <w:tc>
          <w:tcPr>
            <w:tcW w:w="1242" w:type="dxa"/>
          </w:tcPr>
          <w:p w14:paraId="35BB1FD4" w14:textId="77777777" w:rsidR="003B5C4B" w:rsidRPr="00CB4ED1" w:rsidRDefault="003B5C4B" w:rsidP="00AB0A8B">
            <w:pPr>
              <w:pStyle w:val="tabletext"/>
            </w:pPr>
            <w:r w:rsidRPr="00CB4ED1">
              <w:t>SCP</w:t>
            </w:r>
          </w:p>
        </w:tc>
        <w:tc>
          <w:tcPr>
            <w:tcW w:w="3302" w:type="dxa"/>
          </w:tcPr>
          <w:p w14:paraId="66C0D497" w14:textId="77777777" w:rsidR="003B5C4B" w:rsidRPr="00CB4ED1" w:rsidRDefault="003B5C4B" w:rsidP="00AB0A8B">
            <w:pPr>
              <w:pStyle w:val="tabletext"/>
            </w:pPr>
            <w:r w:rsidRPr="00CB4ED1">
              <w:t>Supply Chain Partner</w:t>
            </w:r>
          </w:p>
        </w:tc>
      </w:tr>
      <w:tr w:rsidR="00497BB1" w:rsidRPr="00CB4ED1" w14:paraId="3A56E741" w14:textId="77777777" w:rsidTr="001C02CC">
        <w:tc>
          <w:tcPr>
            <w:tcW w:w="1242" w:type="dxa"/>
          </w:tcPr>
          <w:p w14:paraId="74BA5A2C" w14:textId="77777777" w:rsidR="003B5C4B" w:rsidRPr="00CB4ED1" w:rsidRDefault="003B5C4B" w:rsidP="00AB0A8B">
            <w:pPr>
              <w:pStyle w:val="tabletext"/>
            </w:pPr>
            <w:r w:rsidRPr="00CB4ED1">
              <w:t>SO</w:t>
            </w:r>
          </w:p>
        </w:tc>
        <w:tc>
          <w:tcPr>
            <w:tcW w:w="3302" w:type="dxa"/>
          </w:tcPr>
          <w:p w14:paraId="2C2248FD" w14:textId="77777777" w:rsidR="003B5C4B" w:rsidRPr="00CB4ED1" w:rsidRDefault="003B5C4B" w:rsidP="00AB0A8B">
            <w:pPr>
              <w:pStyle w:val="tabletext"/>
            </w:pPr>
            <w:r w:rsidRPr="00CB4ED1">
              <w:t>Spending Objective</w:t>
            </w:r>
          </w:p>
        </w:tc>
      </w:tr>
      <w:tr w:rsidR="00497BB1" w:rsidRPr="00CB4ED1" w14:paraId="6B6B0A2F" w14:textId="77777777" w:rsidTr="001C02CC">
        <w:tc>
          <w:tcPr>
            <w:tcW w:w="1242" w:type="dxa"/>
          </w:tcPr>
          <w:p w14:paraId="32F27E2F" w14:textId="77777777" w:rsidR="003B5C4B" w:rsidRPr="00CB4ED1" w:rsidRDefault="003B5C4B" w:rsidP="00AB0A8B">
            <w:pPr>
              <w:pStyle w:val="tabletext"/>
            </w:pPr>
            <w:r w:rsidRPr="00CB4ED1">
              <w:t>SOC</w:t>
            </w:r>
          </w:p>
        </w:tc>
        <w:tc>
          <w:tcPr>
            <w:tcW w:w="3302" w:type="dxa"/>
          </w:tcPr>
          <w:p w14:paraId="1BDF9530" w14:textId="77777777" w:rsidR="003B5C4B" w:rsidRPr="00CB4ED1" w:rsidRDefault="003B5C4B" w:rsidP="00AB0A8B">
            <w:pPr>
              <w:pStyle w:val="tabletext"/>
            </w:pPr>
            <w:r w:rsidRPr="00CB4ED1">
              <w:t>Strategic Outline Case</w:t>
            </w:r>
          </w:p>
        </w:tc>
      </w:tr>
      <w:tr w:rsidR="00497BB1" w:rsidRPr="00CB4ED1" w14:paraId="1FC1E49A" w14:textId="77777777" w:rsidTr="001C02CC">
        <w:tc>
          <w:tcPr>
            <w:tcW w:w="1242" w:type="dxa"/>
          </w:tcPr>
          <w:p w14:paraId="04728C50" w14:textId="77777777" w:rsidR="003B5C4B" w:rsidRPr="00CB4ED1" w:rsidRDefault="003B5C4B" w:rsidP="00AB0A8B">
            <w:pPr>
              <w:pStyle w:val="tabletext"/>
            </w:pPr>
            <w:r w:rsidRPr="00CB4ED1">
              <w:t>SRO</w:t>
            </w:r>
          </w:p>
        </w:tc>
        <w:tc>
          <w:tcPr>
            <w:tcW w:w="3302" w:type="dxa"/>
          </w:tcPr>
          <w:p w14:paraId="397D8772" w14:textId="77777777" w:rsidR="003B5C4B" w:rsidRPr="00CB4ED1" w:rsidRDefault="003B5C4B" w:rsidP="00AB0A8B">
            <w:pPr>
              <w:pStyle w:val="tabletext"/>
            </w:pPr>
            <w:r w:rsidRPr="00CB4ED1">
              <w:t>Senior Responsible Officer</w:t>
            </w:r>
          </w:p>
        </w:tc>
      </w:tr>
      <w:tr w:rsidR="00497BB1" w:rsidRPr="00CB4ED1" w14:paraId="1577B718" w14:textId="77777777" w:rsidTr="001C02CC">
        <w:tc>
          <w:tcPr>
            <w:tcW w:w="1242" w:type="dxa"/>
          </w:tcPr>
          <w:p w14:paraId="16E65C46" w14:textId="212DDD2A" w:rsidR="003B5C4B" w:rsidRPr="00CB4ED1" w:rsidRDefault="003B5C4B" w:rsidP="00AB0A8B">
            <w:pPr>
              <w:pStyle w:val="tabletext"/>
            </w:pPr>
            <w:r w:rsidRPr="00CB4ED1">
              <w:t>WG</w:t>
            </w:r>
          </w:p>
        </w:tc>
        <w:tc>
          <w:tcPr>
            <w:tcW w:w="3302" w:type="dxa"/>
          </w:tcPr>
          <w:p w14:paraId="1E6EA334" w14:textId="2590433D" w:rsidR="003B5C4B" w:rsidRPr="00CB4ED1" w:rsidRDefault="003B5C4B" w:rsidP="00AB0A8B">
            <w:pPr>
              <w:pStyle w:val="tabletext"/>
            </w:pPr>
            <w:r w:rsidRPr="00CB4ED1">
              <w:t>Welsh Government</w:t>
            </w:r>
          </w:p>
        </w:tc>
      </w:tr>
    </w:tbl>
    <w:p w14:paraId="1432479D" w14:textId="77777777" w:rsidR="001C02CC" w:rsidRDefault="001C02CC" w:rsidP="00B27690">
      <w:pPr>
        <w:sectPr w:rsidR="001C02CC" w:rsidSect="001C02CC">
          <w:type w:val="continuous"/>
          <w:pgSz w:w="11906" w:h="16838" w:code="9"/>
          <w:pgMar w:top="964" w:right="1134" w:bottom="1531" w:left="1134" w:header="284" w:footer="454" w:gutter="0"/>
          <w:cols w:num="2" w:space="708"/>
          <w:docGrid w:linePitch="360"/>
        </w:sectPr>
      </w:pPr>
    </w:p>
    <w:p w14:paraId="6C6ED248" w14:textId="77777777" w:rsidR="00B27690" w:rsidRPr="00CB4ED1" w:rsidRDefault="00B27690" w:rsidP="00B27690"/>
    <w:p w14:paraId="7BDEC671" w14:textId="2A266E2C" w:rsidR="00E53CBD" w:rsidRPr="00CB4ED1" w:rsidRDefault="58670D6B" w:rsidP="00AA7BDB">
      <w:pPr>
        <w:pStyle w:val="Heading1"/>
      </w:pPr>
      <w:bookmarkStart w:id="5" w:name="_Toc213865197"/>
      <w:r w:rsidRPr="00CB4ED1">
        <w:lastRenderedPageBreak/>
        <w:t xml:space="preserve">Executive </w:t>
      </w:r>
      <w:r w:rsidR="00B74DF7" w:rsidRPr="00CB4ED1">
        <w:t>summary</w:t>
      </w:r>
      <w:bookmarkEnd w:id="5"/>
      <w:r w:rsidR="00B74DF7" w:rsidRPr="00CB4ED1">
        <w:t xml:space="preserve"> </w:t>
      </w:r>
    </w:p>
    <w:p w14:paraId="49ABC137" w14:textId="593D4B2C" w:rsidR="00E53CBD" w:rsidRPr="00CB4ED1" w:rsidRDefault="58670D6B" w:rsidP="00B52127">
      <w:pPr>
        <w:pStyle w:val="Heading2"/>
        <w:numPr>
          <w:ilvl w:val="1"/>
          <w:numId w:val="23"/>
        </w:numPr>
        <w:rPr>
          <w:rFonts w:ascii="Arial" w:eastAsia="Arial" w:hAnsi="Arial" w:cs="Arial"/>
          <w:szCs w:val="32"/>
        </w:rPr>
      </w:pPr>
      <w:bookmarkStart w:id="6" w:name="_Toc213865198"/>
      <w:r w:rsidRPr="00CB4ED1">
        <w:t xml:space="preserve">Structure and </w:t>
      </w:r>
      <w:r w:rsidR="00B74DF7" w:rsidRPr="00CB4ED1">
        <w:t>introduction</w:t>
      </w:r>
      <w:bookmarkEnd w:id="6"/>
    </w:p>
    <w:p w14:paraId="18D8F59C" w14:textId="4C28A9AC" w:rsidR="00E53CBD" w:rsidRPr="00CB4ED1" w:rsidRDefault="58670D6B" w:rsidP="00CD4262">
      <w:r w:rsidRPr="00CB4ED1">
        <w:t>The purpose of this outline business case (OBC) is to outline key objectives, current plans for investment and seek approval for funding</w:t>
      </w:r>
      <w:r w:rsidR="0036559C" w:rsidRPr="00CB4ED1">
        <w:t xml:space="preserve"> of </w:t>
      </w:r>
      <w:r w:rsidR="0036559C" w:rsidRPr="00CB4ED1">
        <w:rPr>
          <w:b/>
          <w:bCs/>
        </w:rPr>
        <w:t>£</w:t>
      </w:r>
      <w:r w:rsidR="001D38E8">
        <w:rPr>
          <w:b/>
          <w:bCs/>
        </w:rPr>
        <w:t>1.67</w:t>
      </w:r>
      <w:r w:rsidR="0036559C" w:rsidRPr="00CB4ED1">
        <w:rPr>
          <w:b/>
          <w:bCs/>
        </w:rPr>
        <w:t>m</w:t>
      </w:r>
      <w:r w:rsidRPr="00CB4ED1">
        <w:t xml:space="preserve"> from Welsh Government to proceed to full business case (FBC)</w:t>
      </w:r>
      <w:r w:rsidR="0036559C" w:rsidRPr="00CB4ED1">
        <w:t xml:space="preserve"> for Phase 2 of the Llantrisant Health Park (LHP) Programme.</w:t>
      </w:r>
    </w:p>
    <w:p w14:paraId="6A91CB6F" w14:textId="08FD26CF" w:rsidR="00E53CBD" w:rsidRPr="00CB4ED1" w:rsidRDefault="58670D6B" w:rsidP="00CD4262">
      <w:r w:rsidRPr="00CB4ED1">
        <w:t>The pro</w:t>
      </w:r>
      <w:r w:rsidR="0065657A" w:rsidRPr="00CB4ED1">
        <w:t>gramme</w:t>
      </w:r>
      <w:r w:rsidRPr="00CB4ED1">
        <w:t xml:space="preserve"> is being led by the LHP Project Team at Cwm Taf Morgannwg University Health Board (CTMUHB) in partnership with Aneurin Bevan </w:t>
      </w:r>
      <w:r w:rsidR="2AC64CBB" w:rsidRPr="00CB4ED1">
        <w:t>University Health Board</w:t>
      </w:r>
      <w:r w:rsidRPr="00CB4ED1">
        <w:t xml:space="preserve"> </w:t>
      </w:r>
      <w:r w:rsidR="2AC64CBB" w:rsidRPr="00CB4ED1">
        <w:t>(ABUHB)</w:t>
      </w:r>
      <w:r w:rsidRPr="00CB4ED1">
        <w:t xml:space="preserve"> and Cardiff and Vale University Health Boards</w:t>
      </w:r>
      <w:r w:rsidR="4454F877" w:rsidRPr="00CB4ED1">
        <w:t xml:space="preserve"> (CAVUHB)</w:t>
      </w:r>
      <w:r w:rsidRPr="00CB4ED1">
        <w:t xml:space="preserve">. Health Boards in </w:t>
      </w:r>
      <w:r w:rsidR="349D7DAB" w:rsidRPr="00CB4ED1">
        <w:t>S</w:t>
      </w:r>
      <w:r w:rsidRPr="00CB4ED1">
        <w:t xml:space="preserve">outh </w:t>
      </w:r>
      <w:r w:rsidR="0E7180C5" w:rsidRPr="00CB4ED1">
        <w:t>E</w:t>
      </w:r>
      <w:r w:rsidRPr="00CB4ED1">
        <w:t xml:space="preserve">ast Wales have committed to active collaboration where this delivers added value to clinical service delivery, access, and sustainability, as it does for this scheme. </w:t>
      </w:r>
    </w:p>
    <w:p w14:paraId="6E8849D7" w14:textId="309AE92D" w:rsidR="00E21591" w:rsidRPr="00CB4ED1" w:rsidRDefault="008831F5">
      <w:r w:rsidRPr="00CB4ED1">
        <w:t>The pro</w:t>
      </w:r>
      <w:r w:rsidR="0065657A" w:rsidRPr="00CB4ED1">
        <w:t>gramme</w:t>
      </w:r>
      <w:r w:rsidRPr="00CB4ED1">
        <w:t xml:space="preserve"> is being delivered across multiple phases to </w:t>
      </w:r>
      <w:r w:rsidR="0065657A" w:rsidRPr="00CB4ED1">
        <w:t>deliver</w:t>
      </w:r>
      <w:r w:rsidRPr="00CB4ED1">
        <w:t xml:space="preserve"> improve</w:t>
      </w:r>
      <w:r w:rsidR="0065657A" w:rsidRPr="00CB4ED1">
        <w:t>d</w:t>
      </w:r>
      <w:r w:rsidRPr="00CB4ED1">
        <w:t xml:space="preserve"> regional access to diagnostics, endoscopy</w:t>
      </w:r>
      <w:r w:rsidR="00F01530">
        <w:t xml:space="preserve"> and</w:t>
      </w:r>
      <w:r w:rsidR="00FF1B2D">
        <w:t xml:space="preserve"> </w:t>
      </w:r>
      <w:r w:rsidRPr="00CB4ED1">
        <w:t>orthop</w:t>
      </w:r>
      <w:r w:rsidR="001C7F36" w:rsidRPr="00CB4ED1">
        <w:t>aedic surgery</w:t>
      </w:r>
      <w:r w:rsidR="0065657A" w:rsidRPr="00CB4ED1">
        <w:t xml:space="preserve">.  Phase 1 of the programme covers provision of diagnostic and endoscopy services alongside provision of site wide supporting infrastructure and the OBC for that phase was approved in October 2025.  </w:t>
      </w:r>
    </w:p>
    <w:p w14:paraId="4E4F0FD1" w14:textId="52AECE23" w:rsidR="00E53CBD" w:rsidRPr="00CB4ED1" w:rsidRDefault="58670D6B" w:rsidP="00CD4262">
      <w:r w:rsidRPr="00CB4ED1">
        <w:t xml:space="preserve">This OBC </w:t>
      </w:r>
      <w:r w:rsidR="00ED2823" w:rsidRPr="00CB4ED1">
        <w:t>covers Phase 2 of the project being</w:t>
      </w:r>
      <w:r w:rsidRPr="00CB4ED1">
        <w:t xml:space="preserve"> Orthopaedic Surger</w:t>
      </w:r>
      <w:r w:rsidR="00BA73D0" w:rsidRPr="00CB4ED1">
        <w:t>y</w:t>
      </w:r>
      <w:r w:rsidRPr="00CB4ED1">
        <w:t xml:space="preserve"> and </w:t>
      </w:r>
      <w:bookmarkStart w:id="7" w:name="_Hlk210722815"/>
      <w:r w:rsidR="0063368C" w:rsidRPr="00CB4ED1">
        <w:t>supporting</w:t>
      </w:r>
      <w:r w:rsidR="00ED2823" w:rsidRPr="00CB4ED1">
        <w:t xml:space="preserve"> ward accommodation.</w:t>
      </w:r>
      <w:r w:rsidR="52DA9BC9" w:rsidRPr="00CB4ED1">
        <w:t xml:space="preserve"> </w:t>
      </w:r>
      <w:bookmarkEnd w:id="7"/>
      <w:r w:rsidRPr="00CB4ED1">
        <w:t>The structure of the OBC is outlined in the table below.</w:t>
      </w:r>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1E0" w:firstRow="1" w:lastRow="1" w:firstColumn="1" w:lastColumn="1" w:noHBand="0" w:noVBand="0"/>
      </w:tblPr>
      <w:tblGrid>
        <w:gridCol w:w="1526"/>
        <w:gridCol w:w="1134"/>
        <w:gridCol w:w="1843"/>
        <w:gridCol w:w="5318"/>
      </w:tblGrid>
      <w:tr w:rsidR="00345A8F" w:rsidRPr="00CB4ED1" w14:paraId="4A60AB89" w14:textId="77777777" w:rsidTr="006E1F56">
        <w:trPr>
          <w:tblHeader/>
        </w:trPr>
        <w:tc>
          <w:tcPr>
            <w:tcW w:w="1526" w:type="dxa"/>
            <w:shd w:val="clear" w:color="auto" w:fill="374264" w:themeFill="text2"/>
            <w:tcMar>
              <w:left w:w="108" w:type="dxa"/>
              <w:right w:w="108" w:type="dxa"/>
            </w:tcMar>
          </w:tcPr>
          <w:p w14:paraId="41C80686" w14:textId="7D7B3276" w:rsidR="217EA7CF" w:rsidRPr="00CB4ED1" w:rsidRDefault="217EA7CF" w:rsidP="006E1F56">
            <w:pPr>
              <w:spacing w:before="60" w:after="60"/>
              <w:rPr>
                <w:color w:val="FFFFFF" w:themeColor="background1"/>
                <w:sz w:val="20"/>
                <w:szCs w:val="20"/>
              </w:rPr>
            </w:pPr>
            <w:r w:rsidRPr="00CB4ED1">
              <w:rPr>
                <w:b/>
                <w:bCs/>
                <w:color w:val="FFFFFF" w:themeColor="background1"/>
                <w:sz w:val="20"/>
                <w:szCs w:val="20"/>
              </w:rPr>
              <w:t>Case</w:t>
            </w:r>
          </w:p>
        </w:tc>
        <w:tc>
          <w:tcPr>
            <w:tcW w:w="1134" w:type="dxa"/>
            <w:shd w:val="clear" w:color="auto" w:fill="374264" w:themeFill="text2"/>
            <w:tcMar>
              <w:left w:w="108" w:type="dxa"/>
              <w:right w:w="108" w:type="dxa"/>
            </w:tcMar>
          </w:tcPr>
          <w:p w14:paraId="15A9EF6F" w14:textId="673482BF" w:rsidR="217EA7CF" w:rsidRPr="00CB4ED1" w:rsidRDefault="217EA7CF" w:rsidP="006E1F56">
            <w:pPr>
              <w:spacing w:before="60" w:after="60"/>
              <w:jc w:val="center"/>
              <w:rPr>
                <w:color w:val="FFFFFF" w:themeColor="background1"/>
                <w:sz w:val="20"/>
                <w:szCs w:val="20"/>
              </w:rPr>
            </w:pPr>
            <w:r w:rsidRPr="00CB4ED1">
              <w:rPr>
                <w:b/>
                <w:bCs/>
                <w:color w:val="FFFFFF" w:themeColor="background1"/>
                <w:sz w:val="20"/>
                <w:szCs w:val="20"/>
              </w:rPr>
              <w:t>Section</w:t>
            </w:r>
          </w:p>
        </w:tc>
        <w:tc>
          <w:tcPr>
            <w:tcW w:w="1843" w:type="dxa"/>
            <w:shd w:val="clear" w:color="auto" w:fill="374264" w:themeFill="text2"/>
            <w:tcMar>
              <w:left w:w="108" w:type="dxa"/>
              <w:right w:w="108" w:type="dxa"/>
            </w:tcMar>
          </w:tcPr>
          <w:p w14:paraId="1CD118A9" w14:textId="11CC3F4E" w:rsidR="217EA7CF" w:rsidRPr="00CB4ED1" w:rsidRDefault="217EA7CF" w:rsidP="006E1F56">
            <w:pPr>
              <w:spacing w:before="60" w:after="60"/>
              <w:rPr>
                <w:color w:val="FFFFFF" w:themeColor="background1"/>
                <w:sz w:val="20"/>
                <w:szCs w:val="20"/>
              </w:rPr>
            </w:pPr>
            <w:r w:rsidRPr="00CB4ED1">
              <w:rPr>
                <w:b/>
                <w:bCs/>
                <w:color w:val="FFFFFF" w:themeColor="background1"/>
                <w:sz w:val="20"/>
                <w:szCs w:val="20"/>
              </w:rPr>
              <w:t>Purpose</w:t>
            </w:r>
          </w:p>
        </w:tc>
        <w:tc>
          <w:tcPr>
            <w:tcW w:w="5318" w:type="dxa"/>
            <w:shd w:val="clear" w:color="auto" w:fill="374264" w:themeFill="text2"/>
            <w:tcMar>
              <w:left w:w="108" w:type="dxa"/>
              <w:right w:w="108" w:type="dxa"/>
            </w:tcMar>
          </w:tcPr>
          <w:p w14:paraId="135BF6A7" w14:textId="6F623518" w:rsidR="217EA7CF" w:rsidRPr="00CB4ED1" w:rsidRDefault="217EA7CF" w:rsidP="006E1F56">
            <w:pPr>
              <w:spacing w:before="60" w:after="60"/>
              <w:rPr>
                <w:color w:val="FFFFFF" w:themeColor="background1"/>
                <w:sz w:val="20"/>
                <w:szCs w:val="20"/>
              </w:rPr>
            </w:pPr>
            <w:r w:rsidRPr="00CB4ED1">
              <w:rPr>
                <w:b/>
                <w:bCs/>
                <w:color w:val="FFFFFF" w:themeColor="background1"/>
                <w:sz w:val="20"/>
                <w:szCs w:val="20"/>
              </w:rPr>
              <w:t xml:space="preserve">Description </w:t>
            </w:r>
          </w:p>
        </w:tc>
      </w:tr>
      <w:tr w:rsidR="007F6053" w:rsidRPr="00CB4ED1" w14:paraId="45962B87" w14:textId="77777777" w:rsidTr="006E1F56">
        <w:tc>
          <w:tcPr>
            <w:tcW w:w="1526" w:type="dxa"/>
            <w:vMerge w:val="restart"/>
            <w:shd w:val="clear" w:color="auto" w:fill="F2F2F2" w:themeFill="accent6" w:themeFillShade="F2"/>
            <w:tcMar>
              <w:left w:w="108" w:type="dxa"/>
              <w:right w:w="108" w:type="dxa"/>
            </w:tcMar>
          </w:tcPr>
          <w:p w14:paraId="01551E65" w14:textId="67454B89" w:rsidR="217EA7CF" w:rsidRPr="00CB4ED1" w:rsidRDefault="217EA7CF" w:rsidP="006E1F56">
            <w:pPr>
              <w:spacing w:before="60" w:after="60"/>
              <w:rPr>
                <w:sz w:val="20"/>
                <w:szCs w:val="20"/>
              </w:rPr>
            </w:pPr>
            <w:r w:rsidRPr="00CB4ED1">
              <w:rPr>
                <w:color w:val="000000"/>
                <w:sz w:val="20"/>
                <w:szCs w:val="20"/>
              </w:rPr>
              <w:t xml:space="preserve">Strategic </w:t>
            </w:r>
          </w:p>
        </w:tc>
        <w:tc>
          <w:tcPr>
            <w:tcW w:w="1134" w:type="dxa"/>
            <w:tcMar>
              <w:left w:w="108" w:type="dxa"/>
              <w:right w:w="108" w:type="dxa"/>
            </w:tcMar>
          </w:tcPr>
          <w:p w14:paraId="369F8D1F" w14:textId="089BE89F" w:rsidR="217EA7CF" w:rsidRPr="00CB4ED1" w:rsidRDefault="217EA7CF" w:rsidP="006E1F56">
            <w:pPr>
              <w:spacing w:before="60" w:after="60"/>
              <w:jc w:val="center"/>
              <w:rPr>
                <w:sz w:val="20"/>
                <w:szCs w:val="20"/>
              </w:rPr>
            </w:pPr>
            <w:r w:rsidRPr="00CB4ED1">
              <w:rPr>
                <w:sz w:val="20"/>
                <w:szCs w:val="20"/>
              </w:rPr>
              <w:t>2</w:t>
            </w:r>
          </w:p>
        </w:tc>
        <w:tc>
          <w:tcPr>
            <w:tcW w:w="1843" w:type="dxa"/>
            <w:tcMar>
              <w:left w:w="108" w:type="dxa"/>
              <w:right w:w="108" w:type="dxa"/>
            </w:tcMar>
          </w:tcPr>
          <w:p w14:paraId="0B397573" w14:textId="1BEFAEF8" w:rsidR="217EA7CF" w:rsidRPr="00CB4ED1" w:rsidRDefault="217EA7CF" w:rsidP="006E1F56">
            <w:pPr>
              <w:spacing w:before="60" w:after="60"/>
              <w:rPr>
                <w:sz w:val="20"/>
                <w:szCs w:val="20"/>
              </w:rPr>
            </w:pPr>
            <w:r w:rsidRPr="00CB4ED1">
              <w:rPr>
                <w:sz w:val="20"/>
                <w:szCs w:val="20"/>
              </w:rPr>
              <w:t>Strategic Context</w:t>
            </w:r>
          </w:p>
        </w:tc>
        <w:tc>
          <w:tcPr>
            <w:tcW w:w="5318" w:type="dxa"/>
            <w:tcMar>
              <w:left w:w="108" w:type="dxa"/>
              <w:right w:w="108" w:type="dxa"/>
            </w:tcMar>
          </w:tcPr>
          <w:p w14:paraId="7013E202" w14:textId="48498A41" w:rsidR="217EA7CF" w:rsidRPr="00CB4ED1" w:rsidRDefault="217EA7CF" w:rsidP="006E1F56">
            <w:pPr>
              <w:spacing w:before="60" w:after="60"/>
              <w:rPr>
                <w:sz w:val="20"/>
                <w:szCs w:val="20"/>
              </w:rPr>
            </w:pPr>
            <w:r w:rsidRPr="00CB4ED1">
              <w:rPr>
                <w:sz w:val="20"/>
                <w:szCs w:val="20"/>
              </w:rPr>
              <w:t>Provides an overview of current services and explains how the project is strategically placed to contribute to the delivery of organisational goals.</w:t>
            </w:r>
          </w:p>
        </w:tc>
      </w:tr>
      <w:tr w:rsidR="001F1980" w:rsidRPr="00CB4ED1" w14:paraId="1D3702F3" w14:textId="77777777" w:rsidTr="006E1F56">
        <w:tc>
          <w:tcPr>
            <w:tcW w:w="1526" w:type="dxa"/>
            <w:vMerge/>
            <w:vAlign w:val="center"/>
          </w:tcPr>
          <w:p w14:paraId="658511E4" w14:textId="77777777" w:rsidR="00675D84" w:rsidRPr="00CB4ED1" w:rsidRDefault="00675D84" w:rsidP="006E1F56">
            <w:pPr>
              <w:spacing w:before="60" w:after="60"/>
              <w:rPr>
                <w:sz w:val="20"/>
                <w:szCs w:val="20"/>
              </w:rPr>
            </w:pPr>
          </w:p>
        </w:tc>
        <w:tc>
          <w:tcPr>
            <w:tcW w:w="1134" w:type="dxa"/>
            <w:tcMar>
              <w:left w:w="108" w:type="dxa"/>
              <w:right w:w="108" w:type="dxa"/>
            </w:tcMar>
          </w:tcPr>
          <w:p w14:paraId="6891FD6C" w14:textId="690926C0" w:rsidR="217EA7CF" w:rsidRPr="00CB4ED1" w:rsidRDefault="217EA7CF" w:rsidP="006E1F56">
            <w:pPr>
              <w:spacing w:before="60" w:after="60"/>
              <w:jc w:val="center"/>
              <w:rPr>
                <w:sz w:val="20"/>
                <w:szCs w:val="20"/>
              </w:rPr>
            </w:pPr>
            <w:r w:rsidRPr="00CB4ED1">
              <w:rPr>
                <w:sz w:val="20"/>
                <w:szCs w:val="20"/>
              </w:rPr>
              <w:t>3</w:t>
            </w:r>
          </w:p>
        </w:tc>
        <w:tc>
          <w:tcPr>
            <w:tcW w:w="1843" w:type="dxa"/>
            <w:tcMar>
              <w:left w:w="108" w:type="dxa"/>
              <w:right w:w="108" w:type="dxa"/>
            </w:tcMar>
          </w:tcPr>
          <w:p w14:paraId="271F3280" w14:textId="7C70CD09" w:rsidR="217EA7CF" w:rsidRPr="00CB4ED1" w:rsidRDefault="217EA7CF" w:rsidP="006E1F56">
            <w:pPr>
              <w:spacing w:before="60" w:after="60"/>
              <w:rPr>
                <w:sz w:val="20"/>
                <w:szCs w:val="20"/>
              </w:rPr>
            </w:pPr>
            <w:r w:rsidRPr="00CB4ED1">
              <w:rPr>
                <w:sz w:val="20"/>
                <w:szCs w:val="20"/>
              </w:rPr>
              <w:t>Case for Change</w:t>
            </w:r>
          </w:p>
        </w:tc>
        <w:tc>
          <w:tcPr>
            <w:tcW w:w="5318" w:type="dxa"/>
            <w:tcMar>
              <w:left w:w="108" w:type="dxa"/>
              <w:right w:w="108" w:type="dxa"/>
            </w:tcMar>
          </w:tcPr>
          <w:p w14:paraId="15CFD5C7" w14:textId="59ABAD07" w:rsidR="217EA7CF" w:rsidRPr="00CB4ED1" w:rsidRDefault="217EA7CF" w:rsidP="006E1F56">
            <w:pPr>
              <w:spacing w:before="60" w:after="60"/>
              <w:rPr>
                <w:sz w:val="20"/>
                <w:szCs w:val="20"/>
              </w:rPr>
            </w:pPr>
            <w:r w:rsidRPr="00CB4ED1">
              <w:rPr>
                <w:sz w:val="20"/>
                <w:szCs w:val="20"/>
              </w:rPr>
              <w:t>Establishes the case for change by outlining the spending objectives, existing arrangements and business needs.</w:t>
            </w:r>
          </w:p>
        </w:tc>
      </w:tr>
      <w:tr w:rsidR="001F1980" w:rsidRPr="00CB4ED1" w14:paraId="5A5CDB5F" w14:textId="77777777" w:rsidTr="006E1F56">
        <w:tc>
          <w:tcPr>
            <w:tcW w:w="1526" w:type="dxa"/>
            <w:vMerge/>
            <w:vAlign w:val="center"/>
          </w:tcPr>
          <w:p w14:paraId="60BCB5EC" w14:textId="77777777" w:rsidR="00675D84" w:rsidRPr="00CB4ED1" w:rsidRDefault="00675D84" w:rsidP="006E1F56">
            <w:pPr>
              <w:spacing w:before="60" w:after="60"/>
              <w:rPr>
                <w:sz w:val="20"/>
                <w:szCs w:val="20"/>
              </w:rPr>
            </w:pPr>
          </w:p>
        </w:tc>
        <w:tc>
          <w:tcPr>
            <w:tcW w:w="1134" w:type="dxa"/>
            <w:tcMar>
              <w:left w:w="108" w:type="dxa"/>
              <w:right w:w="108" w:type="dxa"/>
            </w:tcMar>
          </w:tcPr>
          <w:p w14:paraId="6A8C7869" w14:textId="3CE73559" w:rsidR="217EA7CF" w:rsidRPr="00CB4ED1" w:rsidRDefault="217EA7CF" w:rsidP="006E1F56">
            <w:pPr>
              <w:spacing w:before="60" w:after="60"/>
              <w:jc w:val="center"/>
              <w:rPr>
                <w:sz w:val="20"/>
                <w:szCs w:val="20"/>
              </w:rPr>
            </w:pPr>
            <w:r w:rsidRPr="00CB4ED1">
              <w:rPr>
                <w:sz w:val="20"/>
                <w:szCs w:val="20"/>
              </w:rPr>
              <w:t>4</w:t>
            </w:r>
          </w:p>
        </w:tc>
        <w:tc>
          <w:tcPr>
            <w:tcW w:w="1843" w:type="dxa"/>
            <w:tcMar>
              <w:left w:w="108" w:type="dxa"/>
              <w:right w:w="108" w:type="dxa"/>
            </w:tcMar>
          </w:tcPr>
          <w:p w14:paraId="1D401C3C" w14:textId="2845ED80" w:rsidR="217EA7CF" w:rsidRPr="00CB4ED1" w:rsidRDefault="217EA7CF" w:rsidP="006E1F56">
            <w:pPr>
              <w:spacing w:before="60" w:after="60"/>
              <w:rPr>
                <w:sz w:val="20"/>
                <w:szCs w:val="20"/>
              </w:rPr>
            </w:pPr>
            <w:r w:rsidRPr="00CB4ED1">
              <w:rPr>
                <w:sz w:val="20"/>
                <w:szCs w:val="20"/>
              </w:rPr>
              <w:t>Potential Scope and Services</w:t>
            </w:r>
          </w:p>
        </w:tc>
        <w:tc>
          <w:tcPr>
            <w:tcW w:w="5318" w:type="dxa"/>
            <w:tcMar>
              <w:left w:w="108" w:type="dxa"/>
              <w:right w:w="108" w:type="dxa"/>
            </w:tcMar>
          </w:tcPr>
          <w:p w14:paraId="371C7687" w14:textId="1700AC2F" w:rsidR="217EA7CF" w:rsidRPr="00CB4ED1" w:rsidRDefault="217EA7CF" w:rsidP="006E1F56">
            <w:pPr>
              <w:spacing w:before="60" w:after="60"/>
              <w:rPr>
                <w:sz w:val="20"/>
                <w:szCs w:val="20"/>
              </w:rPr>
            </w:pPr>
            <w:r w:rsidRPr="00CB4ED1">
              <w:rPr>
                <w:sz w:val="20"/>
                <w:szCs w:val="20"/>
              </w:rPr>
              <w:t>Identifies the potential scope of the project in terms of the operational capabilities and service changes required to satisfy the identified business needs.</w:t>
            </w:r>
          </w:p>
        </w:tc>
      </w:tr>
      <w:tr w:rsidR="001F1980" w:rsidRPr="00CB4ED1" w14:paraId="354656E4" w14:textId="77777777" w:rsidTr="006E1F56">
        <w:tc>
          <w:tcPr>
            <w:tcW w:w="1526" w:type="dxa"/>
            <w:vMerge/>
            <w:vAlign w:val="center"/>
          </w:tcPr>
          <w:p w14:paraId="748C8EC0" w14:textId="77777777" w:rsidR="00675D84" w:rsidRPr="00CB4ED1" w:rsidRDefault="00675D84" w:rsidP="006E1F56">
            <w:pPr>
              <w:spacing w:before="60" w:after="60"/>
              <w:rPr>
                <w:sz w:val="20"/>
                <w:szCs w:val="20"/>
              </w:rPr>
            </w:pPr>
          </w:p>
        </w:tc>
        <w:tc>
          <w:tcPr>
            <w:tcW w:w="1134" w:type="dxa"/>
            <w:tcMar>
              <w:left w:w="108" w:type="dxa"/>
              <w:right w:w="108" w:type="dxa"/>
            </w:tcMar>
          </w:tcPr>
          <w:p w14:paraId="5AAEF18C" w14:textId="1ED0DC71" w:rsidR="217EA7CF" w:rsidRPr="00CB4ED1" w:rsidRDefault="217EA7CF" w:rsidP="006E1F56">
            <w:pPr>
              <w:spacing w:before="60" w:after="60"/>
              <w:jc w:val="center"/>
              <w:rPr>
                <w:sz w:val="20"/>
                <w:szCs w:val="20"/>
              </w:rPr>
            </w:pPr>
            <w:r w:rsidRPr="00CB4ED1">
              <w:rPr>
                <w:sz w:val="20"/>
                <w:szCs w:val="20"/>
              </w:rPr>
              <w:t>5</w:t>
            </w:r>
          </w:p>
        </w:tc>
        <w:tc>
          <w:tcPr>
            <w:tcW w:w="1843" w:type="dxa"/>
            <w:tcMar>
              <w:left w:w="108" w:type="dxa"/>
              <w:right w:w="108" w:type="dxa"/>
            </w:tcMar>
          </w:tcPr>
          <w:p w14:paraId="7ECE4054" w14:textId="7B3CEEAD" w:rsidR="217EA7CF" w:rsidRPr="00CB4ED1" w:rsidRDefault="217EA7CF" w:rsidP="006E1F56">
            <w:pPr>
              <w:spacing w:before="60" w:after="60"/>
              <w:rPr>
                <w:sz w:val="20"/>
                <w:szCs w:val="20"/>
              </w:rPr>
            </w:pPr>
            <w:r w:rsidRPr="00CB4ED1">
              <w:rPr>
                <w:sz w:val="20"/>
                <w:szCs w:val="20"/>
              </w:rPr>
              <w:t>Benefits and Risks</w:t>
            </w:r>
          </w:p>
        </w:tc>
        <w:tc>
          <w:tcPr>
            <w:tcW w:w="5318" w:type="dxa"/>
            <w:tcMar>
              <w:left w:w="108" w:type="dxa"/>
              <w:right w:w="108" w:type="dxa"/>
            </w:tcMar>
          </w:tcPr>
          <w:p w14:paraId="554B0598" w14:textId="77FFEFB3" w:rsidR="217EA7CF" w:rsidRPr="00CB4ED1" w:rsidRDefault="217EA7CF" w:rsidP="006E1F56">
            <w:pPr>
              <w:spacing w:before="60" w:after="60"/>
              <w:rPr>
                <w:sz w:val="20"/>
                <w:szCs w:val="20"/>
              </w:rPr>
            </w:pPr>
            <w:r w:rsidRPr="00CB4ED1">
              <w:rPr>
                <w:sz w:val="20"/>
                <w:szCs w:val="20"/>
              </w:rPr>
              <w:t>Identifies the benefits, risks, constraints and dependencies for the project.</w:t>
            </w:r>
          </w:p>
        </w:tc>
      </w:tr>
      <w:tr w:rsidR="007F6053" w:rsidRPr="00CB4ED1" w14:paraId="0CEF39C8" w14:textId="77777777" w:rsidTr="006E1F56">
        <w:tc>
          <w:tcPr>
            <w:tcW w:w="1526" w:type="dxa"/>
            <w:vMerge w:val="restart"/>
            <w:shd w:val="clear" w:color="auto" w:fill="F2F2F2" w:themeFill="accent6" w:themeFillShade="F2"/>
            <w:tcMar>
              <w:left w:w="108" w:type="dxa"/>
              <w:right w:w="108" w:type="dxa"/>
            </w:tcMar>
          </w:tcPr>
          <w:p w14:paraId="71E59842" w14:textId="686FA2EE" w:rsidR="217EA7CF" w:rsidRPr="00CB4ED1" w:rsidRDefault="217EA7CF" w:rsidP="006E1F56">
            <w:pPr>
              <w:spacing w:before="60" w:after="60"/>
              <w:rPr>
                <w:sz w:val="20"/>
                <w:szCs w:val="20"/>
              </w:rPr>
            </w:pPr>
            <w:r w:rsidRPr="00CB4ED1">
              <w:rPr>
                <w:color w:val="000000"/>
                <w:sz w:val="20"/>
                <w:szCs w:val="20"/>
              </w:rPr>
              <w:t xml:space="preserve">Economic </w:t>
            </w:r>
          </w:p>
        </w:tc>
        <w:tc>
          <w:tcPr>
            <w:tcW w:w="1134" w:type="dxa"/>
            <w:tcMar>
              <w:left w:w="108" w:type="dxa"/>
              <w:right w:w="108" w:type="dxa"/>
            </w:tcMar>
          </w:tcPr>
          <w:p w14:paraId="342F2D7D" w14:textId="2E0D2CFE" w:rsidR="217EA7CF" w:rsidRPr="00CB4ED1" w:rsidRDefault="217EA7CF" w:rsidP="006E1F56">
            <w:pPr>
              <w:spacing w:before="60" w:after="60"/>
              <w:jc w:val="center"/>
              <w:rPr>
                <w:sz w:val="20"/>
                <w:szCs w:val="20"/>
              </w:rPr>
            </w:pPr>
            <w:r w:rsidRPr="00CB4ED1">
              <w:rPr>
                <w:sz w:val="20"/>
                <w:szCs w:val="20"/>
              </w:rPr>
              <w:t>6</w:t>
            </w:r>
          </w:p>
        </w:tc>
        <w:tc>
          <w:tcPr>
            <w:tcW w:w="1843" w:type="dxa"/>
            <w:tcMar>
              <w:left w:w="108" w:type="dxa"/>
              <w:right w:w="108" w:type="dxa"/>
            </w:tcMar>
          </w:tcPr>
          <w:p w14:paraId="23EB6FE2" w14:textId="183E1945" w:rsidR="217EA7CF" w:rsidRPr="00CB4ED1" w:rsidRDefault="217EA7CF" w:rsidP="006E1F56">
            <w:pPr>
              <w:spacing w:before="60" w:after="60"/>
              <w:rPr>
                <w:sz w:val="20"/>
                <w:szCs w:val="20"/>
              </w:rPr>
            </w:pPr>
            <w:r w:rsidRPr="00CB4ED1">
              <w:rPr>
                <w:sz w:val="20"/>
                <w:szCs w:val="20"/>
              </w:rPr>
              <w:t xml:space="preserve">Options Identification </w:t>
            </w:r>
            <w:r w:rsidR="006E1F56" w:rsidRPr="00CB4ED1">
              <w:rPr>
                <w:sz w:val="20"/>
                <w:szCs w:val="20"/>
              </w:rPr>
              <w:t xml:space="preserve">and </w:t>
            </w:r>
            <w:r w:rsidRPr="00CB4ED1">
              <w:rPr>
                <w:sz w:val="20"/>
                <w:szCs w:val="20"/>
              </w:rPr>
              <w:t>Appraisal</w:t>
            </w:r>
          </w:p>
        </w:tc>
        <w:tc>
          <w:tcPr>
            <w:tcW w:w="5318" w:type="dxa"/>
            <w:tcMar>
              <w:left w:w="108" w:type="dxa"/>
              <w:right w:w="108" w:type="dxa"/>
            </w:tcMar>
          </w:tcPr>
          <w:p w14:paraId="297887F3" w14:textId="4B771324" w:rsidR="217EA7CF" w:rsidRPr="00CB4ED1" w:rsidRDefault="217EA7CF" w:rsidP="006E1F56">
            <w:pPr>
              <w:spacing w:before="60" w:after="60"/>
              <w:rPr>
                <w:sz w:val="20"/>
                <w:szCs w:val="20"/>
              </w:rPr>
            </w:pPr>
            <w:r w:rsidRPr="00CB4ED1">
              <w:rPr>
                <w:sz w:val="20"/>
                <w:szCs w:val="20"/>
              </w:rPr>
              <w:t>Explores the preferred way forward by agreeing critical success factors (CSFs), determining the longlist of options, and undertaking a SWOT analysis to identify a shortlist of options.</w:t>
            </w:r>
          </w:p>
        </w:tc>
      </w:tr>
      <w:tr w:rsidR="001F1980" w:rsidRPr="00CB4ED1" w14:paraId="52A3C6D6" w14:textId="77777777" w:rsidTr="006E1F56">
        <w:tc>
          <w:tcPr>
            <w:tcW w:w="1526" w:type="dxa"/>
            <w:vMerge/>
            <w:vAlign w:val="center"/>
          </w:tcPr>
          <w:p w14:paraId="6CB227CC" w14:textId="77777777" w:rsidR="00675D84" w:rsidRPr="00CB4ED1" w:rsidRDefault="00675D84" w:rsidP="006E1F56">
            <w:pPr>
              <w:spacing w:before="60" w:after="60"/>
              <w:rPr>
                <w:sz w:val="20"/>
                <w:szCs w:val="20"/>
              </w:rPr>
            </w:pPr>
          </w:p>
        </w:tc>
        <w:tc>
          <w:tcPr>
            <w:tcW w:w="1134" w:type="dxa"/>
            <w:tcMar>
              <w:left w:w="108" w:type="dxa"/>
              <w:right w:w="108" w:type="dxa"/>
            </w:tcMar>
          </w:tcPr>
          <w:p w14:paraId="3E9D9EC4" w14:textId="36E287D0" w:rsidR="217EA7CF" w:rsidRPr="00CB4ED1" w:rsidRDefault="217EA7CF" w:rsidP="006E1F56">
            <w:pPr>
              <w:spacing w:before="60" w:after="60"/>
              <w:jc w:val="center"/>
              <w:rPr>
                <w:sz w:val="20"/>
                <w:szCs w:val="20"/>
              </w:rPr>
            </w:pPr>
            <w:r w:rsidRPr="00CB4ED1">
              <w:rPr>
                <w:sz w:val="20"/>
                <w:szCs w:val="20"/>
              </w:rPr>
              <w:t>7</w:t>
            </w:r>
          </w:p>
        </w:tc>
        <w:tc>
          <w:tcPr>
            <w:tcW w:w="1843" w:type="dxa"/>
            <w:tcMar>
              <w:left w:w="108" w:type="dxa"/>
              <w:right w:w="108" w:type="dxa"/>
            </w:tcMar>
          </w:tcPr>
          <w:p w14:paraId="479715CA" w14:textId="3F6836D6" w:rsidR="217EA7CF" w:rsidRPr="00CB4ED1" w:rsidRDefault="217EA7CF" w:rsidP="006E1F56">
            <w:pPr>
              <w:spacing w:before="60" w:after="60"/>
              <w:rPr>
                <w:sz w:val="20"/>
                <w:szCs w:val="20"/>
              </w:rPr>
            </w:pPr>
            <w:r w:rsidRPr="00CB4ED1">
              <w:rPr>
                <w:sz w:val="20"/>
                <w:szCs w:val="20"/>
              </w:rPr>
              <w:t>Economic Appraisal</w:t>
            </w:r>
          </w:p>
        </w:tc>
        <w:tc>
          <w:tcPr>
            <w:tcW w:w="5318" w:type="dxa"/>
            <w:tcMar>
              <w:left w:w="108" w:type="dxa"/>
              <w:right w:w="108" w:type="dxa"/>
            </w:tcMar>
          </w:tcPr>
          <w:p w14:paraId="5F92ED49" w14:textId="74F135F5" w:rsidR="217EA7CF" w:rsidRPr="00CB4ED1" w:rsidRDefault="217EA7CF" w:rsidP="006E1F56">
            <w:pPr>
              <w:spacing w:before="60" w:after="60"/>
              <w:rPr>
                <w:sz w:val="20"/>
                <w:szCs w:val="20"/>
              </w:rPr>
            </w:pPr>
            <w:r w:rsidRPr="00CB4ED1">
              <w:rPr>
                <w:sz w:val="20"/>
                <w:szCs w:val="20"/>
              </w:rPr>
              <w:t>Appraises the economic costs, benefits and risks for the short-listed options and concludes which option represents the best value for money.</w:t>
            </w:r>
          </w:p>
        </w:tc>
      </w:tr>
      <w:tr w:rsidR="007F6053" w:rsidRPr="00CB4ED1" w14:paraId="2A7656E9" w14:textId="77777777" w:rsidTr="006E1F56">
        <w:tc>
          <w:tcPr>
            <w:tcW w:w="1526" w:type="dxa"/>
            <w:shd w:val="clear" w:color="auto" w:fill="F2F2F2" w:themeFill="accent6" w:themeFillShade="F2"/>
            <w:tcMar>
              <w:left w:w="108" w:type="dxa"/>
              <w:right w:w="108" w:type="dxa"/>
            </w:tcMar>
          </w:tcPr>
          <w:p w14:paraId="438648A4" w14:textId="1DCA6E56" w:rsidR="217EA7CF" w:rsidRPr="00CB4ED1" w:rsidRDefault="217EA7CF" w:rsidP="006E1F56">
            <w:pPr>
              <w:spacing w:before="60" w:after="60"/>
              <w:rPr>
                <w:sz w:val="20"/>
                <w:szCs w:val="20"/>
              </w:rPr>
            </w:pPr>
            <w:r w:rsidRPr="00CB4ED1">
              <w:rPr>
                <w:color w:val="000000"/>
                <w:sz w:val="20"/>
                <w:szCs w:val="20"/>
              </w:rPr>
              <w:t xml:space="preserve">Commercial </w:t>
            </w:r>
          </w:p>
        </w:tc>
        <w:tc>
          <w:tcPr>
            <w:tcW w:w="1134" w:type="dxa"/>
            <w:tcMar>
              <w:left w:w="108" w:type="dxa"/>
              <w:right w:w="108" w:type="dxa"/>
            </w:tcMar>
          </w:tcPr>
          <w:p w14:paraId="54136AAB" w14:textId="4A5B181E" w:rsidR="217EA7CF" w:rsidRPr="00CB4ED1" w:rsidRDefault="217EA7CF" w:rsidP="006E1F56">
            <w:pPr>
              <w:spacing w:before="60" w:after="60"/>
              <w:jc w:val="center"/>
              <w:rPr>
                <w:sz w:val="20"/>
                <w:szCs w:val="20"/>
              </w:rPr>
            </w:pPr>
            <w:r w:rsidRPr="00CB4ED1">
              <w:rPr>
                <w:sz w:val="20"/>
                <w:szCs w:val="20"/>
              </w:rPr>
              <w:t>8</w:t>
            </w:r>
          </w:p>
        </w:tc>
        <w:tc>
          <w:tcPr>
            <w:tcW w:w="1843" w:type="dxa"/>
            <w:tcMar>
              <w:left w:w="108" w:type="dxa"/>
              <w:right w:w="108" w:type="dxa"/>
            </w:tcMar>
          </w:tcPr>
          <w:p w14:paraId="56C2C29A" w14:textId="666C6694" w:rsidR="217EA7CF" w:rsidRPr="00CB4ED1" w:rsidRDefault="217EA7CF" w:rsidP="006E1F56">
            <w:pPr>
              <w:spacing w:before="60" w:after="60"/>
              <w:rPr>
                <w:sz w:val="20"/>
                <w:szCs w:val="20"/>
              </w:rPr>
            </w:pPr>
            <w:r w:rsidRPr="00CB4ED1">
              <w:rPr>
                <w:sz w:val="20"/>
                <w:szCs w:val="20"/>
              </w:rPr>
              <w:t xml:space="preserve">Procurement Route, Scope </w:t>
            </w:r>
            <w:r w:rsidR="006E1F56" w:rsidRPr="00CB4ED1">
              <w:rPr>
                <w:sz w:val="20"/>
                <w:szCs w:val="20"/>
              </w:rPr>
              <w:t xml:space="preserve">and </w:t>
            </w:r>
            <w:r w:rsidRPr="00CB4ED1">
              <w:rPr>
                <w:sz w:val="20"/>
                <w:szCs w:val="20"/>
              </w:rPr>
              <w:t>Contractual Details</w:t>
            </w:r>
          </w:p>
        </w:tc>
        <w:tc>
          <w:tcPr>
            <w:tcW w:w="5318" w:type="dxa"/>
            <w:tcMar>
              <w:left w:w="108" w:type="dxa"/>
              <w:right w:w="108" w:type="dxa"/>
            </w:tcMar>
          </w:tcPr>
          <w:p w14:paraId="68461471" w14:textId="29011B9E" w:rsidR="217EA7CF" w:rsidRPr="00CB4ED1" w:rsidRDefault="217EA7CF" w:rsidP="006E1F56">
            <w:pPr>
              <w:spacing w:before="60" w:after="60"/>
              <w:rPr>
                <w:sz w:val="20"/>
                <w:szCs w:val="20"/>
              </w:rPr>
            </w:pPr>
            <w:r w:rsidRPr="00CB4ED1">
              <w:rPr>
                <w:sz w:val="20"/>
                <w:szCs w:val="20"/>
              </w:rPr>
              <w:t>Outlines:</w:t>
            </w:r>
          </w:p>
          <w:p w14:paraId="5A64C485" w14:textId="1669FD4C" w:rsidR="217EA7CF" w:rsidRPr="00CB4ED1" w:rsidRDefault="217EA7CF" w:rsidP="0090087F">
            <w:pPr>
              <w:pStyle w:val="tablebulletsLHP"/>
            </w:pPr>
            <w:r w:rsidRPr="00CB4ED1">
              <w:t xml:space="preserve">the procurement strategy and routes that have been agreed. </w:t>
            </w:r>
          </w:p>
          <w:p w14:paraId="11452568" w14:textId="1FF0C928" w:rsidR="217EA7CF" w:rsidRPr="00CB4ED1" w:rsidRDefault="217EA7CF" w:rsidP="0090087F">
            <w:pPr>
              <w:pStyle w:val="tablebulletsLHP"/>
            </w:pPr>
            <w:r w:rsidRPr="00CB4ED1">
              <w:t>the scope of the procurement</w:t>
            </w:r>
          </w:p>
          <w:p w14:paraId="1A12C781" w14:textId="18AF58B4" w:rsidR="217EA7CF" w:rsidRPr="00CB4ED1" w:rsidRDefault="217EA7CF" w:rsidP="0090087F">
            <w:pPr>
              <w:pStyle w:val="tablebulletsLHP"/>
            </w:pPr>
            <w:r w:rsidRPr="00CB4ED1">
              <w:t>the contractual arrangements of the potential deal to deliver the recommended solution for the project.</w:t>
            </w:r>
          </w:p>
        </w:tc>
      </w:tr>
      <w:tr w:rsidR="007F6053" w:rsidRPr="00CB4ED1" w14:paraId="088AE2E1" w14:textId="77777777" w:rsidTr="006E1F56">
        <w:tc>
          <w:tcPr>
            <w:tcW w:w="1526" w:type="dxa"/>
            <w:shd w:val="clear" w:color="auto" w:fill="F2F2F2" w:themeFill="accent6" w:themeFillShade="F2"/>
            <w:tcMar>
              <w:left w:w="108" w:type="dxa"/>
              <w:right w:w="108" w:type="dxa"/>
            </w:tcMar>
          </w:tcPr>
          <w:p w14:paraId="3D0A2FFF" w14:textId="2CA6F4EF" w:rsidR="217EA7CF" w:rsidRPr="00CB4ED1" w:rsidRDefault="217EA7CF" w:rsidP="006E1F56">
            <w:pPr>
              <w:spacing w:before="60" w:after="60"/>
              <w:rPr>
                <w:sz w:val="20"/>
                <w:szCs w:val="20"/>
              </w:rPr>
            </w:pPr>
            <w:r w:rsidRPr="00CB4ED1">
              <w:rPr>
                <w:color w:val="000000"/>
                <w:sz w:val="20"/>
                <w:szCs w:val="20"/>
              </w:rPr>
              <w:t xml:space="preserve">Finance </w:t>
            </w:r>
          </w:p>
        </w:tc>
        <w:tc>
          <w:tcPr>
            <w:tcW w:w="1134" w:type="dxa"/>
            <w:tcMar>
              <w:left w:w="108" w:type="dxa"/>
              <w:right w:w="108" w:type="dxa"/>
            </w:tcMar>
          </w:tcPr>
          <w:p w14:paraId="5DBF7288" w14:textId="24D8F96F" w:rsidR="217EA7CF" w:rsidRPr="00CB4ED1" w:rsidRDefault="217EA7CF" w:rsidP="006E1F56">
            <w:pPr>
              <w:spacing w:before="60" w:after="60"/>
              <w:jc w:val="center"/>
              <w:rPr>
                <w:sz w:val="20"/>
                <w:szCs w:val="20"/>
              </w:rPr>
            </w:pPr>
            <w:r w:rsidRPr="00CB4ED1">
              <w:rPr>
                <w:sz w:val="20"/>
                <w:szCs w:val="20"/>
              </w:rPr>
              <w:t>9</w:t>
            </w:r>
          </w:p>
        </w:tc>
        <w:tc>
          <w:tcPr>
            <w:tcW w:w="1843" w:type="dxa"/>
            <w:tcMar>
              <w:left w:w="108" w:type="dxa"/>
              <w:right w:w="108" w:type="dxa"/>
            </w:tcMar>
          </w:tcPr>
          <w:p w14:paraId="2F205BB4" w14:textId="248E2235" w:rsidR="217EA7CF" w:rsidRPr="00CB4ED1" w:rsidRDefault="217EA7CF" w:rsidP="006E1F56">
            <w:pPr>
              <w:spacing w:before="60" w:after="60"/>
              <w:rPr>
                <w:sz w:val="20"/>
                <w:szCs w:val="20"/>
              </w:rPr>
            </w:pPr>
            <w:r w:rsidRPr="00CB4ED1">
              <w:rPr>
                <w:sz w:val="20"/>
                <w:szCs w:val="20"/>
              </w:rPr>
              <w:t>Financial Appraisal</w:t>
            </w:r>
          </w:p>
        </w:tc>
        <w:tc>
          <w:tcPr>
            <w:tcW w:w="5318" w:type="dxa"/>
            <w:tcMar>
              <w:left w:w="108" w:type="dxa"/>
              <w:right w:w="108" w:type="dxa"/>
            </w:tcMar>
          </w:tcPr>
          <w:p w14:paraId="27724F38" w14:textId="1214FF97" w:rsidR="217EA7CF" w:rsidRPr="00CB4ED1" w:rsidRDefault="217EA7CF" w:rsidP="006E1F56">
            <w:pPr>
              <w:spacing w:before="60" w:after="60"/>
              <w:rPr>
                <w:sz w:val="20"/>
                <w:szCs w:val="20"/>
              </w:rPr>
            </w:pPr>
            <w:r w:rsidRPr="00CB4ED1">
              <w:rPr>
                <w:sz w:val="20"/>
                <w:szCs w:val="20"/>
              </w:rPr>
              <w:t>Sets out the forecast financial implications of the preferred option.</w:t>
            </w:r>
          </w:p>
        </w:tc>
      </w:tr>
      <w:tr w:rsidR="007F6053" w:rsidRPr="00CB4ED1" w14:paraId="1B37AC74" w14:textId="77777777" w:rsidTr="006E1F56">
        <w:tc>
          <w:tcPr>
            <w:tcW w:w="1526" w:type="dxa"/>
            <w:shd w:val="clear" w:color="auto" w:fill="F2F2F2" w:themeFill="accent6" w:themeFillShade="F2"/>
            <w:tcMar>
              <w:left w:w="108" w:type="dxa"/>
              <w:right w:w="108" w:type="dxa"/>
            </w:tcMar>
          </w:tcPr>
          <w:p w14:paraId="5BC48F52" w14:textId="79F7A5F7" w:rsidR="217EA7CF" w:rsidRPr="00CB4ED1" w:rsidRDefault="217EA7CF" w:rsidP="006E1F56">
            <w:pPr>
              <w:spacing w:before="60" w:after="60"/>
              <w:rPr>
                <w:sz w:val="20"/>
                <w:szCs w:val="20"/>
              </w:rPr>
            </w:pPr>
            <w:r w:rsidRPr="00CB4ED1">
              <w:rPr>
                <w:color w:val="000000"/>
                <w:sz w:val="20"/>
                <w:szCs w:val="20"/>
              </w:rPr>
              <w:t xml:space="preserve">Management </w:t>
            </w:r>
          </w:p>
        </w:tc>
        <w:tc>
          <w:tcPr>
            <w:tcW w:w="1134" w:type="dxa"/>
            <w:tcMar>
              <w:left w:w="108" w:type="dxa"/>
              <w:right w:w="108" w:type="dxa"/>
            </w:tcMar>
          </w:tcPr>
          <w:p w14:paraId="0F92F852" w14:textId="4F8A621D" w:rsidR="217EA7CF" w:rsidRPr="00CB4ED1" w:rsidRDefault="217EA7CF" w:rsidP="006E1F56">
            <w:pPr>
              <w:spacing w:before="60" w:after="60"/>
              <w:jc w:val="center"/>
              <w:rPr>
                <w:sz w:val="20"/>
                <w:szCs w:val="20"/>
              </w:rPr>
            </w:pPr>
            <w:r w:rsidRPr="00CB4ED1">
              <w:rPr>
                <w:sz w:val="20"/>
                <w:szCs w:val="20"/>
              </w:rPr>
              <w:t>10</w:t>
            </w:r>
          </w:p>
        </w:tc>
        <w:tc>
          <w:tcPr>
            <w:tcW w:w="1843" w:type="dxa"/>
            <w:tcMar>
              <w:left w:w="108" w:type="dxa"/>
              <w:right w:w="108" w:type="dxa"/>
            </w:tcMar>
          </w:tcPr>
          <w:p w14:paraId="4A54CC50" w14:textId="3B554757" w:rsidR="217EA7CF" w:rsidRPr="00CB4ED1" w:rsidRDefault="217EA7CF" w:rsidP="006E1F56">
            <w:pPr>
              <w:spacing w:before="60" w:after="60"/>
              <w:rPr>
                <w:sz w:val="20"/>
                <w:szCs w:val="20"/>
              </w:rPr>
            </w:pPr>
            <w:r w:rsidRPr="00CB4ED1">
              <w:rPr>
                <w:sz w:val="20"/>
                <w:szCs w:val="20"/>
              </w:rPr>
              <w:t>Management Arrangements</w:t>
            </w:r>
          </w:p>
        </w:tc>
        <w:tc>
          <w:tcPr>
            <w:tcW w:w="5318" w:type="dxa"/>
            <w:tcMar>
              <w:left w:w="108" w:type="dxa"/>
              <w:right w:w="108" w:type="dxa"/>
            </w:tcMar>
          </w:tcPr>
          <w:p w14:paraId="75DFCCDF" w14:textId="7EF88457" w:rsidR="217EA7CF" w:rsidRPr="00CB4ED1" w:rsidRDefault="217EA7CF" w:rsidP="006E1F56">
            <w:pPr>
              <w:spacing w:before="60" w:after="60"/>
              <w:rPr>
                <w:sz w:val="20"/>
                <w:szCs w:val="20"/>
              </w:rPr>
            </w:pPr>
            <w:r w:rsidRPr="00CB4ED1">
              <w:rPr>
                <w:sz w:val="20"/>
                <w:szCs w:val="20"/>
              </w:rPr>
              <w:t>Sets out the arrangements put in place to manage the project to successful delivery.</w:t>
            </w:r>
          </w:p>
        </w:tc>
      </w:tr>
    </w:tbl>
    <w:p w14:paraId="709C4DD8" w14:textId="77777777" w:rsidR="006E1F56" w:rsidRPr="00CB4ED1" w:rsidRDefault="006E1F56" w:rsidP="006E1F56">
      <w:pPr>
        <w:pStyle w:val="NoSpacing"/>
      </w:pPr>
    </w:p>
    <w:p w14:paraId="24835535" w14:textId="304E060A" w:rsidR="00E53CBD" w:rsidRPr="00CB4ED1" w:rsidRDefault="58670D6B" w:rsidP="7BC26A31">
      <w:pPr>
        <w:pStyle w:val="Heading2"/>
        <w:rPr>
          <w:rFonts w:ascii="Arial" w:eastAsia="Arial" w:hAnsi="Arial" w:cs="Arial"/>
          <w:szCs w:val="32"/>
        </w:rPr>
      </w:pPr>
      <w:bookmarkStart w:id="8" w:name="_Toc213865199"/>
      <w:r w:rsidRPr="00CB4ED1">
        <w:lastRenderedPageBreak/>
        <w:t xml:space="preserve">Background and </w:t>
      </w:r>
      <w:r w:rsidR="0090087F" w:rsidRPr="00CB4ED1">
        <w:t>context</w:t>
      </w:r>
      <w:bookmarkEnd w:id="8"/>
      <w:r w:rsidR="0090087F" w:rsidRPr="00CB4ED1">
        <w:t xml:space="preserve"> </w:t>
      </w:r>
    </w:p>
    <w:p w14:paraId="41309CE1" w14:textId="22241656" w:rsidR="00E53CBD" w:rsidRPr="00CB4ED1" w:rsidRDefault="58670D6B" w:rsidP="217EA7CF">
      <w:pPr>
        <w:spacing w:before="240"/>
      </w:pPr>
      <w:r w:rsidRPr="00CB4ED1">
        <w:rPr>
          <w:rFonts w:eastAsia="Arial" w:cs="Arial"/>
        </w:rPr>
        <w:t xml:space="preserve">During autumn 2022, Cwm Taf Morgannwg University Health Board (CTMUHB) became aware of the intention of British Airways Avionics Engineering (BAAE) to sell their former engineering site in Llantrisant.  The site was vacant, as BAAE had relocated their service provision to St </w:t>
      </w:r>
      <w:proofErr w:type="spellStart"/>
      <w:r w:rsidRPr="00CB4ED1">
        <w:rPr>
          <w:rFonts w:eastAsia="Arial" w:cs="Arial"/>
        </w:rPr>
        <w:t>Athan</w:t>
      </w:r>
      <w:proofErr w:type="spellEnd"/>
      <w:r w:rsidRPr="00CB4ED1">
        <w:rPr>
          <w:rFonts w:eastAsia="Arial" w:cs="Arial"/>
        </w:rPr>
        <w:t xml:space="preserve"> during early 2022 (but remained as tenants of the site).   </w:t>
      </w:r>
    </w:p>
    <w:p w14:paraId="43C8B631" w14:textId="0DC6E79F" w:rsidR="00E53CBD" w:rsidRPr="00CB4ED1" w:rsidRDefault="58670D6B" w:rsidP="217EA7CF">
      <w:pPr>
        <w:spacing w:before="240"/>
      </w:pPr>
      <w:r w:rsidRPr="00CB4ED1">
        <w:rPr>
          <w:rFonts w:eastAsia="Arial" w:cs="Arial"/>
        </w:rPr>
        <w:t>The total site covers over 20 acres with a developed area comprising three separate buildings totalling over 10,300sqm.  There is parking on site for around 300 cars. The site has the potential capacity and infrastructure for a wide range of clinical services, and in addition to the existing buildings, there is also an area of cleared ground that is available for further on-site development.</w:t>
      </w:r>
    </w:p>
    <w:p w14:paraId="3D02C4B1" w14:textId="41F0335F" w:rsidR="00E53CBD" w:rsidRPr="00CB4ED1" w:rsidRDefault="58670D6B" w:rsidP="217EA7CF">
      <w:pPr>
        <w:spacing w:before="240"/>
        <w:rPr>
          <w:rFonts w:eastAsia="Arial" w:cs="Arial"/>
        </w:rPr>
      </w:pPr>
      <w:r w:rsidRPr="00CB4ED1">
        <w:rPr>
          <w:rFonts w:eastAsia="Arial" w:cs="Arial"/>
        </w:rPr>
        <w:t>In December 2022 CTMUHB submitted a case to Welsh Government (WG) to support the purchase of the site, which was to be known as Llantrisant Health Park (LHP). This case set out the initial development aims and aspiration</w:t>
      </w:r>
      <w:r w:rsidRPr="009F6E4A">
        <w:rPr>
          <w:rFonts w:eastAsia="Arial" w:cs="Arial"/>
        </w:rPr>
        <w:t>s.</w:t>
      </w:r>
      <w:r w:rsidRPr="00CB4ED1">
        <w:rPr>
          <w:rFonts w:eastAsia="Arial" w:cs="Arial"/>
        </w:rPr>
        <w:t xml:space="preserve">  Approval was given and £8</w:t>
      </w:r>
      <w:r w:rsidR="45027FBE" w:rsidRPr="00CB4ED1">
        <w:rPr>
          <w:rFonts w:eastAsia="Arial" w:cs="Arial"/>
        </w:rPr>
        <w:t>m</w:t>
      </w:r>
      <w:r w:rsidRPr="00CB4ED1">
        <w:rPr>
          <w:rFonts w:eastAsia="Arial" w:cs="Arial"/>
        </w:rPr>
        <w:t xml:space="preserve"> funding released to support the site purchase as a regional elective care facility. The purchase completed in February 2023.</w:t>
      </w:r>
    </w:p>
    <w:p w14:paraId="78095423" w14:textId="17516907" w:rsidR="00E53CBD" w:rsidRPr="00CB4ED1" w:rsidRDefault="58670D6B" w:rsidP="217EA7CF">
      <w:pPr>
        <w:spacing w:before="240"/>
      </w:pPr>
      <w:r w:rsidRPr="00CB4ED1">
        <w:rPr>
          <w:rFonts w:eastAsia="Arial" w:cs="Arial"/>
        </w:rPr>
        <w:t xml:space="preserve">The vision for LHP is to establish a standalone site for high-volume, low-complexity surgical and diagnostic procedures to address capacity shortfalls, meet future demand challenges and support consolidation of services where this will add value to participating health boards. LHP will also act an enabler for further regional service reconfiguration. The development of a dedicated facility for planned care, separated from emergency care, was a key commitment in the Welsh Government’s recovery document, </w:t>
      </w:r>
      <w:r w:rsidRPr="00CB4ED1">
        <w:rPr>
          <w:rFonts w:eastAsia="Arial" w:cs="Arial"/>
          <w:i/>
          <w:iCs/>
        </w:rPr>
        <w:t>“Our Programme for transforming and modernising Planned Care and reducing waiting lists in Wales”</w:t>
      </w:r>
      <w:r w:rsidRPr="00CB4ED1">
        <w:rPr>
          <w:rFonts w:eastAsia="Arial" w:cs="Arial"/>
        </w:rPr>
        <w:t xml:space="preserve"> (April 2022).</w:t>
      </w:r>
    </w:p>
    <w:p w14:paraId="1ED0EB5B" w14:textId="57D49FFD" w:rsidR="00E53CBD" w:rsidRPr="00CB4ED1" w:rsidRDefault="58670D6B" w:rsidP="217EA7CF">
      <w:pPr>
        <w:spacing w:before="240"/>
        <w:rPr>
          <w:rFonts w:eastAsia="Arial" w:cs="Arial"/>
        </w:rPr>
      </w:pPr>
      <w:r w:rsidRPr="00CB4ED1">
        <w:rPr>
          <w:rFonts w:eastAsia="Arial" w:cs="Arial"/>
        </w:rPr>
        <w:t>The need to introduce diagnostic and treatment capacity to the South</w:t>
      </w:r>
      <w:r w:rsidR="002819D3">
        <w:rPr>
          <w:rFonts w:eastAsia="Arial" w:cs="Arial"/>
        </w:rPr>
        <w:t xml:space="preserve"> </w:t>
      </w:r>
      <w:r w:rsidRPr="00CB4ED1">
        <w:rPr>
          <w:rFonts w:eastAsia="Arial" w:cs="Arial"/>
        </w:rPr>
        <w:t>East Wales region has never been greater. Since the COVID</w:t>
      </w:r>
      <w:r w:rsidR="4FCD3D24" w:rsidRPr="00CB4ED1">
        <w:rPr>
          <w:rFonts w:eastAsia="Arial" w:cs="Arial"/>
        </w:rPr>
        <w:t>-19</w:t>
      </w:r>
      <w:r w:rsidRPr="00CB4ED1">
        <w:rPr>
          <w:rFonts w:eastAsia="Arial" w:cs="Arial"/>
        </w:rPr>
        <w:t xml:space="preserve"> pandemic, waiting lists have increased to their highest ever levels and Health Boards have struggled to address this within existing capacity and working practices. Set alongside this is the increasing aging population and acute medicine pressures which indicate that a significant change to current practice and how we use our existing infrastructure is essential if performance and access to treatment is to be improved.  </w:t>
      </w:r>
    </w:p>
    <w:p w14:paraId="1B8EAA4C" w14:textId="20FF860D" w:rsidR="00E53CBD" w:rsidRPr="00CB4ED1" w:rsidRDefault="58670D6B" w:rsidP="217EA7CF">
      <w:pPr>
        <w:spacing w:before="240"/>
        <w:rPr>
          <w:rFonts w:eastAsia="Arial" w:cs="Arial"/>
        </w:rPr>
      </w:pPr>
      <w:r w:rsidRPr="00CB4ED1">
        <w:rPr>
          <w:rFonts w:eastAsia="Arial" w:cs="Arial"/>
        </w:rPr>
        <w:t xml:space="preserve">LHP offers the region a unique opportunity to deliver new ring-fenced elective capacity, encompassing innovative developments and state of the art practice. The site will provide efficient and proven effective models of care to deliver increased diagnostic and treatment facilities across the region. These models are fully in line with the </w:t>
      </w:r>
      <w:r w:rsidRPr="00CB4ED1">
        <w:rPr>
          <w:rFonts w:eastAsia="Arial" w:cs="Arial"/>
          <w:b/>
          <w:bCs/>
        </w:rPr>
        <w:t>Getting it Right First</w:t>
      </w:r>
      <w:r w:rsidR="03A533A2" w:rsidRPr="00CB4ED1">
        <w:rPr>
          <w:rFonts w:eastAsia="Arial" w:cs="Arial"/>
          <w:b/>
          <w:bCs/>
        </w:rPr>
        <w:t>-</w:t>
      </w:r>
      <w:r w:rsidRPr="00CB4ED1">
        <w:rPr>
          <w:rFonts w:eastAsia="Arial" w:cs="Arial"/>
          <w:b/>
          <w:bCs/>
        </w:rPr>
        <w:t>Time</w:t>
      </w:r>
      <w:r w:rsidRPr="00CB4ED1">
        <w:rPr>
          <w:rFonts w:eastAsia="Arial" w:cs="Arial"/>
        </w:rPr>
        <w:t xml:space="preserve"> surgical hub models, recognised as best practice across the UK. </w:t>
      </w:r>
    </w:p>
    <w:p w14:paraId="56E03E77" w14:textId="4396C492" w:rsidR="00E53CBD" w:rsidRPr="00CB4ED1" w:rsidRDefault="58670D6B" w:rsidP="217EA7CF">
      <w:pPr>
        <w:spacing w:before="240"/>
      </w:pPr>
      <w:r w:rsidRPr="00CB4ED1">
        <w:rPr>
          <w:rFonts w:eastAsia="Arial" w:cs="Arial"/>
        </w:rPr>
        <w:t xml:space="preserve">The proposal </w:t>
      </w:r>
      <w:r w:rsidR="00DF76C7" w:rsidRPr="00CB4ED1">
        <w:rPr>
          <w:rFonts w:eastAsia="Arial" w:cs="Arial"/>
        </w:rPr>
        <w:t>for Phase 1</w:t>
      </w:r>
      <w:r w:rsidR="00347B06" w:rsidRPr="00CB4ED1">
        <w:rPr>
          <w:rFonts w:eastAsia="Arial" w:cs="Arial"/>
        </w:rPr>
        <w:t xml:space="preserve">, subject to the earlier OBC, </w:t>
      </w:r>
      <w:r w:rsidRPr="00CB4ED1">
        <w:rPr>
          <w:rFonts w:eastAsia="Arial" w:cs="Arial"/>
        </w:rPr>
        <w:t>incorporates:</w:t>
      </w:r>
    </w:p>
    <w:p w14:paraId="34A1F514" w14:textId="5F0B68CB" w:rsidR="00E53CBD" w:rsidRPr="00CB4ED1" w:rsidRDefault="58670D6B" w:rsidP="007F4A28">
      <w:pPr>
        <w:pStyle w:val="bullets1"/>
      </w:pPr>
      <w:r w:rsidRPr="00CB4ED1">
        <w:rPr>
          <w:b/>
        </w:rPr>
        <w:t>Imaging capacity</w:t>
      </w:r>
      <w:r w:rsidRPr="00CB4ED1">
        <w:t xml:space="preserve"> – incorporating MRI, CT and ultrasound as part of a Community Diagnostic Hub (CDH)</w:t>
      </w:r>
      <w:r w:rsidR="00067F2E" w:rsidRPr="00CB4ED1">
        <w:t xml:space="preserve"> </w:t>
      </w:r>
    </w:p>
    <w:p w14:paraId="6D7FE03D" w14:textId="0F65AA9B" w:rsidR="00E53CBD" w:rsidRPr="00CB4ED1" w:rsidRDefault="58670D6B" w:rsidP="007F4A28">
      <w:pPr>
        <w:pStyle w:val="bullets1"/>
      </w:pPr>
      <w:r w:rsidRPr="00CB4ED1">
        <w:rPr>
          <w:b/>
        </w:rPr>
        <w:t>Endoscopy capacity</w:t>
      </w:r>
      <w:r w:rsidRPr="00CB4ED1">
        <w:t xml:space="preserve"> – elective and screening services to increase capacity across the region and address the projected six suite shortfall across the region by 2027/28 and to introduce a training academy to respond to workforce shortfalls</w:t>
      </w:r>
      <w:r w:rsidR="00DF76C7" w:rsidRPr="00CB4ED1">
        <w:t xml:space="preserve">. </w:t>
      </w:r>
    </w:p>
    <w:p w14:paraId="136512D0" w14:textId="77777777" w:rsidR="00347B06" w:rsidRPr="00CB4ED1" w:rsidRDefault="00347B06" w:rsidP="00347B06">
      <w:pPr>
        <w:pStyle w:val="NoSpacing"/>
      </w:pPr>
    </w:p>
    <w:p w14:paraId="0946B109" w14:textId="215E38CD" w:rsidR="00E53CBD" w:rsidRPr="00CB4ED1" w:rsidRDefault="00347B06" w:rsidP="0015683D">
      <w:pPr>
        <w:pStyle w:val="NoSpacing"/>
      </w:pPr>
      <w:r w:rsidRPr="00CB4ED1">
        <w:t>This OBC</w:t>
      </w:r>
      <w:r w:rsidR="001D38E8">
        <w:t xml:space="preserve">, for phase 2, </w:t>
      </w:r>
      <w:r w:rsidR="0015683D" w:rsidRPr="00CB4ED1">
        <w:t xml:space="preserve">proposes a </w:t>
      </w:r>
      <w:r w:rsidR="58670D6B" w:rsidRPr="00CB4ED1">
        <w:rPr>
          <w:b/>
        </w:rPr>
        <w:t>High-volume, low-complexity orthopaedic inpatient unit</w:t>
      </w:r>
      <w:r w:rsidR="58670D6B" w:rsidRPr="00CB4ED1">
        <w:t xml:space="preserve"> - providing capacity for up to six theatres to deliver arthroplasty (knees and hips) surgery for patients meeting the criteria for treatment without critical care support.  An inpatient unit </w:t>
      </w:r>
      <w:r w:rsidR="006F4DBE">
        <w:t xml:space="preserve">co-located with </w:t>
      </w:r>
      <w:proofErr w:type="gramStart"/>
      <w:r w:rsidR="006F4DBE">
        <w:t xml:space="preserve">the </w:t>
      </w:r>
      <w:r w:rsidR="58670D6B" w:rsidRPr="00CB4ED1">
        <w:t xml:space="preserve"> theatres</w:t>
      </w:r>
      <w:proofErr w:type="gramEnd"/>
      <w:r w:rsidR="58670D6B" w:rsidRPr="00CB4ED1">
        <w:t xml:space="preserve"> will accommodate patients requiring an overnight stay.</w:t>
      </w:r>
      <w:r w:rsidR="00DF76C7" w:rsidRPr="00CB4ED1">
        <w:t xml:space="preserve">  </w:t>
      </w:r>
    </w:p>
    <w:p w14:paraId="7625AED0" w14:textId="36B5CAFE" w:rsidR="00E53CBD" w:rsidRPr="00CB4ED1" w:rsidRDefault="58670D6B" w:rsidP="217EA7CF">
      <w:pPr>
        <w:spacing w:before="240"/>
      </w:pPr>
      <w:r w:rsidRPr="00CB4ED1">
        <w:rPr>
          <w:rFonts w:eastAsia="Arial" w:cs="Arial"/>
        </w:rPr>
        <w:t xml:space="preserve">It is recognised that Health Boards have obligations in respect of public engagement and consultation when introducing significant service changes, and these will have some application when progressing a model of </w:t>
      </w:r>
      <w:r w:rsidR="000A638C" w:rsidRPr="00CB4ED1">
        <w:rPr>
          <w:rFonts w:eastAsia="Arial" w:cs="Arial"/>
        </w:rPr>
        <w:t>regionally based</w:t>
      </w:r>
      <w:r w:rsidRPr="00CB4ED1">
        <w:rPr>
          <w:rFonts w:eastAsia="Arial" w:cs="Arial"/>
        </w:rPr>
        <w:t xml:space="preserve"> provision of elective services.  </w:t>
      </w:r>
    </w:p>
    <w:p w14:paraId="23D72127" w14:textId="6D5156F1" w:rsidR="00E53CBD" w:rsidRPr="00CB4ED1" w:rsidRDefault="58670D6B" w:rsidP="217EA7CF">
      <w:pPr>
        <w:spacing w:before="240"/>
      </w:pPr>
      <w:r w:rsidRPr="00CB4ED1">
        <w:rPr>
          <w:rFonts w:eastAsia="Arial" w:cs="Arial"/>
        </w:rPr>
        <w:lastRenderedPageBreak/>
        <w:t xml:space="preserve">The principle of patients travelling further to access more timely care has been tested in a regional context with a recent engagement exercise for cataract surgery, when positive feedback was received from both public and </w:t>
      </w:r>
      <w:proofErr w:type="spellStart"/>
      <w:r w:rsidRPr="00CB4ED1">
        <w:rPr>
          <w:rFonts w:eastAsia="Arial" w:cs="Arial"/>
        </w:rPr>
        <w:t>Llais</w:t>
      </w:r>
      <w:proofErr w:type="spellEnd"/>
      <w:r w:rsidRPr="00CB4ED1">
        <w:rPr>
          <w:rFonts w:eastAsia="Arial" w:cs="Arial"/>
        </w:rPr>
        <w:t xml:space="preserve">.  Close contact with </w:t>
      </w:r>
      <w:proofErr w:type="spellStart"/>
      <w:r w:rsidRPr="00CB4ED1">
        <w:rPr>
          <w:rFonts w:eastAsia="Arial" w:cs="Arial"/>
        </w:rPr>
        <w:t>Llais</w:t>
      </w:r>
      <w:proofErr w:type="spellEnd"/>
      <w:r w:rsidRPr="00CB4ED1">
        <w:rPr>
          <w:rFonts w:eastAsia="Arial" w:cs="Arial"/>
        </w:rPr>
        <w:t xml:space="preserve"> will be maintained as the LHP plans progress, to ensure that the required arrangements are in place and that any concerns / issues arising are addressed and mitigated as appropriate.</w:t>
      </w:r>
    </w:p>
    <w:p w14:paraId="772F7350" w14:textId="2E54B002" w:rsidR="00E53CBD" w:rsidRPr="00CB4ED1" w:rsidRDefault="58670D6B" w:rsidP="217EA7CF">
      <w:pPr>
        <w:spacing w:before="240"/>
        <w:rPr>
          <w:rFonts w:eastAsia="Arial" w:cs="Arial"/>
        </w:rPr>
      </w:pPr>
      <w:r w:rsidRPr="00CB4ED1">
        <w:rPr>
          <w:rFonts w:eastAsia="Arial" w:cs="Arial"/>
        </w:rPr>
        <w:t>Th</w:t>
      </w:r>
      <w:r w:rsidR="00D17D6E" w:rsidRPr="00CB4ED1">
        <w:rPr>
          <w:rFonts w:eastAsia="Arial" w:cs="Arial"/>
        </w:rPr>
        <w:t xml:space="preserve">is </w:t>
      </w:r>
      <w:r w:rsidRPr="00CB4ED1">
        <w:rPr>
          <w:rFonts w:eastAsia="Arial" w:cs="Arial"/>
        </w:rPr>
        <w:t xml:space="preserve">OBC </w:t>
      </w:r>
      <w:r w:rsidR="00D17D6E" w:rsidRPr="00CB4ED1">
        <w:rPr>
          <w:rFonts w:eastAsia="Arial" w:cs="Arial"/>
        </w:rPr>
        <w:t>seeks approval to progress to Full Business Case (FBC) for Phase 2 of the LHP Programme</w:t>
      </w:r>
      <w:r w:rsidR="00767E1F" w:rsidRPr="00CB4ED1">
        <w:rPr>
          <w:rFonts w:eastAsia="Arial" w:cs="Arial"/>
        </w:rPr>
        <w:t xml:space="preserve"> and</w:t>
      </w:r>
      <w:r w:rsidRPr="00CB4ED1">
        <w:rPr>
          <w:rFonts w:eastAsia="Arial" w:cs="Arial"/>
        </w:rPr>
        <w:t xml:space="preserve"> to restate the case for a new regional Health Park across three health boards</w:t>
      </w:r>
      <w:r w:rsidR="002819D3">
        <w:rPr>
          <w:rFonts w:eastAsia="Arial" w:cs="Arial"/>
        </w:rPr>
        <w:t>,</w:t>
      </w:r>
      <w:r w:rsidRPr="00CB4ED1">
        <w:rPr>
          <w:rFonts w:eastAsia="Arial" w:cs="Arial"/>
        </w:rPr>
        <w:t xml:space="preserve"> C</w:t>
      </w:r>
      <w:r w:rsidR="2E9C817B" w:rsidRPr="00CB4ED1">
        <w:rPr>
          <w:rFonts w:eastAsia="Arial" w:cs="Arial"/>
        </w:rPr>
        <w:t>TMUHB</w:t>
      </w:r>
      <w:r w:rsidRPr="00CB4ED1">
        <w:rPr>
          <w:rFonts w:eastAsia="Arial" w:cs="Arial"/>
        </w:rPr>
        <w:t xml:space="preserve">, </w:t>
      </w:r>
      <w:r w:rsidR="15B1B9C8" w:rsidRPr="00CB4ED1">
        <w:rPr>
          <w:rFonts w:eastAsia="Arial" w:cs="Arial"/>
        </w:rPr>
        <w:t>ABUHB</w:t>
      </w:r>
      <w:r w:rsidRPr="00CB4ED1">
        <w:rPr>
          <w:rFonts w:eastAsia="Arial" w:cs="Arial"/>
        </w:rPr>
        <w:t xml:space="preserve"> and C</w:t>
      </w:r>
      <w:r w:rsidR="7D4FADBB" w:rsidRPr="00CB4ED1">
        <w:rPr>
          <w:rFonts w:eastAsia="Arial" w:cs="Arial"/>
        </w:rPr>
        <w:t>AVUHB</w:t>
      </w:r>
      <w:r w:rsidRPr="00CB4ED1">
        <w:rPr>
          <w:rFonts w:eastAsia="Arial" w:cs="Arial"/>
        </w:rPr>
        <w:t>.</w:t>
      </w:r>
    </w:p>
    <w:p w14:paraId="10A9DA98" w14:textId="1B8201B8" w:rsidR="00DC6E99" w:rsidRPr="00CB4ED1" w:rsidRDefault="58670D6B" w:rsidP="004C4F64">
      <w:pPr>
        <w:spacing w:before="240"/>
      </w:pPr>
      <w:r w:rsidRPr="00CB4ED1">
        <w:rPr>
          <w:rFonts w:eastAsia="Arial" w:cs="Arial"/>
        </w:rPr>
        <w:t xml:space="preserve">Welsh Government and the IIB are supportive of delivering this project, given the pressing need to improve regional acute services for the people of </w:t>
      </w:r>
      <w:r w:rsidR="3E09004A" w:rsidRPr="00CB4ED1">
        <w:rPr>
          <w:rFonts w:eastAsia="Arial" w:cs="Arial"/>
        </w:rPr>
        <w:t>Southeast</w:t>
      </w:r>
      <w:r w:rsidRPr="00CB4ED1">
        <w:rPr>
          <w:rFonts w:eastAsia="Arial" w:cs="Arial"/>
        </w:rPr>
        <w:t xml:space="preserve"> Wales.</w:t>
      </w:r>
    </w:p>
    <w:p w14:paraId="1A355EC1" w14:textId="77777777" w:rsidR="001C02CC" w:rsidRDefault="58670D6B" w:rsidP="001C02CC">
      <w:pPr>
        <w:pStyle w:val="Heading4"/>
      </w:pPr>
      <w:r w:rsidRPr="00CB4ED1">
        <w:t xml:space="preserve">Vision and </w:t>
      </w:r>
      <w:r w:rsidR="0090087F" w:rsidRPr="00CB4ED1">
        <w:t>spending objectives</w:t>
      </w:r>
    </w:p>
    <w:p w14:paraId="200C64A9" w14:textId="44C50769" w:rsidR="000A638C" w:rsidRPr="001C02CC" w:rsidRDefault="00AC256F" w:rsidP="001C02CC">
      <w:r w:rsidRPr="001C02CC">
        <w:t xml:space="preserve">The vision is for the Llantrisant Health Park to be an exemplar facility providing a standalone elective </w:t>
      </w:r>
      <w:r w:rsidR="00205BFC">
        <w:t xml:space="preserve">diagnostic and surgical facility </w:t>
      </w:r>
      <w:r w:rsidR="004644C6">
        <w:t xml:space="preserve">for the South East Wales Region.  </w:t>
      </w:r>
      <w:r w:rsidR="006F4DBE">
        <w:t>Within this overarching vision, p</w:t>
      </w:r>
      <w:r w:rsidR="004644C6">
        <w:t xml:space="preserve">hase 2 is proposed to deliver a regional elective </w:t>
      </w:r>
      <w:r w:rsidRPr="001C02CC">
        <w:t xml:space="preserve">surgical hub (ESH) for </w:t>
      </w:r>
      <w:r w:rsidR="00205BFC">
        <w:t xml:space="preserve">primary </w:t>
      </w:r>
      <w:r w:rsidRPr="001C02CC">
        <w:t xml:space="preserve">arthroplasty surgery. The intention is to create a centre of excellence for planned (High Volume Low Complexity) HVLC </w:t>
      </w:r>
      <w:r w:rsidR="004644C6">
        <w:t xml:space="preserve">primary </w:t>
      </w:r>
      <w:r w:rsidRPr="001C02CC">
        <w:t>arthroplasty surgery, delivering productivity and quality of care for patients that consistently meets best practice, and delivers optimum value.</w:t>
      </w:r>
    </w:p>
    <w:p w14:paraId="47ABD3E5" w14:textId="5C98EA9F" w:rsidR="007107D8" w:rsidRPr="001C02CC" w:rsidRDefault="00CA7509" w:rsidP="001C02CC">
      <w:r w:rsidRPr="001C02CC">
        <w:t>The design of the LHP building will prioritise operational efficiency through ring-fenced theatre capacity, standardised care pathways, and lean scheduling practices. By removing the variability associated with mixed elective/emergency lists, the centre will achieve higher theatre utilisation rates and reduced cancellation rates. The use of day-case arthro</w:t>
      </w:r>
      <w:r w:rsidR="008E63F7" w:rsidRPr="001C02CC">
        <w:t>plasty</w:t>
      </w:r>
      <w:r w:rsidRPr="001C02CC">
        <w:t xml:space="preserve"> pathways, supported by enhanced recovery protocols and </w:t>
      </w:r>
      <w:proofErr w:type="spellStart"/>
      <w:r w:rsidRPr="001C02CC">
        <w:t>prehabilitation</w:t>
      </w:r>
      <w:proofErr w:type="spellEnd"/>
      <w:r w:rsidRPr="001C02CC">
        <w:t>, will further improve throughput and reduce length of stay. Benchmarking against GIRFT metrics will be used to monitor performance and drive continuous improvement.</w:t>
      </w:r>
    </w:p>
    <w:p w14:paraId="102D8572" w14:textId="7EDB7358" w:rsidR="00AC256F" w:rsidRPr="00CB4ED1" w:rsidRDefault="00AC256F" w:rsidP="001C02CC">
      <w:pPr>
        <w:rPr>
          <w:rFonts w:eastAsia="Arial" w:cs="Arial"/>
        </w:rPr>
      </w:pPr>
      <w:r w:rsidRPr="001C02CC">
        <w:t>The LHP will be fit for the future. It is designed using evidence from a range of sources, including</w:t>
      </w:r>
      <w:r w:rsidRPr="00CB4ED1">
        <w:rPr>
          <w:rFonts w:eastAsia="MS Mincho" w:cs="Arial"/>
        </w:rPr>
        <w:t xml:space="preserve"> Getting it Right First Time (GIRFT) and the British Orthopaedic Association (BOA), the National Joint Registry (NJR), British Association of Day Surgery (</w:t>
      </w:r>
      <w:r w:rsidR="009F7FFE" w:rsidRPr="00CB4ED1">
        <w:rPr>
          <w:rFonts w:eastAsia="MS Mincho" w:cs="Arial"/>
        </w:rPr>
        <w:t>BADS) and</w:t>
      </w:r>
      <w:r w:rsidRPr="00CB4ED1">
        <w:rPr>
          <w:rFonts w:eastAsia="MS Mincho" w:cs="Arial"/>
        </w:rPr>
        <w:t xml:space="preserve"> other professional bodies. There will be </w:t>
      </w:r>
      <w:proofErr w:type="gramStart"/>
      <w:r w:rsidRPr="00CB4ED1">
        <w:rPr>
          <w:rFonts w:eastAsia="MS Mincho" w:cs="Arial"/>
        </w:rPr>
        <w:t>sufficient</w:t>
      </w:r>
      <w:proofErr w:type="gramEnd"/>
      <w:r w:rsidRPr="00CB4ED1">
        <w:rPr>
          <w:rFonts w:eastAsia="MS Mincho" w:cs="Arial"/>
        </w:rPr>
        <w:t xml:space="preserve"> capacity to meet current and future demand resulting in timely access to services.</w:t>
      </w:r>
    </w:p>
    <w:p w14:paraId="5B5F8A9E" w14:textId="205C7B98" w:rsidR="00E53CBD" w:rsidRPr="00CB4ED1" w:rsidRDefault="58670D6B" w:rsidP="217EA7CF">
      <w:pPr>
        <w:spacing w:before="240"/>
      </w:pPr>
      <w:r w:rsidRPr="00CB4ED1">
        <w:rPr>
          <w:rFonts w:eastAsia="Arial" w:cs="Arial"/>
        </w:rPr>
        <w:t>The spending objectives listed in the table below were agreed by members of the LHP Programme Board in September 2024.</w:t>
      </w:r>
    </w:p>
    <w:tbl>
      <w:tblPr>
        <w:tblStyle w:val="TableGrid"/>
        <w:tblW w:w="5100" w:type="pct"/>
        <w:tblInd w:w="-113" w:type="dxa"/>
        <w:tblLayout w:type="fixed"/>
        <w:tblLook w:val="04A0" w:firstRow="1" w:lastRow="0" w:firstColumn="1" w:lastColumn="0" w:noHBand="0" w:noVBand="1"/>
      </w:tblPr>
      <w:tblGrid>
        <w:gridCol w:w="842"/>
        <w:gridCol w:w="1955"/>
        <w:gridCol w:w="7013"/>
      </w:tblGrid>
      <w:tr w:rsidR="00002720" w:rsidRPr="00CB4ED1" w14:paraId="683412A5" w14:textId="77777777" w:rsidTr="00441E9C">
        <w:trPr>
          <w:tblHeader/>
        </w:trPr>
        <w:tc>
          <w:tcPr>
            <w:tcW w:w="842"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shd w:val="clear" w:color="auto" w:fill="374264" w:themeFill="text2"/>
            <w:tcMar>
              <w:left w:w="108" w:type="dxa"/>
              <w:right w:w="108" w:type="dxa"/>
            </w:tcMar>
            <w:vAlign w:val="center"/>
          </w:tcPr>
          <w:p w14:paraId="2451AEA9" w14:textId="0F7134E3" w:rsidR="217EA7CF" w:rsidRPr="00CB4ED1" w:rsidRDefault="217EA7CF" w:rsidP="00DC6E99">
            <w:pPr>
              <w:spacing w:before="60" w:after="60"/>
              <w:rPr>
                <w:color w:val="FFFFFF" w:themeColor="background1"/>
                <w:sz w:val="20"/>
                <w:szCs w:val="20"/>
              </w:rPr>
            </w:pPr>
            <w:r w:rsidRPr="00CB4ED1">
              <w:rPr>
                <w:b/>
                <w:bCs/>
                <w:color w:val="FFFFFF" w:themeColor="background1"/>
                <w:sz w:val="20"/>
                <w:szCs w:val="20"/>
              </w:rPr>
              <w:t>Ref</w:t>
            </w:r>
          </w:p>
        </w:tc>
        <w:tc>
          <w:tcPr>
            <w:tcW w:w="1955"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shd w:val="clear" w:color="auto" w:fill="374264" w:themeFill="text2"/>
            <w:tcMar>
              <w:left w:w="108" w:type="dxa"/>
              <w:right w:w="108" w:type="dxa"/>
            </w:tcMar>
            <w:vAlign w:val="center"/>
          </w:tcPr>
          <w:p w14:paraId="35229B33" w14:textId="361A5AFF" w:rsidR="217EA7CF" w:rsidRPr="00CB4ED1" w:rsidRDefault="217EA7CF" w:rsidP="00DC6E99">
            <w:pPr>
              <w:spacing w:before="60" w:after="60"/>
              <w:rPr>
                <w:color w:val="FFFFFF" w:themeColor="background1"/>
                <w:sz w:val="20"/>
                <w:szCs w:val="20"/>
              </w:rPr>
            </w:pPr>
            <w:r w:rsidRPr="00CB4ED1">
              <w:rPr>
                <w:b/>
                <w:bCs/>
                <w:color w:val="FFFFFF" w:themeColor="background1"/>
                <w:sz w:val="20"/>
                <w:szCs w:val="20"/>
              </w:rPr>
              <w:t>Theme</w:t>
            </w:r>
          </w:p>
        </w:tc>
        <w:tc>
          <w:tcPr>
            <w:tcW w:w="7013"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shd w:val="clear" w:color="auto" w:fill="374264" w:themeFill="text2"/>
            <w:tcMar>
              <w:left w:w="108" w:type="dxa"/>
              <w:right w:w="108" w:type="dxa"/>
            </w:tcMar>
            <w:vAlign w:val="center"/>
          </w:tcPr>
          <w:p w14:paraId="271E2049" w14:textId="48E3F7FE" w:rsidR="217EA7CF" w:rsidRPr="00CB4ED1" w:rsidRDefault="217EA7CF" w:rsidP="00DC6E99">
            <w:pPr>
              <w:spacing w:before="60" w:after="60"/>
              <w:rPr>
                <w:color w:val="FFFFFF" w:themeColor="background1"/>
                <w:sz w:val="20"/>
                <w:szCs w:val="20"/>
              </w:rPr>
            </w:pPr>
            <w:r w:rsidRPr="00CB4ED1">
              <w:rPr>
                <w:b/>
                <w:bCs/>
                <w:color w:val="FFFFFF" w:themeColor="background1"/>
                <w:sz w:val="20"/>
                <w:szCs w:val="20"/>
              </w:rPr>
              <w:t>Spending objective</w:t>
            </w:r>
          </w:p>
        </w:tc>
      </w:tr>
      <w:tr w:rsidR="00345A8F" w:rsidRPr="00CB4ED1" w14:paraId="00A77692" w14:textId="77777777" w:rsidTr="0090087F">
        <w:tc>
          <w:tcPr>
            <w:tcW w:w="842"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shd w:val="clear" w:color="auto" w:fill="92BAD6" w:themeFill="accent3"/>
            <w:tcMar>
              <w:left w:w="108" w:type="dxa"/>
              <w:right w:w="108" w:type="dxa"/>
            </w:tcMar>
          </w:tcPr>
          <w:p w14:paraId="05333B5A" w14:textId="5CD159EF" w:rsidR="217EA7CF" w:rsidRPr="00CB4ED1" w:rsidRDefault="217EA7CF" w:rsidP="00DC6E99">
            <w:pPr>
              <w:spacing w:before="60" w:after="60"/>
              <w:rPr>
                <w:sz w:val="20"/>
                <w:szCs w:val="20"/>
              </w:rPr>
            </w:pPr>
            <w:r w:rsidRPr="00CB4ED1">
              <w:rPr>
                <w:b/>
                <w:bCs/>
                <w:color w:val="FFFFFF" w:themeColor="accent6"/>
                <w:sz w:val="20"/>
                <w:szCs w:val="20"/>
              </w:rPr>
              <w:t>SO1</w:t>
            </w:r>
          </w:p>
        </w:tc>
        <w:tc>
          <w:tcPr>
            <w:tcW w:w="1955"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6B5044FE" w14:textId="2E2BDE8A" w:rsidR="217EA7CF" w:rsidRPr="00CB4ED1" w:rsidRDefault="217EA7CF" w:rsidP="00DC6E99">
            <w:pPr>
              <w:spacing w:before="60" w:after="60"/>
              <w:rPr>
                <w:sz w:val="20"/>
                <w:szCs w:val="20"/>
              </w:rPr>
            </w:pPr>
            <w:r w:rsidRPr="00CB4ED1">
              <w:rPr>
                <w:sz w:val="20"/>
                <w:szCs w:val="20"/>
              </w:rPr>
              <w:t>Meet population needs</w:t>
            </w:r>
          </w:p>
        </w:tc>
        <w:tc>
          <w:tcPr>
            <w:tcW w:w="7013"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6DBE0E98" w14:textId="3AA46FE1" w:rsidR="217EA7CF" w:rsidRPr="00CB4ED1" w:rsidRDefault="217EA7CF" w:rsidP="00DC6E99">
            <w:pPr>
              <w:spacing w:before="60" w:after="60"/>
              <w:rPr>
                <w:sz w:val="20"/>
                <w:szCs w:val="20"/>
              </w:rPr>
            </w:pPr>
            <w:r w:rsidRPr="00CB4ED1">
              <w:rPr>
                <w:sz w:val="20"/>
                <w:szCs w:val="20"/>
              </w:rPr>
              <w:t xml:space="preserve">The delivery of an elective </w:t>
            </w:r>
            <w:proofErr w:type="gramStart"/>
            <w:r w:rsidRPr="00CB4ED1">
              <w:rPr>
                <w:sz w:val="20"/>
                <w:szCs w:val="20"/>
              </w:rPr>
              <w:t>high volume</w:t>
            </w:r>
            <w:proofErr w:type="gramEnd"/>
            <w:r w:rsidRPr="00CB4ED1">
              <w:rPr>
                <w:sz w:val="20"/>
                <w:szCs w:val="20"/>
              </w:rPr>
              <w:t xml:space="preserve"> low </w:t>
            </w:r>
            <w:r w:rsidR="1B1D518F" w:rsidRPr="00CB4ED1">
              <w:rPr>
                <w:sz w:val="20"/>
                <w:szCs w:val="20"/>
              </w:rPr>
              <w:t>complexity</w:t>
            </w:r>
            <w:r w:rsidRPr="00CB4ED1">
              <w:rPr>
                <w:sz w:val="20"/>
                <w:szCs w:val="20"/>
              </w:rPr>
              <w:t xml:space="preserve"> model of care for the</w:t>
            </w:r>
            <w:r w:rsidRPr="00CB4ED1">
              <w:rPr>
                <w:sz w:val="20"/>
                <w:szCs w:val="20"/>
                <w:highlight w:val="green"/>
              </w:rPr>
              <w:t xml:space="preserve"> </w:t>
            </w:r>
            <w:r w:rsidRPr="00CB4ED1">
              <w:rPr>
                <w:sz w:val="20"/>
                <w:szCs w:val="20"/>
              </w:rPr>
              <w:t xml:space="preserve">South East Wales Region on a phased basis.  </w:t>
            </w:r>
            <w:r w:rsidR="006F4DBE">
              <w:rPr>
                <w:sz w:val="20"/>
                <w:szCs w:val="20"/>
              </w:rPr>
              <w:t>Phase 2 to</w:t>
            </w:r>
            <w:r w:rsidRPr="00CB4ED1">
              <w:rPr>
                <w:sz w:val="20"/>
                <w:szCs w:val="20"/>
              </w:rPr>
              <w:t xml:space="preserve"> focus on the </w:t>
            </w:r>
            <w:r w:rsidR="006F4DBE">
              <w:rPr>
                <w:sz w:val="20"/>
                <w:szCs w:val="20"/>
              </w:rPr>
              <w:t>delivery of</w:t>
            </w:r>
            <w:r w:rsidRPr="00CB4ED1">
              <w:rPr>
                <w:sz w:val="20"/>
                <w:szCs w:val="20"/>
              </w:rPr>
              <w:t xml:space="preserve"> elective orthopaedic </w:t>
            </w:r>
            <w:proofErr w:type="gramStart"/>
            <w:r w:rsidRPr="00CB4ED1">
              <w:rPr>
                <w:sz w:val="20"/>
                <w:szCs w:val="20"/>
              </w:rPr>
              <w:t>arthroplasty,.</w:t>
            </w:r>
            <w:proofErr w:type="gramEnd"/>
            <w:r w:rsidRPr="00CB4ED1">
              <w:rPr>
                <w:sz w:val="20"/>
                <w:szCs w:val="20"/>
              </w:rPr>
              <w:t xml:space="preserve"> Services to be operational by the end of the 202</w:t>
            </w:r>
            <w:r w:rsidR="006F4DBE">
              <w:rPr>
                <w:sz w:val="20"/>
                <w:szCs w:val="20"/>
              </w:rPr>
              <w:t>8</w:t>
            </w:r>
            <w:r w:rsidRPr="00CB4ED1">
              <w:rPr>
                <w:sz w:val="20"/>
                <w:szCs w:val="20"/>
              </w:rPr>
              <w:t>/2</w:t>
            </w:r>
            <w:r w:rsidR="006F4DBE">
              <w:rPr>
                <w:sz w:val="20"/>
                <w:szCs w:val="20"/>
              </w:rPr>
              <w:t>9</w:t>
            </w:r>
            <w:r w:rsidRPr="00CB4ED1">
              <w:rPr>
                <w:sz w:val="20"/>
                <w:szCs w:val="20"/>
              </w:rPr>
              <w:t xml:space="preserve"> financial year.</w:t>
            </w:r>
            <w:r w:rsidR="006F4DBE">
              <w:rPr>
                <w:sz w:val="20"/>
                <w:szCs w:val="20"/>
              </w:rPr>
              <w:t xml:space="preserve"> A</w:t>
            </w:r>
            <w:r w:rsidRPr="00CB4ED1">
              <w:rPr>
                <w:sz w:val="20"/>
                <w:szCs w:val="20"/>
              </w:rPr>
              <w:t xml:space="preserve"> Future phase</w:t>
            </w:r>
            <w:r w:rsidR="006F4DBE">
              <w:rPr>
                <w:sz w:val="20"/>
                <w:szCs w:val="20"/>
              </w:rPr>
              <w:t xml:space="preserve"> 3</w:t>
            </w:r>
            <w:r w:rsidRPr="00CB4ED1">
              <w:rPr>
                <w:sz w:val="20"/>
                <w:szCs w:val="20"/>
              </w:rPr>
              <w:t xml:space="preserve"> to consider further regional services such as pathology</w:t>
            </w:r>
            <w:r w:rsidR="006F4DBE">
              <w:rPr>
                <w:sz w:val="20"/>
                <w:szCs w:val="20"/>
              </w:rPr>
              <w:t xml:space="preserve"> or day surgery</w:t>
            </w:r>
            <w:r w:rsidRPr="00CB4ED1">
              <w:rPr>
                <w:sz w:val="20"/>
                <w:szCs w:val="20"/>
              </w:rPr>
              <w:t>.</w:t>
            </w:r>
          </w:p>
        </w:tc>
      </w:tr>
      <w:tr w:rsidR="00345A8F" w:rsidRPr="00CB4ED1" w14:paraId="34F3C8B9" w14:textId="77777777" w:rsidTr="0090087F">
        <w:tc>
          <w:tcPr>
            <w:tcW w:w="842"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shd w:val="clear" w:color="auto" w:fill="92BAD6" w:themeFill="accent3"/>
            <w:tcMar>
              <w:left w:w="108" w:type="dxa"/>
              <w:right w:w="108" w:type="dxa"/>
            </w:tcMar>
          </w:tcPr>
          <w:p w14:paraId="5C19BB6E" w14:textId="6FC0E94F" w:rsidR="217EA7CF" w:rsidRPr="00CB4ED1" w:rsidRDefault="217EA7CF" w:rsidP="00DC6E99">
            <w:pPr>
              <w:spacing w:before="60" w:after="60"/>
              <w:rPr>
                <w:sz w:val="20"/>
                <w:szCs w:val="20"/>
              </w:rPr>
            </w:pPr>
            <w:r w:rsidRPr="00CB4ED1">
              <w:rPr>
                <w:b/>
                <w:bCs/>
                <w:color w:val="FFFFFF" w:themeColor="accent6"/>
                <w:sz w:val="20"/>
                <w:szCs w:val="20"/>
              </w:rPr>
              <w:t>SO2</w:t>
            </w:r>
          </w:p>
        </w:tc>
        <w:tc>
          <w:tcPr>
            <w:tcW w:w="1955"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6141E8E5" w14:textId="5195757F" w:rsidR="217EA7CF" w:rsidRPr="00CB4ED1" w:rsidRDefault="217EA7CF" w:rsidP="00DC6E99">
            <w:pPr>
              <w:spacing w:before="60" w:after="60"/>
              <w:rPr>
                <w:sz w:val="20"/>
                <w:szCs w:val="20"/>
              </w:rPr>
            </w:pPr>
            <w:r w:rsidRPr="00CB4ED1">
              <w:rPr>
                <w:sz w:val="20"/>
                <w:szCs w:val="20"/>
              </w:rPr>
              <w:t>Maximise capacity</w:t>
            </w:r>
          </w:p>
        </w:tc>
        <w:tc>
          <w:tcPr>
            <w:tcW w:w="7013"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1E8C1305" w14:textId="33827E98" w:rsidR="217EA7CF" w:rsidRPr="00CB4ED1" w:rsidRDefault="217EA7CF" w:rsidP="00DC6E99">
            <w:pPr>
              <w:spacing w:before="60" w:after="60"/>
              <w:rPr>
                <w:sz w:val="20"/>
                <w:szCs w:val="20"/>
              </w:rPr>
            </w:pPr>
            <w:r w:rsidRPr="00CB4ED1">
              <w:rPr>
                <w:sz w:val="20"/>
                <w:szCs w:val="20"/>
              </w:rPr>
              <w:t>To maximise clinical capacity on the LHP site. To ensure that the maximum amount of available space is directed towards direct service delivery with supporting services managed from the neighbouring RGH site.</w:t>
            </w:r>
          </w:p>
        </w:tc>
      </w:tr>
      <w:tr w:rsidR="00345A8F" w:rsidRPr="00CB4ED1" w14:paraId="5A8B1DDE" w14:textId="77777777" w:rsidTr="0090087F">
        <w:tc>
          <w:tcPr>
            <w:tcW w:w="842"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shd w:val="clear" w:color="auto" w:fill="92BAD6" w:themeFill="accent3"/>
            <w:tcMar>
              <w:left w:w="108" w:type="dxa"/>
              <w:right w:w="108" w:type="dxa"/>
            </w:tcMar>
          </w:tcPr>
          <w:p w14:paraId="27246EC4" w14:textId="2A5BB45E" w:rsidR="217EA7CF" w:rsidRPr="00CB4ED1" w:rsidRDefault="217EA7CF" w:rsidP="00DC6E99">
            <w:pPr>
              <w:spacing w:before="60" w:after="60"/>
              <w:rPr>
                <w:sz w:val="20"/>
                <w:szCs w:val="20"/>
              </w:rPr>
            </w:pPr>
            <w:r w:rsidRPr="00CB4ED1">
              <w:rPr>
                <w:b/>
                <w:bCs/>
                <w:color w:val="FFFFFF" w:themeColor="accent6"/>
                <w:sz w:val="20"/>
                <w:szCs w:val="20"/>
              </w:rPr>
              <w:t>SO3</w:t>
            </w:r>
          </w:p>
        </w:tc>
        <w:tc>
          <w:tcPr>
            <w:tcW w:w="1955"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72F13BF3" w14:textId="2968DC5E" w:rsidR="217EA7CF" w:rsidRPr="00CB4ED1" w:rsidRDefault="217EA7CF" w:rsidP="00DC6E99">
            <w:pPr>
              <w:spacing w:before="60" w:after="60"/>
              <w:rPr>
                <w:sz w:val="20"/>
                <w:szCs w:val="20"/>
              </w:rPr>
            </w:pPr>
            <w:r w:rsidRPr="00CB4ED1">
              <w:rPr>
                <w:sz w:val="20"/>
                <w:szCs w:val="20"/>
              </w:rPr>
              <w:t>Innovation and Standardisation</w:t>
            </w:r>
          </w:p>
        </w:tc>
        <w:tc>
          <w:tcPr>
            <w:tcW w:w="7013"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6F2B8C17" w14:textId="04966C9D" w:rsidR="217EA7CF" w:rsidRPr="00CB4ED1" w:rsidRDefault="217EA7CF" w:rsidP="00DC6E99">
            <w:pPr>
              <w:spacing w:before="60" w:after="60"/>
              <w:rPr>
                <w:sz w:val="20"/>
                <w:szCs w:val="20"/>
              </w:rPr>
            </w:pPr>
            <w:r w:rsidRPr="00CB4ED1">
              <w:rPr>
                <w:sz w:val="20"/>
                <w:szCs w:val="20"/>
              </w:rPr>
              <w:t>To facilitate and support the use of innovative design and delivery solutions in both clinical and non</w:t>
            </w:r>
            <w:r w:rsidR="079A853A" w:rsidRPr="00CB4ED1">
              <w:rPr>
                <w:sz w:val="20"/>
                <w:szCs w:val="20"/>
              </w:rPr>
              <w:t>-</w:t>
            </w:r>
            <w:r w:rsidRPr="00CB4ED1">
              <w:rPr>
                <w:sz w:val="20"/>
                <w:szCs w:val="20"/>
              </w:rPr>
              <w:t xml:space="preserve">clinical services. To implement </w:t>
            </w:r>
            <w:proofErr w:type="gramStart"/>
            <w:r w:rsidRPr="00CB4ED1">
              <w:rPr>
                <w:sz w:val="20"/>
                <w:szCs w:val="20"/>
              </w:rPr>
              <w:t>standardised  protocols</w:t>
            </w:r>
            <w:proofErr w:type="gramEnd"/>
            <w:r w:rsidRPr="00CB4ED1">
              <w:rPr>
                <w:sz w:val="20"/>
                <w:szCs w:val="20"/>
              </w:rPr>
              <w:t xml:space="preserve"> and practices to promote efficient service delivery offering improved value for money</w:t>
            </w:r>
            <w:r w:rsidR="1E7CD510" w:rsidRPr="00CB4ED1">
              <w:rPr>
                <w:sz w:val="20"/>
                <w:szCs w:val="20"/>
              </w:rPr>
              <w:t>,</w:t>
            </w:r>
            <w:r w:rsidRPr="00CB4ED1">
              <w:rPr>
                <w:sz w:val="20"/>
                <w:szCs w:val="20"/>
              </w:rPr>
              <w:t xml:space="preserve"> reported via comprehensive patient level costing</w:t>
            </w:r>
            <w:r w:rsidR="08E2CA12" w:rsidRPr="00CB4ED1">
              <w:rPr>
                <w:sz w:val="20"/>
                <w:szCs w:val="20"/>
              </w:rPr>
              <w:t>,</w:t>
            </w:r>
            <w:r w:rsidR="78534E7F" w:rsidRPr="00CB4ED1">
              <w:rPr>
                <w:sz w:val="20"/>
                <w:szCs w:val="20"/>
              </w:rPr>
              <w:t xml:space="preserve"> </w:t>
            </w:r>
            <w:r w:rsidR="5BCCEE62" w:rsidRPr="00CB4ED1">
              <w:rPr>
                <w:sz w:val="20"/>
                <w:szCs w:val="20"/>
              </w:rPr>
              <w:t xml:space="preserve">delivering a lower procedure cost </w:t>
            </w:r>
            <w:r w:rsidR="564F1F83" w:rsidRPr="00CB4ED1">
              <w:rPr>
                <w:sz w:val="20"/>
                <w:szCs w:val="20"/>
              </w:rPr>
              <w:t>than</w:t>
            </w:r>
            <w:r w:rsidRPr="00CB4ED1">
              <w:rPr>
                <w:sz w:val="20"/>
                <w:szCs w:val="20"/>
              </w:rPr>
              <w:t xml:space="preserve"> English tariff.</w:t>
            </w:r>
          </w:p>
        </w:tc>
      </w:tr>
      <w:tr w:rsidR="00345A8F" w:rsidRPr="00CB4ED1" w14:paraId="6A8BF30A" w14:textId="77777777" w:rsidTr="0090087F">
        <w:tc>
          <w:tcPr>
            <w:tcW w:w="842"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shd w:val="clear" w:color="auto" w:fill="92BAD6" w:themeFill="accent3"/>
            <w:tcMar>
              <w:left w:w="108" w:type="dxa"/>
              <w:right w:w="108" w:type="dxa"/>
            </w:tcMar>
          </w:tcPr>
          <w:p w14:paraId="3B066F78" w14:textId="352763B5" w:rsidR="217EA7CF" w:rsidRPr="00CB4ED1" w:rsidRDefault="217EA7CF" w:rsidP="00DC6E99">
            <w:pPr>
              <w:spacing w:before="60" w:after="60"/>
              <w:rPr>
                <w:sz w:val="20"/>
                <w:szCs w:val="20"/>
              </w:rPr>
            </w:pPr>
            <w:r w:rsidRPr="00CB4ED1">
              <w:rPr>
                <w:b/>
                <w:bCs/>
                <w:color w:val="FFFFFF" w:themeColor="accent6"/>
                <w:sz w:val="20"/>
                <w:szCs w:val="20"/>
              </w:rPr>
              <w:t>SO4</w:t>
            </w:r>
          </w:p>
        </w:tc>
        <w:tc>
          <w:tcPr>
            <w:tcW w:w="1955"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711EC4CD" w14:textId="00D797CE" w:rsidR="217EA7CF" w:rsidRPr="00CB4ED1" w:rsidRDefault="217EA7CF" w:rsidP="00DC6E99">
            <w:pPr>
              <w:spacing w:before="60" w:after="60"/>
              <w:rPr>
                <w:sz w:val="20"/>
                <w:szCs w:val="20"/>
              </w:rPr>
            </w:pPr>
            <w:r w:rsidRPr="00CB4ED1">
              <w:rPr>
                <w:sz w:val="20"/>
                <w:szCs w:val="20"/>
              </w:rPr>
              <w:t>Enable training / development of future workforce</w:t>
            </w:r>
          </w:p>
        </w:tc>
        <w:tc>
          <w:tcPr>
            <w:tcW w:w="7013"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6F2CE7A4" w14:textId="39071FBC" w:rsidR="217EA7CF" w:rsidRPr="00CB4ED1" w:rsidRDefault="217EA7CF" w:rsidP="00DC6E99">
            <w:pPr>
              <w:spacing w:before="60" w:after="60"/>
              <w:rPr>
                <w:sz w:val="20"/>
                <w:szCs w:val="20"/>
              </w:rPr>
            </w:pPr>
            <w:r w:rsidRPr="00CB4ED1">
              <w:rPr>
                <w:sz w:val="20"/>
                <w:szCs w:val="20"/>
              </w:rPr>
              <w:t xml:space="preserve">To enable increased training and development of </w:t>
            </w:r>
            <w:r w:rsidR="6F62E55D" w:rsidRPr="00CB4ED1">
              <w:rPr>
                <w:sz w:val="20"/>
                <w:szCs w:val="20"/>
              </w:rPr>
              <w:t>secondary</w:t>
            </w:r>
            <w:r w:rsidRPr="00CB4ED1">
              <w:rPr>
                <w:sz w:val="20"/>
                <w:szCs w:val="20"/>
              </w:rPr>
              <w:t xml:space="preserve"> care staff including accommodating more medical </w:t>
            </w:r>
            <w:r w:rsidR="1BD9F1F5" w:rsidRPr="00CB4ED1">
              <w:rPr>
                <w:sz w:val="20"/>
                <w:szCs w:val="20"/>
              </w:rPr>
              <w:t>trainees and medical students</w:t>
            </w:r>
          </w:p>
        </w:tc>
      </w:tr>
      <w:tr w:rsidR="00345A8F" w:rsidRPr="00CB4ED1" w14:paraId="7D25139A" w14:textId="77777777" w:rsidTr="0090087F">
        <w:tc>
          <w:tcPr>
            <w:tcW w:w="842"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shd w:val="clear" w:color="auto" w:fill="92BAD6" w:themeFill="accent3"/>
            <w:tcMar>
              <w:left w:w="108" w:type="dxa"/>
              <w:right w:w="108" w:type="dxa"/>
            </w:tcMar>
          </w:tcPr>
          <w:p w14:paraId="43E8CE56" w14:textId="6A18BA7C" w:rsidR="217EA7CF" w:rsidRPr="00CB4ED1" w:rsidRDefault="217EA7CF" w:rsidP="00DC6E99">
            <w:pPr>
              <w:spacing w:before="60" w:after="60"/>
              <w:rPr>
                <w:sz w:val="20"/>
                <w:szCs w:val="20"/>
              </w:rPr>
            </w:pPr>
            <w:r w:rsidRPr="00CB4ED1">
              <w:rPr>
                <w:b/>
                <w:bCs/>
                <w:color w:val="FFFFFF" w:themeColor="accent6"/>
                <w:sz w:val="20"/>
                <w:szCs w:val="20"/>
              </w:rPr>
              <w:lastRenderedPageBreak/>
              <w:t>SO5</w:t>
            </w:r>
          </w:p>
        </w:tc>
        <w:tc>
          <w:tcPr>
            <w:tcW w:w="1955"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484A75DA" w14:textId="6F1D0B11" w:rsidR="217EA7CF" w:rsidRPr="00CB4ED1" w:rsidRDefault="217EA7CF" w:rsidP="00DC6E99">
            <w:pPr>
              <w:spacing w:before="60" w:after="60"/>
              <w:rPr>
                <w:sz w:val="20"/>
                <w:szCs w:val="20"/>
              </w:rPr>
            </w:pPr>
            <w:r w:rsidRPr="00CB4ED1">
              <w:rPr>
                <w:sz w:val="20"/>
                <w:szCs w:val="20"/>
              </w:rPr>
              <w:t>LHP Models of Care and Workforce Models</w:t>
            </w:r>
          </w:p>
        </w:tc>
        <w:tc>
          <w:tcPr>
            <w:tcW w:w="7013"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087F8296" w14:textId="7125FE53" w:rsidR="217EA7CF" w:rsidRPr="00CB4ED1" w:rsidRDefault="217EA7CF" w:rsidP="00DC6E99">
            <w:pPr>
              <w:spacing w:before="60" w:after="60"/>
              <w:rPr>
                <w:sz w:val="20"/>
                <w:szCs w:val="20"/>
              </w:rPr>
            </w:pPr>
            <w:r w:rsidRPr="00CB4ED1">
              <w:rPr>
                <w:sz w:val="20"/>
                <w:szCs w:val="20"/>
              </w:rPr>
              <w:t xml:space="preserve">To develop a new model of care and workforce models to support the delivery of the core services, the models will support efficient delivery of services </w:t>
            </w:r>
          </w:p>
        </w:tc>
      </w:tr>
      <w:tr w:rsidR="00345A8F" w:rsidRPr="00CB4ED1" w14:paraId="78A2ABDE" w14:textId="77777777" w:rsidTr="0090087F">
        <w:tc>
          <w:tcPr>
            <w:tcW w:w="842"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shd w:val="clear" w:color="auto" w:fill="92BAD6" w:themeFill="accent3"/>
            <w:tcMar>
              <w:left w:w="108" w:type="dxa"/>
              <w:right w:w="108" w:type="dxa"/>
            </w:tcMar>
          </w:tcPr>
          <w:p w14:paraId="59150AA1" w14:textId="3E29EA8A" w:rsidR="217EA7CF" w:rsidRPr="00CB4ED1" w:rsidRDefault="217EA7CF" w:rsidP="00DC6E99">
            <w:pPr>
              <w:spacing w:before="60" w:after="60"/>
              <w:rPr>
                <w:sz w:val="20"/>
                <w:szCs w:val="20"/>
              </w:rPr>
            </w:pPr>
            <w:r w:rsidRPr="00CB4ED1">
              <w:rPr>
                <w:b/>
                <w:bCs/>
                <w:color w:val="FFFFFF" w:themeColor="accent6"/>
                <w:sz w:val="20"/>
                <w:szCs w:val="20"/>
              </w:rPr>
              <w:t>SO6</w:t>
            </w:r>
          </w:p>
        </w:tc>
        <w:tc>
          <w:tcPr>
            <w:tcW w:w="1955"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14F087CC" w14:textId="1D94E115" w:rsidR="217EA7CF" w:rsidRPr="00CB4ED1" w:rsidRDefault="217EA7CF" w:rsidP="00DC6E99">
            <w:pPr>
              <w:spacing w:before="60" w:after="60"/>
              <w:rPr>
                <w:sz w:val="20"/>
                <w:szCs w:val="20"/>
              </w:rPr>
            </w:pPr>
            <w:r w:rsidRPr="00CB4ED1">
              <w:rPr>
                <w:sz w:val="20"/>
                <w:szCs w:val="20"/>
              </w:rPr>
              <w:t>Sustainable estate</w:t>
            </w:r>
          </w:p>
        </w:tc>
        <w:tc>
          <w:tcPr>
            <w:tcW w:w="7013" w:type="dxa"/>
            <w:tcBorders>
              <w:top w:val="single" w:sz="8" w:space="0" w:color="BFBFBF" w:themeColor="accent6" w:themeShade="BF"/>
              <w:left w:val="single" w:sz="8" w:space="0" w:color="BFBFBF" w:themeColor="accent6" w:themeShade="BF"/>
              <w:bottom w:val="single" w:sz="8" w:space="0" w:color="BFBFBF" w:themeColor="accent6" w:themeShade="BF"/>
              <w:right w:val="single" w:sz="8" w:space="0" w:color="BFBFBF" w:themeColor="accent6" w:themeShade="BF"/>
            </w:tcBorders>
            <w:tcMar>
              <w:left w:w="108" w:type="dxa"/>
              <w:right w:w="108" w:type="dxa"/>
            </w:tcMar>
          </w:tcPr>
          <w:p w14:paraId="34215AC2" w14:textId="4BDB6D11" w:rsidR="217EA7CF" w:rsidRPr="00CB4ED1" w:rsidRDefault="217EA7CF" w:rsidP="00DC6E99">
            <w:pPr>
              <w:spacing w:before="60" w:after="60"/>
              <w:rPr>
                <w:sz w:val="20"/>
                <w:szCs w:val="20"/>
              </w:rPr>
            </w:pPr>
            <w:r w:rsidRPr="00CB4ED1">
              <w:rPr>
                <w:sz w:val="20"/>
                <w:szCs w:val="20"/>
              </w:rPr>
              <w:t xml:space="preserve">To deliver a sustainable infrastructure on the site maximising decarbonisation and net zero opportunities.  </w:t>
            </w:r>
          </w:p>
        </w:tc>
      </w:tr>
    </w:tbl>
    <w:p w14:paraId="5F8B76C5" w14:textId="77777777" w:rsidR="00DC6E99" w:rsidRPr="00CB4ED1" w:rsidRDefault="00DC6E99" w:rsidP="00DC6E99"/>
    <w:p w14:paraId="3C327783" w14:textId="50EEE2B4" w:rsidR="00E53CBD" w:rsidRPr="00CB4ED1" w:rsidRDefault="58670D6B" w:rsidP="7BC26A31">
      <w:pPr>
        <w:pStyle w:val="Heading2"/>
        <w:rPr>
          <w:rFonts w:ascii="Arial" w:eastAsia="Arial" w:hAnsi="Arial" w:cs="Arial"/>
          <w:szCs w:val="32"/>
        </w:rPr>
      </w:pPr>
      <w:bookmarkStart w:id="9" w:name="_Toc213865200"/>
      <w:r w:rsidRPr="00CB4ED1">
        <w:t xml:space="preserve">Case for </w:t>
      </w:r>
      <w:r w:rsidR="00B74DF7" w:rsidRPr="00CB4ED1">
        <w:t>change</w:t>
      </w:r>
      <w:bookmarkEnd w:id="9"/>
    </w:p>
    <w:p w14:paraId="742AFD9E" w14:textId="6A9C6F30" w:rsidR="00E53CBD" w:rsidRDefault="58670D6B" w:rsidP="00B74DF7">
      <w:r w:rsidRPr="00CB4ED1">
        <w:t xml:space="preserve">Current service provision for the region is delivered for each of the health boards’ populations within each health board’s geographic footprint. Patients from each </w:t>
      </w:r>
      <w:r w:rsidR="69C1BBA2" w:rsidRPr="00CB4ED1">
        <w:t>H</w:t>
      </w:r>
      <w:r w:rsidRPr="00CB4ED1">
        <w:t xml:space="preserve">ealth </w:t>
      </w:r>
      <w:r w:rsidR="3CE0612A" w:rsidRPr="00CB4ED1">
        <w:t>B</w:t>
      </w:r>
      <w:r w:rsidRPr="00CB4ED1">
        <w:t>oard currently access services in other health boards as part of agreed patient flows for specific service pathways. Additional capacity is delivered through a range of means including internal additional capacity using NHS clinicians (commonly referred to as waiting list initiatives) and in-sourcing.</w:t>
      </w:r>
    </w:p>
    <w:p w14:paraId="0E6264A6" w14:textId="76501BB2" w:rsidR="00C66C00" w:rsidRPr="00CB4ED1" w:rsidRDefault="00C66C00" w:rsidP="00B74DF7">
      <w:r>
        <w:t xml:space="preserve">In considering the solution in the business case, considerable research has been undertaken by the LHP team alongside other clinical and </w:t>
      </w:r>
      <w:proofErr w:type="spellStart"/>
      <w:proofErr w:type="gramStart"/>
      <w:r>
        <w:t>non clinical</w:t>
      </w:r>
      <w:proofErr w:type="spellEnd"/>
      <w:proofErr w:type="gramEnd"/>
      <w:r>
        <w:t xml:space="preserve"> colleagues.  As well as considering evidence offered by GiRFT, they have undertaken learning with </w:t>
      </w:r>
      <w:proofErr w:type="gramStart"/>
      <w:r>
        <w:t>a number of</w:t>
      </w:r>
      <w:proofErr w:type="gramEnd"/>
      <w:r>
        <w:t xml:space="preserve"> established Elective Surgical Hub in England.  This has made a contribution to the development of both pathways and processes as well as the building infrastructure and provided a compelling evidence base to support the development of a </w:t>
      </w:r>
      <w:proofErr w:type="gramStart"/>
      <w:r>
        <w:t>high volume</w:t>
      </w:r>
      <w:proofErr w:type="gramEnd"/>
      <w:r>
        <w:t xml:space="preserve"> low complexity primary arthroplasty unit at LHP. </w:t>
      </w:r>
    </w:p>
    <w:p w14:paraId="22D63F27" w14:textId="30D4B960" w:rsidR="006F4DBE" w:rsidRDefault="006F4DBE" w:rsidP="00B74DF7">
      <w:r>
        <w:t xml:space="preserve">There has been a regional focus </w:t>
      </w:r>
      <w:r w:rsidR="00C66C00">
        <w:t xml:space="preserve">on developing a solution to the challenges faced by orthopaedics across South East Wales which has culminated in the development of the Regional Orthopaedic </w:t>
      </w:r>
      <w:proofErr w:type="gramStart"/>
      <w:r w:rsidR="00C66C00">
        <w:t>Plan</w:t>
      </w:r>
      <w:r w:rsidR="0041609C">
        <w:t xml:space="preserve">, </w:t>
      </w:r>
      <w:r w:rsidR="00C66C00">
        <w:t xml:space="preserve"> Appendix</w:t>
      </w:r>
      <w:proofErr w:type="gramEnd"/>
      <w:r w:rsidR="00C66C00">
        <w:t xml:space="preserve"> 2</w:t>
      </w:r>
      <w:r w:rsidR="0041609C">
        <w:t xml:space="preserve"> to this document</w:t>
      </w:r>
      <w:r w:rsidR="00C66C00">
        <w:t xml:space="preserve">.  This plan is recognised as being in its first phase but has focused on the development of detailed </w:t>
      </w:r>
      <w:r w:rsidR="0041609C">
        <w:t xml:space="preserve">regional </w:t>
      </w:r>
      <w:r w:rsidR="00C66C00">
        <w:t>demand and capacity modelling</w:t>
      </w:r>
      <w:r w:rsidR="0041609C">
        <w:t>, undertaken with the support of WG colleagues</w:t>
      </w:r>
      <w:r w:rsidR="00C66C00">
        <w:t>, to</w:t>
      </w:r>
      <w:r w:rsidR="0041609C">
        <w:t xml:space="preserve"> prove</w:t>
      </w:r>
      <w:r w:rsidR="00C66C00">
        <w:t xml:space="preserve"> the </w:t>
      </w:r>
      <w:r w:rsidR="0041609C">
        <w:t xml:space="preserve">need for additional theatre capacity at </w:t>
      </w:r>
      <w:r w:rsidR="00C66C00">
        <w:t xml:space="preserve">LHP </w:t>
      </w:r>
      <w:r w:rsidR="0041609C">
        <w:t xml:space="preserve">for </w:t>
      </w:r>
      <w:r w:rsidR="00C66C00">
        <w:t xml:space="preserve">the region.  </w:t>
      </w:r>
    </w:p>
    <w:p w14:paraId="70B5A7A5" w14:textId="03ED678C" w:rsidR="00441E9C" w:rsidRDefault="0041609C" w:rsidP="00B74DF7">
      <w:r>
        <w:t xml:space="preserve">The outcomes of the regional planning exercise clearly demonstrate that there is a shortfall in orthopaedic capacity in the region, with the greatest shortfall in lower limb, as shown in the table below.  </w:t>
      </w:r>
    </w:p>
    <w:tbl>
      <w:tblPr>
        <w:tblW w:w="5100" w:type="pct"/>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2689"/>
        <w:gridCol w:w="2952"/>
        <w:gridCol w:w="2090"/>
        <w:gridCol w:w="2090"/>
      </w:tblGrid>
      <w:tr w:rsidR="0041609C" w:rsidRPr="002C76A2" w14:paraId="70B92C71" w14:textId="77777777" w:rsidTr="00441E9C">
        <w:tc>
          <w:tcPr>
            <w:tcW w:w="2689" w:type="dxa"/>
            <w:vMerge w:val="restart"/>
            <w:shd w:val="clear" w:color="auto" w:fill="374264"/>
            <w:vAlign w:val="center"/>
          </w:tcPr>
          <w:p w14:paraId="1BE63DF3" w14:textId="77777777" w:rsidR="0041609C" w:rsidRPr="0026591F" w:rsidRDefault="0041609C" w:rsidP="0041609C">
            <w:pPr>
              <w:pStyle w:val="tabletext"/>
              <w:jc w:val="center"/>
              <w:rPr>
                <w:b/>
                <w:bCs/>
                <w:color w:val="FFFFFF" w:themeColor="background1"/>
                <w:sz w:val="18"/>
                <w:szCs w:val="20"/>
              </w:rPr>
            </w:pPr>
            <w:r w:rsidRPr="0026591F">
              <w:rPr>
                <w:b/>
                <w:bCs/>
                <w:color w:val="FFFFFF" w:themeColor="background1"/>
                <w:sz w:val="18"/>
                <w:szCs w:val="20"/>
              </w:rPr>
              <w:t>Sub specs</w:t>
            </w:r>
          </w:p>
        </w:tc>
        <w:tc>
          <w:tcPr>
            <w:tcW w:w="7132" w:type="dxa"/>
            <w:gridSpan w:val="3"/>
            <w:shd w:val="clear" w:color="auto" w:fill="374264"/>
            <w:vAlign w:val="center"/>
          </w:tcPr>
          <w:p w14:paraId="2EE70BB7" w14:textId="77777777" w:rsidR="0041609C" w:rsidRPr="0026591F" w:rsidRDefault="0041609C" w:rsidP="00E67800">
            <w:pPr>
              <w:pStyle w:val="tabletext"/>
              <w:jc w:val="center"/>
              <w:rPr>
                <w:b/>
                <w:bCs/>
                <w:color w:val="FFFFFF" w:themeColor="background1"/>
                <w:sz w:val="18"/>
                <w:szCs w:val="20"/>
              </w:rPr>
            </w:pPr>
            <w:r w:rsidRPr="0026591F">
              <w:rPr>
                <w:b/>
                <w:bCs/>
                <w:color w:val="FFFFFF" w:themeColor="background1"/>
                <w:sz w:val="18"/>
                <w:szCs w:val="20"/>
              </w:rPr>
              <w:t>South-east Wales</w:t>
            </w:r>
          </w:p>
        </w:tc>
      </w:tr>
      <w:tr w:rsidR="0041609C" w:rsidRPr="002C76A2" w14:paraId="5CBF9C70" w14:textId="77777777" w:rsidTr="00441E9C">
        <w:tc>
          <w:tcPr>
            <w:tcW w:w="2689" w:type="dxa"/>
            <w:vMerge/>
            <w:shd w:val="clear" w:color="auto" w:fill="374264"/>
          </w:tcPr>
          <w:p w14:paraId="0AEAD767" w14:textId="77777777" w:rsidR="0041609C" w:rsidRPr="0026591F" w:rsidRDefault="0041609C" w:rsidP="00E67800">
            <w:pPr>
              <w:pStyle w:val="tabletext"/>
              <w:rPr>
                <w:b/>
                <w:bCs/>
                <w:color w:val="FFFFFF" w:themeColor="background1"/>
                <w:sz w:val="18"/>
                <w:szCs w:val="20"/>
              </w:rPr>
            </w:pPr>
          </w:p>
        </w:tc>
        <w:tc>
          <w:tcPr>
            <w:tcW w:w="2952" w:type="dxa"/>
            <w:vMerge w:val="restart"/>
            <w:shd w:val="clear" w:color="auto" w:fill="374264"/>
            <w:vAlign w:val="center"/>
          </w:tcPr>
          <w:p w14:paraId="79AF6A11" w14:textId="77777777" w:rsidR="0041609C" w:rsidRPr="0026591F" w:rsidRDefault="0041609C" w:rsidP="00E67800">
            <w:pPr>
              <w:pStyle w:val="tabletext"/>
              <w:jc w:val="center"/>
              <w:rPr>
                <w:b/>
                <w:bCs/>
                <w:color w:val="FFFFFF" w:themeColor="background1"/>
                <w:sz w:val="18"/>
                <w:szCs w:val="20"/>
              </w:rPr>
            </w:pPr>
            <w:r w:rsidRPr="0026591F">
              <w:rPr>
                <w:b/>
                <w:bCs/>
                <w:color w:val="FFFFFF" w:themeColor="background1"/>
                <w:sz w:val="18"/>
                <w:szCs w:val="20"/>
              </w:rPr>
              <w:t>Recurrent demand IP24/25</w:t>
            </w:r>
          </w:p>
        </w:tc>
        <w:tc>
          <w:tcPr>
            <w:tcW w:w="4180" w:type="dxa"/>
            <w:gridSpan w:val="2"/>
            <w:shd w:val="clear" w:color="auto" w:fill="374264"/>
            <w:vAlign w:val="center"/>
          </w:tcPr>
          <w:p w14:paraId="5984F533" w14:textId="77777777" w:rsidR="0041609C" w:rsidRPr="0026591F" w:rsidRDefault="0041609C" w:rsidP="00E67800">
            <w:pPr>
              <w:pStyle w:val="tabletext"/>
              <w:jc w:val="center"/>
              <w:rPr>
                <w:b/>
                <w:bCs/>
                <w:color w:val="FFFFFF" w:themeColor="background1"/>
                <w:sz w:val="18"/>
                <w:szCs w:val="20"/>
              </w:rPr>
            </w:pPr>
            <w:r w:rsidRPr="0026591F">
              <w:rPr>
                <w:b/>
                <w:bCs/>
                <w:color w:val="FFFFFF" w:themeColor="background1"/>
                <w:sz w:val="18"/>
                <w:szCs w:val="20"/>
              </w:rPr>
              <w:t>Demand in 28/29·</w:t>
            </w:r>
          </w:p>
        </w:tc>
      </w:tr>
      <w:tr w:rsidR="0041609C" w:rsidRPr="00A83EDA" w14:paraId="6C6B7819" w14:textId="77777777" w:rsidTr="00441E9C">
        <w:tc>
          <w:tcPr>
            <w:tcW w:w="2689" w:type="dxa"/>
            <w:vMerge/>
          </w:tcPr>
          <w:p w14:paraId="3DE158A4" w14:textId="77777777" w:rsidR="0041609C" w:rsidRPr="00A83EDA" w:rsidRDefault="0041609C" w:rsidP="00E67800">
            <w:pPr>
              <w:pStyle w:val="tabletext"/>
              <w:rPr>
                <w:sz w:val="18"/>
                <w:szCs w:val="20"/>
              </w:rPr>
            </w:pPr>
          </w:p>
        </w:tc>
        <w:tc>
          <w:tcPr>
            <w:tcW w:w="2952" w:type="dxa"/>
            <w:vMerge/>
            <w:vAlign w:val="center"/>
          </w:tcPr>
          <w:p w14:paraId="070F4EBB" w14:textId="77777777" w:rsidR="0041609C" w:rsidRPr="00880B06" w:rsidRDefault="0041609C" w:rsidP="00E67800">
            <w:pPr>
              <w:pStyle w:val="tabletext"/>
              <w:jc w:val="center"/>
              <w:rPr>
                <w:color w:val="FFFFFF" w:themeColor="background1"/>
                <w:sz w:val="18"/>
                <w:szCs w:val="20"/>
              </w:rPr>
            </w:pPr>
          </w:p>
        </w:tc>
        <w:tc>
          <w:tcPr>
            <w:tcW w:w="2090" w:type="dxa"/>
            <w:shd w:val="clear" w:color="auto" w:fill="4A5886"/>
            <w:vAlign w:val="center"/>
          </w:tcPr>
          <w:p w14:paraId="714C145A" w14:textId="77777777" w:rsidR="0041609C" w:rsidRPr="00880B06" w:rsidRDefault="0041609C" w:rsidP="00E67800">
            <w:pPr>
              <w:pStyle w:val="tabletext"/>
              <w:jc w:val="center"/>
              <w:rPr>
                <w:color w:val="FFFFFF" w:themeColor="background1"/>
                <w:sz w:val="18"/>
                <w:szCs w:val="20"/>
              </w:rPr>
            </w:pPr>
            <w:r w:rsidRPr="00880B06">
              <w:rPr>
                <w:color w:val="FFFFFF" w:themeColor="background1"/>
                <w:sz w:val="18"/>
                <w:szCs w:val="20"/>
              </w:rPr>
              <w:t>1% growth</w:t>
            </w:r>
          </w:p>
        </w:tc>
        <w:tc>
          <w:tcPr>
            <w:tcW w:w="2090" w:type="dxa"/>
            <w:shd w:val="clear" w:color="auto" w:fill="4A5886"/>
            <w:vAlign w:val="center"/>
          </w:tcPr>
          <w:p w14:paraId="0EB5B849" w14:textId="77777777" w:rsidR="0041609C" w:rsidRPr="00880B06" w:rsidRDefault="0041609C" w:rsidP="00E67800">
            <w:pPr>
              <w:pStyle w:val="tabletext"/>
              <w:jc w:val="center"/>
              <w:rPr>
                <w:color w:val="FFFFFF" w:themeColor="background1"/>
                <w:sz w:val="18"/>
                <w:szCs w:val="20"/>
              </w:rPr>
            </w:pPr>
            <w:r w:rsidRPr="00880B06">
              <w:rPr>
                <w:color w:val="FFFFFF" w:themeColor="background1"/>
                <w:sz w:val="18"/>
                <w:szCs w:val="20"/>
              </w:rPr>
              <w:t>4% growth</w:t>
            </w:r>
          </w:p>
        </w:tc>
      </w:tr>
      <w:tr w:rsidR="0041609C" w:rsidRPr="00A83EDA" w14:paraId="169AFD87" w14:textId="77777777" w:rsidTr="00441E9C">
        <w:tc>
          <w:tcPr>
            <w:tcW w:w="2689" w:type="dxa"/>
          </w:tcPr>
          <w:p w14:paraId="71EB3E08" w14:textId="77777777" w:rsidR="0041609C" w:rsidRPr="00A83EDA" w:rsidRDefault="0041609C" w:rsidP="00E67800">
            <w:pPr>
              <w:pStyle w:val="tabletext"/>
              <w:rPr>
                <w:sz w:val="18"/>
                <w:szCs w:val="20"/>
              </w:rPr>
            </w:pPr>
            <w:r w:rsidRPr="002C76A2">
              <w:t>FA</w:t>
            </w:r>
          </w:p>
        </w:tc>
        <w:tc>
          <w:tcPr>
            <w:tcW w:w="2952" w:type="dxa"/>
          </w:tcPr>
          <w:p w14:paraId="7258773D" w14:textId="77777777" w:rsidR="0041609C" w:rsidRPr="00A83EDA" w:rsidRDefault="0041609C" w:rsidP="00E67800">
            <w:pPr>
              <w:pStyle w:val="tabletext"/>
              <w:jc w:val="center"/>
              <w:rPr>
                <w:sz w:val="18"/>
                <w:szCs w:val="20"/>
              </w:rPr>
            </w:pPr>
            <w:r w:rsidRPr="00965E09">
              <w:t>1,630</w:t>
            </w:r>
          </w:p>
        </w:tc>
        <w:tc>
          <w:tcPr>
            <w:tcW w:w="2090" w:type="dxa"/>
          </w:tcPr>
          <w:p w14:paraId="46E34B0F" w14:textId="77777777" w:rsidR="0041609C" w:rsidRDefault="0041609C" w:rsidP="00E67800">
            <w:pPr>
              <w:pStyle w:val="tabletext"/>
              <w:jc w:val="center"/>
              <w:rPr>
                <w:sz w:val="18"/>
                <w:szCs w:val="20"/>
              </w:rPr>
            </w:pPr>
            <w:r w:rsidRPr="00965E09">
              <w:t>1,695</w:t>
            </w:r>
          </w:p>
        </w:tc>
        <w:tc>
          <w:tcPr>
            <w:tcW w:w="2090" w:type="dxa"/>
          </w:tcPr>
          <w:p w14:paraId="18C34782" w14:textId="77777777" w:rsidR="0041609C" w:rsidRPr="00A83EDA" w:rsidRDefault="0041609C" w:rsidP="00E67800">
            <w:pPr>
              <w:pStyle w:val="tabletext"/>
              <w:jc w:val="center"/>
              <w:rPr>
                <w:sz w:val="18"/>
                <w:szCs w:val="20"/>
              </w:rPr>
            </w:pPr>
            <w:r w:rsidRPr="00965E09">
              <w:t>1,891</w:t>
            </w:r>
          </w:p>
        </w:tc>
      </w:tr>
      <w:tr w:rsidR="0041609C" w:rsidRPr="00A83EDA" w14:paraId="5E477664" w14:textId="77777777" w:rsidTr="00441E9C">
        <w:tc>
          <w:tcPr>
            <w:tcW w:w="2689" w:type="dxa"/>
          </w:tcPr>
          <w:p w14:paraId="52FCD977" w14:textId="77777777" w:rsidR="0041609C" w:rsidRPr="00A83EDA" w:rsidRDefault="0041609C" w:rsidP="00E67800">
            <w:pPr>
              <w:pStyle w:val="tabletext"/>
              <w:rPr>
                <w:sz w:val="18"/>
                <w:szCs w:val="20"/>
              </w:rPr>
            </w:pPr>
            <w:proofErr w:type="spellStart"/>
            <w:r w:rsidRPr="002C76A2">
              <w:t>Paeds</w:t>
            </w:r>
            <w:proofErr w:type="spellEnd"/>
          </w:p>
        </w:tc>
        <w:tc>
          <w:tcPr>
            <w:tcW w:w="2952" w:type="dxa"/>
          </w:tcPr>
          <w:p w14:paraId="72ECA4DF" w14:textId="77777777" w:rsidR="0041609C" w:rsidRPr="00A83EDA" w:rsidRDefault="0041609C" w:rsidP="00E67800">
            <w:pPr>
              <w:pStyle w:val="tabletext"/>
              <w:jc w:val="center"/>
              <w:rPr>
                <w:sz w:val="18"/>
                <w:szCs w:val="20"/>
              </w:rPr>
            </w:pPr>
            <w:r w:rsidRPr="00965E09">
              <w:t>358</w:t>
            </w:r>
          </w:p>
        </w:tc>
        <w:tc>
          <w:tcPr>
            <w:tcW w:w="2090" w:type="dxa"/>
          </w:tcPr>
          <w:p w14:paraId="7B7DF2B3" w14:textId="77777777" w:rsidR="0041609C" w:rsidRDefault="0041609C" w:rsidP="00E67800">
            <w:pPr>
              <w:pStyle w:val="tabletext"/>
              <w:jc w:val="center"/>
              <w:rPr>
                <w:sz w:val="18"/>
                <w:szCs w:val="20"/>
              </w:rPr>
            </w:pPr>
            <w:r w:rsidRPr="00965E09">
              <w:t>372</w:t>
            </w:r>
          </w:p>
        </w:tc>
        <w:tc>
          <w:tcPr>
            <w:tcW w:w="2090" w:type="dxa"/>
          </w:tcPr>
          <w:p w14:paraId="29D4A840" w14:textId="77777777" w:rsidR="0041609C" w:rsidRPr="00A83EDA" w:rsidRDefault="0041609C" w:rsidP="00E67800">
            <w:pPr>
              <w:pStyle w:val="tabletext"/>
              <w:jc w:val="center"/>
              <w:rPr>
                <w:sz w:val="18"/>
                <w:szCs w:val="20"/>
              </w:rPr>
            </w:pPr>
            <w:r w:rsidRPr="00965E09">
              <w:t>415</w:t>
            </w:r>
          </w:p>
        </w:tc>
      </w:tr>
      <w:tr w:rsidR="0041609C" w:rsidRPr="00A83EDA" w14:paraId="447E4613" w14:textId="77777777" w:rsidTr="00441E9C">
        <w:tc>
          <w:tcPr>
            <w:tcW w:w="2689" w:type="dxa"/>
          </w:tcPr>
          <w:p w14:paraId="7695BDAE" w14:textId="77777777" w:rsidR="0041609C" w:rsidRPr="00A83EDA" w:rsidRDefault="0041609C" w:rsidP="00E67800">
            <w:pPr>
              <w:pStyle w:val="tabletext"/>
              <w:rPr>
                <w:sz w:val="18"/>
                <w:szCs w:val="20"/>
              </w:rPr>
            </w:pPr>
            <w:r w:rsidRPr="002C76A2">
              <w:t>Upper Limb</w:t>
            </w:r>
          </w:p>
        </w:tc>
        <w:tc>
          <w:tcPr>
            <w:tcW w:w="2952" w:type="dxa"/>
          </w:tcPr>
          <w:p w14:paraId="06FAF48F" w14:textId="77777777" w:rsidR="0041609C" w:rsidRPr="00A83EDA" w:rsidRDefault="0041609C" w:rsidP="00E67800">
            <w:pPr>
              <w:pStyle w:val="tabletext"/>
              <w:jc w:val="center"/>
              <w:rPr>
                <w:sz w:val="18"/>
                <w:szCs w:val="20"/>
              </w:rPr>
            </w:pPr>
            <w:r w:rsidRPr="00965E09">
              <w:t>1,500</w:t>
            </w:r>
          </w:p>
        </w:tc>
        <w:tc>
          <w:tcPr>
            <w:tcW w:w="2090" w:type="dxa"/>
          </w:tcPr>
          <w:p w14:paraId="6484D622" w14:textId="77777777" w:rsidR="0041609C" w:rsidRDefault="0041609C" w:rsidP="00E67800">
            <w:pPr>
              <w:pStyle w:val="tabletext"/>
              <w:jc w:val="center"/>
              <w:rPr>
                <w:sz w:val="18"/>
                <w:szCs w:val="20"/>
              </w:rPr>
            </w:pPr>
            <w:r w:rsidRPr="00965E09">
              <w:t>1,560</w:t>
            </w:r>
          </w:p>
        </w:tc>
        <w:tc>
          <w:tcPr>
            <w:tcW w:w="2090" w:type="dxa"/>
          </w:tcPr>
          <w:p w14:paraId="5717BB6E" w14:textId="77777777" w:rsidR="0041609C" w:rsidRPr="00A83EDA" w:rsidRDefault="0041609C" w:rsidP="00E67800">
            <w:pPr>
              <w:pStyle w:val="tabletext"/>
              <w:jc w:val="center"/>
              <w:rPr>
                <w:sz w:val="18"/>
                <w:szCs w:val="20"/>
              </w:rPr>
            </w:pPr>
            <w:r w:rsidRPr="00965E09">
              <w:t>1,740</w:t>
            </w:r>
          </w:p>
        </w:tc>
      </w:tr>
      <w:tr w:rsidR="0041609C" w:rsidRPr="00A83EDA" w14:paraId="72049394" w14:textId="77777777" w:rsidTr="00441E9C">
        <w:tc>
          <w:tcPr>
            <w:tcW w:w="2689" w:type="dxa"/>
          </w:tcPr>
          <w:p w14:paraId="3B531BF2" w14:textId="77777777" w:rsidR="0041609C" w:rsidRPr="00A83EDA" w:rsidRDefault="0041609C" w:rsidP="00E67800">
            <w:pPr>
              <w:pStyle w:val="tabletext"/>
              <w:rPr>
                <w:sz w:val="18"/>
                <w:szCs w:val="20"/>
              </w:rPr>
            </w:pPr>
            <w:r w:rsidRPr="002C76A2">
              <w:t>Hands</w:t>
            </w:r>
          </w:p>
        </w:tc>
        <w:tc>
          <w:tcPr>
            <w:tcW w:w="2952" w:type="dxa"/>
          </w:tcPr>
          <w:p w14:paraId="1FEB8412" w14:textId="77777777" w:rsidR="0041609C" w:rsidRPr="00A83EDA" w:rsidRDefault="0041609C" w:rsidP="00E67800">
            <w:pPr>
              <w:pStyle w:val="tabletext"/>
              <w:jc w:val="center"/>
              <w:rPr>
                <w:sz w:val="18"/>
                <w:szCs w:val="20"/>
              </w:rPr>
            </w:pPr>
            <w:r w:rsidRPr="00965E09">
              <w:t>2,870</w:t>
            </w:r>
          </w:p>
        </w:tc>
        <w:tc>
          <w:tcPr>
            <w:tcW w:w="2090" w:type="dxa"/>
          </w:tcPr>
          <w:p w14:paraId="29367CC9" w14:textId="77777777" w:rsidR="0041609C" w:rsidRDefault="0041609C" w:rsidP="00E67800">
            <w:pPr>
              <w:pStyle w:val="tabletext"/>
              <w:jc w:val="center"/>
              <w:rPr>
                <w:sz w:val="18"/>
                <w:szCs w:val="20"/>
              </w:rPr>
            </w:pPr>
            <w:r w:rsidRPr="00965E09">
              <w:t>2,985</w:t>
            </w:r>
          </w:p>
        </w:tc>
        <w:tc>
          <w:tcPr>
            <w:tcW w:w="2090" w:type="dxa"/>
          </w:tcPr>
          <w:p w14:paraId="2A5DF81F" w14:textId="77777777" w:rsidR="0041609C" w:rsidRPr="00A83EDA" w:rsidRDefault="0041609C" w:rsidP="00E67800">
            <w:pPr>
              <w:pStyle w:val="tabletext"/>
              <w:jc w:val="center"/>
              <w:rPr>
                <w:sz w:val="18"/>
                <w:szCs w:val="20"/>
              </w:rPr>
            </w:pPr>
            <w:r w:rsidRPr="00965E09">
              <w:t>3.329</w:t>
            </w:r>
          </w:p>
        </w:tc>
      </w:tr>
      <w:tr w:rsidR="0041609C" w:rsidRPr="00A83EDA" w14:paraId="327C4B6F" w14:textId="77777777" w:rsidTr="00441E9C">
        <w:tc>
          <w:tcPr>
            <w:tcW w:w="2689" w:type="dxa"/>
          </w:tcPr>
          <w:p w14:paraId="349E7832" w14:textId="77777777" w:rsidR="0041609C" w:rsidRPr="00A83EDA" w:rsidRDefault="0041609C" w:rsidP="00E67800">
            <w:pPr>
              <w:pStyle w:val="tabletext"/>
              <w:rPr>
                <w:sz w:val="18"/>
                <w:szCs w:val="20"/>
              </w:rPr>
            </w:pPr>
            <w:r w:rsidRPr="002C76A2">
              <w:t>Lower Limb</w:t>
            </w:r>
          </w:p>
        </w:tc>
        <w:tc>
          <w:tcPr>
            <w:tcW w:w="2952" w:type="dxa"/>
          </w:tcPr>
          <w:p w14:paraId="50C4F7AD" w14:textId="77777777" w:rsidR="0041609C" w:rsidRPr="00A83EDA" w:rsidRDefault="0041609C" w:rsidP="00E67800">
            <w:pPr>
              <w:pStyle w:val="tabletext"/>
              <w:jc w:val="center"/>
              <w:rPr>
                <w:sz w:val="18"/>
                <w:szCs w:val="20"/>
              </w:rPr>
            </w:pPr>
            <w:r w:rsidRPr="00965E09">
              <w:t>4,895</w:t>
            </w:r>
          </w:p>
        </w:tc>
        <w:tc>
          <w:tcPr>
            <w:tcW w:w="2090" w:type="dxa"/>
          </w:tcPr>
          <w:p w14:paraId="2F5E79E5" w14:textId="77777777" w:rsidR="0041609C" w:rsidRDefault="0041609C" w:rsidP="00E67800">
            <w:pPr>
              <w:pStyle w:val="tabletext"/>
              <w:jc w:val="center"/>
              <w:rPr>
                <w:sz w:val="18"/>
                <w:szCs w:val="20"/>
              </w:rPr>
            </w:pPr>
            <w:r w:rsidRPr="00965E09">
              <w:t>5,091</w:t>
            </w:r>
          </w:p>
        </w:tc>
        <w:tc>
          <w:tcPr>
            <w:tcW w:w="2090" w:type="dxa"/>
          </w:tcPr>
          <w:p w14:paraId="56771C0F" w14:textId="77777777" w:rsidR="0041609C" w:rsidRPr="00A83EDA" w:rsidRDefault="0041609C" w:rsidP="00E67800">
            <w:pPr>
              <w:pStyle w:val="tabletext"/>
              <w:jc w:val="center"/>
              <w:rPr>
                <w:sz w:val="18"/>
                <w:szCs w:val="20"/>
              </w:rPr>
            </w:pPr>
            <w:r w:rsidRPr="00965E09">
              <w:t>5,678</w:t>
            </w:r>
          </w:p>
        </w:tc>
      </w:tr>
      <w:tr w:rsidR="0041609C" w:rsidRPr="00A83EDA" w14:paraId="63274354" w14:textId="77777777" w:rsidTr="00441E9C">
        <w:tc>
          <w:tcPr>
            <w:tcW w:w="2689" w:type="dxa"/>
          </w:tcPr>
          <w:p w14:paraId="6566AEF3" w14:textId="77777777" w:rsidR="0041609C" w:rsidRPr="00A83EDA" w:rsidRDefault="0041609C" w:rsidP="00E67800">
            <w:pPr>
              <w:pStyle w:val="tabletext"/>
              <w:rPr>
                <w:sz w:val="18"/>
                <w:szCs w:val="20"/>
              </w:rPr>
            </w:pPr>
            <w:r w:rsidRPr="002C76A2">
              <w:t>Spine</w:t>
            </w:r>
          </w:p>
        </w:tc>
        <w:tc>
          <w:tcPr>
            <w:tcW w:w="2952" w:type="dxa"/>
          </w:tcPr>
          <w:p w14:paraId="7057E0D7" w14:textId="77777777" w:rsidR="0041609C" w:rsidRPr="00A83EDA" w:rsidRDefault="0041609C" w:rsidP="00E67800">
            <w:pPr>
              <w:pStyle w:val="tabletext"/>
              <w:jc w:val="center"/>
              <w:rPr>
                <w:sz w:val="18"/>
                <w:szCs w:val="20"/>
              </w:rPr>
            </w:pPr>
            <w:r w:rsidRPr="00965E09">
              <w:t>1,476</w:t>
            </w:r>
          </w:p>
        </w:tc>
        <w:tc>
          <w:tcPr>
            <w:tcW w:w="2090" w:type="dxa"/>
          </w:tcPr>
          <w:p w14:paraId="76597922" w14:textId="77777777" w:rsidR="0041609C" w:rsidRDefault="0041609C" w:rsidP="00E67800">
            <w:pPr>
              <w:pStyle w:val="tabletext"/>
              <w:jc w:val="center"/>
              <w:rPr>
                <w:sz w:val="18"/>
                <w:szCs w:val="20"/>
              </w:rPr>
            </w:pPr>
            <w:r w:rsidRPr="00965E09">
              <w:t>1,535</w:t>
            </w:r>
          </w:p>
        </w:tc>
        <w:tc>
          <w:tcPr>
            <w:tcW w:w="2090" w:type="dxa"/>
          </w:tcPr>
          <w:p w14:paraId="6189163E" w14:textId="77777777" w:rsidR="0041609C" w:rsidRPr="00A83EDA" w:rsidRDefault="0041609C" w:rsidP="00E67800">
            <w:pPr>
              <w:pStyle w:val="tabletext"/>
              <w:jc w:val="center"/>
              <w:rPr>
                <w:sz w:val="18"/>
                <w:szCs w:val="20"/>
              </w:rPr>
            </w:pPr>
            <w:r w:rsidRPr="00965E09">
              <w:t>1,712</w:t>
            </w:r>
          </w:p>
        </w:tc>
      </w:tr>
      <w:tr w:rsidR="0041609C" w:rsidRPr="00A83EDA" w14:paraId="2C0C12DD" w14:textId="77777777" w:rsidTr="00441E9C">
        <w:tc>
          <w:tcPr>
            <w:tcW w:w="2689" w:type="dxa"/>
          </w:tcPr>
          <w:p w14:paraId="744EE28D" w14:textId="77777777" w:rsidR="0041609C" w:rsidRPr="00A83EDA" w:rsidRDefault="0041609C" w:rsidP="00E67800">
            <w:pPr>
              <w:pStyle w:val="tabletext"/>
              <w:rPr>
                <w:sz w:val="18"/>
                <w:szCs w:val="20"/>
              </w:rPr>
            </w:pPr>
            <w:r w:rsidRPr="002C76A2">
              <w:t>Other</w:t>
            </w:r>
          </w:p>
        </w:tc>
        <w:tc>
          <w:tcPr>
            <w:tcW w:w="2952" w:type="dxa"/>
          </w:tcPr>
          <w:p w14:paraId="3C1279D4" w14:textId="77777777" w:rsidR="0041609C" w:rsidRPr="00A83EDA" w:rsidRDefault="0041609C" w:rsidP="00E67800">
            <w:pPr>
              <w:pStyle w:val="tabletext"/>
              <w:jc w:val="center"/>
              <w:rPr>
                <w:sz w:val="18"/>
                <w:szCs w:val="20"/>
              </w:rPr>
            </w:pPr>
            <w:r w:rsidRPr="00965E09">
              <w:t>274</w:t>
            </w:r>
          </w:p>
        </w:tc>
        <w:tc>
          <w:tcPr>
            <w:tcW w:w="2090" w:type="dxa"/>
          </w:tcPr>
          <w:p w14:paraId="2BD8877E" w14:textId="77777777" w:rsidR="0041609C" w:rsidRDefault="0041609C" w:rsidP="00E67800">
            <w:pPr>
              <w:pStyle w:val="tabletext"/>
              <w:jc w:val="center"/>
              <w:rPr>
                <w:sz w:val="18"/>
                <w:szCs w:val="20"/>
              </w:rPr>
            </w:pPr>
            <w:r w:rsidRPr="00965E09">
              <w:t>285</w:t>
            </w:r>
          </w:p>
        </w:tc>
        <w:tc>
          <w:tcPr>
            <w:tcW w:w="2090" w:type="dxa"/>
          </w:tcPr>
          <w:p w14:paraId="2CD2BF92" w14:textId="77777777" w:rsidR="0041609C" w:rsidRPr="00A83EDA" w:rsidRDefault="0041609C" w:rsidP="00E67800">
            <w:pPr>
              <w:pStyle w:val="tabletext"/>
              <w:jc w:val="center"/>
              <w:rPr>
                <w:sz w:val="18"/>
                <w:szCs w:val="20"/>
              </w:rPr>
            </w:pPr>
            <w:r w:rsidRPr="00965E09">
              <w:t>318</w:t>
            </w:r>
          </w:p>
        </w:tc>
      </w:tr>
      <w:tr w:rsidR="0041609C" w:rsidRPr="00880B06" w14:paraId="6E06DCAF" w14:textId="77777777" w:rsidTr="00441E9C">
        <w:tc>
          <w:tcPr>
            <w:tcW w:w="2689" w:type="dxa"/>
            <w:shd w:val="clear" w:color="auto" w:fill="D1D6E5" w:themeFill="text2" w:themeFillTint="33"/>
          </w:tcPr>
          <w:p w14:paraId="663C856B" w14:textId="77777777" w:rsidR="0041609C" w:rsidRPr="00880B06" w:rsidRDefault="0041609C" w:rsidP="00E67800">
            <w:pPr>
              <w:pStyle w:val="tabletext"/>
              <w:rPr>
                <w:b/>
                <w:bCs/>
                <w:sz w:val="18"/>
                <w:szCs w:val="20"/>
              </w:rPr>
            </w:pPr>
            <w:r w:rsidRPr="00880B06">
              <w:rPr>
                <w:b/>
                <w:bCs/>
              </w:rPr>
              <w:t>Total</w:t>
            </w:r>
          </w:p>
        </w:tc>
        <w:tc>
          <w:tcPr>
            <w:tcW w:w="2952" w:type="dxa"/>
            <w:shd w:val="clear" w:color="auto" w:fill="D1D6E5" w:themeFill="text2" w:themeFillTint="33"/>
          </w:tcPr>
          <w:p w14:paraId="67BA6F0E" w14:textId="77777777" w:rsidR="0041609C" w:rsidRPr="00880B06" w:rsidRDefault="0041609C" w:rsidP="00E67800">
            <w:pPr>
              <w:pStyle w:val="tabletext"/>
              <w:jc w:val="center"/>
              <w:rPr>
                <w:b/>
                <w:bCs/>
                <w:sz w:val="18"/>
                <w:szCs w:val="20"/>
              </w:rPr>
            </w:pPr>
            <w:r w:rsidRPr="00880B06">
              <w:rPr>
                <w:b/>
                <w:bCs/>
              </w:rPr>
              <w:t>13,003</w:t>
            </w:r>
          </w:p>
        </w:tc>
        <w:tc>
          <w:tcPr>
            <w:tcW w:w="2090" w:type="dxa"/>
            <w:shd w:val="clear" w:color="auto" w:fill="D1D6E5" w:themeFill="text2" w:themeFillTint="33"/>
          </w:tcPr>
          <w:p w14:paraId="76436C96" w14:textId="77777777" w:rsidR="0041609C" w:rsidRPr="00880B06" w:rsidRDefault="0041609C" w:rsidP="00E67800">
            <w:pPr>
              <w:pStyle w:val="tabletext"/>
              <w:jc w:val="center"/>
              <w:rPr>
                <w:b/>
                <w:bCs/>
                <w:sz w:val="18"/>
                <w:szCs w:val="20"/>
              </w:rPr>
            </w:pPr>
            <w:r w:rsidRPr="00880B06">
              <w:rPr>
                <w:b/>
                <w:bCs/>
              </w:rPr>
              <w:t>13,523</w:t>
            </w:r>
          </w:p>
        </w:tc>
        <w:tc>
          <w:tcPr>
            <w:tcW w:w="2090" w:type="dxa"/>
            <w:shd w:val="clear" w:color="auto" w:fill="D1D6E5" w:themeFill="text2" w:themeFillTint="33"/>
          </w:tcPr>
          <w:p w14:paraId="13A9A40A" w14:textId="77777777" w:rsidR="0041609C" w:rsidRPr="00880B06" w:rsidRDefault="0041609C" w:rsidP="00E67800">
            <w:pPr>
              <w:pStyle w:val="tabletext"/>
              <w:jc w:val="center"/>
              <w:rPr>
                <w:b/>
                <w:bCs/>
                <w:sz w:val="18"/>
                <w:szCs w:val="20"/>
              </w:rPr>
            </w:pPr>
            <w:r w:rsidRPr="00880B06">
              <w:rPr>
                <w:b/>
                <w:bCs/>
              </w:rPr>
              <w:t>15,083</w:t>
            </w:r>
          </w:p>
        </w:tc>
      </w:tr>
      <w:tr w:rsidR="0041609C" w:rsidRPr="00A83EDA" w14:paraId="53B5A31E" w14:textId="77777777" w:rsidTr="00441E9C">
        <w:tc>
          <w:tcPr>
            <w:tcW w:w="2689" w:type="dxa"/>
            <w:shd w:val="clear" w:color="auto" w:fill="F4CDE3" w:themeFill="accent5" w:themeFillTint="33"/>
          </w:tcPr>
          <w:p w14:paraId="184D299A" w14:textId="77777777" w:rsidR="0041609C" w:rsidRPr="00A83EDA" w:rsidRDefault="0041609C" w:rsidP="00E67800">
            <w:pPr>
              <w:pStyle w:val="tabletext"/>
              <w:rPr>
                <w:sz w:val="18"/>
                <w:szCs w:val="20"/>
              </w:rPr>
            </w:pPr>
            <w:r w:rsidRPr="002C76A2">
              <w:t>Arthroplasty</w:t>
            </w:r>
          </w:p>
        </w:tc>
        <w:tc>
          <w:tcPr>
            <w:tcW w:w="2952" w:type="dxa"/>
            <w:shd w:val="clear" w:color="auto" w:fill="F4CDE3" w:themeFill="accent5" w:themeFillTint="33"/>
          </w:tcPr>
          <w:p w14:paraId="1E86BF64" w14:textId="77777777" w:rsidR="0041609C" w:rsidRPr="00A83EDA" w:rsidRDefault="0041609C" w:rsidP="00E67800">
            <w:pPr>
              <w:pStyle w:val="tabletext"/>
              <w:jc w:val="center"/>
              <w:rPr>
                <w:sz w:val="18"/>
                <w:szCs w:val="20"/>
              </w:rPr>
            </w:pPr>
            <w:r w:rsidRPr="00965E09">
              <w:rPr>
                <w:i/>
                <w:iCs/>
              </w:rPr>
              <w:t>3,578</w:t>
            </w:r>
          </w:p>
        </w:tc>
        <w:tc>
          <w:tcPr>
            <w:tcW w:w="2090" w:type="dxa"/>
            <w:shd w:val="clear" w:color="auto" w:fill="F4CDE3" w:themeFill="accent5" w:themeFillTint="33"/>
          </w:tcPr>
          <w:p w14:paraId="32691534" w14:textId="77777777" w:rsidR="0041609C" w:rsidRDefault="0041609C" w:rsidP="00E67800">
            <w:pPr>
              <w:pStyle w:val="tabletext"/>
              <w:jc w:val="center"/>
              <w:rPr>
                <w:sz w:val="18"/>
                <w:szCs w:val="20"/>
              </w:rPr>
            </w:pPr>
            <w:r w:rsidRPr="00965E09">
              <w:rPr>
                <w:i/>
                <w:iCs/>
              </w:rPr>
              <w:t>3,721</w:t>
            </w:r>
          </w:p>
        </w:tc>
        <w:tc>
          <w:tcPr>
            <w:tcW w:w="2090" w:type="dxa"/>
            <w:shd w:val="clear" w:color="auto" w:fill="F4CDE3" w:themeFill="accent5" w:themeFillTint="33"/>
          </w:tcPr>
          <w:p w14:paraId="045F3660" w14:textId="77777777" w:rsidR="0041609C" w:rsidRPr="00A83EDA" w:rsidRDefault="0041609C" w:rsidP="00E67800">
            <w:pPr>
              <w:pStyle w:val="tabletext"/>
              <w:jc w:val="center"/>
              <w:rPr>
                <w:sz w:val="18"/>
                <w:szCs w:val="20"/>
              </w:rPr>
            </w:pPr>
            <w:r w:rsidRPr="00965E09">
              <w:rPr>
                <w:i/>
                <w:iCs/>
              </w:rPr>
              <w:t>4,150</w:t>
            </w:r>
          </w:p>
        </w:tc>
      </w:tr>
    </w:tbl>
    <w:p w14:paraId="41B01A1A" w14:textId="77777777" w:rsidR="0041609C" w:rsidRDefault="0041609C" w:rsidP="00B74DF7"/>
    <w:p w14:paraId="6CBF8067" w14:textId="2B6488FB" w:rsidR="00C66C00" w:rsidRDefault="0041609C" w:rsidP="00B74DF7">
      <w:r>
        <w:t xml:space="preserve">The recurrent demand levels for lower limb surgery (which is predominantly arthroplasty related) is significantly larger than all other orthopaedic specialities in the region and this demand is set to grow in the next 3 years until 2028/29 when LHP is programmed to open.  </w:t>
      </w:r>
    </w:p>
    <w:p w14:paraId="4AE7C057" w14:textId="6BC9CE44" w:rsidR="00962A05" w:rsidRDefault="00962A05" w:rsidP="00B74DF7">
      <w:r>
        <w:lastRenderedPageBreak/>
        <w:t xml:space="preserve">The problems </w:t>
      </w:r>
      <w:proofErr w:type="gramStart"/>
      <w:r>
        <w:t>becomes</w:t>
      </w:r>
      <w:proofErr w:type="gramEnd"/>
      <w:r>
        <w:t xml:space="preserve"> even more apparent when factoring in capacity against these demand levels as shown below</w:t>
      </w:r>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1092"/>
        <w:gridCol w:w="1091"/>
        <w:gridCol w:w="1092"/>
        <w:gridCol w:w="1091"/>
        <w:gridCol w:w="1091"/>
        <w:gridCol w:w="1091"/>
        <w:gridCol w:w="1091"/>
        <w:gridCol w:w="1091"/>
        <w:gridCol w:w="1091"/>
      </w:tblGrid>
      <w:tr w:rsidR="00962A05" w:rsidRPr="00D20A90" w14:paraId="1C7DBE75" w14:textId="77777777" w:rsidTr="00E67800">
        <w:tc>
          <w:tcPr>
            <w:tcW w:w="1061" w:type="dxa"/>
            <w:vMerge w:val="restart"/>
            <w:shd w:val="clear" w:color="auto" w:fill="374264"/>
            <w:vAlign w:val="center"/>
          </w:tcPr>
          <w:p w14:paraId="330E51FF" w14:textId="77777777" w:rsidR="00962A05" w:rsidRPr="001D55FE" w:rsidRDefault="00962A05" w:rsidP="00E67800">
            <w:pPr>
              <w:pStyle w:val="tabletext"/>
              <w:jc w:val="center"/>
              <w:rPr>
                <w:b/>
                <w:bCs/>
                <w:color w:val="FFFFFF" w:themeColor="background1"/>
                <w:sz w:val="16"/>
                <w:szCs w:val="16"/>
              </w:rPr>
            </w:pPr>
            <w:r w:rsidRPr="001D55FE">
              <w:rPr>
                <w:b/>
                <w:bCs/>
                <w:color w:val="FFFFFF" w:themeColor="background1"/>
                <w:sz w:val="16"/>
                <w:szCs w:val="16"/>
              </w:rPr>
              <w:t xml:space="preserve">Type </w:t>
            </w:r>
          </w:p>
        </w:tc>
        <w:tc>
          <w:tcPr>
            <w:tcW w:w="3182" w:type="dxa"/>
            <w:gridSpan w:val="3"/>
            <w:shd w:val="clear" w:color="auto" w:fill="374264"/>
            <w:vAlign w:val="center"/>
          </w:tcPr>
          <w:p w14:paraId="476C74B6" w14:textId="77777777" w:rsidR="00962A05" w:rsidRPr="001D55FE" w:rsidRDefault="00962A05" w:rsidP="00E67800">
            <w:pPr>
              <w:pStyle w:val="tabletext"/>
              <w:jc w:val="center"/>
              <w:rPr>
                <w:b/>
                <w:bCs/>
                <w:color w:val="FFFFFF" w:themeColor="background1"/>
                <w:sz w:val="16"/>
                <w:szCs w:val="16"/>
              </w:rPr>
            </w:pPr>
            <w:r w:rsidRPr="001D55FE">
              <w:rPr>
                <w:b/>
                <w:bCs/>
                <w:color w:val="FFFFFF" w:themeColor="background1"/>
                <w:sz w:val="16"/>
                <w:szCs w:val="16"/>
              </w:rPr>
              <w:t>Current gap / surplus (2025/26)</w:t>
            </w:r>
          </w:p>
        </w:tc>
        <w:tc>
          <w:tcPr>
            <w:tcW w:w="5305" w:type="dxa"/>
            <w:gridSpan w:val="5"/>
            <w:shd w:val="clear" w:color="auto" w:fill="571239" w:themeFill="accent5" w:themeFillShade="80"/>
            <w:vAlign w:val="center"/>
          </w:tcPr>
          <w:p w14:paraId="26C63220" w14:textId="77777777" w:rsidR="00962A05" w:rsidRPr="001D55FE" w:rsidRDefault="00962A05" w:rsidP="00E67800">
            <w:pPr>
              <w:pStyle w:val="tabletext"/>
              <w:jc w:val="center"/>
              <w:rPr>
                <w:b/>
                <w:bCs/>
                <w:color w:val="FFFFFF" w:themeColor="background1"/>
                <w:sz w:val="16"/>
                <w:szCs w:val="16"/>
              </w:rPr>
            </w:pPr>
            <w:r w:rsidRPr="001D55FE">
              <w:rPr>
                <w:b/>
                <w:bCs/>
                <w:color w:val="FFFFFF" w:themeColor="background1"/>
                <w:sz w:val="16"/>
                <w:szCs w:val="16"/>
              </w:rPr>
              <w:t>Projected 2028/29 -position</w:t>
            </w:r>
          </w:p>
        </w:tc>
      </w:tr>
      <w:tr w:rsidR="00962A05" w:rsidRPr="00D20A90" w14:paraId="75D6B986" w14:textId="77777777" w:rsidTr="00E67800">
        <w:tc>
          <w:tcPr>
            <w:tcW w:w="1061" w:type="dxa"/>
            <w:vMerge/>
          </w:tcPr>
          <w:p w14:paraId="1F005743" w14:textId="77777777" w:rsidR="00962A05" w:rsidRPr="001D55FE" w:rsidRDefault="00962A05" w:rsidP="00E67800">
            <w:pPr>
              <w:pStyle w:val="tabletext"/>
              <w:rPr>
                <w:color w:val="FFFFFF" w:themeColor="background1"/>
                <w:sz w:val="16"/>
                <w:szCs w:val="16"/>
              </w:rPr>
            </w:pPr>
          </w:p>
        </w:tc>
        <w:tc>
          <w:tcPr>
            <w:tcW w:w="1060" w:type="dxa"/>
            <w:vMerge w:val="restart"/>
            <w:shd w:val="clear" w:color="auto" w:fill="4A5886"/>
            <w:vAlign w:val="center"/>
          </w:tcPr>
          <w:p w14:paraId="6B206720" w14:textId="77777777" w:rsidR="00962A05" w:rsidRPr="001D55FE" w:rsidRDefault="00962A05" w:rsidP="00E67800">
            <w:pPr>
              <w:pStyle w:val="tabletext"/>
              <w:jc w:val="center"/>
              <w:rPr>
                <w:color w:val="FFFFFF" w:themeColor="background1"/>
                <w:sz w:val="16"/>
                <w:szCs w:val="16"/>
              </w:rPr>
            </w:pPr>
            <w:r w:rsidRPr="001D55FE">
              <w:rPr>
                <w:color w:val="FFFFFF" w:themeColor="background1"/>
                <w:sz w:val="16"/>
                <w:szCs w:val="16"/>
              </w:rPr>
              <w:t>New OP</w:t>
            </w:r>
          </w:p>
        </w:tc>
        <w:tc>
          <w:tcPr>
            <w:tcW w:w="1061" w:type="dxa"/>
            <w:vMerge w:val="restart"/>
            <w:shd w:val="clear" w:color="auto" w:fill="4A5886"/>
            <w:vAlign w:val="center"/>
          </w:tcPr>
          <w:p w14:paraId="552122E5" w14:textId="77777777" w:rsidR="00962A05" w:rsidRPr="001D55FE" w:rsidRDefault="00962A05" w:rsidP="00E67800">
            <w:pPr>
              <w:pStyle w:val="tabletext"/>
              <w:jc w:val="center"/>
              <w:rPr>
                <w:color w:val="FFFFFF" w:themeColor="background1"/>
                <w:sz w:val="16"/>
                <w:szCs w:val="16"/>
              </w:rPr>
            </w:pPr>
            <w:r w:rsidRPr="001D55FE">
              <w:rPr>
                <w:color w:val="FFFFFF" w:themeColor="background1"/>
                <w:sz w:val="16"/>
                <w:szCs w:val="16"/>
              </w:rPr>
              <w:t>Treatment</w:t>
            </w:r>
          </w:p>
        </w:tc>
        <w:tc>
          <w:tcPr>
            <w:tcW w:w="1061" w:type="dxa"/>
            <w:vMerge w:val="restart"/>
            <w:shd w:val="clear" w:color="auto" w:fill="4A5886"/>
            <w:vAlign w:val="center"/>
          </w:tcPr>
          <w:p w14:paraId="73449729" w14:textId="77777777" w:rsidR="00962A05" w:rsidRPr="001D55FE" w:rsidRDefault="00962A05" w:rsidP="00E67800">
            <w:pPr>
              <w:pStyle w:val="tabletext"/>
              <w:jc w:val="center"/>
              <w:rPr>
                <w:color w:val="FFFFFF" w:themeColor="background1"/>
                <w:sz w:val="16"/>
                <w:szCs w:val="16"/>
              </w:rPr>
            </w:pPr>
            <w:r w:rsidRPr="001D55FE">
              <w:rPr>
                <w:color w:val="FFFFFF" w:themeColor="background1"/>
                <w:sz w:val="16"/>
                <w:szCs w:val="16"/>
              </w:rPr>
              <w:t xml:space="preserve">Tx w new OP conversion (40% </w:t>
            </w:r>
            <w:proofErr w:type="spellStart"/>
            <w:r w:rsidRPr="001D55FE">
              <w:rPr>
                <w:color w:val="FFFFFF" w:themeColor="background1"/>
                <w:sz w:val="16"/>
                <w:szCs w:val="16"/>
              </w:rPr>
              <w:t>assm</w:t>
            </w:r>
            <w:proofErr w:type="spellEnd"/>
            <w:r w:rsidRPr="001D55FE">
              <w:rPr>
                <w:color w:val="FFFFFF" w:themeColor="background1"/>
                <w:sz w:val="16"/>
                <w:szCs w:val="16"/>
              </w:rPr>
              <w:t>)</w:t>
            </w:r>
          </w:p>
        </w:tc>
        <w:tc>
          <w:tcPr>
            <w:tcW w:w="2122" w:type="dxa"/>
            <w:gridSpan w:val="2"/>
            <w:shd w:val="clear" w:color="auto" w:fill="571239" w:themeFill="accent5" w:themeFillShade="80"/>
            <w:vAlign w:val="center"/>
          </w:tcPr>
          <w:p w14:paraId="2967F648" w14:textId="77777777" w:rsidR="00962A05" w:rsidRPr="001D55FE" w:rsidRDefault="00962A05" w:rsidP="00E67800">
            <w:pPr>
              <w:pStyle w:val="tabletext"/>
              <w:jc w:val="center"/>
              <w:rPr>
                <w:b/>
                <w:bCs/>
                <w:color w:val="FFFFFF" w:themeColor="background1"/>
                <w:sz w:val="16"/>
                <w:szCs w:val="16"/>
              </w:rPr>
            </w:pPr>
            <w:r w:rsidRPr="001D55FE">
              <w:rPr>
                <w:b/>
                <w:bCs/>
                <w:color w:val="FFFFFF" w:themeColor="background1"/>
                <w:sz w:val="16"/>
                <w:szCs w:val="16"/>
              </w:rPr>
              <w:t>Treatment / surplus gap if</w:t>
            </w:r>
          </w:p>
        </w:tc>
        <w:tc>
          <w:tcPr>
            <w:tcW w:w="1061" w:type="dxa"/>
            <w:vMerge w:val="restart"/>
            <w:shd w:val="clear" w:color="auto" w:fill="571239" w:themeFill="accent5" w:themeFillShade="80"/>
            <w:vAlign w:val="center"/>
          </w:tcPr>
          <w:p w14:paraId="146001B3" w14:textId="77777777" w:rsidR="00962A05" w:rsidRPr="001D55FE" w:rsidRDefault="00962A05" w:rsidP="00E67800">
            <w:pPr>
              <w:pStyle w:val="tabletext"/>
              <w:jc w:val="center"/>
              <w:rPr>
                <w:b/>
                <w:bCs/>
                <w:color w:val="FFFFFF" w:themeColor="background1"/>
                <w:sz w:val="16"/>
                <w:szCs w:val="16"/>
              </w:rPr>
            </w:pPr>
            <w:r w:rsidRPr="001D55FE">
              <w:rPr>
                <w:b/>
                <w:bCs/>
                <w:color w:val="FFFFFF" w:themeColor="background1"/>
                <w:sz w:val="16"/>
                <w:szCs w:val="16"/>
              </w:rPr>
              <w:t xml:space="preserve">Efficiency </w:t>
            </w:r>
            <w:proofErr w:type="spellStart"/>
            <w:r w:rsidRPr="001D55FE">
              <w:rPr>
                <w:b/>
                <w:bCs/>
                <w:color w:val="FFFFFF" w:themeColor="background1"/>
                <w:sz w:val="16"/>
                <w:szCs w:val="16"/>
              </w:rPr>
              <w:t>oppor</w:t>
            </w:r>
            <w:r>
              <w:rPr>
                <w:b/>
                <w:bCs/>
                <w:color w:val="FFFFFF" w:themeColor="background1"/>
                <w:sz w:val="16"/>
                <w:szCs w:val="16"/>
              </w:rPr>
              <w:t>-</w:t>
            </w:r>
            <w:r w:rsidRPr="001D55FE">
              <w:rPr>
                <w:b/>
                <w:bCs/>
                <w:color w:val="FFFFFF" w:themeColor="background1"/>
                <w:sz w:val="16"/>
                <w:szCs w:val="16"/>
              </w:rPr>
              <w:t>tunity</w:t>
            </w:r>
            <w:proofErr w:type="spellEnd"/>
          </w:p>
        </w:tc>
        <w:tc>
          <w:tcPr>
            <w:tcW w:w="2122" w:type="dxa"/>
            <w:gridSpan w:val="2"/>
            <w:shd w:val="clear" w:color="auto" w:fill="571239" w:themeFill="accent5" w:themeFillShade="80"/>
            <w:vAlign w:val="center"/>
          </w:tcPr>
          <w:p w14:paraId="422DE5D3" w14:textId="77777777" w:rsidR="00962A05" w:rsidRPr="001D55FE" w:rsidRDefault="00962A05" w:rsidP="00E67800">
            <w:pPr>
              <w:pStyle w:val="tabletext"/>
              <w:jc w:val="center"/>
              <w:rPr>
                <w:b/>
                <w:bCs/>
                <w:color w:val="FFFFFF" w:themeColor="background1"/>
                <w:sz w:val="16"/>
                <w:szCs w:val="16"/>
              </w:rPr>
            </w:pPr>
            <w:r w:rsidRPr="001D55FE">
              <w:rPr>
                <w:b/>
                <w:bCs/>
                <w:color w:val="FFFFFF" w:themeColor="background1"/>
                <w:sz w:val="16"/>
                <w:szCs w:val="16"/>
              </w:rPr>
              <w:t>Recurrent net treatment gap / surplus (Mar 29) if</w:t>
            </w:r>
          </w:p>
        </w:tc>
      </w:tr>
      <w:tr w:rsidR="00962A05" w:rsidRPr="00D20A90" w14:paraId="71BBDFBF" w14:textId="77777777" w:rsidTr="00E67800">
        <w:tc>
          <w:tcPr>
            <w:tcW w:w="1061" w:type="dxa"/>
            <w:vMerge/>
          </w:tcPr>
          <w:p w14:paraId="49983CC5" w14:textId="77777777" w:rsidR="00962A05" w:rsidRPr="001D55FE" w:rsidRDefault="00962A05" w:rsidP="00E67800">
            <w:pPr>
              <w:pStyle w:val="tabletext"/>
              <w:rPr>
                <w:color w:val="FFFFFF" w:themeColor="background1"/>
                <w:sz w:val="16"/>
                <w:szCs w:val="16"/>
              </w:rPr>
            </w:pPr>
          </w:p>
        </w:tc>
        <w:tc>
          <w:tcPr>
            <w:tcW w:w="1060" w:type="dxa"/>
            <w:vMerge/>
            <w:shd w:val="clear" w:color="auto" w:fill="4A5886"/>
            <w:vAlign w:val="center"/>
          </w:tcPr>
          <w:p w14:paraId="70602B67" w14:textId="77777777" w:rsidR="00962A05" w:rsidRPr="001D55FE" w:rsidRDefault="00962A05" w:rsidP="00E67800">
            <w:pPr>
              <w:pStyle w:val="tabletext"/>
              <w:jc w:val="center"/>
              <w:rPr>
                <w:color w:val="FFFFFF" w:themeColor="background1"/>
                <w:sz w:val="16"/>
                <w:szCs w:val="16"/>
              </w:rPr>
            </w:pPr>
          </w:p>
        </w:tc>
        <w:tc>
          <w:tcPr>
            <w:tcW w:w="1061" w:type="dxa"/>
            <w:vMerge/>
            <w:shd w:val="clear" w:color="auto" w:fill="4A5886"/>
            <w:vAlign w:val="center"/>
          </w:tcPr>
          <w:p w14:paraId="346E0674" w14:textId="77777777" w:rsidR="00962A05" w:rsidRPr="001D55FE" w:rsidRDefault="00962A05" w:rsidP="00E67800">
            <w:pPr>
              <w:pStyle w:val="tabletext"/>
              <w:jc w:val="center"/>
              <w:rPr>
                <w:color w:val="FFFFFF" w:themeColor="background1"/>
                <w:sz w:val="16"/>
                <w:szCs w:val="16"/>
              </w:rPr>
            </w:pPr>
          </w:p>
        </w:tc>
        <w:tc>
          <w:tcPr>
            <w:tcW w:w="1061" w:type="dxa"/>
            <w:vMerge/>
            <w:shd w:val="clear" w:color="auto" w:fill="4A5886"/>
            <w:vAlign w:val="center"/>
          </w:tcPr>
          <w:p w14:paraId="7BFA69AD" w14:textId="77777777" w:rsidR="00962A05" w:rsidRPr="001D55FE" w:rsidRDefault="00962A05" w:rsidP="00E67800">
            <w:pPr>
              <w:pStyle w:val="tabletext"/>
              <w:jc w:val="center"/>
              <w:rPr>
                <w:color w:val="FFFFFF" w:themeColor="background1"/>
                <w:sz w:val="16"/>
                <w:szCs w:val="16"/>
              </w:rPr>
            </w:pPr>
          </w:p>
        </w:tc>
        <w:tc>
          <w:tcPr>
            <w:tcW w:w="1061" w:type="dxa"/>
            <w:shd w:val="clear" w:color="auto" w:fill="821B56" w:themeFill="accent5" w:themeFillShade="BF"/>
            <w:vAlign w:val="center"/>
          </w:tcPr>
          <w:p w14:paraId="50B5145F" w14:textId="77777777" w:rsidR="00962A05" w:rsidRPr="001D55FE" w:rsidRDefault="00962A05" w:rsidP="00E67800">
            <w:pPr>
              <w:pStyle w:val="tabletext"/>
              <w:jc w:val="center"/>
              <w:rPr>
                <w:color w:val="FFFFFF" w:themeColor="background1"/>
                <w:sz w:val="16"/>
                <w:szCs w:val="16"/>
              </w:rPr>
            </w:pPr>
            <w:r w:rsidRPr="001D55FE">
              <w:rPr>
                <w:color w:val="FFFFFF" w:themeColor="background1"/>
                <w:sz w:val="16"/>
                <w:szCs w:val="16"/>
              </w:rPr>
              <w:t>Demand @ 1% to 29</w:t>
            </w:r>
          </w:p>
        </w:tc>
        <w:tc>
          <w:tcPr>
            <w:tcW w:w="1061" w:type="dxa"/>
            <w:shd w:val="clear" w:color="auto" w:fill="821B56" w:themeFill="accent5" w:themeFillShade="BF"/>
            <w:vAlign w:val="center"/>
          </w:tcPr>
          <w:p w14:paraId="4DDB6A89" w14:textId="77777777" w:rsidR="00962A05" w:rsidRPr="001D55FE" w:rsidRDefault="00962A05" w:rsidP="00E67800">
            <w:pPr>
              <w:pStyle w:val="tabletext"/>
              <w:jc w:val="center"/>
              <w:rPr>
                <w:color w:val="FFFFFF" w:themeColor="background1"/>
                <w:sz w:val="16"/>
                <w:szCs w:val="16"/>
              </w:rPr>
            </w:pPr>
            <w:r w:rsidRPr="001D55FE">
              <w:rPr>
                <w:color w:val="FFFFFF" w:themeColor="background1"/>
                <w:sz w:val="16"/>
                <w:szCs w:val="16"/>
              </w:rPr>
              <w:t>Demand @ 4% to 29</w:t>
            </w:r>
          </w:p>
        </w:tc>
        <w:tc>
          <w:tcPr>
            <w:tcW w:w="1061" w:type="dxa"/>
            <w:vMerge/>
            <w:shd w:val="clear" w:color="auto" w:fill="821B56" w:themeFill="accent5" w:themeFillShade="BF"/>
            <w:vAlign w:val="center"/>
          </w:tcPr>
          <w:p w14:paraId="7592E46E" w14:textId="77777777" w:rsidR="00962A05" w:rsidRPr="001D55FE" w:rsidRDefault="00962A05" w:rsidP="00E67800">
            <w:pPr>
              <w:pStyle w:val="tabletext"/>
              <w:jc w:val="center"/>
              <w:rPr>
                <w:color w:val="FFFFFF" w:themeColor="background1"/>
                <w:sz w:val="16"/>
                <w:szCs w:val="16"/>
              </w:rPr>
            </w:pPr>
          </w:p>
        </w:tc>
        <w:tc>
          <w:tcPr>
            <w:tcW w:w="1061" w:type="dxa"/>
            <w:shd w:val="clear" w:color="auto" w:fill="821B56" w:themeFill="accent5" w:themeFillShade="BF"/>
            <w:vAlign w:val="center"/>
          </w:tcPr>
          <w:p w14:paraId="1F5247EC" w14:textId="77777777" w:rsidR="00962A05" w:rsidRPr="001D55FE" w:rsidRDefault="00962A05" w:rsidP="00E67800">
            <w:pPr>
              <w:pStyle w:val="tabletext"/>
              <w:jc w:val="center"/>
              <w:rPr>
                <w:color w:val="FFFFFF" w:themeColor="background1"/>
                <w:sz w:val="16"/>
                <w:szCs w:val="16"/>
              </w:rPr>
            </w:pPr>
            <w:r w:rsidRPr="001D55FE">
              <w:rPr>
                <w:color w:val="FFFFFF" w:themeColor="background1"/>
                <w:sz w:val="16"/>
                <w:szCs w:val="16"/>
              </w:rPr>
              <w:t>Demand @ 1%</w:t>
            </w:r>
          </w:p>
        </w:tc>
        <w:tc>
          <w:tcPr>
            <w:tcW w:w="1061" w:type="dxa"/>
            <w:shd w:val="clear" w:color="auto" w:fill="821B56" w:themeFill="accent5" w:themeFillShade="BF"/>
            <w:vAlign w:val="center"/>
          </w:tcPr>
          <w:p w14:paraId="329DFB3B" w14:textId="77777777" w:rsidR="00962A05" w:rsidRPr="001D55FE" w:rsidRDefault="00962A05" w:rsidP="00E67800">
            <w:pPr>
              <w:pStyle w:val="tabletext"/>
              <w:jc w:val="center"/>
              <w:rPr>
                <w:color w:val="FFFFFF" w:themeColor="background1"/>
                <w:sz w:val="16"/>
                <w:szCs w:val="16"/>
              </w:rPr>
            </w:pPr>
            <w:r w:rsidRPr="001D55FE">
              <w:rPr>
                <w:color w:val="FFFFFF" w:themeColor="background1"/>
                <w:sz w:val="16"/>
                <w:szCs w:val="16"/>
              </w:rPr>
              <w:t>Demand @ 4%</w:t>
            </w:r>
          </w:p>
        </w:tc>
      </w:tr>
      <w:tr w:rsidR="00962A05" w:rsidRPr="00D20A90" w14:paraId="121A304E" w14:textId="77777777" w:rsidTr="00E67800">
        <w:tc>
          <w:tcPr>
            <w:tcW w:w="1061" w:type="dxa"/>
          </w:tcPr>
          <w:p w14:paraId="4F839002" w14:textId="77777777" w:rsidR="00962A05" w:rsidRDefault="00962A05" w:rsidP="00E67800">
            <w:pPr>
              <w:pStyle w:val="tabletext"/>
              <w:rPr>
                <w:sz w:val="16"/>
                <w:szCs w:val="16"/>
              </w:rPr>
            </w:pPr>
            <w:r>
              <w:rPr>
                <w:sz w:val="16"/>
                <w:szCs w:val="16"/>
              </w:rPr>
              <w:t>Foot / ankle</w:t>
            </w:r>
          </w:p>
        </w:tc>
        <w:tc>
          <w:tcPr>
            <w:tcW w:w="1060" w:type="dxa"/>
            <w:vAlign w:val="center"/>
          </w:tcPr>
          <w:p w14:paraId="05386CAE" w14:textId="77777777" w:rsidR="00962A05" w:rsidRPr="00D20A90" w:rsidRDefault="00962A05" w:rsidP="00E67800">
            <w:pPr>
              <w:pStyle w:val="tabletext"/>
              <w:jc w:val="center"/>
              <w:rPr>
                <w:sz w:val="16"/>
                <w:szCs w:val="16"/>
              </w:rPr>
            </w:pPr>
            <w:r>
              <w:rPr>
                <w:sz w:val="16"/>
                <w:szCs w:val="16"/>
              </w:rPr>
              <w:t>-422</w:t>
            </w:r>
          </w:p>
        </w:tc>
        <w:tc>
          <w:tcPr>
            <w:tcW w:w="1061" w:type="dxa"/>
            <w:vAlign w:val="center"/>
          </w:tcPr>
          <w:p w14:paraId="60ADFB6B" w14:textId="77777777" w:rsidR="00962A05" w:rsidRPr="00D20A90" w:rsidRDefault="00962A05" w:rsidP="00E67800">
            <w:pPr>
              <w:pStyle w:val="tabletext"/>
              <w:jc w:val="center"/>
              <w:rPr>
                <w:sz w:val="16"/>
                <w:szCs w:val="16"/>
              </w:rPr>
            </w:pPr>
            <w:r>
              <w:rPr>
                <w:sz w:val="16"/>
                <w:szCs w:val="16"/>
              </w:rPr>
              <w:t>-83</w:t>
            </w:r>
          </w:p>
        </w:tc>
        <w:tc>
          <w:tcPr>
            <w:tcW w:w="1061" w:type="dxa"/>
            <w:vAlign w:val="center"/>
          </w:tcPr>
          <w:p w14:paraId="0D931828" w14:textId="77777777" w:rsidR="00962A05" w:rsidRPr="00D20A90" w:rsidRDefault="00962A05" w:rsidP="00E67800">
            <w:pPr>
              <w:pStyle w:val="tabletext"/>
              <w:jc w:val="center"/>
              <w:rPr>
                <w:sz w:val="16"/>
                <w:szCs w:val="16"/>
              </w:rPr>
            </w:pPr>
            <w:r>
              <w:rPr>
                <w:sz w:val="16"/>
                <w:szCs w:val="16"/>
              </w:rPr>
              <w:t>-252</w:t>
            </w:r>
          </w:p>
        </w:tc>
        <w:tc>
          <w:tcPr>
            <w:tcW w:w="1061" w:type="dxa"/>
            <w:vAlign w:val="center"/>
          </w:tcPr>
          <w:p w14:paraId="5F1279AA" w14:textId="77777777" w:rsidR="00962A05" w:rsidRPr="00D20A90" w:rsidRDefault="00962A05" w:rsidP="00E67800">
            <w:pPr>
              <w:pStyle w:val="tabletext"/>
              <w:jc w:val="center"/>
              <w:rPr>
                <w:sz w:val="16"/>
                <w:szCs w:val="16"/>
              </w:rPr>
            </w:pPr>
            <w:r>
              <w:rPr>
                <w:sz w:val="16"/>
                <w:szCs w:val="16"/>
              </w:rPr>
              <w:t>-371</w:t>
            </w:r>
          </w:p>
        </w:tc>
        <w:tc>
          <w:tcPr>
            <w:tcW w:w="1061" w:type="dxa"/>
            <w:vAlign w:val="center"/>
          </w:tcPr>
          <w:p w14:paraId="62D2655E" w14:textId="77777777" w:rsidR="00962A05" w:rsidRPr="00D20A90" w:rsidRDefault="00962A05" w:rsidP="00E67800">
            <w:pPr>
              <w:pStyle w:val="tabletext"/>
              <w:jc w:val="center"/>
              <w:rPr>
                <w:sz w:val="16"/>
                <w:szCs w:val="16"/>
              </w:rPr>
            </w:pPr>
            <w:r>
              <w:rPr>
                <w:sz w:val="16"/>
                <w:szCs w:val="16"/>
              </w:rPr>
              <w:t>-728</w:t>
            </w:r>
          </w:p>
        </w:tc>
        <w:tc>
          <w:tcPr>
            <w:tcW w:w="1061" w:type="dxa"/>
            <w:vAlign w:val="center"/>
          </w:tcPr>
          <w:p w14:paraId="3C87B598" w14:textId="77777777" w:rsidR="00962A05" w:rsidRPr="00D20A90" w:rsidRDefault="00962A05" w:rsidP="00E67800">
            <w:pPr>
              <w:pStyle w:val="tabletext"/>
              <w:jc w:val="center"/>
              <w:rPr>
                <w:sz w:val="16"/>
                <w:szCs w:val="16"/>
              </w:rPr>
            </w:pPr>
            <w:r>
              <w:rPr>
                <w:sz w:val="16"/>
                <w:szCs w:val="16"/>
              </w:rPr>
              <w:t>98</w:t>
            </w:r>
          </w:p>
        </w:tc>
        <w:tc>
          <w:tcPr>
            <w:tcW w:w="1061" w:type="dxa"/>
            <w:vAlign w:val="center"/>
          </w:tcPr>
          <w:p w14:paraId="3D4E5805" w14:textId="77777777" w:rsidR="00962A05" w:rsidRPr="00D20A90" w:rsidRDefault="00962A05" w:rsidP="00E67800">
            <w:pPr>
              <w:pStyle w:val="tabletext"/>
              <w:jc w:val="center"/>
              <w:rPr>
                <w:sz w:val="16"/>
                <w:szCs w:val="16"/>
              </w:rPr>
            </w:pPr>
            <w:r>
              <w:rPr>
                <w:sz w:val="16"/>
                <w:szCs w:val="16"/>
              </w:rPr>
              <w:t>-273</w:t>
            </w:r>
          </w:p>
        </w:tc>
        <w:tc>
          <w:tcPr>
            <w:tcW w:w="1061" w:type="dxa"/>
            <w:vAlign w:val="center"/>
          </w:tcPr>
          <w:p w14:paraId="01937C74" w14:textId="77777777" w:rsidR="00962A05" w:rsidRPr="00D20A90" w:rsidRDefault="00962A05" w:rsidP="00E67800">
            <w:pPr>
              <w:pStyle w:val="tabletext"/>
              <w:jc w:val="center"/>
              <w:rPr>
                <w:sz w:val="16"/>
                <w:szCs w:val="16"/>
              </w:rPr>
            </w:pPr>
            <w:r>
              <w:rPr>
                <w:sz w:val="16"/>
                <w:szCs w:val="16"/>
              </w:rPr>
              <w:t>-630</w:t>
            </w:r>
          </w:p>
        </w:tc>
      </w:tr>
      <w:tr w:rsidR="00962A05" w:rsidRPr="00D20A90" w14:paraId="4D3517FB" w14:textId="77777777" w:rsidTr="00E67800">
        <w:tc>
          <w:tcPr>
            <w:tcW w:w="1061" w:type="dxa"/>
          </w:tcPr>
          <w:p w14:paraId="11BBE2BA" w14:textId="77777777" w:rsidR="00962A05" w:rsidRPr="00D20A90" w:rsidRDefault="00962A05" w:rsidP="00E67800">
            <w:pPr>
              <w:pStyle w:val="tabletext"/>
              <w:rPr>
                <w:sz w:val="16"/>
                <w:szCs w:val="16"/>
              </w:rPr>
            </w:pPr>
            <w:proofErr w:type="spellStart"/>
            <w:r>
              <w:rPr>
                <w:sz w:val="16"/>
                <w:szCs w:val="16"/>
              </w:rPr>
              <w:t>Paeds</w:t>
            </w:r>
            <w:proofErr w:type="spellEnd"/>
          </w:p>
        </w:tc>
        <w:tc>
          <w:tcPr>
            <w:tcW w:w="1060" w:type="dxa"/>
            <w:vAlign w:val="center"/>
          </w:tcPr>
          <w:p w14:paraId="6FF5B5FF" w14:textId="77777777" w:rsidR="00962A05" w:rsidRPr="00D20A90" w:rsidRDefault="00962A05" w:rsidP="00E67800">
            <w:pPr>
              <w:pStyle w:val="tabletext"/>
              <w:jc w:val="center"/>
              <w:rPr>
                <w:sz w:val="16"/>
                <w:szCs w:val="16"/>
              </w:rPr>
            </w:pPr>
            <w:r>
              <w:rPr>
                <w:sz w:val="16"/>
                <w:szCs w:val="16"/>
              </w:rPr>
              <w:t>-211</w:t>
            </w:r>
          </w:p>
        </w:tc>
        <w:tc>
          <w:tcPr>
            <w:tcW w:w="1061" w:type="dxa"/>
            <w:vAlign w:val="center"/>
          </w:tcPr>
          <w:p w14:paraId="4053F794" w14:textId="77777777" w:rsidR="00962A05" w:rsidRPr="00D20A90" w:rsidRDefault="00962A05" w:rsidP="00E67800">
            <w:pPr>
              <w:pStyle w:val="tabletext"/>
              <w:jc w:val="center"/>
              <w:rPr>
                <w:sz w:val="16"/>
                <w:szCs w:val="16"/>
              </w:rPr>
            </w:pPr>
            <w:r>
              <w:rPr>
                <w:sz w:val="16"/>
                <w:szCs w:val="16"/>
              </w:rPr>
              <w:t>-17</w:t>
            </w:r>
          </w:p>
        </w:tc>
        <w:tc>
          <w:tcPr>
            <w:tcW w:w="1061" w:type="dxa"/>
            <w:vAlign w:val="center"/>
          </w:tcPr>
          <w:p w14:paraId="704DB544" w14:textId="77777777" w:rsidR="00962A05" w:rsidRPr="00D20A90" w:rsidRDefault="00962A05" w:rsidP="00E67800">
            <w:pPr>
              <w:pStyle w:val="tabletext"/>
              <w:jc w:val="center"/>
              <w:rPr>
                <w:sz w:val="16"/>
                <w:szCs w:val="16"/>
              </w:rPr>
            </w:pPr>
            <w:r>
              <w:rPr>
                <w:sz w:val="16"/>
                <w:szCs w:val="16"/>
              </w:rPr>
              <w:t>-101</w:t>
            </w:r>
          </w:p>
        </w:tc>
        <w:tc>
          <w:tcPr>
            <w:tcW w:w="1061" w:type="dxa"/>
            <w:vAlign w:val="center"/>
          </w:tcPr>
          <w:p w14:paraId="702FDCFF" w14:textId="77777777" w:rsidR="00962A05" w:rsidRPr="00D20A90" w:rsidRDefault="00962A05" w:rsidP="00E67800">
            <w:pPr>
              <w:pStyle w:val="tabletext"/>
              <w:jc w:val="center"/>
              <w:rPr>
                <w:sz w:val="16"/>
                <w:szCs w:val="16"/>
              </w:rPr>
            </w:pPr>
            <w:r>
              <w:rPr>
                <w:sz w:val="16"/>
                <w:szCs w:val="16"/>
              </w:rPr>
              <w:t>-140</w:t>
            </w:r>
          </w:p>
        </w:tc>
        <w:tc>
          <w:tcPr>
            <w:tcW w:w="1061" w:type="dxa"/>
            <w:vAlign w:val="center"/>
          </w:tcPr>
          <w:p w14:paraId="773E2708" w14:textId="77777777" w:rsidR="00962A05" w:rsidRPr="00D20A90" w:rsidRDefault="00962A05" w:rsidP="00E67800">
            <w:pPr>
              <w:pStyle w:val="tabletext"/>
              <w:jc w:val="center"/>
              <w:rPr>
                <w:sz w:val="16"/>
                <w:szCs w:val="16"/>
              </w:rPr>
            </w:pPr>
            <w:r>
              <w:rPr>
                <w:sz w:val="16"/>
                <w:szCs w:val="16"/>
              </w:rPr>
              <w:t>-255</w:t>
            </w:r>
          </w:p>
        </w:tc>
        <w:tc>
          <w:tcPr>
            <w:tcW w:w="1061" w:type="dxa"/>
            <w:vAlign w:val="center"/>
          </w:tcPr>
          <w:p w14:paraId="266C5C9D" w14:textId="77777777" w:rsidR="00962A05" w:rsidRPr="00D20A90" w:rsidRDefault="00962A05" w:rsidP="00E67800">
            <w:pPr>
              <w:pStyle w:val="tabletext"/>
              <w:jc w:val="center"/>
              <w:rPr>
                <w:sz w:val="16"/>
                <w:szCs w:val="16"/>
              </w:rPr>
            </w:pPr>
            <w:r>
              <w:rPr>
                <w:sz w:val="16"/>
                <w:szCs w:val="16"/>
              </w:rPr>
              <w:t>16</w:t>
            </w:r>
          </w:p>
        </w:tc>
        <w:tc>
          <w:tcPr>
            <w:tcW w:w="1061" w:type="dxa"/>
            <w:vAlign w:val="center"/>
          </w:tcPr>
          <w:p w14:paraId="2629AC82" w14:textId="77777777" w:rsidR="00962A05" w:rsidRPr="00D20A90" w:rsidRDefault="00962A05" w:rsidP="00E67800">
            <w:pPr>
              <w:pStyle w:val="tabletext"/>
              <w:jc w:val="center"/>
              <w:rPr>
                <w:sz w:val="16"/>
                <w:szCs w:val="16"/>
              </w:rPr>
            </w:pPr>
            <w:r>
              <w:rPr>
                <w:sz w:val="16"/>
                <w:szCs w:val="16"/>
              </w:rPr>
              <w:t>-124</w:t>
            </w:r>
          </w:p>
        </w:tc>
        <w:tc>
          <w:tcPr>
            <w:tcW w:w="1061" w:type="dxa"/>
            <w:vAlign w:val="center"/>
          </w:tcPr>
          <w:p w14:paraId="27CBB6EB" w14:textId="77777777" w:rsidR="00962A05" w:rsidRPr="00D20A90" w:rsidRDefault="00962A05" w:rsidP="00E67800">
            <w:pPr>
              <w:pStyle w:val="tabletext"/>
              <w:jc w:val="center"/>
              <w:rPr>
                <w:sz w:val="16"/>
                <w:szCs w:val="16"/>
              </w:rPr>
            </w:pPr>
            <w:r>
              <w:rPr>
                <w:sz w:val="16"/>
                <w:szCs w:val="16"/>
              </w:rPr>
              <w:t>-239</w:t>
            </w:r>
          </w:p>
        </w:tc>
      </w:tr>
      <w:tr w:rsidR="00962A05" w:rsidRPr="00D20A90" w14:paraId="23528243" w14:textId="77777777" w:rsidTr="00E67800">
        <w:tc>
          <w:tcPr>
            <w:tcW w:w="1061" w:type="dxa"/>
          </w:tcPr>
          <w:p w14:paraId="08E5E462" w14:textId="77777777" w:rsidR="00962A05" w:rsidRPr="00D20A90" w:rsidRDefault="00962A05" w:rsidP="00E67800">
            <w:pPr>
              <w:pStyle w:val="tabletext"/>
              <w:rPr>
                <w:sz w:val="16"/>
                <w:szCs w:val="16"/>
              </w:rPr>
            </w:pPr>
            <w:r>
              <w:rPr>
                <w:sz w:val="16"/>
                <w:szCs w:val="16"/>
              </w:rPr>
              <w:t>Upper limb</w:t>
            </w:r>
          </w:p>
        </w:tc>
        <w:tc>
          <w:tcPr>
            <w:tcW w:w="1060" w:type="dxa"/>
            <w:vAlign w:val="center"/>
          </w:tcPr>
          <w:p w14:paraId="7677422A" w14:textId="77777777" w:rsidR="00962A05" w:rsidRPr="00D20A90" w:rsidRDefault="00962A05" w:rsidP="00E67800">
            <w:pPr>
              <w:pStyle w:val="tabletext"/>
              <w:jc w:val="center"/>
              <w:rPr>
                <w:sz w:val="16"/>
                <w:szCs w:val="16"/>
              </w:rPr>
            </w:pPr>
            <w:r>
              <w:rPr>
                <w:sz w:val="16"/>
                <w:szCs w:val="16"/>
              </w:rPr>
              <w:t>487</w:t>
            </w:r>
          </w:p>
        </w:tc>
        <w:tc>
          <w:tcPr>
            <w:tcW w:w="1061" w:type="dxa"/>
            <w:vAlign w:val="center"/>
          </w:tcPr>
          <w:p w14:paraId="583238CC" w14:textId="77777777" w:rsidR="00962A05" w:rsidRPr="00D20A90" w:rsidRDefault="00962A05" w:rsidP="00E67800">
            <w:pPr>
              <w:pStyle w:val="tabletext"/>
              <w:jc w:val="center"/>
              <w:rPr>
                <w:sz w:val="16"/>
                <w:szCs w:val="16"/>
              </w:rPr>
            </w:pPr>
            <w:r>
              <w:rPr>
                <w:sz w:val="16"/>
                <w:szCs w:val="16"/>
              </w:rPr>
              <w:t>81</w:t>
            </w:r>
          </w:p>
        </w:tc>
        <w:tc>
          <w:tcPr>
            <w:tcW w:w="1061" w:type="dxa"/>
            <w:vAlign w:val="center"/>
          </w:tcPr>
          <w:p w14:paraId="19B9C78C" w14:textId="77777777" w:rsidR="00962A05" w:rsidRPr="00D20A90" w:rsidRDefault="00962A05" w:rsidP="00E67800">
            <w:pPr>
              <w:pStyle w:val="tabletext"/>
              <w:jc w:val="center"/>
              <w:rPr>
                <w:sz w:val="16"/>
                <w:szCs w:val="16"/>
              </w:rPr>
            </w:pPr>
            <w:r>
              <w:rPr>
                <w:sz w:val="16"/>
                <w:szCs w:val="16"/>
              </w:rPr>
              <w:t>81</w:t>
            </w:r>
          </w:p>
        </w:tc>
        <w:tc>
          <w:tcPr>
            <w:tcW w:w="1061" w:type="dxa"/>
            <w:vAlign w:val="center"/>
          </w:tcPr>
          <w:p w14:paraId="07290CBF" w14:textId="77777777" w:rsidR="00962A05" w:rsidRPr="00D20A90" w:rsidRDefault="00962A05" w:rsidP="00E67800">
            <w:pPr>
              <w:pStyle w:val="tabletext"/>
              <w:jc w:val="center"/>
              <w:rPr>
                <w:sz w:val="16"/>
                <w:szCs w:val="16"/>
              </w:rPr>
            </w:pPr>
            <w:r>
              <w:rPr>
                <w:sz w:val="16"/>
                <w:szCs w:val="16"/>
              </w:rPr>
              <w:t>-21</w:t>
            </w:r>
          </w:p>
        </w:tc>
        <w:tc>
          <w:tcPr>
            <w:tcW w:w="1061" w:type="dxa"/>
            <w:vAlign w:val="center"/>
          </w:tcPr>
          <w:p w14:paraId="4CDAA86B" w14:textId="77777777" w:rsidR="00962A05" w:rsidRPr="00D20A90" w:rsidRDefault="00962A05" w:rsidP="00E67800">
            <w:pPr>
              <w:pStyle w:val="tabletext"/>
              <w:jc w:val="center"/>
              <w:rPr>
                <w:sz w:val="16"/>
                <w:szCs w:val="16"/>
              </w:rPr>
            </w:pPr>
            <w:r>
              <w:rPr>
                <w:sz w:val="16"/>
                <w:szCs w:val="16"/>
              </w:rPr>
              <w:t>-326</w:t>
            </w:r>
          </w:p>
        </w:tc>
        <w:tc>
          <w:tcPr>
            <w:tcW w:w="1061" w:type="dxa"/>
            <w:vAlign w:val="center"/>
          </w:tcPr>
          <w:p w14:paraId="7B7BF113" w14:textId="77777777" w:rsidR="00962A05" w:rsidRPr="00D20A90" w:rsidRDefault="00962A05" w:rsidP="00E67800">
            <w:pPr>
              <w:pStyle w:val="tabletext"/>
              <w:jc w:val="center"/>
              <w:rPr>
                <w:sz w:val="16"/>
                <w:szCs w:val="16"/>
              </w:rPr>
            </w:pPr>
            <w:r>
              <w:rPr>
                <w:sz w:val="16"/>
                <w:szCs w:val="16"/>
              </w:rPr>
              <w:t>125</w:t>
            </w:r>
          </w:p>
        </w:tc>
        <w:tc>
          <w:tcPr>
            <w:tcW w:w="1061" w:type="dxa"/>
            <w:vAlign w:val="center"/>
          </w:tcPr>
          <w:p w14:paraId="5CDC6ECB" w14:textId="77777777" w:rsidR="00962A05" w:rsidRPr="00D20A90" w:rsidRDefault="00962A05" w:rsidP="00E67800">
            <w:pPr>
              <w:pStyle w:val="tabletext"/>
              <w:jc w:val="center"/>
              <w:rPr>
                <w:sz w:val="16"/>
                <w:szCs w:val="16"/>
              </w:rPr>
            </w:pPr>
            <w:r>
              <w:rPr>
                <w:sz w:val="16"/>
                <w:szCs w:val="16"/>
              </w:rPr>
              <w:t>104</w:t>
            </w:r>
          </w:p>
        </w:tc>
        <w:tc>
          <w:tcPr>
            <w:tcW w:w="1061" w:type="dxa"/>
            <w:vAlign w:val="center"/>
          </w:tcPr>
          <w:p w14:paraId="0F935C8F" w14:textId="77777777" w:rsidR="00962A05" w:rsidRPr="00D20A90" w:rsidRDefault="00962A05" w:rsidP="00E67800">
            <w:pPr>
              <w:pStyle w:val="tabletext"/>
              <w:jc w:val="center"/>
              <w:rPr>
                <w:sz w:val="16"/>
                <w:szCs w:val="16"/>
              </w:rPr>
            </w:pPr>
            <w:r>
              <w:rPr>
                <w:sz w:val="16"/>
                <w:szCs w:val="16"/>
              </w:rPr>
              <w:t>-201</w:t>
            </w:r>
          </w:p>
        </w:tc>
      </w:tr>
      <w:tr w:rsidR="00962A05" w:rsidRPr="00D20A90" w14:paraId="50E96485" w14:textId="77777777" w:rsidTr="00E67800">
        <w:tc>
          <w:tcPr>
            <w:tcW w:w="1061" w:type="dxa"/>
          </w:tcPr>
          <w:p w14:paraId="2F5C138A" w14:textId="77777777" w:rsidR="00962A05" w:rsidRPr="00D20A90" w:rsidRDefault="00962A05" w:rsidP="00E67800">
            <w:pPr>
              <w:pStyle w:val="tabletext"/>
              <w:rPr>
                <w:sz w:val="16"/>
                <w:szCs w:val="16"/>
              </w:rPr>
            </w:pPr>
            <w:r>
              <w:rPr>
                <w:sz w:val="16"/>
                <w:szCs w:val="16"/>
              </w:rPr>
              <w:t>Hands</w:t>
            </w:r>
          </w:p>
        </w:tc>
        <w:tc>
          <w:tcPr>
            <w:tcW w:w="1060" w:type="dxa"/>
            <w:vAlign w:val="center"/>
          </w:tcPr>
          <w:p w14:paraId="7A666EBE" w14:textId="77777777" w:rsidR="00962A05" w:rsidRPr="00D20A90" w:rsidRDefault="00962A05" w:rsidP="00E67800">
            <w:pPr>
              <w:pStyle w:val="tabletext"/>
              <w:jc w:val="center"/>
              <w:rPr>
                <w:sz w:val="16"/>
                <w:szCs w:val="16"/>
              </w:rPr>
            </w:pPr>
            <w:r>
              <w:rPr>
                <w:sz w:val="16"/>
                <w:szCs w:val="16"/>
              </w:rPr>
              <w:t>-394</w:t>
            </w:r>
          </w:p>
        </w:tc>
        <w:tc>
          <w:tcPr>
            <w:tcW w:w="1061" w:type="dxa"/>
            <w:vAlign w:val="center"/>
          </w:tcPr>
          <w:p w14:paraId="46B37884" w14:textId="77777777" w:rsidR="00962A05" w:rsidRPr="00D20A90" w:rsidRDefault="00962A05" w:rsidP="00E67800">
            <w:pPr>
              <w:pStyle w:val="tabletext"/>
              <w:jc w:val="center"/>
              <w:rPr>
                <w:sz w:val="16"/>
                <w:szCs w:val="16"/>
              </w:rPr>
            </w:pPr>
            <w:r>
              <w:rPr>
                <w:sz w:val="16"/>
                <w:szCs w:val="16"/>
              </w:rPr>
              <w:t>-616</w:t>
            </w:r>
          </w:p>
        </w:tc>
        <w:tc>
          <w:tcPr>
            <w:tcW w:w="1061" w:type="dxa"/>
            <w:vAlign w:val="center"/>
          </w:tcPr>
          <w:p w14:paraId="6E2345C7" w14:textId="77777777" w:rsidR="00962A05" w:rsidRPr="00D20A90" w:rsidRDefault="00962A05" w:rsidP="00E67800">
            <w:pPr>
              <w:pStyle w:val="tabletext"/>
              <w:jc w:val="center"/>
              <w:rPr>
                <w:sz w:val="16"/>
                <w:szCs w:val="16"/>
              </w:rPr>
            </w:pPr>
            <w:r>
              <w:rPr>
                <w:sz w:val="16"/>
                <w:szCs w:val="16"/>
              </w:rPr>
              <w:t>-774</w:t>
            </w:r>
          </w:p>
        </w:tc>
        <w:tc>
          <w:tcPr>
            <w:tcW w:w="1061" w:type="dxa"/>
            <w:vAlign w:val="center"/>
          </w:tcPr>
          <w:p w14:paraId="5A38DDB9" w14:textId="77777777" w:rsidR="00962A05" w:rsidRPr="00D20A90" w:rsidRDefault="00962A05" w:rsidP="00E67800">
            <w:pPr>
              <w:pStyle w:val="tabletext"/>
              <w:jc w:val="center"/>
              <w:rPr>
                <w:sz w:val="16"/>
                <w:szCs w:val="16"/>
              </w:rPr>
            </w:pPr>
            <w:r>
              <w:rPr>
                <w:sz w:val="16"/>
                <w:szCs w:val="16"/>
              </w:rPr>
              <w:t>-965</w:t>
            </w:r>
          </w:p>
        </w:tc>
        <w:tc>
          <w:tcPr>
            <w:tcW w:w="1061" w:type="dxa"/>
            <w:vAlign w:val="center"/>
          </w:tcPr>
          <w:p w14:paraId="529EFAEA" w14:textId="77777777" w:rsidR="00962A05" w:rsidRPr="00D20A90" w:rsidRDefault="00962A05" w:rsidP="00E67800">
            <w:pPr>
              <w:pStyle w:val="tabletext"/>
              <w:jc w:val="center"/>
              <w:rPr>
                <w:sz w:val="16"/>
                <w:szCs w:val="16"/>
              </w:rPr>
            </w:pPr>
            <w:r>
              <w:rPr>
                <w:sz w:val="16"/>
                <w:szCs w:val="16"/>
              </w:rPr>
              <w:t>-1,538</w:t>
            </w:r>
          </w:p>
        </w:tc>
        <w:tc>
          <w:tcPr>
            <w:tcW w:w="1061" w:type="dxa"/>
            <w:vAlign w:val="center"/>
          </w:tcPr>
          <w:p w14:paraId="380CD4C0" w14:textId="77777777" w:rsidR="00962A05" w:rsidRPr="00D20A90" w:rsidRDefault="00962A05" w:rsidP="00E67800">
            <w:pPr>
              <w:pStyle w:val="tabletext"/>
              <w:jc w:val="center"/>
              <w:rPr>
                <w:sz w:val="16"/>
                <w:szCs w:val="16"/>
              </w:rPr>
            </w:pPr>
            <w:r>
              <w:rPr>
                <w:sz w:val="16"/>
                <w:szCs w:val="16"/>
              </w:rPr>
              <w:t>209</w:t>
            </w:r>
          </w:p>
        </w:tc>
        <w:tc>
          <w:tcPr>
            <w:tcW w:w="1061" w:type="dxa"/>
            <w:vAlign w:val="center"/>
          </w:tcPr>
          <w:p w14:paraId="5F4A993F" w14:textId="77777777" w:rsidR="00962A05" w:rsidRPr="00D20A90" w:rsidRDefault="00962A05" w:rsidP="00E67800">
            <w:pPr>
              <w:pStyle w:val="tabletext"/>
              <w:jc w:val="center"/>
              <w:rPr>
                <w:sz w:val="16"/>
                <w:szCs w:val="16"/>
              </w:rPr>
            </w:pPr>
            <w:r>
              <w:rPr>
                <w:sz w:val="16"/>
                <w:szCs w:val="16"/>
              </w:rPr>
              <w:t>-756</w:t>
            </w:r>
          </w:p>
        </w:tc>
        <w:tc>
          <w:tcPr>
            <w:tcW w:w="1061" w:type="dxa"/>
            <w:vAlign w:val="center"/>
          </w:tcPr>
          <w:p w14:paraId="4BE5FB60" w14:textId="77777777" w:rsidR="00962A05" w:rsidRPr="00D20A90" w:rsidRDefault="00962A05" w:rsidP="00E67800">
            <w:pPr>
              <w:pStyle w:val="tabletext"/>
              <w:jc w:val="center"/>
              <w:rPr>
                <w:sz w:val="16"/>
                <w:szCs w:val="16"/>
              </w:rPr>
            </w:pPr>
            <w:r>
              <w:rPr>
                <w:sz w:val="16"/>
                <w:szCs w:val="16"/>
              </w:rPr>
              <w:t>1,329</w:t>
            </w:r>
          </w:p>
        </w:tc>
      </w:tr>
      <w:tr w:rsidR="00962A05" w:rsidRPr="001D55FE" w14:paraId="3005CD4F" w14:textId="77777777" w:rsidTr="00E67800">
        <w:tc>
          <w:tcPr>
            <w:tcW w:w="1061" w:type="dxa"/>
          </w:tcPr>
          <w:p w14:paraId="24C22992" w14:textId="77777777" w:rsidR="00962A05" w:rsidRPr="001D55FE" w:rsidRDefault="00962A05" w:rsidP="00E67800">
            <w:pPr>
              <w:pStyle w:val="tabletext"/>
              <w:rPr>
                <w:color w:val="FF0000"/>
                <w:sz w:val="16"/>
                <w:szCs w:val="16"/>
              </w:rPr>
            </w:pPr>
            <w:r w:rsidRPr="001D55FE">
              <w:rPr>
                <w:color w:val="FF0000"/>
                <w:sz w:val="16"/>
                <w:szCs w:val="16"/>
              </w:rPr>
              <w:t>Lower limb</w:t>
            </w:r>
          </w:p>
        </w:tc>
        <w:tc>
          <w:tcPr>
            <w:tcW w:w="1060" w:type="dxa"/>
            <w:vAlign w:val="center"/>
          </w:tcPr>
          <w:p w14:paraId="47C1850E" w14:textId="77777777" w:rsidR="00962A05" w:rsidRPr="001D55FE" w:rsidRDefault="00962A05" w:rsidP="00E67800">
            <w:pPr>
              <w:pStyle w:val="tabletext"/>
              <w:jc w:val="center"/>
              <w:rPr>
                <w:color w:val="FF0000"/>
                <w:sz w:val="16"/>
                <w:szCs w:val="16"/>
              </w:rPr>
            </w:pPr>
            <w:r w:rsidRPr="001D55FE">
              <w:rPr>
                <w:color w:val="FF0000"/>
                <w:sz w:val="16"/>
                <w:szCs w:val="16"/>
              </w:rPr>
              <w:t>-2,278</w:t>
            </w:r>
          </w:p>
        </w:tc>
        <w:tc>
          <w:tcPr>
            <w:tcW w:w="1061" w:type="dxa"/>
            <w:vAlign w:val="center"/>
          </w:tcPr>
          <w:p w14:paraId="661A3AB5" w14:textId="77777777" w:rsidR="00962A05" w:rsidRPr="001D55FE" w:rsidRDefault="00962A05" w:rsidP="00E67800">
            <w:pPr>
              <w:pStyle w:val="tabletext"/>
              <w:jc w:val="center"/>
              <w:rPr>
                <w:color w:val="FF0000"/>
                <w:sz w:val="16"/>
                <w:szCs w:val="16"/>
              </w:rPr>
            </w:pPr>
            <w:r w:rsidRPr="001D55FE">
              <w:rPr>
                <w:color w:val="FF0000"/>
                <w:sz w:val="16"/>
                <w:szCs w:val="16"/>
              </w:rPr>
              <w:t>-250</w:t>
            </w:r>
          </w:p>
        </w:tc>
        <w:tc>
          <w:tcPr>
            <w:tcW w:w="1061" w:type="dxa"/>
            <w:vAlign w:val="center"/>
          </w:tcPr>
          <w:p w14:paraId="174B1CAE" w14:textId="77777777" w:rsidR="00962A05" w:rsidRPr="001D55FE" w:rsidRDefault="00962A05" w:rsidP="00E67800">
            <w:pPr>
              <w:pStyle w:val="tabletext"/>
              <w:jc w:val="center"/>
              <w:rPr>
                <w:color w:val="FF0000"/>
                <w:sz w:val="16"/>
                <w:szCs w:val="16"/>
              </w:rPr>
            </w:pPr>
            <w:r w:rsidRPr="001D55FE">
              <w:rPr>
                <w:color w:val="FF0000"/>
                <w:sz w:val="16"/>
                <w:szCs w:val="16"/>
              </w:rPr>
              <w:t>-1,161</w:t>
            </w:r>
          </w:p>
        </w:tc>
        <w:tc>
          <w:tcPr>
            <w:tcW w:w="1061" w:type="dxa"/>
            <w:vAlign w:val="center"/>
          </w:tcPr>
          <w:p w14:paraId="3797FA68" w14:textId="77777777" w:rsidR="00962A05" w:rsidRPr="001D55FE" w:rsidRDefault="00962A05" w:rsidP="00E67800">
            <w:pPr>
              <w:pStyle w:val="tabletext"/>
              <w:jc w:val="center"/>
              <w:rPr>
                <w:color w:val="FF0000"/>
                <w:sz w:val="16"/>
                <w:szCs w:val="16"/>
              </w:rPr>
            </w:pPr>
            <w:r w:rsidRPr="001D55FE">
              <w:rPr>
                <w:color w:val="FF0000"/>
                <w:sz w:val="16"/>
                <w:szCs w:val="16"/>
              </w:rPr>
              <w:t>-1,544</w:t>
            </w:r>
          </w:p>
        </w:tc>
        <w:tc>
          <w:tcPr>
            <w:tcW w:w="1061" w:type="dxa"/>
            <w:vAlign w:val="center"/>
          </w:tcPr>
          <w:p w14:paraId="5C6E2E4A" w14:textId="77777777" w:rsidR="00962A05" w:rsidRPr="001D55FE" w:rsidRDefault="00962A05" w:rsidP="00E67800">
            <w:pPr>
              <w:pStyle w:val="tabletext"/>
              <w:jc w:val="center"/>
              <w:rPr>
                <w:color w:val="FF0000"/>
                <w:sz w:val="16"/>
                <w:szCs w:val="16"/>
              </w:rPr>
            </w:pPr>
            <w:r w:rsidRPr="001D55FE">
              <w:rPr>
                <w:color w:val="FF0000"/>
                <w:sz w:val="16"/>
                <w:szCs w:val="16"/>
              </w:rPr>
              <w:t>-2,691</w:t>
            </w:r>
          </w:p>
        </w:tc>
        <w:tc>
          <w:tcPr>
            <w:tcW w:w="1061" w:type="dxa"/>
            <w:vAlign w:val="center"/>
          </w:tcPr>
          <w:p w14:paraId="09F2A3CE" w14:textId="77777777" w:rsidR="00962A05" w:rsidRPr="001D55FE" w:rsidRDefault="00962A05" w:rsidP="00E67800">
            <w:pPr>
              <w:pStyle w:val="tabletext"/>
              <w:jc w:val="center"/>
              <w:rPr>
                <w:color w:val="FF0000"/>
                <w:sz w:val="16"/>
                <w:szCs w:val="16"/>
              </w:rPr>
            </w:pPr>
            <w:r w:rsidRPr="001D55FE">
              <w:rPr>
                <w:color w:val="FF0000"/>
                <w:sz w:val="16"/>
                <w:szCs w:val="16"/>
              </w:rPr>
              <w:t>1,148</w:t>
            </w:r>
          </w:p>
        </w:tc>
        <w:tc>
          <w:tcPr>
            <w:tcW w:w="1061" w:type="dxa"/>
            <w:vAlign w:val="center"/>
          </w:tcPr>
          <w:p w14:paraId="3C82BDEC" w14:textId="77777777" w:rsidR="00962A05" w:rsidRPr="001D55FE" w:rsidRDefault="00962A05" w:rsidP="00E67800">
            <w:pPr>
              <w:pStyle w:val="tabletext"/>
              <w:jc w:val="center"/>
              <w:rPr>
                <w:color w:val="FF0000"/>
                <w:sz w:val="16"/>
                <w:szCs w:val="16"/>
              </w:rPr>
            </w:pPr>
            <w:r w:rsidRPr="001D55FE">
              <w:rPr>
                <w:color w:val="FF0000"/>
                <w:sz w:val="16"/>
                <w:szCs w:val="16"/>
              </w:rPr>
              <w:t>-396</w:t>
            </w:r>
          </w:p>
        </w:tc>
        <w:tc>
          <w:tcPr>
            <w:tcW w:w="1061" w:type="dxa"/>
            <w:vAlign w:val="center"/>
          </w:tcPr>
          <w:p w14:paraId="7EBCE763" w14:textId="77777777" w:rsidR="00962A05" w:rsidRPr="001D55FE" w:rsidRDefault="00962A05" w:rsidP="00E67800">
            <w:pPr>
              <w:pStyle w:val="tabletext"/>
              <w:jc w:val="center"/>
              <w:rPr>
                <w:color w:val="FF0000"/>
                <w:sz w:val="16"/>
                <w:szCs w:val="16"/>
              </w:rPr>
            </w:pPr>
            <w:r w:rsidRPr="001D55FE">
              <w:rPr>
                <w:color w:val="FF0000"/>
                <w:sz w:val="16"/>
                <w:szCs w:val="16"/>
              </w:rPr>
              <w:t>-1,543</w:t>
            </w:r>
          </w:p>
        </w:tc>
      </w:tr>
      <w:tr w:rsidR="00962A05" w:rsidRPr="00D20A90" w14:paraId="663D75F1" w14:textId="77777777" w:rsidTr="00E67800">
        <w:tc>
          <w:tcPr>
            <w:tcW w:w="1061" w:type="dxa"/>
          </w:tcPr>
          <w:p w14:paraId="69A20B6A" w14:textId="77777777" w:rsidR="00962A05" w:rsidRPr="00D20A90" w:rsidRDefault="00962A05" w:rsidP="00E67800">
            <w:pPr>
              <w:pStyle w:val="tabletext"/>
              <w:rPr>
                <w:sz w:val="16"/>
                <w:szCs w:val="16"/>
              </w:rPr>
            </w:pPr>
            <w:r>
              <w:rPr>
                <w:sz w:val="16"/>
                <w:szCs w:val="16"/>
              </w:rPr>
              <w:t>Spine</w:t>
            </w:r>
          </w:p>
        </w:tc>
        <w:tc>
          <w:tcPr>
            <w:tcW w:w="1060" w:type="dxa"/>
            <w:vAlign w:val="center"/>
          </w:tcPr>
          <w:p w14:paraId="089CD8CC" w14:textId="77777777" w:rsidR="00962A05" w:rsidRPr="00D20A90" w:rsidRDefault="00962A05" w:rsidP="00E67800">
            <w:pPr>
              <w:pStyle w:val="tabletext"/>
              <w:jc w:val="center"/>
              <w:rPr>
                <w:sz w:val="16"/>
                <w:szCs w:val="16"/>
              </w:rPr>
            </w:pPr>
            <w:r>
              <w:rPr>
                <w:sz w:val="16"/>
                <w:szCs w:val="16"/>
              </w:rPr>
              <w:t>1,074</w:t>
            </w:r>
          </w:p>
        </w:tc>
        <w:tc>
          <w:tcPr>
            <w:tcW w:w="1061" w:type="dxa"/>
            <w:vAlign w:val="center"/>
          </w:tcPr>
          <w:p w14:paraId="0435C42F" w14:textId="77777777" w:rsidR="00962A05" w:rsidRPr="00D20A90" w:rsidRDefault="00962A05" w:rsidP="00E67800">
            <w:pPr>
              <w:pStyle w:val="tabletext"/>
              <w:jc w:val="center"/>
              <w:rPr>
                <w:sz w:val="16"/>
                <w:szCs w:val="16"/>
              </w:rPr>
            </w:pPr>
            <w:r>
              <w:rPr>
                <w:sz w:val="16"/>
                <w:szCs w:val="16"/>
              </w:rPr>
              <w:t>-595</w:t>
            </w:r>
          </w:p>
        </w:tc>
        <w:tc>
          <w:tcPr>
            <w:tcW w:w="1061" w:type="dxa"/>
            <w:vAlign w:val="center"/>
          </w:tcPr>
          <w:p w14:paraId="1DB3E9C9" w14:textId="77777777" w:rsidR="00962A05" w:rsidRPr="00D20A90" w:rsidRDefault="00962A05" w:rsidP="00E67800">
            <w:pPr>
              <w:pStyle w:val="tabletext"/>
              <w:jc w:val="center"/>
              <w:rPr>
                <w:sz w:val="16"/>
                <w:szCs w:val="16"/>
              </w:rPr>
            </w:pPr>
            <w:r>
              <w:rPr>
                <w:sz w:val="16"/>
                <w:szCs w:val="16"/>
              </w:rPr>
              <w:t>-595</w:t>
            </w:r>
          </w:p>
        </w:tc>
        <w:tc>
          <w:tcPr>
            <w:tcW w:w="1061" w:type="dxa"/>
            <w:vAlign w:val="center"/>
          </w:tcPr>
          <w:p w14:paraId="1A1C8C07" w14:textId="77777777" w:rsidR="00962A05" w:rsidRPr="00D20A90" w:rsidRDefault="00962A05" w:rsidP="00E67800">
            <w:pPr>
              <w:pStyle w:val="tabletext"/>
              <w:jc w:val="center"/>
              <w:rPr>
                <w:sz w:val="16"/>
                <w:szCs w:val="16"/>
              </w:rPr>
            </w:pPr>
            <w:r>
              <w:rPr>
                <w:sz w:val="16"/>
                <w:szCs w:val="16"/>
              </w:rPr>
              <w:t>-708</w:t>
            </w:r>
          </w:p>
        </w:tc>
        <w:tc>
          <w:tcPr>
            <w:tcW w:w="1061" w:type="dxa"/>
            <w:vAlign w:val="center"/>
          </w:tcPr>
          <w:p w14:paraId="5434B15F" w14:textId="77777777" w:rsidR="00962A05" w:rsidRPr="00D20A90" w:rsidRDefault="00962A05" w:rsidP="00E67800">
            <w:pPr>
              <w:pStyle w:val="tabletext"/>
              <w:jc w:val="center"/>
              <w:rPr>
                <w:sz w:val="16"/>
                <w:szCs w:val="16"/>
              </w:rPr>
            </w:pPr>
            <w:r>
              <w:rPr>
                <w:sz w:val="16"/>
                <w:szCs w:val="16"/>
              </w:rPr>
              <w:t>-1,047</w:t>
            </w:r>
          </w:p>
        </w:tc>
        <w:tc>
          <w:tcPr>
            <w:tcW w:w="1061" w:type="dxa"/>
            <w:vAlign w:val="center"/>
          </w:tcPr>
          <w:p w14:paraId="048578A2" w14:textId="77777777" w:rsidR="00962A05" w:rsidRPr="00D20A90" w:rsidRDefault="00962A05" w:rsidP="00E67800">
            <w:pPr>
              <w:pStyle w:val="tabletext"/>
              <w:jc w:val="center"/>
              <w:rPr>
                <w:sz w:val="16"/>
                <w:szCs w:val="16"/>
              </w:rPr>
            </w:pPr>
            <w:r>
              <w:rPr>
                <w:sz w:val="16"/>
                <w:szCs w:val="16"/>
              </w:rPr>
              <w:t>44</w:t>
            </w:r>
          </w:p>
        </w:tc>
        <w:tc>
          <w:tcPr>
            <w:tcW w:w="1061" w:type="dxa"/>
            <w:vAlign w:val="center"/>
          </w:tcPr>
          <w:p w14:paraId="0F71A0A4" w14:textId="77777777" w:rsidR="00962A05" w:rsidRPr="00D20A90" w:rsidRDefault="00962A05" w:rsidP="00E67800">
            <w:pPr>
              <w:pStyle w:val="tabletext"/>
              <w:jc w:val="center"/>
              <w:rPr>
                <w:sz w:val="16"/>
                <w:szCs w:val="16"/>
              </w:rPr>
            </w:pPr>
            <w:r>
              <w:rPr>
                <w:sz w:val="16"/>
                <w:szCs w:val="16"/>
              </w:rPr>
              <w:t>-664</w:t>
            </w:r>
          </w:p>
        </w:tc>
        <w:tc>
          <w:tcPr>
            <w:tcW w:w="1061" w:type="dxa"/>
            <w:vAlign w:val="center"/>
          </w:tcPr>
          <w:p w14:paraId="152C797D" w14:textId="77777777" w:rsidR="00962A05" w:rsidRPr="00D20A90" w:rsidRDefault="00962A05" w:rsidP="00E67800">
            <w:pPr>
              <w:pStyle w:val="tabletext"/>
              <w:jc w:val="center"/>
              <w:rPr>
                <w:sz w:val="16"/>
                <w:szCs w:val="16"/>
              </w:rPr>
            </w:pPr>
            <w:r>
              <w:rPr>
                <w:sz w:val="16"/>
                <w:szCs w:val="16"/>
              </w:rPr>
              <w:t>-1,003</w:t>
            </w:r>
          </w:p>
        </w:tc>
      </w:tr>
      <w:tr w:rsidR="00962A05" w:rsidRPr="00D20A90" w14:paraId="0CC0866D" w14:textId="77777777" w:rsidTr="00E67800">
        <w:tc>
          <w:tcPr>
            <w:tcW w:w="1061" w:type="dxa"/>
          </w:tcPr>
          <w:p w14:paraId="5EE28DF8" w14:textId="77777777" w:rsidR="00962A05" w:rsidRPr="00D20A90" w:rsidRDefault="00962A05" w:rsidP="00E67800">
            <w:pPr>
              <w:pStyle w:val="tabletext"/>
              <w:rPr>
                <w:sz w:val="16"/>
                <w:szCs w:val="16"/>
              </w:rPr>
            </w:pPr>
            <w:r>
              <w:rPr>
                <w:sz w:val="16"/>
                <w:szCs w:val="16"/>
              </w:rPr>
              <w:t xml:space="preserve">Other </w:t>
            </w:r>
          </w:p>
        </w:tc>
        <w:tc>
          <w:tcPr>
            <w:tcW w:w="1060" w:type="dxa"/>
            <w:vAlign w:val="center"/>
          </w:tcPr>
          <w:p w14:paraId="346D40C1" w14:textId="77777777" w:rsidR="00962A05" w:rsidRPr="00D20A90" w:rsidRDefault="00962A05" w:rsidP="00E67800">
            <w:pPr>
              <w:pStyle w:val="tabletext"/>
              <w:jc w:val="center"/>
              <w:rPr>
                <w:sz w:val="16"/>
                <w:szCs w:val="16"/>
              </w:rPr>
            </w:pPr>
            <w:r>
              <w:rPr>
                <w:sz w:val="16"/>
                <w:szCs w:val="16"/>
              </w:rPr>
              <w:t>-198</w:t>
            </w:r>
          </w:p>
        </w:tc>
        <w:tc>
          <w:tcPr>
            <w:tcW w:w="1061" w:type="dxa"/>
            <w:vAlign w:val="center"/>
          </w:tcPr>
          <w:p w14:paraId="5E5A07E6" w14:textId="77777777" w:rsidR="00962A05" w:rsidRPr="00D20A90" w:rsidRDefault="00962A05" w:rsidP="00E67800">
            <w:pPr>
              <w:pStyle w:val="tabletext"/>
              <w:jc w:val="center"/>
              <w:rPr>
                <w:sz w:val="16"/>
                <w:szCs w:val="16"/>
              </w:rPr>
            </w:pPr>
            <w:r>
              <w:rPr>
                <w:sz w:val="16"/>
                <w:szCs w:val="16"/>
              </w:rPr>
              <w:t>-254</w:t>
            </w:r>
          </w:p>
        </w:tc>
        <w:tc>
          <w:tcPr>
            <w:tcW w:w="1061" w:type="dxa"/>
            <w:vAlign w:val="center"/>
          </w:tcPr>
          <w:p w14:paraId="3EEDEFF3" w14:textId="77777777" w:rsidR="00962A05" w:rsidRPr="00D20A90" w:rsidRDefault="00962A05" w:rsidP="00E67800">
            <w:pPr>
              <w:pStyle w:val="tabletext"/>
              <w:jc w:val="center"/>
              <w:rPr>
                <w:sz w:val="16"/>
                <w:szCs w:val="16"/>
              </w:rPr>
            </w:pPr>
            <w:r>
              <w:rPr>
                <w:sz w:val="16"/>
                <w:szCs w:val="16"/>
              </w:rPr>
              <w:t>-333</w:t>
            </w:r>
          </w:p>
        </w:tc>
        <w:tc>
          <w:tcPr>
            <w:tcW w:w="1061" w:type="dxa"/>
            <w:vAlign w:val="center"/>
          </w:tcPr>
          <w:p w14:paraId="491B1E9C" w14:textId="77777777" w:rsidR="00962A05" w:rsidRPr="00D20A90" w:rsidRDefault="00962A05" w:rsidP="00E67800">
            <w:pPr>
              <w:pStyle w:val="tabletext"/>
              <w:jc w:val="center"/>
              <w:rPr>
                <w:sz w:val="16"/>
                <w:szCs w:val="16"/>
              </w:rPr>
            </w:pPr>
            <w:r>
              <w:rPr>
                <w:sz w:val="16"/>
                <w:szCs w:val="16"/>
              </w:rPr>
              <w:t>-347</w:t>
            </w:r>
          </w:p>
        </w:tc>
        <w:tc>
          <w:tcPr>
            <w:tcW w:w="1061" w:type="dxa"/>
            <w:vAlign w:val="center"/>
          </w:tcPr>
          <w:p w14:paraId="30721EA4" w14:textId="77777777" w:rsidR="00962A05" w:rsidRPr="00D20A90" w:rsidRDefault="00962A05" w:rsidP="00E67800">
            <w:pPr>
              <w:pStyle w:val="tabletext"/>
              <w:jc w:val="center"/>
              <w:rPr>
                <w:sz w:val="16"/>
                <w:szCs w:val="16"/>
              </w:rPr>
            </w:pPr>
            <w:r>
              <w:rPr>
                <w:sz w:val="16"/>
                <w:szCs w:val="16"/>
              </w:rPr>
              <w:t>-390</w:t>
            </w:r>
          </w:p>
        </w:tc>
        <w:tc>
          <w:tcPr>
            <w:tcW w:w="1061" w:type="dxa"/>
            <w:vAlign w:val="center"/>
          </w:tcPr>
          <w:p w14:paraId="250E367F" w14:textId="77777777" w:rsidR="00962A05" w:rsidRPr="00D20A90" w:rsidRDefault="00962A05" w:rsidP="00E67800">
            <w:pPr>
              <w:pStyle w:val="tabletext"/>
              <w:jc w:val="center"/>
              <w:rPr>
                <w:sz w:val="16"/>
                <w:szCs w:val="16"/>
              </w:rPr>
            </w:pPr>
            <w:r>
              <w:rPr>
                <w:sz w:val="16"/>
                <w:szCs w:val="16"/>
              </w:rPr>
              <w:t>0</w:t>
            </w:r>
          </w:p>
        </w:tc>
        <w:tc>
          <w:tcPr>
            <w:tcW w:w="1061" w:type="dxa"/>
            <w:vAlign w:val="center"/>
          </w:tcPr>
          <w:p w14:paraId="2D4D7377" w14:textId="77777777" w:rsidR="00962A05" w:rsidRPr="00D20A90" w:rsidRDefault="00962A05" w:rsidP="00E67800">
            <w:pPr>
              <w:pStyle w:val="tabletext"/>
              <w:jc w:val="center"/>
              <w:rPr>
                <w:sz w:val="16"/>
                <w:szCs w:val="16"/>
              </w:rPr>
            </w:pPr>
            <w:r>
              <w:rPr>
                <w:sz w:val="16"/>
                <w:szCs w:val="16"/>
              </w:rPr>
              <w:t>-347</w:t>
            </w:r>
          </w:p>
        </w:tc>
        <w:tc>
          <w:tcPr>
            <w:tcW w:w="1061" w:type="dxa"/>
            <w:vAlign w:val="center"/>
          </w:tcPr>
          <w:p w14:paraId="0F536118" w14:textId="77777777" w:rsidR="00962A05" w:rsidRPr="00D20A90" w:rsidRDefault="00962A05" w:rsidP="00E67800">
            <w:pPr>
              <w:pStyle w:val="tabletext"/>
              <w:jc w:val="center"/>
              <w:rPr>
                <w:sz w:val="16"/>
                <w:szCs w:val="16"/>
              </w:rPr>
            </w:pPr>
            <w:r>
              <w:rPr>
                <w:sz w:val="16"/>
                <w:szCs w:val="16"/>
              </w:rPr>
              <w:t>-390</w:t>
            </w:r>
          </w:p>
        </w:tc>
      </w:tr>
    </w:tbl>
    <w:p w14:paraId="37FAFED0" w14:textId="77777777" w:rsidR="00962A05" w:rsidRDefault="00962A05" w:rsidP="00B74DF7"/>
    <w:p w14:paraId="4EBEA0B7" w14:textId="77777777" w:rsidR="00962A05" w:rsidRDefault="00962A05" w:rsidP="00B74DF7">
      <w:r>
        <w:t xml:space="preserve">From this table, against lower limb capacity shortfalls dominate both in 25/26 (shown in blue) and projected forward 2028/29, where, if the higher level of growth is realised, demand could exceed capacity by over 1,500 cases per annum for lower limb surgery. </w:t>
      </w:r>
    </w:p>
    <w:p w14:paraId="3AF36DF5" w14:textId="125ABFDB" w:rsidR="006F4DBE" w:rsidRDefault="00962A05" w:rsidP="00B74DF7">
      <w:r>
        <w:t xml:space="preserve">The proposed solution our LHP is to build 6 theatres and 54 supporting beds that will form a regional primary arthroplasty hub.  The Unit is planned to operate in line with GiRFT performance standards which would see delivery of 4 joints per day, at 5 days per week (although weekend working could become an option) over 48 weeks of the year.  This would give additional capacity of 960 cases per theatre, a total of 5,760 cases per annum.   </w:t>
      </w:r>
    </w:p>
    <w:p w14:paraId="1D0C6BD7" w14:textId="3AC085F5" w:rsidR="00962A05" w:rsidRDefault="58670D6B" w:rsidP="00B74DF7">
      <w:r w:rsidRPr="00CB4ED1">
        <w:t>The LHP facility will be utilised to undertake both core and additional capacity for CTM</w:t>
      </w:r>
      <w:r w:rsidR="4AAAD276" w:rsidRPr="00CB4ED1">
        <w:t>UHB</w:t>
      </w:r>
      <w:r w:rsidRPr="00CB4ED1">
        <w:t xml:space="preserve"> and additional capacity for the region. For CTM</w:t>
      </w:r>
      <w:r w:rsidR="18809596" w:rsidRPr="00CB4ED1">
        <w:t>UHB</w:t>
      </w:r>
      <w:r w:rsidRPr="00CB4ED1">
        <w:t xml:space="preserve"> there are significant efficiencies in co-locating with orthopaedic theatres in terms of </w:t>
      </w:r>
      <w:r w:rsidR="00962A05">
        <w:t xml:space="preserve">improved performance, workforce efficiencies as well as benefits in </w:t>
      </w:r>
      <w:r w:rsidRPr="00CB4ED1">
        <w:t>plant and infrastructure.</w:t>
      </w:r>
      <w:r w:rsidR="00962A05">
        <w:t xml:space="preserve"> As a </w:t>
      </w:r>
      <w:proofErr w:type="gramStart"/>
      <w:r w:rsidR="00962A05">
        <w:t>result</w:t>
      </w:r>
      <w:proofErr w:type="gramEnd"/>
      <w:r w:rsidR="00962A05">
        <w:t xml:space="preserve"> the three theatres currently providing orthopaedic surgery at Princess of Wales Hospital (POWH) are proposed to transfer to LHP on opening, </w:t>
      </w:r>
      <w:proofErr w:type="spellStart"/>
      <w:r w:rsidR="00962A05">
        <w:t>givinga</w:t>
      </w:r>
      <w:proofErr w:type="spellEnd"/>
      <w:r w:rsidR="00962A05">
        <w:t xml:space="preserve"> further 3 theatres for additional regional activity. </w:t>
      </w:r>
    </w:p>
    <w:p w14:paraId="568BC5C5" w14:textId="3382D4F4" w:rsidR="001A42C9" w:rsidRPr="00CB4ED1" w:rsidRDefault="001A42C9" w:rsidP="001A42C9">
      <w:r w:rsidRPr="00CB4ED1">
        <w:t xml:space="preserve">Alongside the additional capacity created by LHP, the transfer of primary arthroplasty activity from </w:t>
      </w:r>
      <w:r>
        <w:t xml:space="preserve">the current 3 </w:t>
      </w:r>
      <w:r w:rsidRPr="00CB4ED1">
        <w:t xml:space="preserve">CTM theatres to LHP will enable the further development of sustainable orthopaedic services within the South East Wales Region.  </w:t>
      </w:r>
      <w:r>
        <w:t>S</w:t>
      </w:r>
      <w:r w:rsidRPr="00CB4ED1">
        <w:t>ince the roof works completed at P</w:t>
      </w:r>
      <w:r>
        <w:t>rincess of Wales Hospital (P</w:t>
      </w:r>
      <w:r w:rsidRPr="00CB4ED1">
        <w:t>OWH</w:t>
      </w:r>
      <w:r>
        <w:t>)</w:t>
      </w:r>
      <w:r w:rsidRPr="00CB4ED1">
        <w:t xml:space="preserve">, CTM </w:t>
      </w:r>
      <w:r>
        <w:t>elective orthopaedic</w:t>
      </w:r>
      <w:r w:rsidRPr="00CB4ED1">
        <w:t xml:space="preserve"> activity has transferred to POWH where it is being used as an early implementer site for the LHP pathway.  The transfer of this activity to LHP will not only support the delivery of improved efficiencies within the service but will also offer up three theatres capacity to the overarching orthopaedic programme.  </w:t>
      </w:r>
    </w:p>
    <w:p w14:paraId="4B2EEB3C" w14:textId="77777777" w:rsidR="001A42C9" w:rsidRPr="00CB4ED1" w:rsidRDefault="001A42C9" w:rsidP="001A42C9">
      <w:pPr>
        <w:rPr>
          <w:rFonts w:cs="Arial"/>
        </w:rPr>
      </w:pPr>
      <w:r w:rsidRPr="00CB4ED1">
        <w:rPr>
          <w:rFonts w:cs="Arial"/>
        </w:rPr>
        <w:t xml:space="preserve">The focus on this OBC has been the development of additional capacity for the arthroplasty pathway through the creation of infrastructure to support HVLC primary arthroplasty surgery at LHP.  However, the regional orthopaedic plan identifies additional orthopaedic specialities that are also under pressure.  In looking at the numbers in table </w:t>
      </w:r>
      <w:r>
        <w:rPr>
          <w:rFonts w:cs="Arial"/>
        </w:rPr>
        <w:t>5 above</w:t>
      </w:r>
      <w:r w:rsidRPr="00CB4ED1">
        <w:rPr>
          <w:rFonts w:cs="Arial"/>
        </w:rPr>
        <w:t xml:space="preserve"> </w:t>
      </w:r>
      <w:proofErr w:type="gramStart"/>
      <w:r w:rsidRPr="00CB4ED1">
        <w:rPr>
          <w:rFonts w:cs="Arial"/>
        </w:rPr>
        <w:t>it is clear that further</w:t>
      </w:r>
      <w:proofErr w:type="gramEnd"/>
      <w:r w:rsidRPr="00CB4ED1">
        <w:rPr>
          <w:rFonts w:cs="Arial"/>
        </w:rPr>
        <w:t xml:space="preserve"> capacity is required to support treatment pathways for arthroplasty revisions, upper limb, hand and foot and ankle surgery.  </w:t>
      </w:r>
    </w:p>
    <w:p w14:paraId="62034060" w14:textId="77777777" w:rsidR="001A42C9" w:rsidRPr="00CB4ED1" w:rsidRDefault="001A42C9" w:rsidP="001A42C9">
      <w:pPr>
        <w:rPr>
          <w:rFonts w:cs="Arial"/>
        </w:rPr>
      </w:pPr>
      <w:r w:rsidRPr="00CB4ED1">
        <w:rPr>
          <w:rFonts w:cs="Arial"/>
        </w:rPr>
        <w:t xml:space="preserve">From an overall systems viewpoint the capacity released at POWH has the ability to meet this, however it is recognised that a whole systems approach will need to be adopted as to how capacity should be </w:t>
      </w:r>
      <w:proofErr w:type="gramStart"/>
      <w:r w:rsidRPr="00CB4ED1">
        <w:rPr>
          <w:rFonts w:cs="Arial"/>
        </w:rPr>
        <w:t>managed</w:t>
      </w:r>
      <w:proofErr w:type="gramEnd"/>
      <w:r w:rsidRPr="00CB4ED1">
        <w:rPr>
          <w:rFonts w:cs="Arial"/>
        </w:rPr>
        <w:t xml:space="preserve"> and services provided across the region.  </w:t>
      </w:r>
    </w:p>
    <w:p w14:paraId="1D22E8C8" w14:textId="77777777" w:rsidR="00441E9C" w:rsidRDefault="001A42C9" w:rsidP="001A42C9">
      <w:pPr>
        <w:rPr>
          <w:rFonts w:cs="Arial"/>
        </w:rPr>
      </w:pPr>
      <w:r w:rsidRPr="00CB4ED1">
        <w:rPr>
          <w:rFonts w:cs="Arial"/>
        </w:rPr>
        <w:t xml:space="preserve">How the CTM capacity released through the transfer of arthroplasty to LHP can support further regional reconfiguration for other orthopaedic specialities will be explored in the second phase of the regional orthopaedic plan.  </w:t>
      </w:r>
    </w:p>
    <w:p w14:paraId="31C98C13" w14:textId="3FBBA7D8" w:rsidR="001A42C9" w:rsidRPr="00CB4ED1" w:rsidRDefault="001A42C9" w:rsidP="001A42C9">
      <w:pPr>
        <w:rPr>
          <w:rFonts w:cs="Arial"/>
        </w:rPr>
      </w:pPr>
      <w:r w:rsidRPr="00CB4ED1">
        <w:rPr>
          <w:rFonts w:cs="Arial"/>
        </w:rPr>
        <w:lastRenderedPageBreak/>
        <w:t xml:space="preserve">However, </w:t>
      </w:r>
      <w:proofErr w:type="gramStart"/>
      <w:r w:rsidRPr="00CB4ED1">
        <w:rPr>
          <w:rFonts w:cs="Arial"/>
        </w:rPr>
        <w:t>it is clear that this</w:t>
      </w:r>
      <w:proofErr w:type="gramEnd"/>
      <w:r w:rsidRPr="00CB4ED1">
        <w:rPr>
          <w:rFonts w:cs="Arial"/>
        </w:rPr>
        <w:t xml:space="preserve"> is a further beneficial opportunity from the LHP Hub and the centralisation of primary arthroplasty at LHP.  The outputs and resources associated with the use of this capacity sit outside the scope of this OBC but will be part of the regional orthopaedics plan. </w:t>
      </w:r>
    </w:p>
    <w:p w14:paraId="1A5170C2" w14:textId="6AEE217A" w:rsidR="00E53CBD" w:rsidRPr="00CB4ED1" w:rsidRDefault="58670D6B" w:rsidP="00B74DF7">
      <w:r w:rsidRPr="00CB4ED1">
        <w:t xml:space="preserve">The benefits in location of the unit should see much improved </w:t>
      </w:r>
      <w:r w:rsidR="004C4F64" w:rsidRPr="00CB4ED1">
        <w:t xml:space="preserve">reduced length of stay for lower limb arthroplasty </w:t>
      </w:r>
      <w:r w:rsidRPr="00CB4ED1">
        <w:t xml:space="preserve">and an improved patient experience. The proposal would be to offer capacity to regional partners and develop a collaborative model of regional </w:t>
      </w:r>
      <w:r w:rsidR="009F7FFE" w:rsidRPr="00CB4ED1">
        <w:t>lower limb arthroplasty</w:t>
      </w:r>
      <w:r w:rsidRPr="00CB4ED1">
        <w:t xml:space="preserve"> service delivery.</w:t>
      </w:r>
    </w:p>
    <w:p w14:paraId="1C10D235" w14:textId="77777777" w:rsidR="00B74DF7" w:rsidRPr="00CB4ED1" w:rsidRDefault="00B74DF7" w:rsidP="001C02CC">
      <w:pPr>
        <w:pStyle w:val="NoSpacing"/>
      </w:pPr>
    </w:p>
    <w:p w14:paraId="5F6B683D" w14:textId="6886B3E5" w:rsidR="00E53CBD" w:rsidRPr="00CB4ED1" w:rsidRDefault="58670D6B" w:rsidP="7BC26A31">
      <w:pPr>
        <w:pStyle w:val="Heading2"/>
        <w:rPr>
          <w:rFonts w:ascii="Arial" w:eastAsia="Arial" w:hAnsi="Arial" w:cs="Arial"/>
          <w:szCs w:val="32"/>
        </w:rPr>
      </w:pPr>
      <w:bookmarkStart w:id="10" w:name="_Toc213865201"/>
      <w:r w:rsidRPr="00CB4ED1">
        <w:t>Economic Case</w:t>
      </w:r>
      <w:bookmarkEnd w:id="10"/>
    </w:p>
    <w:p w14:paraId="603B5DD0" w14:textId="634192E9" w:rsidR="0F65307C" w:rsidRDefault="00FD5A7C" w:rsidP="00441E9C">
      <w:pPr>
        <w:pStyle w:val="Heading4"/>
      </w:pPr>
      <w:r w:rsidRPr="00FD5A7C">
        <w:t xml:space="preserve">Options </w:t>
      </w:r>
      <w:r w:rsidR="00441E9C" w:rsidRPr="00FD5A7C">
        <w:t>identification</w:t>
      </w:r>
    </w:p>
    <w:p w14:paraId="7A5AD4D3" w14:textId="77777777" w:rsidR="000557A7" w:rsidRPr="00CB4ED1" w:rsidRDefault="000557A7" w:rsidP="000557A7">
      <w:r w:rsidRPr="00CB4ED1">
        <w:t xml:space="preserve">The purpose of the Options Analysis is to identify and appraise the options for the delivery of project and to recommend the option that is most likely to offer best value for money. </w:t>
      </w:r>
    </w:p>
    <w:p w14:paraId="09A3AC86" w14:textId="77777777" w:rsidR="000557A7" w:rsidRPr="00CB4ED1" w:rsidRDefault="000557A7" w:rsidP="000557A7">
      <w:r w:rsidRPr="00CB4ED1">
        <w:t xml:space="preserve">However, in this instance this section will not undertake a traditional options appraisal using the business case framework, which is an approach that has been agreed with colleagues in the Capital and Estates team in Welsh Government (WG).  </w:t>
      </w:r>
    </w:p>
    <w:p w14:paraId="5E2962C3" w14:textId="77777777" w:rsidR="00C52154" w:rsidRPr="00CB4ED1" w:rsidRDefault="00C52154" w:rsidP="00C52154">
      <w:r w:rsidRPr="00CB4ED1">
        <w:t xml:space="preserve">The reasons for this centre on the fact that on purchase of the site a case for purchase was prepared and resulted in approval of capital funds to enable the same. The funding was made on the condition that CTM collaborated with other NHS organisations to develop the site as part of a regional approach to the delivery of services. Therefore, consideration of alternative site options is not relevant. </w:t>
      </w:r>
    </w:p>
    <w:p w14:paraId="3965D67B" w14:textId="77777777" w:rsidR="000D6186" w:rsidRPr="00CB4ED1" w:rsidRDefault="000D6186" w:rsidP="000D6186">
      <w:r w:rsidRPr="00CB4ED1">
        <w:t xml:space="preserve">The services included at this business case stage are the same as those included in the original case for the purchase of the site, with some small changes to the numbers of the same, in line with demand and capacity modelling provided in Section 3 of this case. In addition, after purchase, regional partners were asked to nominate desired alternative or additional services to be included at LHP; no changes or additions to the scope of services were requested or proposed at this time.  </w:t>
      </w:r>
    </w:p>
    <w:p w14:paraId="6B50E90D" w14:textId="12E1F4B1" w:rsidR="00FD5A7C" w:rsidRPr="00FD5A7C" w:rsidRDefault="000D6186" w:rsidP="000D6186">
      <w:pPr>
        <w:spacing w:before="240"/>
        <w:rPr>
          <w:rFonts w:eastAsia="Arial" w:cs="Arial"/>
          <w:b/>
          <w:bCs/>
        </w:rPr>
      </w:pPr>
      <w:r w:rsidRPr="00CB4ED1">
        <w:t xml:space="preserve">As a result, this section will not consider alternative options for service change with the scope and scale having been proven in the sections above. In addition, following WG approvals, design work has already progressed beyond the traditional stage for an OBC, with WG approval to proceed to RIBA 3 given in December 2024. It should be noted that the current design leaves most of the site’s </w:t>
      </w:r>
      <w:r w:rsidRPr="00CB4ED1">
        <w:rPr>
          <w:i/>
          <w:iCs/>
        </w:rPr>
        <w:t>plateau area</w:t>
      </w:r>
      <w:r w:rsidRPr="00CB4ED1">
        <w:t xml:space="preserve"> un-developed which could support a further phase of expansion</w:t>
      </w:r>
    </w:p>
    <w:p w14:paraId="06FFE3B5" w14:textId="77777777" w:rsidR="000D1118" w:rsidRPr="00CB4ED1" w:rsidRDefault="000D1118" w:rsidP="000D1118">
      <w:pPr>
        <w:rPr>
          <w:rFonts w:eastAsiaTheme="minorEastAsia"/>
        </w:rPr>
      </w:pPr>
      <w:r w:rsidRPr="00CB4ED1">
        <w:t>Finally, a main contractor for completion of the design phase was appointed on 28 March 2025.  This appointment was made after a lengthy tender process utilising the Crown Commercial Services Framework under 2 lots to encourage bidders fro</w:t>
      </w:r>
      <w:r w:rsidRPr="00CB4ED1">
        <w:rPr>
          <w:rFonts w:eastAsiaTheme="minorEastAsia"/>
        </w:rPr>
        <w:t xml:space="preserve">m both pure modular and other </w:t>
      </w:r>
      <w:proofErr w:type="gramStart"/>
      <w:r w:rsidRPr="00CB4ED1">
        <w:rPr>
          <w:rFonts w:eastAsiaTheme="minorEastAsia"/>
        </w:rPr>
        <w:t>off site</w:t>
      </w:r>
      <w:proofErr w:type="gramEnd"/>
      <w:r w:rsidRPr="00CB4ED1">
        <w:rPr>
          <w:rFonts w:eastAsiaTheme="minorEastAsia"/>
        </w:rPr>
        <w:t xml:space="preserve"> construction backgrounds to develop the more beneficial construction solution for LHP.  </w:t>
      </w:r>
    </w:p>
    <w:p w14:paraId="677ED009" w14:textId="5A823E2E" w:rsidR="000D1118" w:rsidRPr="000D1118" w:rsidRDefault="000D1118" w:rsidP="001D262E">
      <w:r w:rsidRPr="00CB4ED1">
        <w:rPr>
          <w:rFonts w:eastAsiaTheme="minorEastAsia"/>
        </w:rPr>
        <w:t xml:space="preserve">The tender process demonstrated a modular form of MMC was preferred and WG approval to </w:t>
      </w:r>
      <w:proofErr w:type="gramStart"/>
      <w:r w:rsidRPr="00CB4ED1">
        <w:rPr>
          <w:rFonts w:eastAsiaTheme="minorEastAsia"/>
        </w:rPr>
        <w:t>enter into</w:t>
      </w:r>
      <w:proofErr w:type="gramEnd"/>
      <w:r w:rsidRPr="00CB4ED1">
        <w:rPr>
          <w:rFonts w:eastAsiaTheme="minorEastAsia"/>
        </w:rPr>
        <w:t xml:space="preserve"> the design contract was received on 14 March 2025.  As a result, the build methodology has also been fully determined. </w:t>
      </w:r>
      <w:r w:rsidRPr="00CB4ED1">
        <w:t xml:space="preserve">Therefore, the economic appraisal in following sections will focus on the preferred option against a business-as-usual comparator only. </w:t>
      </w:r>
    </w:p>
    <w:p w14:paraId="7971CAFE" w14:textId="1B4ED124" w:rsidR="001D39F4" w:rsidRPr="00CB4ED1" w:rsidRDefault="00441E9C" w:rsidP="00D54510">
      <w:pPr>
        <w:pStyle w:val="Heading4"/>
      </w:pPr>
      <w:r w:rsidRPr="00FD5A7C">
        <w:t>Economic appraisal</w:t>
      </w:r>
    </w:p>
    <w:p w14:paraId="7EC3FA64" w14:textId="77777777" w:rsidR="00D54510" w:rsidRPr="00CB4ED1" w:rsidRDefault="00D54510" w:rsidP="00D54510">
      <w:r w:rsidRPr="00CB4ED1">
        <w:t xml:space="preserve">The results of the economic appraisal demonstrate that the preferred way forward offers value for public money. </w:t>
      </w:r>
      <w:r>
        <w:t>This option is an NHS-funded capital build for the Orthopaedic Surgical Hub at Llantrisant Health Park, delivering theatres and ward accommodation for high-volume, low-complexity arthroplasty procedures.</w:t>
      </w:r>
    </w:p>
    <w:p w14:paraId="3F69BCD9" w14:textId="77777777" w:rsidR="00D54510" w:rsidRPr="00CB4ED1" w:rsidRDefault="00D54510" w:rsidP="00D54510">
      <w:r w:rsidRPr="00CB4ED1">
        <w:t>Requiring capital investment of £</w:t>
      </w:r>
      <w:r>
        <w:t>123.6</w:t>
      </w:r>
      <w:r w:rsidRPr="00CB4ED1">
        <w:t>m</w:t>
      </w:r>
      <w:r>
        <w:t xml:space="preserve"> (including VAT)</w:t>
      </w:r>
      <w:r w:rsidRPr="00CB4ED1">
        <w:t xml:space="preserve"> and ongoing revenue costs of £</w:t>
      </w:r>
      <w:r>
        <w:t>36.8</w:t>
      </w:r>
      <w:r w:rsidRPr="00CB4ED1">
        <w:t>m</w:t>
      </w:r>
      <w:r>
        <w:t xml:space="preserve"> p.a.</w:t>
      </w:r>
      <w:r w:rsidRPr="00CB4ED1">
        <w:t xml:space="preserve"> (excluding depreciation), based on estimated costs and benefits, it is anticipated that </w:t>
      </w:r>
      <w:r>
        <w:t xml:space="preserve">phase 2 of the </w:t>
      </w:r>
      <w:r w:rsidRPr="00CB4ED1">
        <w:t>LHP will deliver an incremental Net Present Social Value (NPSV) of £</w:t>
      </w:r>
      <w:r>
        <w:t>500.7</w:t>
      </w:r>
      <w:r w:rsidRPr="00CB4ED1">
        <w:t xml:space="preserve">m and a Benefit </w:t>
      </w:r>
      <w:r w:rsidRPr="00CB4ED1">
        <w:lastRenderedPageBreak/>
        <w:t>Cost Ratio (BCR) of 1.</w:t>
      </w:r>
      <w:r>
        <w:t xml:space="preserve">54. </w:t>
      </w:r>
      <w:r w:rsidRPr="00CB4ED1">
        <w:t>This represents £1.</w:t>
      </w:r>
      <w:r>
        <w:t>54</w:t>
      </w:r>
      <w:r w:rsidRPr="00CB4ED1">
        <w:t xml:space="preserve"> of incremental benefit delivered for every £1.00 of incremental whole life cost, because of the quantifiable benefits that it has been possible to state in monetary values </w:t>
      </w:r>
      <w:proofErr w:type="gramStart"/>
      <w:r w:rsidRPr="00CB4ED1">
        <w:t>at this point in time</w:t>
      </w:r>
      <w:proofErr w:type="gramEnd"/>
      <w:r w:rsidRPr="00CB4ED1">
        <w:t>, including:</w:t>
      </w:r>
    </w:p>
    <w:p w14:paraId="567EA7AC" w14:textId="77777777" w:rsidR="00D54510" w:rsidRPr="00CB4ED1" w:rsidRDefault="00D54510" w:rsidP="00D54510">
      <w:pPr>
        <w:pStyle w:val="bullets1"/>
      </w:pPr>
      <w:r w:rsidRPr="00CB4ED1">
        <w:rPr>
          <w:b/>
          <w:bCs/>
        </w:rPr>
        <w:t xml:space="preserve">High volume, low acuity model of care increasing throughput: </w:t>
      </w:r>
      <w:r w:rsidRPr="00CB4ED1">
        <w:t xml:space="preserve">Delivery of the surgical hub will address current regional Arthroplasty capacity shortfalls and ensure future demand can be met. As well as reducing waiting times for patients, the delivery of high volume, low acuity model will enable the delivery of a standardised pathway, </w:t>
      </w:r>
      <w:r>
        <w:t>increasing</w:t>
      </w:r>
      <w:r w:rsidRPr="00CB4ED1">
        <w:t xml:space="preserve"> throughput and making best use of resources.</w:t>
      </w:r>
    </w:p>
    <w:p w14:paraId="53F35F54" w14:textId="77777777" w:rsidR="00D54510" w:rsidRPr="00CB4ED1" w:rsidRDefault="00D54510" w:rsidP="00D54510">
      <w:pPr>
        <w:pStyle w:val="bullets1"/>
      </w:pPr>
      <w:r w:rsidRPr="00CB4ED1">
        <w:rPr>
          <w:b/>
          <w:bCs/>
        </w:rPr>
        <w:t>Improved patient outcomes from earlier access to surgical intervention</w:t>
      </w:r>
      <w:r>
        <w:rPr>
          <w:b/>
          <w:bCs/>
        </w:rPr>
        <w:t>,</w:t>
      </w:r>
      <w:r w:rsidRPr="00CB4ED1">
        <w:rPr>
          <w:b/>
          <w:bCs/>
        </w:rPr>
        <w:t xml:space="preserve"> reduced length of stay</w:t>
      </w:r>
      <w:r>
        <w:rPr>
          <w:b/>
          <w:bCs/>
        </w:rPr>
        <w:t xml:space="preserve"> and less healthcare acquired infections</w:t>
      </w:r>
      <w:r w:rsidRPr="00CB4ED1">
        <w:rPr>
          <w:b/>
          <w:bCs/>
        </w:rPr>
        <w:t>:</w:t>
      </w:r>
      <w:r w:rsidRPr="00CB4ED1">
        <w:t xml:space="preserve"> Reduced length of stay is known to result in fewer complications and support speedier recovery times. This, combined with the reduced waiting times, lead directly to better patient outcomes, specifically improving quality of life for those requiring surgical interventions such as arthroplasties. </w:t>
      </w:r>
    </w:p>
    <w:p w14:paraId="3A9CFE4B" w14:textId="77777777" w:rsidR="00D54510" w:rsidRPr="00CB4ED1" w:rsidRDefault="00D54510" w:rsidP="00D54510">
      <w:pPr>
        <w:pStyle w:val="NoSpacing"/>
      </w:pPr>
    </w:p>
    <w:p w14:paraId="33D468DA" w14:textId="77777777" w:rsidR="00D54510" w:rsidRPr="00CB4ED1" w:rsidRDefault="00D54510" w:rsidP="00D54510">
      <w:r w:rsidRPr="00CB4ED1">
        <w:t>In addition to this, there are other quantifiable benefits which it has not yet been possible to state in monetary values given the information that is available at this time. These will be explored further at FBC-stage and, it is expected, will further strengthen the BCR. These include:</w:t>
      </w:r>
    </w:p>
    <w:p w14:paraId="76C7325B" w14:textId="77777777" w:rsidR="00D54510" w:rsidRPr="00CB4ED1" w:rsidRDefault="00D54510" w:rsidP="00D54510">
      <w:pPr>
        <w:pStyle w:val="bullets1"/>
      </w:pPr>
      <w:r w:rsidRPr="00CB4ED1">
        <w:rPr>
          <w:b/>
          <w:bCs/>
        </w:rPr>
        <w:t xml:space="preserve">Productivity gains because of standardised pathways: </w:t>
      </w:r>
      <w:r w:rsidRPr="00CB4ED1">
        <w:t>In addition to the reduced length of stay and increased throughput, the standardised pathway is likely to provide other opportunities to deliver productivity gains, such as delivering rota efficiencies and enabling more efficient procurement and reduced waste. Predictability of care also reduces the risk of cancellations and Did Not Attends (DNAs).</w:t>
      </w:r>
    </w:p>
    <w:p w14:paraId="52E3D1FB" w14:textId="77777777" w:rsidR="00D54510" w:rsidRPr="00CB4ED1" w:rsidRDefault="00D54510" w:rsidP="00D54510">
      <w:pPr>
        <w:pStyle w:val="bullets1"/>
      </w:pPr>
      <w:r w:rsidRPr="00CB4ED1">
        <w:rPr>
          <w:b/>
          <w:bCs/>
        </w:rPr>
        <w:t>Impact of a more sustainable workforce:</w:t>
      </w:r>
      <w:r w:rsidRPr="00CB4ED1">
        <w:t xml:space="preserve"> The benefits identified in terms of improved recruitment and retention provide opportunities to reduce the impact of long-term vacancies reducing agency, locum and bank usage and, potentially, reducing recruitment time and costs. </w:t>
      </w:r>
    </w:p>
    <w:p w14:paraId="08FB6D05" w14:textId="77777777" w:rsidR="00D54510" w:rsidRPr="00CB4ED1" w:rsidRDefault="00D54510" w:rsidP="00D54510">
      <w:pPr>
        <w:pStyle w:val="NoSpacing"/>
      </w:pPr>
    </w:p>
    <w:p w14:paraId="3091FC55" w14:textId="77777777" w:rsidR="00D54510" w:rsidRPr="00CB4ED1" w:rsidRDefault="00D54510" w:rsidP="00D54510">
      <w:r w:rsidRPr="00CB4ED1">
        <w:t>LHP will also deliver various non-financial benefits which while they cannot be quantified in monetary terms are equally important to the delivery of local, regional and national policy. These include:</w:t>
      </w:r>
    </w:p>
    <w:p w14:paraId="6B8A2676" w14:textId="77777777" w:rsidR="00D54510" w:rsidRPr="00CB4ED1" w:rsidRDefault="00D54510" w:rsidP="00D54510">
      <w:pPr>
        <w:pStyle w:val="bullets1"/>
      </w:pPr>
      <w:r w:rsidRPr="00CB4ED1">
        <w:rPr>
          <w:b/>
          <w:bCs/>
        </w:rPr>
        <w:t>Improved patient experience:</w:t>
      </w:r>
      <w:r w:rsidRPr="00CB4ED1">
        <w:t xml:space="preserve"> As well as reduced waiting times and length of stay, patient experience is enhanced by the modern fit for purpose facilities and the ease of access the location of LHP offers, with its good road links and parking.</w:t>
      </w:r>
    </w:p>
    <w:p w14:paraId="2DF2780D" w14:textId="77777777" w:rsidR="00D54510" w:rsidRPr="00CB4ED1" w:rsidRDefault="00D54510" w:rsidP="00D54510">
      <w:pPr>
        <w:pStyle w:val="bullets1"/>
      </w:pPr>
      <w:r w:rsidRPr="00CB4ED1">
        <w:rPr>
          <w:b/>
          <w:bCs/>
        </w:rPr>
        <w:t xml:space="preserve">Increased staff satisfaction: </w:t>
      </w:r>
      <w:r w:rsidRPr="00CB4ED1">
        <w:t>The improved training pathway and increased training opportunities, along with the modern fit for purpose facilities and a consolidated service model that enables more effective ways of working, contributes to staff satisfaction and creates an attractive place to work which will support recruitment and retention of highly trained health professionals.</w:t>
      </w:r>
    </w:p>
    <w:p w14:paraId="49F455E0" w14:textId="77777777" w:rsidR="00D54510" w:rsidRPr="00CB4ED1" w:rsidRDefault="00D54510" w:rsidP="00D54510">
      <w:pPr>
        <w:pStyle w:val="bullets1"/>
      </w:pPr>
      <w:r w:rsidRPr="00CB4ED1">
        <w:rPr>
          <w:b/>
          <w:bCs/>
        </w:rPr>
        <w:t>Increased training opportunities:</w:t>
      </w:r>
      <w:r w:rsidRPr="00CB4ED1">
        <w:t xml:space="preserve">  The additional theatre capacity will provide significant opportunities to increase the number of training places available in the region. </w:t>
      </w:r>
    </w:p>
    <w:p w14:paraId="3D8F5355" w14:textId="77777777" w:rsidR="00D54510" w:rsidRPr="00CB4ED1" w:rsidRDefault="00D54510" w:rsidP="00D54510">
      <w:pPr>
        <w:pStyle w:val="bullets1"/>
      </w:pPr>
      <w:r w:rsidRPr="00CB4ED1">
        <w:rPr>
          <w:b/>
          <w:bCs/>
        </w:rPr>
        <w:t xml:space="preserve">Increased compliance: </w:t>
      </w:r>
      <w:r w:rsidRPr="00CB4ED1">
        <w:t xml:space="preserve">Delivery of </w:t>
      </w:r>
      <w:r>
        <w:t>orthopaedic</w:t>
      </w:r>
      <w:r w:rsidRPr="00CB4ED1">
        <w:t xml:space="preserve"> services </w:t>
      </w:r>
      <w:r>
        <w:t xml:space="preserve">in a hub </w:t>
      </w:r>
      <w:r w:rsidRPr="00CB4ED1">
        <w:t>will ensure alignment with GIRFT principles. Modern fit for purpose facilities that are compliant with WHBNs and HTNs, achieve BREEAM rating of Excellent.</w:t>
      </w:r>
    </w:p>
    <w:p w14:paraId="3E7CBF5E" w14:textId="77777777" w:rsidR="00D54510" w:rsidRPr="00D757E4" w:rsidRDefault="00D54510" w:rsidP="00D54510">
      <w:pPr>
        <w:pStyle w:val="bullets1"/>
        <w:rPr>
          <w:b/>
          <w:bCs/>
        </w:rPr>
      </w:pPr>
      <w:r w:rsidRPr="00D757E4">
        <w:rPr>
          <w:b/>
          <w:bCs/>
        </w:rPr>
        <w:t>Reduced health inequalities:</w:t>
      </w:r>
      <w:r w:rsidRPr="00D757E4">
        <w:t xml:space="preserve"> Reduction in waiting times and ease of access supports equality of access.</w:t>
      </w:r>
    </w:p>
    <w:p w14:paraId="52C64AAB" w14:textId="77777777" w:rsidR="00D54510" w:rsidRPr="00F2565E" w:rsidRDefault="00D54510" w:rsidP="00D54510">
      <w:pPr>
        <w:pStyle w:val="bullets1"/>
      </w:pPr>
      <w:r w:rsidRPr="00D757E4">
        <w:rPr>
          <w:b/>
          <w:bCs/>
        </w:rPr>
        <w:t xml:space="preserve">Community Benefits: </w:t>
      </w:r>
      <w:r w:rsidRPr="00D757E4">
        <w:t>The contractor has agreed to implementing several community benefits, including hiring local, providing volunteering and donations to local organisations, investing in people learning and using Welsh and investing in the local supply chain.</w:t>
      </w:r>
    </w:p>
    <w:p w14:paraId="1C2B73F1" w14:textId="77777777" w:rsidR="00D54510" w:rsidRDefault="00D54510" w:rsidP="00D54510">
      <w:pPr>
        <w:pStyle w:val="bullets1"/>
      </w:pPr>
      <w:r w:rsidRPr="00CB4ED1">
        <w:rPr>
          <w:b/>
          <w:bCs/>
        </w:rPr>
        <w:t xml:space="preserve">Future proofing: </w:t>
      </w:r>
      <w:r w:rsidRPr="00CB4ED1">
        <w:t>The site also provides a level of future proofing by providing expansion space that offers opportunities for other future developments.</w:t>
      </w:r>
    </w:p>
    <w:p w14:paraId="4A0B94A8" w14:textId="77777777" w:rsidR="00D54510" w:rsidRPr="00A30EC1" w:rsidRDefault="00D54510" w:rsidP="00D54510">
      <w:pPr>
        <w:pStyle w:val="bullets1"/>
      </w:pPr>
      <w:r w:rsidRPr="00A30EC1">
        <w:rPr>
          <w:b/>
          <w:bCs/>
        </w:rPr>
        <w:lastRenderedPageBreak/>
        <w:t>Impact of a more sustainable estate:</w:t>
      </w:r>
      <w:r w:rsidRPr="00A30EC1">
        <w:t xml:space="preserve"> The delivery of appropriately designed compliant facilities provides opportunities to contribute to CTM UHB’s environmentally sustainable goals and national strategies around decarbonisation and optimising energy efficiency. The transformed model of care with its standardised pathway is likely to make it easier to implement and maintain sustainability programmes that CTM UHB has instituted in other areas, such as reducing waste and single use products.</w:t>
      </w:r>
    </w:p>
    <w:p w14:paraId="3952BC09" w14:textId="77777777" w:rsidR="00D54510" w:rsidRPr="00CB4ED1" w:rsidRDefault="00D54510" w:rsidP="00D54510">
      <w:pPr>
        <w:pStyle w:val="bullets1"/>
      </w:pPr>
      <w:r w:rsidRPr="00CB4ED1">
        <w:rPr>
          <w:b/>
          <w:bCs/>
        </w:rPr>
        <w:t xml:space="preserve">Opportunities for future transformation: </w:t>
      </w:r>
      <w:r w:rsidRPr="00CB4ED1">
        <w:t>The additional capacity offered by LHP provides opportunities to transform and reconfigure core local services and deliver things differently in the future. The successful delivery of a regional centre will also provide proof of concept as the basis for the development of any future regional pathways.</w:t>
      </w:r>
    </w:p>
    <w:p w14:paraId="3604784A" w14:textId="77777777" w:rsidR="00D54510" w:rsidRPr="00CB4ED1" w:rsidRDefault="00D54510" w:rsidP="00D54510">
      <w:pPr>
        <w:pStyle w:val="NoSpacing"/>
      </w:pPr>
    </w:p>
    <w:p w14:paraId="6487929C" w14:textId="77777777" w:rsidR="00D54510" w:rsidRPr="00CB4ED1" w:rsidRDefault="00D54510" w:rsidP="00D54510">
      <w:r w:rsidRPr="00CB4ED1">
        <w:t>The results of the options appraisal are presented in the table below.</w:t>
      </w:r>
    </w:p>
    <w:p w14:paraId="401061CF" w14:textId="77777777" w:rsidR="00D54510" w:rsidRPr="00CB4ED1" w:rsidRDefault="00D54510" w:rsidP="00D54510">
      <w:pPr>
        <w:pStyle w:val="Caption"/>
        <w:rPr>
          <w:noProof w:val="0"/>
        </w:rPr>
      </w:pPr>
      <w:r w:rsidRPr="00CB4ED1">
        <w:rPr>
          <w:noProof w:val="0"/>
        </w:rPr>
        <w:t xml:space="preserve">Table </w:t>
      </w:r>
      <w:r w:rsidRPr="00CB4ED1">
        <w:rPr>
          <w:noProof w:val="0"/>
        </w:rPr>
        <w:fldChar w:fldCharType="begin"/>
      </w:r>
      <w:r w:rsidRPr="00CB4ED1">
        <w:rPr>
          <w:noProof w:val="0"/>
          <w:highlight w:val="darkGray"/>
        </w:rPr>
        <w:instrText xml:space="preserve"> SEQ Table \* ARABIC </w:instrText>
      </w:r>
      <w:r w:rsidRPr="00CB4ED1">
        <w:rPr>
          <w:noProof w:val="0"/>
        </w:rPr>
        <w:fldChar w:fldCharType="separate"/>
      </w:r>
      <w:r>
        <w:rPr>
          <w:highlight w:val="darkGray"/>
        </w:rPr>
        <w:t>21</w:t>
      </w:r>
      <w:r w:rsidRPr="00CB4ED1">
        <w:rPr>
          <w:noProof w:val="0"/>
        </w:rPr>
        <w:fldChar w:fldCharType="end"/>
      </w:r>
      <w:r w:rsidRPr="00CB4ED1">
        <w:rPr>
          <w:noProof w:val="0"/>
        </w:rPr>
        <w:t xml:space="preserve"> - Results of options appraisal</w:t>
      </w:r>
    </w:p>
    <w:tbl>
      <w:tblPr>
        <w:tblW w:w="5100" w:type="pct"/>
        <w:tblInd w:w="-113" w:type="dxa"/>
        <w:tbl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insideH w:val="single" w:sz="4" w:space="0" w:color="BFBFBF" w:themeColor="accent6" w:themeShade="BF"/>
          <w:insideV w:val="single" w:sz="4" w:space="0" w:color="BFBFBF" w:themeColor="accent6" w:themeShade="BF"/>
        </w:tblBorders>
        <w:tblLayout w:type="fixed"/>
        <w:tblLook w:val="04A0" w:firstRow="1" w:lastRow="0" w:firstColumn="1" w:lastColumn="0" w:noHBand="0" w:noVBand="1"/>
      </w:tblPr>
      <w:tblGrid>
        <w:gridCol w:w="4361"/>
        <w:gridCol w:w="2730"/>
        <w:gridCol w:w="2730"/>
      </w:tblGrid>
      <w:tr w:rsidR="00D54510" w:rsidRPr="00B17345" w14:paraId="32B5E3ED" w14:textId="77777777" w:rsidTr="00AE5329">
        <w:trPr>
          <w:tblHeader/>
        </w:trPr>
        <w:tc>
          <w:tcPr>
            <w:tcW w:w="4219" w:type="dxa"/>
            <w:shd w:val="clear" w:color="auto" w:fill="374264" w:themeFill="text2"/>
            <w:vAlign w:val="center"/>
          </w:tcPr>
          <w:p w14:paraId="4F8514B2" w14:textId="77777777" w:rsidR="00D54510" w:rsidRPr="00B17345" w:rsidRDefault="00D54510" w:rsidP="00AE5329">
            <w:pPr>
              <w:pStyle w:val="tabletext"/>
              <w:rPr>
                <w:b/>
                <w:color w:val="FFFFFF" w:themeColor="background1"/>
                <w:szCs w:val="20"/>
              </w:rPr>
            </w:pPr>
            <w:r w:rsidRPr="00B17345">
              <w:rPr>
                <w:b/>
                <w:color w:val="FFFFFF" w:themeColor="background1"/>
                <w:szCs w:val="20"/>
              </w:rPr>
              <w:t xml:space="preserve">Element </w:t>
            </w:r>
          </w:p>
        </w:tc>
        <w:tc>
          <w:tcPr>
            <w:tcW w:w="2641" w:type="dxa"/>
            <w:shd w:val="clear" w:color="auto" w:fill="374264" w:themeFill="text2"/>
            <w:vAlign w:val="center"/>
          </w:tcPr>
          <w:p w14:paraId="3F77C9FB" w14:textId="77777777" w:rsidR="00D54510" w:rsidRPr="00B17345" w:rsidRDefault="00D54510" w:rsidP="00AE5329">
            <w:pPr>
              <w:pStyle w:val="tabletext"/>
              <w:jc w:val="center"/>
              <w:rPr>
                <w:b/>
                <w:color w:val="FFFFFF" w:themeColor="background1"/>
                <w:szCs w:val="20"/>
              </w:rPr>
            </w:pPr>
            <w:r w:rsidRPr="00B17345">
              <w:rPr>
                <w:rFonts w:cstheme="minorHAnsi"/>
                <w:b/>
                <w:color w:val="FFFFFF" w:themeColor="background1"/>
                <w:szCs w:val="20"/>
              </w:rPr>
              <w:t>Option 0 - BAU</w:t>
            </w:r>
          </w:p>
        </w:tc>
        <w:tc>
          <w:tcPr>
            <w:tcW w:w="2641" w:type="dxa"/>
            <w:shd w:val="clear" w:color="auto" w:fill="374264" w:themeFill="text2"/>
            <w:vAlign w:val="center"/>
          </w:tcPr>
          <w:p w14:paraId="718C6970" w14:textId="77777777" w:rsidR="00D54510" w:rsidRPr="00B17345" w:rsidRDefault="00D54510" w:rsidP="00AE5329">
            <w:pPr>
              <w:pStyle w:val="tabletext"/>
              <w:jc w:val="center"/>
              <w:rPr>
                <w:b/>
                <w:color w:val="FFFFFF" w:themeColor="background1"/>
                <w:szCs w:val="20"/>
              </w:rPr>
            </w:pPr>
            <w:r w:rsidRPr="00B17345">
              <w:rPr>
                <w:rFonts w:cstheme="minorHAnsi"/>
                <w:b/>
                <w:color w:val="FFFFFF" w:themeColor="background1"/>
                <w:szCs w:val="20"/>
              </w:rPr>
              <w:t xml:space="preserve">Option 1 - </w:t>
            </w:r>
            <w:r w:rsidRPr="00B17345">
              <w:rPr>
                <w:b/>
                <w:color w:val="FFFFFF" w:themeColor="background1"/>
                <w:szCs w:val="20"/>
              </w:rPr>
              <w:t>PWF</w:t>
            </w:r>
          </w:p>
        </w:tc>
      </w:tr>
      <w:tr w:rsidR="00D54510" w:rsidRPr="00B17345" w14:paraId="5D1AFE2B" w14:textId="77777777" w:rsidTr="00AE5329">
        <w:tc>
          <w:tcPr>
            <w:tcW w:w="4219" w:type="dxa"/>
            <w:vAlign w:val="center"/>
          </w:tcPr>
          <w:p w14:paraId="06F5C6DB" w14:textId="77777777" w:rsidR="00D54510" w:rsidRPr="00B17345" w:rsidRDefault="00D54510" w:rsidP="00AE5329">
            <w:pPr>
              <w:pStyle w:val="tabletext"/>
              <w:rPr>
                <w:szCs w:val="20"/>
              </w:rPr>
            </w:pPr>
            <w:r w:rsidRPr="00B17345">
              <w:rPr>
                <w:rFonts w:cs="Arial"/>
                <w:szCs w:val="20"/>
              </w:rPr>
              <w:t>Initial capital investment (including VAT)</w:t>
            </w:r>
          </w:p>
        </w:tc>
        <w:tc>
          <w:tcPr>
            <w:tcW w:w="2641" w:type="dxa"/>
            <w:vAlign w:val="center"/>
          </w:tcPr>
          <w:p w14:paraId="1DDA652D" w14:textId="77777777" w:rsidR="00D54510" w:rsidRPr="00B17345" w:rsidRDefault="00D54510" w:rsidP="00AE5329">
            <w:pPr>
              <w:pStyle w:val="tabletext"/>
              <w:jc w:val="right"/>
              <w:rPr>
                <w:szCs w:val="20"/>
              </w:rPr>
            </w:pPr>
            <w:r w:rsidRPr="00B17345">
              <w:rPr>
                <w:szCs w:val="20"/>
              </w:rPr>
              <w:t>-</w:t>
            </w:r>
          </w:p>
        </w:tc>
        <w:tc>
          <w:tcPr>
            <w:tcW w:w="2641" w:type="dxa"/>
            <w:vAlign w:val="center"/>
          </w:tcPr>
          <w:p w14:paraId="5E6829DD" w14:textId="77777777" w:rsidR="00D54510" w:rsidRPr="00B17345" w:rsidRDefault="00D54510" w:rsidP="00AE5329">
            <w:pPr>
              <w:pStyle w:val="tabletext"/>
              <w:jc w:val="right"/>
              <w:rPr>
                <w:szCs w:val="20"/>
              </w:rPr>
            </w:pPr>
            <w:r w:rsidRPr="00B17345">
              <w:rPr>
                <w:szCs w:val="20"/>
              </w:rPr>
              <w:t>£1</w:t>
            </w:r>
            <w:r>
              <w:rPr>
                <w:szCs w:val="20"/>
              </w:rPr>
              <w:t>23</w:t>
            </w:r>
            <w:r w:rsidRPr="00B17345">
              <w:rPr>
                <w:szCs w:val="20"/>
              </w:rPr>
              <w:t>.</w:t>
            </w:r>
            <w:r>
              <w:rPr>
                <w:szCs w:val="20"/>
              </w:rPr>
              <w:t>6</w:t>
            </w:r>
            <w:r w:rsidRPr="00B17345">
              <w:rPr>
                <w:szCs w:val="20"/>
              </w:rPr>
              <w:t>m</w:t>
            </w:r>
          </w:p>
        </w:tc>
      </w:tr>
      <w:tr w:rsidR="00D54510" w:rsidRPr="00B17345" w14:paraId="1153774B" w14:textId="77777777" w:rsidTr="00AE5329">
        <w:tc>
          <w:tcPr>
            <w:tcW w:w="4219" w:type="dxa"/>
            <w:vAlign w:val="center"/>
          </w:tcPr>
          <w:p w14:paraId="6F958D43" w14:textId="77777777" w:rsidR="00D54510" w:rsidRPr="00B17345" w:rsidRDefault="00D54510" w:rsidP="00AE5329">
            <w:pPr>
              <w:pStyle w:val="tabletext"/>
              <w:rPr>
                <w:szCs w:val="20"/>
              </w:rPr>
            </w:pPr>
            <w:r w:rsidRPr="00B17345">
              <w:rPr>
                <w:rFonts w:cs="Arial"/>
                <w:szCs w:val="20"/>
              </w:rPr>
              <w:t>Incremental NPSV</w:t>
            </w:r>
          </w:p>
        </w:tc>
        <w:tc>
          <w:tcPr>
            <w:tcW w:w="2641" w:type="dxa"/>
            <w:vAlign w:val="center"/>
          </w:tcPr>
          <w:p w14:paraId="575934C8" w14:textId="77777777" w:rsidR="00D54510" w:rsidRPr="00B17345" w:rsidRDefault="00D54510" w:rsidP="00AE5329">
            <w:pPr>
              <w:pStyle w:val="tabletext"/>
              <w:jc w:val="right"/>
              <w:rPr>
                <w:szCs w:val="20"/>
              </w:rPr>
            </w:pPr>
            <w:r w:rsidRPr="00B17345">
              <w:rPr>
                <w:szCs w:val="20"/>
              </w:rPr>
              <w:t>-</w:t>
            </w:r>
          </w:p>
        </w:tc>
        <w:tc>
          <w:tcPr>
            <w:tcW w:w="2641" w:type="dxa"/>
            <w:vAlign w:val="center"/>
          </w:tcPr>
          <w:p w14:paraId="144AB6CC" w14:textId="77777777" w:rsidR="00D54510" w:rsidRPr="00B17345" w:rsidRDefault="00D54510" w:rsidP="00AE5329">
            <w:pPr>
              <w:pStyle w:val="tabletext"/>
              <w:jc w:val="right"/>
              <w:rPr>
                <w:szCs w:val="20"/>
              </w:rPr>
            </w:pPr>
            <w:r w:rsidRPr="00B17345">
              <w:rPr>
                <w:szCs w:val="20"/>
              </w:rPr>
              <w:t>£5</w:t>
            </w:r>
            <w:r>
              <w:rPr>
                <w:szCs w:val="20"/>
              </w:rPr>
              <w:t>00</w:t>
            </w:r>
            <w:r w:rsidRPr="00B17345">
              <w:rPr>
                <w:szCs w:val="20"/>
              </w:rPr>
              <w:t>.</w:t>
            </w:r>
            <w:r>
              <w:rPr>
                <w:szCs w:val="20"/>
              </w:rPr>
              <w:t>7</w:t>
            </w:r>
            <w:r w:rsidRPr="00B17345">
              <w:rPr>
                <w:szCs w:val="20"/>
              </w:rPr>
              <w:t>m</w:t>
            </w:r>
          </w:p>
        </w:tc>
      </w:tr>
      <w:tr w:rsidR="00D54510" w:rsidRPr="00B17345" w14:paraId="6F773834" w14:textId="77777777" w:rsidTr="00AE5329">
        <w:tc>
          <w:tcPr>
            <w:tcW w:w="4219" w:type="dxa"/>
            <w:vAlign w:val="center"/>
          </w:tcPr>
          <w:p w14:paraId="4A144127" w14:textId="77777777" w:rsidR="00D54510" w:rsidRPr="00B17345" w:rsidRDefault="00D54510" w:rsidP="00AE5329">
            <w:pPr>
              <w:pStyle w:val="tabletext"/>
              <w:rPr>
                <w:szCs w:val="20"/>
              </w:rPr>
            </w:pPr>
            <w:r w:rsidRPr="00B17345">
              <w:rPr>
                <w:rFonts w:cs="Arial"/>
                <w:szCs w:val="20"/>
              </w:rPr>
              <w:t>Benefit Cost Ratio</w:t>
            </w:r>
          </w:p>
        </w:tc>
        <w:tc>
          <w:tcPr>
            <w:tcW w:w="2641" w:type="dxa"/>
            <w:vAlign w:val="center"/>
          </w:tcPr>
          <w:p w14:paraId="061444E5" w14:textId="77777777" w:rsidR="00D54510" w:rsidRPr="00B17345" w:rsidRDefault="00D54510" w:rsidP="00AE5329">
            <w:pPr>
              <w:pStyle w:val="tabletext"/>
              <w:jc w:val="right"/>
              <w:rPr>
                <w:szCs w:val="20"/>
              </w:rPr>
            </w:pPr>
            <w:r w:rsidRPr="00B17345">
              <w:rPr>
                <w:szCs w:val="20"/>
              </w:rPr>
              <w:t>-</w:t>
            </w:r>
          </w:p>
        </w:tc>
        <w:tc>
          <w:tcPr>
            <w:tcW w:w="2641" w:type="dxa"/>
            <w:vAlign w:val="center"/>
          </w:tcPr>
          <w:p w14:paraId="52A3C2DB" w14:textId="77777777" w:rsidR="00D54510" w:rsidRPr="00B17345" w:rsidRDefault="00D54510" w:rsidP="00AE5329">
            <w:pPr>
              <w:pStyle w:val="tabletext"/>
              <w:jc w:val="right"/>
              <w:rPr>
                <w:szCs w:val="20"/>
              </w:rPr>
            </w:pPr>
            <w:r w:rsidRPr="00B17345">
              <w:rPr>
                <w:szCs w:val="20"/>
              </w:rPr>
              <w:t>1.5</w:t>
            </w:r>
            <w:r>
              <w:rPr>
                <w:szCs w:val="20"/>
              </w:rPr>
              <w:t>4</w:t>
            </w:r>
          </w:p>
        </w:tc>
      </w:tr>
    </w:tbl>
    <w:p w14:paraId="4BB40B44" w14:textId="77777777" w:rsidR="00D54510" w:rsidRPr="00CB4ED1" w:rsidRDefault="00D54510" w:rsidP="00D54510">
      <w:pPr>
        <w:pStyle w:val="NoSpacing"/>
      </w:pPr>
    </w:p>
    <w:p w14:paraId="55210A97" w14:textId="77777777" w:rsidR="00D54510" w:rsidRPr="00B17345" w:rsidRDefault="00D54510" w:rsidP="00D54510">
      <w:r w:rsidRPr="00B17345">
        <w:t xml:space="preserve">It should be noted that this assessment is based on an initial assessment of benefits and further work is required to quantify these more fully. As outlined above, it is anticipated that this is likely to further strengthen the BCR and value for money case as the scheme progresses to FBC stage. </w:t>
      </w:r>
    </w:p>
    <w:p w14:paraId="5B709208" w14:textId="77777777" w:rsidR="001D39F4" w:rsidRPr="001D39F4" w:rsidRDefault="001D39F4" w:rsidP="001D39F4">
      <w:pPr>
        <w:pStyle w:val="NoSpacing"/>
      </w:pPr>
    </w:p>
    <w:p w14:paraId="4223C788" w14:textId="5B4A653F" w:rsidR="00E53CBD" w:rsidRPr="00CB4ED1" w:rsidRDefault="58670D6B" w:rsidP="002E3F1F">
      <w:pPr>
        <w:pStyle w:val="Heading2"/>
      </w:pPr>
      <w:bookmarkStart w:id="11" w:name="_Toc213865202"/>
      <w:r w:rsidRPr="00CB4ED1">
        <w:t>Commercial Case</w:t>
      </w:r>
      <w:bookmarkEnd w:id="11"/>
    </w:p>
    <w:p w14:paraId="22C7F9B5" w14:textId="77777777" w:rsidR="00C26793" w:rsidRPr="00D757E4" w:rsidRDefault="00C26793" w:rsidP="00C26793">
      <w:r w:rsidRPr="00D757E4">
        <w:t>To maintain momentum within the programme, the main contractor was appointed during RIBA 3 for continued development of the design and construction elements. This ensures the contractor is involved in the more detailed design incorporating the latest technology and identifying programme opportunities.  The appointment was made via the Crown Commercial Services Framework which offered the opportunity to tender for both traditional and modern methods of construction.  WG approved the appointment which was made in March 2025.</w:t>
      </w:r>
    </w:p>
    <w:p w14:paraId="6CC364C6" w14:textId="77777777" w:rsidR="00C26793" w:rsidRPr="00D757E4" w:rsidRDefault="00C26793" w:rsidP="00C26793">
      <w:r w:rsidRPr="00D757E4">
        <w:t xml:space="preserve">WG also approved early site wide demolitions in January 2025.  These have been delivered by a contractor appointed under the Crown Commercial Framework.  Works commenced on 14 April and </w:t>
      </w:r>
      <w:r>
        <w:t>completed on 6</w:t>
      </w:r>
      <w:r w:rsidRPr="00D472B2">
        <w:rPr>
          <w:vertAlign w:val="superscript"/>
        </w:rPr>
        <w:t>th</w:t>
      </w:r>
      <w:r>
        <w:t xml:space="preserve"> October within the approved funding level despite a short programme delay</w:t>
      </w:r>
      <w:r w:rsidRPr="00D757E4">
        <w:t xml:space="preserve">. </w:t>
      </w:r>
    </w:p>
    <w:p w14:paraId="1EFDFFD6" w14:textId="0C96B69A" w:rsidR="00C26793" w:rsidRDefault="00C26793" w:rsidP="00C26793">
      <w:pPr>
        <w:spacing w:before="240"/>
        <w:rPr>
          <w:rFonts w:eastAsia="Arial" w:cs="Arial"/>
        </w:rPr>
      </w:pPr>
      <w:r>
        <w:rPr>
          <w:rFonts w:eastAsia="Arial" w:cs="Arial"/>
        </w:rPr>
        <w:t xml:space="preserve">For the main contract, </w:t>
      </w:r>
      <w:r w:rsidRPr="00D757E4">
        <w:rPr>
          <w:rFonts w:eastAsia="Arial" w:cs="Arial"/>
        </w:rPr>
        <w:t>WG have approved funding for the whole programme up to the end of RIBA 3</w:t>
      </w:r>
      <w:r>
        <w:rPr>
          <w:rFonts w:eastAsia="Arial" w:cs="Arial"/>
        </w:rPr>
        <w:t xml:space="preserve">.  From July onwards the programme moved onto a </w:t>
      </w:r>
      <w:proofErr w:type="gramStart"/>
      <w:r>
        <w:rPr>
          <w:rFonts w:eastAsia="Arial" w:cs="Arial"/>
        </w:rPr>
        <w:t>phased  basis</w:t>
      </w:r>
      <w:proofErr w:type="gramEnd"/>
      <w:r>
        <w:rPr>
          <w:rFonts w:eastAsia="Arial" w:cs="Arial"/>
        </w:rPr>
        <w:t xml:space="preserve"> and funding was split between the phases.  After reconsideration of the scope of phase 2 this was instructed to recommence at the beginning of September with fees of £1.9M approved to fund this phase OBC.  A further £1.669M fees will be required should the OBC be approved to enable completion of design and preparation of an FBC.</w:t>
      </w:r>
    </w:p>
    <w:p w14:paraId="114C6A9E" w14:textId="77777777" w:rsidR="00C26793" w:rsidRDefault="00C26793" w:rsidP="00C26793">
      <w:pPr>
        <w:spacing w:before="240"/>
        <w:rPr>
          <w:rFonts w:eastAsia="Arial" w:cs="Arial"/>
        </w:rPr>
      </w:pPr>
      <w:r>
        <w:rPr>
          <w:rFonts w:eastAsia="Arial" w:cs="Arial"/>
        </w:rPr>
        <w:t xml:space="preserve">The Contractor tendered design fees will need to be uplifted to support Phase 2 design works.  The tender fee assumed a </w:t>
      </w:r>
      <w:proofErr w:type="gramStart"/>
      <w:r>
        <w:rPr>
          <w:rFonts w:eastAsia="Arial" w:cs="Arial"/>
        </w:rPr>
        <w:t>single phase</w:t>
      </w:r>
      <w:proofErr w:type="gramEnd"/>
      <w:r>
        <w:rPr>
          <w:rFonts w:eastAsia="Arial" w:cs="Arial"/>
        </w:rPr>
        <w:t xml:space="preserve"> business case process and start on site with phased completions.  The move to separate phases with differing design, business case and construction programmes has elongated the design phase.  For the 2 main priority phases it has added ca 6 months to the programme.  Whilst the uplift will be required for phase 2 it is covered in this case and shown below </w:t>
      </w:r>
    </w:p>
    <w:tbl>
      <w:tblPr>
        <w:tblW w:w="5100" w:type="pct"/>
        <w:tblInd w:w="-113" w:type="dxa"/>
        <w:tblLook w:val="04A0" w:firstRow="1" w:lastRow="0" w:firstColumn="1" w:lastColumn="0" w:noHBand="0" w:noVBand="1"/>
      </w:tblPr>
      <w:tblGrid>
        <w:gridCol w:w="1640"/>
        <w:gridCol w:w="2260"/>
        <w:gridCol w:w="1760"/>
        <w:gridCol w:w="2320"/>
        <w:gridCol w:w="1830"/>
      </w:tblGrid>
      <w:tr w:rsidR="00C26793" w:rsidRPr="00283638" w14:paraId="18A6BAA9" w14:textId="77777777" w:rsidTr="00E67800">
        <w:tc>
          <w:tcPr>
            <w:tcW w:w="1640" w:type="dxa"/>
            <w:tcBorders>
              <w:top w:val="single" w:sz="8" w:space="0" w:color="A6A6A6"/>
              <w:left w:val="single" w:sz="8" w:space="0" w:color="A6A6A6"/>
              <w:bottom w:val="single" w:sz="8" w:space="0" w:color="A6A6A6"/>
              <w:right w:val="single" w:sz="8" w:space="0" w:color="A6A6A6"/>
            </w:tcBorders>
            <w:shd w:val="clear" w:color="000000" w:fill="2C4295"/>
            <w:vAlign w:val="center"/>
            <w:hideMark/>
          </w:tcPr>
          <w:p w14:paraId="3BA2F9E1" w14:textId="77777777" w:rsidR="00C26793" w:rsidRPr="00283638" w:rsidRDefault="00C26793" w:rsidP="00E67800">
            <w:pPr>
              <w:pStyle w:val="tabletext"/>
              <w:rPr>
                <w:b/>
                <w:bCs/>
                <w:color w:val="FFFFFF" w:themeColor="background1"/>
                <w:lang w:eastAsia="en-GB"/>
              </w:rPr>
            </w:pPr>
            <w:r w:rsidRPr="00283638">
              <w:rPr>
                <w:b/>
                <w:bCs/>
                <w:color w:val="FFFFFF" w:themeColor="background1"/>
                <w:lang w:eastAsia="en-GB"/>
              </w:rPr>
              <w:t>Cost element</w:t>
            </w:r>
          </w:p>
        </w:tc>
        <w:tc>
          <w:tcPr>
            <w:tcW w:w="2260" w:type="dxa"/>
            <w:tcBorders>
              <w:top w:val="single" w:sz="8" w:space="0" w:color="A6A6A6"/>
              <w:left w:val="nil"/>
              <w:bottom w:val="single" w:sz="8" w:space="0" w:color="A6A6A6"/>
              <w:right w:val="single" w:sz="8" w:space="0" w:color="A6A6A6"/>
            </w:tcBorders>
            <w:shd w:val="clear" w:color="000000" w:fill="2C4295"/>
            <w:vAlign w:val="center"/>
            <w:hideMark/>
          </w:tcPr>
          <w:p w14:paraId="7658F557" w14:textId="77777777" w:rsidR="00C26793" w:rsidRPr="00283638" w:rsidRDefault="00C26793" w:rsidP="00E67800">
            <w:pPr>
              <w:pStyle w:val="tabletext"/>
              <w:jc w:val="right"/>
              <w:rPr>
                <w:b/>
                <w:bCs/>
                <w:color w:val="FFFFFF" w:themeColor="background1"/>
                <w:lang w:eastAsia="en-GB"/>
              </w:rPr>
            </w:pPr>
            <w:r w:rsidRPr="00283638">
              <w:rPr>
                <w:b/>
                <w:bCs/>
                <w:color w:val="FFFFFF" w:themeColor="background1"/>
                <w:lang w:eastAsia="en-GB"/>
              </w:rPr>
              <w:t>Original Tender</w:t>
            </w:r>
            <w:r w:rsidRPr="00283638">
              <w:rPr>
                <w:b/>
                <w:bCs/>
                <w:color w:val="FFFFFF" w:themeColor="background1"/>
                <w:lang w:eastAsia="en-GB"/>
              </w:rPr>
              <w:br/>
              <w:t>£000</w:t>
            </w:r>
          </w:p>
        </w:tc>
        <w:tc>
          <w:tcPr>
            <w:tcW w:w="1760" w:type="dxa"/>
            <w:tcBorders>
              <w:top w:val="single" w:sz="8" w:space="0" w:color="A6A6A6"/>
              <w:left w:val="nil"/>
              <w:bottom w:val="single" w:sz="8" w:space="0" w:color="A6A6A6"/>
              <w:right w:val="single" w:sz="8" w:space="0" w:color="A6A6A6"/>
            </w:tcBorders>
            <w:shd w:val="clear" w:color="000000" w:fill="2C4295"/>
            <w:vAlign w:val="center"/>
            <w:hideMark/>
          </w:tcPr>
          <w:p w14:paraId="4DC90B2F" w14:textId="77777777" w:rsidR="00C26793" w:rsidRPr="00283638" w:rsidRDefault="00C26793" w:rsidP="00E67800">
            <w:pPr>
              <w:pStyle w:val="tabletext"/>
              <w:jc w:val="right"/>
              <w:rPr>
                <w:b/>
                <w:bCs/>
                <w:color w:val="FFFFFF" w:themeColor="background1"/>
                <w:lang w:eastAsia="en-GB"/>
              </w:rPr>
            </w:pPr>
            <w:proofErr w:type="gramStart"/>
            <w:r w:rsidRPr="00283638">
              <w:rPr>
                <w:b/>
                <w:bCs/>
                <w:color w:val="FFFFFF" w:themeColor="background1"/>
                <w:lang w:eastAsia="en-GB"/>
              </w:rPr>
              <w:t>Phase  1</w:t>
            </w:r>
            <w:proofErr w:type="gramEnd"/>
            <w:r w:rsidRPr="00283638">
              <w:rPr>
                <w:b/>
                <w:bCs/>
                <w:color w:val="FFFFFF" w:themeColor="background1"/>
                <w:lang w:eastAsia="en-GB"/>
              </w:rPr>
              <w:t xml:space="preserve">  PCSC</w:t>
            </w:r>
            <w:r w:rsidRPr="00283638">
              <w:rPr>
                <w:b/>
                <w:bCs/>
                <w:color w:val="FFFFFF" w:themeColor="background1"/>
                <w:lang w:eastAsia="en-GB"/>
              </w:rPr>
              <w:br/>
              <w:t>£000</w:t>
            </w:r>
          </w:p>
        </w:tc>
        <w:tc>
          <w:tcPr>
            <w:tcW w:w="2320" w:type="dxa"/>
            <w:tcBorders>
              <w:top w:val="single" w:sz="8" w:space="0" w:color="A6A6A6"/>
              <w:left w:val="nil"/>
              <w:bottom w:val="single" w:sz="8" w:space="0" w:color="A6A6A6"/>
              <w:right w:val="single" w:sz="8" w:space="0" w:color="A6A6A6"/>
            </w:tcBorders>
            <w:shd w:val="clear" w:color="000000" w:fill="2C4295"/>
            <w:vAlign w:val="center"/>
            <w:hideMark/>
          </w:tcPr>
          <w:p w14:paraId="34BED83A" w14:textId="77777777" w:rsidR="00C26793" w:rsidRPr="00283638" w:rsidRDefault="00C26793" w:rsidP="00E67800">
            <w:pPr>
              <w:pStyle w:val="tabletext"/>
              <w:jc w:val="right"/>
              <w:rPr>
                <w:b/>
                <w:bCs/>
                <w:color w:val="FFFFFF" w:themeColor="background1"/>
                <w:lang w:eastAsia="en-GB"/>
              </w:rPr>
            </w:pPr>
            <w:r w:rsidRPr="00283638">
              <w:rPr>
                <w:b/>
                <w:bCs/>
                <w:color w:val="FFFFFF" w:themeColor="background1"/>
                <w:lang w:eastAsia="en-GB"/>
              </w:rPr>
              <w:t>Phase2 PCSC</w:t>
            </w:r>
            <w:r w:rsidRPr="00283638">
              <w:rPr>
                <w:b/>
                <w:bCs/>
                <w:color w:val="FFFFFF" w:themeColor="background1"/>
                <w:lang w:eastAsia="en-GB"/>
              </w:rPr>
              <w:br/>
              <w:t>£000</w:t>
            </w:r>
          </w:p>
        </w:tc>
        <w:tc>
          <w:tcPr>
            <w:tcW w:w="2320" w:type="dxa"/>
            <w:tcBorders>
              <w:top w:val="single" w:sz="8" w:space="0" w:color="A6A6A6"/>
              <w:left w:val="nil"/>
              <w:bottom w:val="single" w:sz="8" w:space="0" w:color="A6A6A6"/>
              <w:right w:val="single" w:sz="8" w:space="0" w:color="A6A6A6"/>
            </w:tcBorders>
            <w:shd w:val="clear" w:color="000000" w:fill="2C4295"/>
            <w:vAlign w:val="center"/>
            <w:hideMark/>
          </w:tcPr>
          <w:p w14:paraId="1879EDDB" w14:textId="77777777" w:rsidR="00C26793" w:rsidRPr="00283638" w:rsidRDefault="00C26793" w:rsidP="00E67800">
            <w:pPr>
              <w:pStyle w:val="tabletext"/>
              <w:jc w:val="right"/>
              <w:rPr>
                <w:b/>
                <w:bCs/>
                <w:color w:val="FFFFFF" w:themeColor="background1"/>
                <w:lang w:eastAsia="en-GB"/>
              </w:rPr>
            </w:pPr>
            <w:r w:rsidRPr="00283638">
              <w:rPr>
                <w:b/>
                <w:bCs/>
                <w:color w:val="FFFFFF" w:themeColor="background1"/>
                <w:lang w:eastAsia="en-GB"/>
              </w:rPr>
              <w:t>Total PCSC Fees</w:t>
            </w:r>
            <w:r w:rsidRPr="00283638">
              <w:rPr>
                <w:b/>
                <w:bCs/>
                <w:color w:val="FFFFFF" w:themeColor="background1"/>
                <w:lang w:eastAsia="en-GB"/>
              </w:rPr>
              <w:br/>
              <w:t>£000</w:t>
            </w:r>
          </w:p>
        </w:tc>
      </w:tr>
      <w:tr w:rsidR="00C26793" w:rsidRPr="00D757E4" w14:paraId="64238220" w14:textId="77777777" w:rsidTr="00E67800">
        <w:tc>
          <w:tcPr>
            <w:tcW w:w="1640" w:type="dxa"/>
            <w:tcBorders>
              <w:top w:val="nil"/>
              <w:left w:val="single" w:sz="8" w:space="0" w:color="A6A6A6"/>
              <w:bottom w:val="single" w:sz="8" w:space="0" w:color="A6A6A6"/>
              <w:right w:val="single" w:sz="8" w:space="0" w:color="A6A6A6"/>
            </w:tcBorders>
            <w:vAlign w:val="center"/>
            <w:hideMark/>
          </w:tcPr>
          <w:p w14:paraId="4F539F8A" w14:textId="77777777" w:rsidR="00C26793" w:rsidRPr="00D757E4" w:rsidRDefault="00C26793" w:rsidP="00E67800">
            <w:pPr>
              <w:pStyle w:val="tabletext"/>
              <w:rPr>
                <w:color w:val="000000"/>
                <w:lang w:eastAsia="en-GB"/>
              </w:rPr>
            </w:pPr>
            <w:r w:rsidRPr="00D757E4">
              <w:rPr>
                <w:color w:val="000000"/>
                <w:lang w:eastAsia="en-GB"/>
              </w:rPr>
              <w:lastRenderedPageBreak/>
              <w:t>RIBA 3</w:t>
            </w:r>
          </w:p>
        </w:tc>
        <w:tc>
          <w:tcPr>
            <w:tcW w:w="2260" w:type="dxa"/>
            <w:tcBorders>
              <w:top w:val="nil"/>
              <w:left w:val="nil"/>
              <w:bottom w:val="single" w:sz="8" w:space="0" w:color="A6A6A6"/>
              <w:right w:val="single" w:sz="8" w:space="0" w:color="A6A6A6"/>
            </w:tcBorders>
            <w:vAlign w:val="center"/>
            <w:hideMark/>
          </w:tcPr>
          <w:p w14:paraId="561C492C" w14:textId="77777777" w:rsidR="00C26793" w:rsidRPr="00D757E4" w:rsidRDefault="00C26793" w:rsidP="00E67800">
            <w:pPr>
              <w:pStyle w:val="tabletext"/>
              <w:jc w:val="right"/>
              <w:rPr>
                <w:color w:val="000000"/>
                <w:lang w:eastAsia="en-GB"/>
              </w:rPr>
            </w:pPr>
            <w:r w:rsidRPr="00D757E4">
              <w:rPr>
                <w:color w:val="000000"/>
                <w:lang w:eastAsia="en-GB"/>
              </w:rPr>
              <w:t>400</w:t>
            </w:r>
          </w:p>
        </w:tc>
        <w:tc>
          <w:tcPr>
            <w:tcW w:w="1760" w:type="dxa"/>
            <w:tcBorders>
              <w:top w:val="nil"/>
              <w:left w:val="nil"/>
              <w:bottom w:val="single" w:sz="8" w:space="0" w:color="A6A6A6"/>
              <w:right w:val="single" w:sz="8" w:space="0" w:color="A6A6A6"/>
            </w:tcBorders>
            <w:vAlign w:val="center"/>
            <w:hideMark/>
          </w:tcPr>
          <w:p w14:paraId="1630073C" w14:textId="77777777" w:rsidR="00C26793" w:rsidRPr="00D757E4" w:rsidRDefault="00C26793" w:rsidP="00E67800">
            <w:pPr>
              <w:pStyle w:val="tabletext"/>
              <w:jc w:val="right"/>
              <w:rPr>
                <w:color w:val="000000"/>
                <w:lang w:eastAsia="en-GB"/>
              </w:rPr>
            </w:pPr>
            <w:r w:rsidRPr="00D757E4">
              <w:rPr>
                <w:color w:val="000000"/>
                <w:lang w:eastAsia="en-GB"/>
              </w:rPr>
              <w:t>1,491</w:t>
            </w:r>
          </w:p>
        </w:tc>
        <w:tc>
          <w:tcPr>
            <w:tcW w:w="2320" w:type="dxa"/>
            <w:tcBorders>
              <w:top w:val="nil"/>
              <w:left w:val="nil"/>
              <w:bottom w:val="single" w:sz="8" w:space="0" w:color="A6A6A6"/>
              <w:right w:val="single" w:sz="8" w:space="0" w:color="A6A6A6"/>
            </w:tcBorders>
            <w:vAlign w:val="center"/>
            <w:hideMark/>
          </w:tcPr>
          <w:p w14:paraId="4B925200" w14:textId="77777777" w:rsidR="00C26793" w:rsidRPr="00D757E4" w:rsidRDefault="00C26793" w:rsidP="00E67800">
            <w:pPr>
              <w:pStyle w:val="tabletext"/>
              <w:jc w:val="right"/>
              <w:rPr>
                <w:color w:val="000000"/>
                <w:lang w:eastAsia="en-GB"/>
              </w:rPr>
            </w:pPr>
            <w:r w:rsidRPr="00D757E4">
              <w:rPr>
                <w:color w:val="000000"/>
                <w:lang w:eastAsia="en-GB"/>
              </w:rPr>
              <w:t>1,534</w:t>
            </w:r>
          </w:p>
        </w:tc>
        <w:tc>
          <w:tcPr>
            <w:tcW w:w="2320" w:type="dxa"/>
            <w:tcBorders>
              <w:top w:val="nil"/>
              <w:left w:val="nil"/>
              <w:bottom w:val="single" w:sz="8" w:space="0" w:color="A6A6A6"/>
              <w:right w:val="single" w:sz="8" w:space="0" w:color="A6A6A6"/>
            </w:tcBorders>
            <w:vAlign w:val="center"/>
            <w:hideMark/>
          </w:tcPr>
          <w:p w14:paraId="4760B599" w14:textId="77777777" w:rsidR="00C26793" w:rsidRPr="00D757E4" w:rsidRDefault="00C26793" w:rsidP="00E67800">
            <w:pPr>
              <w:pStyle w:val="tabletext"/>
              <w:jc w:val="right"/>
              <w:rPr>
                <w:color w:val="000000"/>
                <w:lang w:eastAsia="en-GB"/>
              </w:rPr>
            </w:pPr>
            <w:r w:rsidRPr="00D757E4">
              <w:rPr>
                <w:color w:val="000000"/>
                <w:lang w:eastAsia="en-GB"/>
              </w:rPr>
              <w:t>3</w:t>
            </w:r>
            <w:r>
              <w:rPr>
                <w:color w:val="000000"/>
                <w:lang w:eastAsia="en-GB"/>
              </w:rPr>
              <w:t>,</w:t>
            </w:r>
            <w:r w:rsidRPr="00D757E4">
              <w:rPr>
                <w:color w:val="000000"/>
                <w:lang w:eastAsia="en-GB"/>
              </w:rPr>
              <w:t>025</w:t>
            </w:r>
          </w:p>
        </w:tc>
      </w:tr>
      <w:tr w:rsidR="00C26793" w:rsidRPr="00D757E4" w14:paraId="5F72EDB0" w14:textId="77777777" w:rsidTr="00E67800">
        <w:tc>
          <w:tcPr>
            <w:tcW w:w="1640" w:type="dxa"/>
            <w:tcBorders>
              <w:top w:val="nil"/>
              <w:left w:val="single" w:sz="8" w:space="0" w:color="A6A6A6"/>
              <w:bottom w:val="single" w:sz="8" w:space="0" w:color="A6A6A6"/>
              <w:right w:val="single" w:sz="8" w:space="0" w:color="A6A6A6"/>
            </w:tcBorders>
            <w:vAlign w:val="center"/>
            <w:hideMark/>
          </w:tcPr>
          <w:p w14:paraId="4143F3C5" w14:textId="77777777" w:rsidR="00C26793" w:rsidRPr="00D757E4" w:rsidRDefault="00C26793" w:rsidP="00E67800">
            <w:pPr>
              <w:pStyle w:val="tabletext"/>
              <w:rPr>
                <w:color w:val="000000"/>
                <w:lang w:eastAsia="en-GB"/>
              </w:rPr>
            </w:pPr>
            <w:r w:rsidRPr="00D757E4">
              <w:rPr>
                <w:color w:val="000000"/>
                <w:lang w:eastAsia="en-GB"/>
              </w:rPr>
              <w:t>RIBA 4</w:t>
            </w:r>
          </w:p>
        </w:tc>
        <w:tc>
          <w:tcPr>
            <w:tcW w:w="2260" w:type="dxa"/>
            <w:tcBorders>
              <w:top w:val="nil"/>
              <w:left w:val="nil"/>
              <w:bottom w:val="single" w:sz="8" w:space="0" w:color="A6A6A6"/>
              <w:right w:val="single" w:sz="8" w:space="0" w:color="A6A6A6"/>
            </w:tcBorders>
            <w:vAlign w:val="center"/>
            <w:hideMark/>
          </w:tcPr>
          <w:p w14:paraId="66EBA6DA" w14:textId="77777777" w:rsidR="00C26793" w:rsidRPr="00D757E4" w:rsidRDefault="00C26793" w:rsidP="00E67800">
            <w:pPr>
              <w:pStyle w:val="tabletext"/>
              <w:jc w:val="right"/>
              <w:rPr>
                <w:color w:val="000000"/>
                <w:lang w:eastAsia="en-GB"/>
              </w:rPr>
            </w:pPr>
            <w:r w:rsidRPr="00D757E4">
              <w:rPr>
                <w:color w:val="000000"/>
                <w:lang w:eastAsia="en-GB"/>
              </w:rPr>
              <w:t>3534</w:t>
            </w:r>
          </w:p>
        </w:tc>
        <w:tc>
          <w:tcPr>
            <w:tcW w:w="1760" w:type="dxa"/>
            <w:tcBorders>
              <w:top w:val="nil"/>
              <w:left w:val="nil"/>
              <w:bottom w:val="single" w:sz="8" w:space="0" w:color="A6A6A6"/>
              <w:right w:val="single" w:sz="8" w:space="0" w:color="A6A6A6"/>
            </w:tcBorders>
            <w:vAlign w:val="center"/>
            <w:hideMark/>
          </w:tcPr>
          <w:p w14:paraId="796CF4AD" w14:textId="77777777" w:rsidR="00C26793" w:rsidRPr="00D757E4" w:rsidRDefault="00C26793" w:rsidP="00E67800">
            <w:pPr>
              <w:pStyle w:val="tabletext"/>
              <w:jc w:val="right"/>
              <w:rPr>
                <w:color w:val="000000"/>
                <w:lang w:eastAsia="en-GB"/>
              </w:rPr>
            </w:pPr>
            <w:r w:rsidRPr="00D757E4">
              <w:rPr>
                <w:color w:val="000000"/>
                <w:lang w:eastAsia="en-GB"/>
              </w:rPr>
              <w:t>1,405</w:t>
            </w:r>
          </w:p>
        </w:tc>
        <w:tc>
          <w:tcPr>
            <w:tcW w:w="2320" w:type="dxa"/>
            <w:tcBorders>
              <w:top w:val="nil"/>
              <w:left w:val="nil"/>
              <w:bottom w:val="single" w:sz="8" w:space="0" w:color="A6A6A6"/>
              <w:right w:val="single" w:sz="8" w:space="0" w:color="A6A6A6"/>
            </w:tcBorders>
            <w:vAlign w:val="center"/>
            <w:hideMark/>
          </w:tcPr>
          <w:p w14:paraId="63F377DF" w14:textId="77777777" w:rsidR="00C26793" w:rsidRPr="00D757E4" w:rsidRDefault="00C26793" w:rsidP="00E67800">
            <w:pPr>
              <w:pStyle w:val="tabletext"/>
              <w:jc w:val="right"/>
              <w:rPr>
                <w:color w:val="000000"/>
                <w:lang w:eastAsia="en-GB"/>
              </w:rPr>
            </w:pPr>
            <w:r w:rsidRPr="00D757E4">
              <w:rPr>
                <w:color w:val="000000"/>
                <w:lang w:eastAsia="en-GB"/>
              </w:rPr>
              <w:t>924</w:t>
            </w:r>
          </w:p>
        </w:tc>
        <w:tc>
          <w:tcPr>
            <w:tcW w:w="2320" w:type="dxa"/>
            <w:tcBorders>
              <w:top w:val="nil"/>
              <w:left w:val="nil"/>
              <w:bottom w:val="single" w:sz="8" w:space="0" w:color="A6A6A6"/>
              <w:right w:val="single" w:sz="8" w:space="0" w:color="A6A6A6"/>
            </w:tcBorders>
            <w:vAlign w:val="center"/>
            <w:hideMark/>
          </w:tcPr>
          <w:p w14:paraId="0E4A9CED" w14:textId="77777777" w:rsidR="00C26793" w:rsidRPr="00D757E4" w:rsidRDefault="00C26793" w:rsidP="00E67800">
            <w:pPr>
              <w:pStyle w:val="tabletext"/>
              <w:jc w:val="right"/>
              <w:rPr>
                <w:color w:val="000000"/>
                <w:lang w:eastAsia="en-GB"/>
              </w:rPr>
            </w:pPr>
            <w:r w:rsidRPr="00D757E4">
              <w:rPr>
                <w:color w:val="000000"/>
                <w:lang w:eastAsia="en-GB"/>
              </w:rPr>
              <w:t>2,328</w:t>
            </w:r>
          </w:p>
        </w:tc>
      </w:tr>
      <w:tr w:rsidR="00C26793" w:rsidRPr="00283638" w14:paraId="1E430675" w14:textId="77777777" w:rsidTr="00E67800">
        <w:tc>
          <w:tcPr>
            <w:tcW w:w="1640" w:type="dxa"/>
            <w:tcBorders>
              <w:top w:val="nil"/>
              <w:left w:val="single" w:sz="8" w:space="0" w:color="A6A6A6"/>
              <w:bottom w:val="single" w:sz="8" w:space="0" w:color="A6A6A6"/>
              <w:right w:val="single" w:sz="8" w:space="0" w:color="A6A6A6"/>
            </w:tcBorders>
            <w:shd w:val="clear" w:color="000000" w:fill="D1D6E5"/>
            <w:vAlign w:val="center"/>
            <w:hideMark/>
          </w:tcPr>
          <w:p w14:paraId="57155E9D" w14:textId="77777777" w:rsidR="00C26793" w:rsidRPr="00283638" w:rsidRDefault="00C26793" w:rsidP="00E67800">
            <w:pPr>
              <w:pStyle w:val="tabletext"/>
              <w:rPr>
                <w:b/>
                <w:bCs/>
                <w:color w:val="000000"/>
                <w:lang w:eastAsia="en-GB"/>
              </w:rPr>
            </w:pPr>
            <w:r w:rsidRPr="00283638">
              <w:rPr>
                <w:b/>
                <w:bCs/>
                <w:color w:val="000000"/>
                <w:lang w:eastAsia="en-GB"/>
              </w:rPr>
              <w:t>Total</w:t>
            </w:r>
          </w:p>
        </w:tc>
        <w:tc>
          <w:tcPr>
            <w:tcW w:w="2260" w:type="dxa"/>
            <w:tcBorders>
              <w:top w:val="nil"/>
              <w:left w:val="nil"/>
              <w:bottom w:val="single" w:sz="8" w:space="0" w:color="A6A6A6"/>
              <w:right w:val="single" w:sz="8" w:space="0" w:color="A6A6A6"/>
            </w:tcBorders>
            <w:shd w:val="clear" w:color="000000" w:fill="D1D6E5"/>
            <w:vAlign w:val="center"/>
            <w:hideMark/>
          </w:tcPr>
          <w:p w14:paraId="69DB9987" w14:textId="77777777" w:rsidR="00C26793" w:rsidRPr="00283638" w:rsidRDefault="00C26793" w:rsidP="00E67800">
            <w:pPr>
              <w:pStyle w:val="tabletext"/>
              <w:jc w:val="right"/>
              <w:rPr>
                <w:b/>
                <w:bCs/>
                <w:color w:val="000000"/>
                <w:lang w:eastAsia="en-GB"/>
              </w:rPr>
            </w:pPr>
            <w:r w:rsidRPr="00283638">
              <w:rPr>
                <w:b/>
                <w:bCs/>
                <w:color w:val="000000"/>
                <w:lang w:eastAsia="en-GB"/>
              </w:rPr>
              <w:t>3,934</w:t>
            </w:r>
          </w:p>
        </w:tc>
        <w:tc>
          <w:tcPr>
            <w:tcW w:w="1760" w:type="dxa"/>
            <w:tcBorders>
              <w:top w:val="nil"/>
              <w:left w:val="nil"/>
              <w:bottom w:val="single" w:sz="8" w:space="0" w:color="A6A6A6"/>
              <w:right w:val="single" w:sz="8" w:space="0" w:color="A6A6A6"/>
            </w:tcBorders>
            <w:shd w:val="clear" w:color="000000" w:fill="D1D6E5"/>
            <w:vAlign w:val="center"/>
            <w:hideMark/>
          </w:tcPr>
          <w:p w14:paraId="289DD0D9" w14:textId="77777777" w:rsidR="00C26793" w:rsidRPr="00283638" w:rsidRDefault="00C26793" w:rsidP="00E67800">
            <w:pPr>
              <w:pStyle w:val="tabletext"/>
              <w:jc w:val="right"/>
              <w:rPr>
                <w:b/>
                <w:bCs/>
                <w:color w:val="000000"/>
                <w:lang w:eastAsia="en-GB"/>
              </w:rPr>
            </w:pPr>
            <w:r w:rsidRPr="00283638">
              <w:rPr>
                <w:b/>
                <w:bCs/>
                <w:color w:val="000000"/>
                <w:lang w:eastAsia="en-GB"/>
              </w:rPr>
              <w:t>2,896</w:t>
            </w:r>
          </w:p>
        </w:tc>
        <w:tc>
          <w:tcPr>
            <w:tcW w:w="2320" w:type="dxa"/>
            <w:tcBorders>
              <w:top w:val="nil"/>
              <w:left w:val="nil"/>
              <w:bottom w:val="single" w:sz="8" w:space="0" w:color="A6A6A6"/>
              <w:right w:val="single" w:sz="8" w:space="0" w:color="A6A6A6"/>
            </w:tcBorders>
            <w:shd w:val="clear" w:color="000000" w:fill="D1D6E5"/>
            <w:vAlign w:val="center"/>
            <w:hideMark/>
          </w:tcPr>
          <w:p w14:paraId="4961D186" w14:textId="77777777" w:rsidR="00C26793" w:rsidRPr="00283638" w:rsidRDefault="00C26793" w:rsidP="00E67800">
            <w:pPr>
              <w:pStyle w:val="tabletext"/>
              <w:jc w:val="right"/>
              <w:rPr>
                <w:b/>
                <w:bCs/>
                <w:color w:val="000000"/>
                <w:lang w:eastAsia="en-GB"/>
              </w:rPr>
            </w:pPr>
            <w:r w:rsidRPr="00283638">
              <w:rPr>
                <w:b/>
                <w:bCs/>
                <w:color w:val="000000"/>
                <w:lang w:eastAsia="en-GB"/>
              </w:rPr>
              <w:t>2,457</w:t>
            </w:r>
          </w:p>
        </w:tc>
        <w:tc>
          <w:tcPr>
            <w:tcW w:w="2320" w:type="dxa"/>
            <w:tcBorders>
              <w:top w:val="nil"/>
              <w:left w:val="nil"/>
              <w:bottom w:val="single" w:sz="8" w:space="0" w:color="A6A6A6"/>
              <w:right w:val="single" w:sz="8" w:space="0" w:color="A6A6A6"/>
            </w:tcBorders>
            <w:shd w:val="clear" w:color="000000" w:fill="D1D6E5"/>
            <w:vAlign w:val="center"/>
            <w:hideMark/>
          </w:tcPr>
          <w:p w14:paraId="48AFE077" w14:textId="77777777" w:rsidR="00C26793" w:rsidRPr="00283638" w:rsidRDefault="00C26793" w:rsidP="00E67800">
            <w:pPr>
              <w:pStyle w:val="tabletext"/>
              <w:jc w:val="right"/>
              <w:rPr>
                <w:b/>
                <w:bCs/>
                <w:color w:val="000000"/>
                <w:lang w:eastAsia="en-GB"/>
              </w:rPr>
            </w:pPr>
            <w:r w:rsidRPr="00283638">
              <w:rPr>
                <w:b/>
                <w:bCs/>
                <w:color w:val="000000"/>
                <w:lang w:eastAsia="en-GB"/>
              </w:rPr>
              <w:t>5,353</w:t>
            </w:r>
          </w:p>
        </w:tc>
      </w:tr>
      <w:tr w:rsidR="00C26793" w:rsidRPr="00D757E4" w14:paraId="7EA5CF50" w14:textId="77777777" w:rsidTr="00E67800">
        <w:tc>
          <w:tcPr>
            <w:tcW w:w="1640" w:type="dxa"/>
            <w:tcBorders>
              <w:top w:val="nil"/>
              <w:left w:val="nil"/>
              <w:bottom w:val="nil"/>
              <w:right w:val="nil"/>
            </w:tcBorders>
            <w:noWrap/>
            <w:vAlign w:val="bottom"/>
            <w:hideMark/>
          </w:tcPr>
          <w:p w14:paraId="0C5B6616" w14:textId="77777777" w:rsidR="00C26793" w:rsidRPr="0074255F" w:rsidRDefault="00C26793" w:rsidP="00E67800">
            <w:pPr>
              <w:pStyle w:val="tabletext"/>
              <w:rPr>
                <w:lang w:eastAsia="en-GB"/>
              </w:rPr>
            </w:pPr>
          </w:p>
        </w:tc>
        <w:tc>
          <w:tcPr>
            <w:tcW w:w="2260" w:type="dxa"/>
            <w:tcBorders>
              <w:top w:val="nil"/>
              <w:left w:val="nil"/>
              <w:bottom w:val="nil"/>
              <w:right w:val="nil"/>
            </w:tcBorders>
            <w:noWrap/>
            <w:vAlign w:val="bottom"/>
            <w:hideMark/>
          </w:tcPr>
          <w:p w14:paraId="29681A95" w14:textId="77777777" w:rsidR="00C26793" w:rsidRPr="0074255F" w:rsidRDefault="00C26793" w:rsidP="00E67800">
            <w:pPr>
              <w:pStyle w:val="tabletext"/>
              <w:jc w:val="right"/>
              <w:rPr>
                <w:rFonts w:ascii="Times New Roman" w:hAnsi="Times New Roman" w:cs="Times New Roman"/>
                <w:lang w:eastAsia="en-GB"/>
              </w:rPr>
            </w:pPr>
          </w:p>
        </w:tc>
        <w:tc>
          <w:tcPr>
            <w:tcW w:w="1760" w:type="dxa"/>
            <w:tcBorders>
              <w:top w:val="nil"/>
              <w:left w:val="nil"/>
              <w:bottom w:val="nil"/>
              <w:right w:val="nil"/>
            </w:tcBorders>
            <w:noWrap/>
            <w:vAlign w:val="bottom"/>
            <w:hideMark/>
          </w:tcPr>
          <w:p w14:paraId="19D08FA3" w14:textId="77777777" w:rsidR="00C26793" w:rsidRPr="0074255F" w:rsidRDefault="00C26793" w:rsidP="00E67800">
            <w:pPr>
              <w:pStyle w:val="tabletext"/>
              <w:jc w:val="right"/>
              <w:rPr>
                <w:rFonts w:ascii="Times New Roman" w:hAnsi="Times New Roman" w:cs="Times New Roman"/>
                <w:lang w:eastAsia="en-GB"/>
              </w:rPr>
            </w:pPr>
          </w:p>
        </w:tc>
        <w:tc>
          <w:tcPr>
            <w:tcW w:w="2320" w:type="dxa"/>
            <w:tcBorders>
              <w:top w:val="nil"/>
              <w:left w:val="nil"/>
              <w:bottom w:val="nil"/>
              <w:right w:val="nil"/>
            </w:tcBorders>
            <w:noWrap/>
            <w:vAlign w:val="bottom"/>
            <w:hideMark/>
          </w:tcPr>
          <w:p w14:paraId="71231AF5" w14:textId="77777777" w:rsidR="00C26793" w:rsidRPr="0074255F" w:rsidRDefault="00C26793" w:rsidP="00E67800">
            <w:pPr>
              <w:pStyle w:val="tabletext"/>
              <w:jc w:val="right"/>
              <w:rPr>
                <w:rFonts w:ascii="Times New Roman" w:hAnsi="Times New Roman" w:cs="Times New Roman"/>
                <w:lang w:eastAsia="en-GB"/>
              </w:rPr>
            </w:pPr>
          </w:p>
        </w:tc>
        <w:tc>
          <w:tcPr>
            <w:tcW w:w="2320" w:type="dxa"/>
            <w:tcBorders>
              <w:top w:val="nil"/>
              <w:left w:val="nil"/>
              <w:bottom w:val="single" w:sz="8" w:space="0" w:color="A6A6A6"/>
              <w:right w:val="single" w:sz="8" w:space="0" w:color="A6A6A6"/>
            </w:tcBorders>
            <w:shd w:val="clear" w:color="000000" w:fill="D1D6E5"/>
            <w:vAlign w:val="center"/>
            <w:hideMark/>
          </w:tcPr>
          <w:p w14:paraId="6ACE126D" w14:textId="77777777" w:rsidR="00C26793" w:rsidRPr="00D757E4" w:rsidRDefault="00C26793" w:rsidP="00E67800">
            <w:pPr>
              <w:pStyle w:val="tabletext"/>
              <w:jc w:val="right"/>
              <w:rPr>
                <w:color w:val="000000"/>
                <w:lang w:eastAsia="en-GB"/>
              </w:rPr>
            </w:pPr>
            <w:r w:rsidRPr="00D757E4">
              <w:rPr>
                <w:color w:val="000000"/>
                <w:lang w:eastAsia="en-GB"/>
              </w:rPr>
              <w:t>1,419</w:t>
            </w:r>
          </w:p>
        </w:tc>
      </w:tr>
      <w:tr w:rsidR="00C26793" w:rsidRPr="00D757E4" w14:paraId="571C3F57" w14:textId="77777777" w:rsidTr="00E67800">
        <w:tc>
          <w:tcPr>
            <w:tcW w:w="1640" w:type="dxa"/>
            <w:tcBorders>
              <w:top w:val="nil"/>
              <w:left w:val="nil"/>
              <w:bottom w:val="nil"/>
              <w:right w:val="nil"/>
            </w:tcBorders>
            <w:noWrap/>
            <w:vAlign w:val="bottom"/>
            <w:hideMark/>
          </w:tcPr>
          <w:p w14:paraId="3A0F29AC" w14:textId="77777777" w:rsidR="00C26793" w:rsidRPr="0074255F" w:rsidRDefault="00C26793" w:rsidP="00E67800">
            <w:pPr>
              <w:pStyle w:val="tabletext"/>
              <w:rPr>
                <w:lang w:eastAsia="en-GB"/>
              </w:rPr>
            </w:pPr>
          </w:p>
        </w:tc>
        <w:tc>
          <w:tcPr>
            <w:tcW w:w="2260" w:type="dxa"/>
            <w:tcBorders>
              <w:top w:val="nil"/>
              <w:left w:val="nil"/>
              <w:bottom w:val="nil"/>
              <w:right w:val="nil"/>
            </w:tcBorders>
            <w:noWrap/>
            <w:vAlign w:val="bottom"/>
            <w:hideMark/>
          </w:tcPr>
          <w:p w14:paraId="72BE7DD4" w14:textId="77777777" w:rsidR="00C26793" w:rsidRPr="0074255F" w:rsidRDefault="00C26793" w:rsidP="00E67800">
            <w:pPr>
              <w:pStyle w:val="tabletext"/>
              <w:jc w:val="right"/>
              <w:rPr>
                <w:rFonts w:ascii="Times New Roman" w:hAnsi="Times New Roman" w:cs="Times New Roman"/>
                <w:lang w:eastAsia="en-GB"/>
              </w:rPr>
            </w:pPr>
          </w:p>
        </w:tc>
        <w:tc>
          <w:tcPr>
            <w:tcW w:w="1760" w:type="dxa"/>
            <w:tcBorders>
              <w:top w:val="nil"/>
              <w:left w:val="nil"/>
              <w:bottom w:val="nil"/>
              <w:right w:val="nil"/>
            </w:tcBorders>
            <w:noWrap/>
            <w:vAlign w:val="bottom"/>
            <w:hideMark/>
          </w:tcPr>
          <w:p w14:paraId="10EE1FC3" w14:textId="77777777" w:rsidR="00C26793" w:rsidRPr="0074255F" w:rsidRDefault="00C26793" w:rsidP="00E67800">
            <w:pPr>
              <w:pStyle w:val="tabletext"/>
              <w:jc w:val="right"/>
              <w:rPr>
                <w:rFonts w:ascii="Times New Roman" w:hAnsi="Times New Roman" w:cs="Times New Roman"/>
                <w:lang w:eastAsia="en-GB"/>
              </w:rPr>
            </w:pPr>
          </w:p>
        </w:tc>
        <w:tc>
          <w:tcPr>
            <w:tcW w:w="2320" w:type="dxa"/>
            <w:tcBorders>
              <w:top w:val="nil"/>
              <w:left w:val="nil"/>
              <w:bottom w:val="nil"/>
              <w:right w:val="nil"/>
            </w:tcBorders>
            <w:noWrap/>
            <w:vAlign w:val="bottom"/>
            <w:hideMark/>
          </w:tcPr>
          <w:p w14:paraId="1A452521" w14:textId="77777777" w:rsidR="00C26793" w:rsidRPr="0074255F" w:rsidRDefault="00C26793" w:rsidP="00E67800">
            <w:pPr>
              <w:pStyle w:val="tabletext"/>
              <w:jc w:val="right"/>
              <w:rPr>
                <w:rFonts w:ascii="Times New Roman" w:hAnsi="Times New Roman" w:cs="Times New Roman"/>
                <w:lang w:eastAsia="en-GB"/>
              </w:rPr>
            </w:pPr>
          </w:p>
        </w:tc>
        <w:tc>
          <w:tcPr>
            <w:tcW w:w="2320" w:type="dxa"/>
            <w:tcBorders>
              <w:top w:val="nil"/>
              <w:left w:val="nil"/>
              <w:bottom w:val="single" w:sz="8" w:space="0" w:color="A6A6A6"/>
              <w:right w:val="single" w:sz="8" w:space="0" w:color="A6A6A6"/>
            </w:tcBorders>
            <w:shd w:val="clear" w:color="000000" w:fill="D1D6E5"/>
            <w:vAlign w:val="center"/>
            <w:hideMark/>
          </w:tcPr>
          <w:p w14:paraId="69AE19AF" w14:textId="77777777" w:rsidR="00C26793" w:rsidRPr="00D757E4" w:rsidRDefault="00C26793" w:rsidP="00E67800">
            <w:pPr>
              <w:pStyle w:val="tabletext"/>
              <w:jc w:val="right"/>
              <w:rPr>
                <w:color w:val="000000"/>
                <w:lang w:eastAsia="en-GB"/>
              </w:rPr>
            </w:pPr>
            <w:r w:rsidRPr="00D757E4">
              <w:rPr>
                <w:color w:val="000000"/>
                <w:lang w:eastAsia="en-GB"/>
              </w:rPr>
              <w:t>36%</w:t>
            </w:r>
          </w:p>
        </w:tc>
      </w:tr>
    </w:tbl>
    <w:p w14:paraId="71B6D49A" w14:textId="77777777" w:rsidR="00C26793" w:rsidRDefault="00C26793" w:rsidP="00C26793">
      <w:pPr>
        <w:spacing w:before="240"/>
        <w:rPr>
          <w:rFonts w:eastAsia="Arial" w:cs="Arial"/>
        </w:rPr>
      </w:pPr>
      <w:r>
        <w:rPr>
          <w:rFonts w:eastAsia="Arial" w:cs="Arial"/>
        </w:rPr>
        <w:t xml:space="preserve">These increases are within procurement permitted levels and have been validated by CTM’s Cost Advisors.  </w:t>
      </w:r>
    </w:p>
    <w:p w14:paraId="0E071CA6" w14:textId="77777777" w:rsidR="00C26793" w:rsidRPr="00D757E4" w:rsidRDefault="00C26793" w:rsidP="00C26793">
      <w:pPr>
        <w:spacing w:before="240"/>
        <w:rPr>
          <w:rFonts w:eastAsia="Arial" w:cs="Arial"/>
        </w:rPr>
      </w:pPr>
      <w:r>
        <w:rPr>
          <w:rFonts w:eastAsia="Arial" w:cs="Arial"/>
        </w:rPr>
        <w:t xml:space="preserve">A further consequence of the move to separate phases has been the need to consider the construction (ECC) contract approach.  Previously a single FBC would have approved the total contract sum for the entire construction period.  On a phased basis approvals and funding will be staggered.  As a </w:t>
      </w:r>
      <w:proofErr w:type="gramStart"/>
      <w:r>
        <w:rPr>
          <w:rFonts w:eastAsia="Arial" w:cs="Arial"/>
        </w:rPr>
        <w:t>result</w:t>
      </w:r>
      <w:proofErr w:type="gramEnd"/>
      <w:r>
        <w:rPr>
          <w:rFonts w:eastAsia="Arial" w:cs="Arial"/>
        </w:rPr>
        <w:t xml:space="preserve"> an options appraisal was undertaken that identified that separate ECC contracts would be entered into for the construction of each phase.  This was considered the lowest risk option that delivered compliance with standing financial instructions and procurement regulations as well as reduced overall risk to cost and programme. </w:t>
      </w:r>
    </w:p>
    <w:p w14:paraId="566AE8C6" w14:textId="73561348" w:rsidR="002E3F1F" w:rsidRPr="00CB4ED1" w:rsidRDefault="00C26793" w:rsidP="00C26793">
      <w:r>
        <w:rPr>
          <w:rFonts w:eastAsia="Arial" w:cs="Arial"/>
        </w:rPr>
        <w:t>Site wide p</w:t>
      </w:r>
      <w:r w:rsidRPr="00D757E4">
        <w:rPr>
          <w:rFonts w:eastAsia="Arial" w:cs="Arial"/>
        </w:rPr>
        <w:t xml:space="preserve">lanning permission was granted on 29 September </w:t>
      </w:r>
      <w:proofErr w:type="gramStart"/>
      <w:r w:rsidRPr="00D757E4">
        <w:rPr>
          <w:rFonts w:eastAsia="Arial" w:cs="Arial"/>
        </w:rPr>
        <w:t>2025</w:t>
      </w:r>
      <w:r>
        <w:rPr>
          <w:rFonts w:eastAsia="Arial" w:cs="Arial"/>
        </w:rPr>
        <w:t>,</w:t>
      </w:r>
      <w:proofErr w:type="gramEnd"/>
      <w:r>
        <w:rPr>
          <w:rFonts w:eastAsia="Arial" w:cs="Arial"/>
        </w:rPr>
        <w:t xml:space="preserve"> however this was based on original designs and layout, an amended planning application will need to be made for Phase 2 which will be undertaken between OBC and FBC stages. </w:t>
      </w:r>
    </w:p>
    <w:p w14:paraId="770437FA" w14:textId="77777777" w:rsidR="002E3F1F" w:rsidRPr="00CB4ED1" w:rsidRDefault="002E3F1F" w:rsidP="002E3F1F">
      <w:pPr>
        <w:pStyle w:val="NoSpacing"/>
      </w:pPr>
    </w:p>
    <w:p w14:paraId="3BE39C8D" w14:textId="57AC6EF0" w:rsidR="00E53CBD" w:rsidRPr="00CB4ED1" w:rsidRDefault="58670D6B" w:rsidP="7232093B">
      <w:pPr>
        <w:pStyle w:val="Heading2"/>
        <w:rPr>
          <w:rFonts w:ascii="Arial" w:eastAsia="Arial" w:hAnsi="Arial" w:cs="Arial"/>
          <w:szCs w:val="32"/>
        </w:rPr>
      </w:pPr>
      <w:bookmarkStart w:id="12" w:name="_Toc213865203"/>
      <w:r w:rsidRPr="00CB4ED1">
        <w:t>Financ</w:t>
      </w:r>
      <w:r w:rsidR="007E2EA4" w:rsidRPr="00CB4ED1">
        <w:t>ial</w:t>
      </w:r>
      <w:r w:rsidRPr="00CB4ED1">
        <w:t xml:space="preserve"> Case</w:t>
      </w:r>
      <w:bookmarkEnd w:id="12"/>
    </w:p>
    <w:p w14:paraId="1197FC6B" w14:textId="77777777" w:rsidR="004A6024" w:rsidRDefault="004A6024" w:rsidP="004A6024">
      <w:pPr>
        <w:rPr>
          <w:rFonts w:cs="Arial"/>
        </w:rPr>
      </w:pPr>
      <w:r>
        <w:rPr>
          <w:rFonts w:cs="Arial"/>
        </w:rPr>
        <w:t>The financial analysis demonstrates that delivery of the preferred way forward is affordable providing that Welsh Government capital funding can be secured, and agreement reached with commissioners about revenue funding requirements.</w:t>
      </w:r>
    </w:p>
    <w:p w14:paraId="0EBB4188" w14:textId="77777777" w:rsidR="004A6024" w:rsidRDefault="004A6024" w:rsidP="001D39F4">
      <w:pPr>
        <w:pStyle w:val="Heading4"/>
      </w:pPr>
      <w:r>
        <w:t>Capital affordability</w:t>
      </w:r>
    </w:p>
    <w:p w14:paraId="40CDBBC6" w14:textId="19B3D3FD" w:rsidR="004A6024" w:rsidRDefault="004A6024" w:rsidP="004A6024">
      <w:r>
        <w:t xml:space="preserve">The cost plan prepared by CTM’s Cost Advisors, </w:t>
      </w:r>
      <w:r>
        <w:rPr>
          <w:rFonts w:cs="Arial"/>
        </w:rPr>
        <w:t xml:space="preserve">based on </w:t>
      </w:r>
      <w:r>
        <w:t>RIBA</w:t>
      </w:r>
      <w:r w:rsidR="00AE5329">
        <w:t xml:space="preserve"> 2</w:t>
      </w:r>
      <w:r>
        <w:t xml:space="preserve"> design, estimates that delivery of LHP will result in capital investment requirements of £1</w:t>
      </w:r>
      <w:r w:rsidR="00E11C25">
        <w:t>23</w:t>
      </w:r>
      <w:r>
        <w:t>.</w:t>
      </w:r>
      <w:r w:rsidR="00E11C25">
        <w:t>6</w:t>
      </w:r>
      <w:r>
        <w:t>m in total, including expenditure incurred to date.</w:t>
      </w:r>
      <w:r w:rsidR="00E67800">
        <w:t xml:space="preserve">  The funding requirement takes account of £1.933M funded to OBC approval</w:t>
      </w:r>
      <w:r>
        <w:t>:</w:t>
      </w:r>
    </w:p>
    <w:tbl>
      <w:tblPr>
        <w:tblW w:w="5079" w:type="pct"/>
        <w:tblInd w:w="-113" w:type="dxa"/>
        <w:tblLayout w:type="fixed"/>
        <w:tblLook w:val="04A0" w:firstRow="1" w:lastRow="0" w:firstColumn="1" w:lastColumn="0" w:noHBand="0" w:noVBand="1"/>
      </w:tblPr>
      <w:tblGrid>
        <w:gridCol w:w="3218"/>
        <w:gridCol w:w="6572"/>
      </w:tblGrid>
      <w:tr w:rsidR="001D39F4" w:rsidRPr="00F2076E" w14:paraId="3B460D74" w14:textId="77777777" w:rsidTr="00AE5329">
        <w:trPr>
          <w:trHeight w:val="1107"/>
        </w:trPr>
        <w:tc>
          <w:tcPr>
            <w:tcW w:w="3218" w:type="dxa"/>
          </w:tcPr>
          <w:p w14:paraId="6CE1D376" w14:textId="2B565AAB" w:rsidR="001D39F4" w:rsidRDefault="00E67800" w:rsidP="001D39F4">
            <w:pPr>
              <w:pStyle w:val="bullets1"/>
            </w:pPr>
            <w:r>
              <w:t xml:space="preserve">Fees to Complete RIBA 3 and 4 and FBC approval £1.669M </w:t>
            </w:r>
          </w:p>
          <w:p w14:paraId="55769519" w14:textId="3A8ADC87" w:rsidR="00AE5329" w:rsidRPr="00AE5329" w:rsidRDefault="00AE5329" w:rsidP="00AE5329">
            <w:pPr>
              <w:pStyle w:val="NoSpacing"/>
            </w:pPr>
          </w:p>
        </w:tc>
        <w:tc>
          <w:tcPr>
            <w:tcW w:w="6572" w:type="dxa"/>
          </w:tcPr>
          <w:p w14:paraId="4142D083" w14:textId="56E5A308" w:rsidR="001D39F4" w:rsidRPr="00F2076E" w:rsidRDefault="001D39F4" w:rsidP="00E67800">
            <w:pPr>
              <w:pStyle w:val="bullets1"/>
              <w:numPr>
                <w:ilvl w:val="0"/>
                <w:numId w:val="0"/>
              </w:numPr>
              <w:ind w:left="284"/>
            </w:pPr>
            <w:r>
              <w:t>Construction - £1</w:t>
            </w:r>
            <w:r w:rsidR="00E11C25">
              <w:t>20</w:t>
            </w:r>
            <w:r>
              <w:t>.</w:t>
            </w:r>
            <w:r w:rsidR="00E11C25">
              <w:t>0</w:t>
            </w:r>
            <w:r>
              <w:t>m.</w:t>
            </w:r>
          </w:p>
        </w:tc>
      </w:tr>
    </w:tbl>
    <w:p w14:paraId="08C21AE3" w14:textId="1F808922" w:rsidR="004A6024" w:rsidRDefault="00AE5329" w:rsidP="004A6024">
      <w:pPr>
        <w:pStyle w:val="NoSpacing"/>
      </w:pPr>
      <w:r>
        <w:t xml:space="preserve">It should be noted that this remains a forecast cost at this stage and the Board is requested to approve this OBC with this cost as a cost not to be exceeded.  Due to the pace at which design has progressed </w:t>
      </w:r>
      <w:proofErr w:type="gramStart"/>
      <w:r w:rsidR="00A4119F">
        <w:t>a number of</w:t>
      </w:r>
      <w:proofErr w:type="gramEnd"/>
      <w:r w:rsidR="00A4119F">
        <w:t xml:space="preserve"> drawings and plans are being finalised which may impact on the final cost.  The submitted OBC capital cost will not exceed the cost in this OBC. </w:t>
      </w:r>
    </w:p>
    <w:p w14:paraId="211990AE" w14:textId="77777777" w:rsidR="00A4119F" w:rsidRDefault="00A4119F" w:rsidP="004A6024">
      <w:pPr>
        <w:pStyle w:val="NoSpacing"/>
      </w:pPr>
    </w:p>
    <w:p w14:paraId="198E1BB5" w14:textId="77777777" w:rsidR="004A6024" w:rsidRDefault="004A6024" w:rsidP="001D39F4">
      <w:pPr>
        <w:pStyle w:val="Heading4"/>
      </w:pPr>
      <w:r>
        <w:t>Revenue affordability</w:t>
      </w:r>
    </w:p>
    <w:p w14:paraId="7BC9ACCB" w14:textId="6972BCBB" w:rsidR="004A6024" w:rsidRDefault="004A6024" w:rsidP="004A6024">
      <w:pPr>
        <w:pStyle w:val="bullets1"/>
        <w:numPr>
          <w:ilvl w:val="0"/>
          <w:numId w:val="0"/>
        </w:numPr>
        <w:tabs>
          <w:tab w:val="left" w:pos="720"/>
        </w:tabs>
      </w:pPr>
      <w:r>
        <w:rPr>
          <w:rFonts w:ascii="Arial" w:hAnsi="Arial" w:cs="Calibri"/>
        </w:rPr>
        <w:t>Work undertaken by the programme team and finance leads indicates that the orthopaedic unit will incur recurring revenue costs of £39.</w:t>
      </w:r>
      <w:r w:rsidR="00E11C25">
        <w:rPr>
          <w:rFonts w:ascii="Arial" w:hAnsi="Arial" w:cs="Calibri"/>
        </w:rPr>
        <w:t>9</w:t>
      </w:r>
      <w:r>
        <w:rPr>
          <w:rFonts w:ascii="Arial" w:hAnsi="Arial" w:cs="Calibri"/>
        </w:rPr>
        <w:t xml:space="preserve"> million per annum, including:</w:t>
      </w:r>
    </w:p>
    <w:p w14:paraId="02F6D0E0" w14:textId="77777777" w:rsidR="004A6024" w:rsidRDefault="004A6024" w:rsidP="004A6024">
      <w:pPr>
        <w:pStyle w:val="bullets1"/>
        <w:numPr>
          <w:ilvl w:val="0"/>
          <w:numId w:val="49"/>
        </w:numPr>
        <w:tabs>
          <w:tab w:val="left" w:pos="720"/>
        </w:tabs>
      </w:pPr>
      <w:r>
        <w:t>Pay costs of £15.0 million for approximately 220 WTE staff</w:t>
      </w:r>
    </w:p>
    <w:p w14:paraId="51B7CEDB" w14:textId="4A134B52" w:rsidR="004A6024" w:rsidRDefault="004A6024" w:rsidP="004A6024">
      <w:pPr>
        <w:pStyle w:val="bullets1"/>
        <w:numPr>
          <w:ilvl w:val="0"/>
          <w:numId w:val="49"/>
        </w:numPr>
        <w:tabs>
          <w:tab w:val="left" w:pos="720"/>
        </w:tabs>
      </w:pPr>
      <w:r>
        <w:t>Non-pay costs of £24.8 million, covering theatre and ward consumables, building running costs, and depreciation of £3.</w:t>
      </w:r>
      <w:r w:rsidR="00E11C25">
        <w:t>16</w:t>
      </w:r>
      <w:r>
        <w:t xml:space="preserve"> million</w:t>
      </w:r>
    </w:p>
    <w:p w14:paraId="51F49DC9" w14:textId="77777777" w:rsidR="004A6024" w:rsidRDefault="004A6024" w:rsidP="004A6024">
      <w:r>
        <w:t>These indicative costs are based on high level assumptions at this stage and will be firmed up at FBC stage once more detailed information, such as the workforce plan, is available.</w:t>
      </w:r>
    </w:p>
    <w:p w14:paraId="30561BEF" w14:textId="2E494685" w:rsidR="004A6024" w:rsidRDefault="004A6024" w:rsidP="004A6024">
      <w:r>
        <w:lastRenderedPageBreak/>
        <w:t>£10.</w:t>
      </w:r>
      <w:r w:rsidR="00E11C25">
        <w:t>46</w:t>
      </w:r>
      <w:r>
        <w:t>m p.a. of funding has been identified which will partly cover these additional costs which include the following sources:</w:t>
      </w:r>
    </w:p>
    <w:p w14:paraId="727A7996" w14:textId="77777777" w:rsidR="004A6024" w:rsidRDefault="004A6024" w:rsidP="004A6024">
      <w:pPr>
        <w:pStyle w:val="bullets1"/>
        <w:numPr>
          <w:ilvl w:val="0"/>
          <w:numId w:val="49"/>
        </w:numPr>
        <w:tabs>
          <w:tab w:val="left" w:pos="720"/>
        </w:tabs>
      </w:pPr>
      <w:r>
        <w:t>£7.3m associated with the substitution of existing services at CTM including transfers of Ward, Theatres, Medical staff and non-pay costs</w:t>
      </w:r>
    </w:p>
    <w:p w14:paraId="5F97608F" w14:textId="43479A63" w:rsidR="004A6024" w:rsidRDefault="004A6024" w:rsidP="004A6024">
      <w:pPr>
        <w:pStyle w:val="bullets1"/>
        <w:numPr>
          <w:ilvl w:val="0"/>
          <w:numId w:val="49"/>
        </w:numPr>
        <w:tabs>
          <w:tab w:val="left" w:pos="720"/>
        </w:tabs>
      </w:pPr>
      <w:r>
        <w:t>Anticipated £3</w:t>
      </w:r>
      <w:r w:rsidR="00E11C25">
        <w:t>.16</w:t>
      </w:r>
      <w:r>
        <w:t>m of Welsh Government Central funding for depreciation</w:t>
      </w:r>
    </w:p>
    <w:p w14:paraId="4D602B89" w14:textId="77777777" w:rsidR="004A6024" w:rsidRDefault="004A6024" w:rsidP="004A6024">
      <w:pPr>
        <w:pStyle w:val="NoSpacing"/>
      </w:pPr>
    </w:p>
    <w:p w14:paraId="7D72FB96" w14:textId="77777777" w:rsidR="004A6024" w:rsidRDefault="004A6024" w:rsidP="004A6024">
      <w:r>
        <w:t>This leaves an affordability gap of £29.5 million across the region. Work is underway with partner Health Boards and Welsh Government to develop a sustainable solution that aligns with the regional service model and supports timely access to care. Engagement activity is being coordinated to ensure transparency and shared understanding, drawing on lessons from previous programmes and focusing on collaborative planning to address both financial and operational challenges.</w:t>
      </w:r>
    </w:p>
    <w:p w14:paraId="1A7DC37E" w14:textId="67C2807A" w:rsidR="5675E800" w:rsidRPr="005F422E" w:rsidRDefault="5675E800" w:rsidP="005F422E">
      <w:pPr>
        <w:pStyle w:val="NoSpacing"/>
        <w:rPr>
          <w:highlight w:val="yellow"/>
        </w:rPr>
      </w:pPr>
    </w:p>
    <w:p w14:paraId="30380906" w14:textId="5D4D460C" w:rsidR="00E53CBD" w:rsidRPr="00CB4ED1" w:rsidRDefault="58670D6B" w:rsidP="0891E03D">
      <w:pPr>
        <w:pStyle w:val="Heading2"/>
        <w:rPr>
          <w:rFonts w:ascii="Arial" w:eastAsia="Arial" w:hAnsi="Arial" w:cs="Arial"/>
          <w:szCs w:val="32"/>
        </w:rPr>
      </w:pPr>
      <w:bookmarkStart w:id="13" w:name="_Toc213865204"/>
      <w:r w:rsidRPr="00CB4ED1">
        <w:t>Management Case</w:t>
      </w:r>
      <w:bookmarkEnd w:id="13"/>
    </w:p>
    <w:p w14:paraId="148AF289" w14:textId="5E7E4D8B" w:rsidR="00E53CBD" w:rsidRPr="00CB4ED1" w:rsidRDefault="58670D6B" w:rsidP="00616B6F">
      <w:r w:rsidRPr="00CB4ED1">
        <w:t xml:space="preserve">The </w:t>
      </w:r>
      <w:r w:rsidR="00D517E6" w:rsidRPr="00CB4ED1">
        <w:t xml:space="preserve">overall LHP </w:t>
      </w:r>
      <w:r w:rsidRPr="00CB4ED1">
        <w:t>project has been and will continue to be managed to PRINCE2 project management standards with the LHP Project Team leading on delivery. The project governance and reporting structure is outlined in the management case, showing all key workstreams, task and finish groups</w:t>
      </w:r>
      <w:r w:rsidR="706116DD" w:rsidRPr="00CB4ED1">
        <w:t>, with</w:t>
      </w:r>
      <w:r w:rsidRPr="00CB4ED1">
        <w:t xml:space="preserve"> boards</w:t>
      </w:r>
      <w:r w:rsidR="6722A3F8" w:rsidRPr="00CB4ED1">
        <w:t xml:space="preserve"> and </w:t>
      </w:r>
      <w:r w:rsidRPr="00CB4ED1">
        <w:t>teams where approvals and decisions are made.</w:t>
      </w:r>
    </w:p>
    <w:p w14:paraId="0DE2743D" w14:textId="05C037CE" w:rsidR="00E53CBD" w:rsidRDefault="58670D6B" w:rsidP="00616B6F">
      <w:r w:rsidRPr="00CB4ED1">
        <w:t xml:space="preserve">A project programme has been developed to control and track the progress and delivery of the project and resulting outcomes. The key milestones </w:t>
      </w:r>
      <w:r w:rsidR="00D517E6" w:rsidRPr="00CB4ED1">
        <w:t xml:space="preserve">for the infrastructure programme </w:t>
      </w:r>
      <w:r w:rsidRPr="00CB4ED1">
        <w:t>are summarised below.</w:t>
      </w:r>
    </w:p>
    <w:tbl>
      <w:tblPr>
        <w:tblW w:w="5100" w:type="pct"/>
        <w:tblInd w:w="-113" w:type="dxa"/>
        <w:tblLayout w:type="fixed"/>
        <w:tblCellMar>
          <w:top w:w="15" w:type="dxa"/>
          <w:left w:w="15" w:type="dxa"/>
          <w:bottom w:w="15" w:type="dxa"/>
          <w:right w:w="15" w:type="dxa"/>
        </w:tblCellMar>
        <w:tblLook w:val="04A0" w:firstRow="1" w:lastRow="0" w:firstColumn="1" w:lastColumn="0" w:noHBand="0" w:noVBand="1"/>
      </w:tblPr>
      <w:tblGrid>
        <w:gridCol w:w="5627"/>
        <w:gridCol w:w="2183"/>
        <w:gridCol w:w="2000"/>
      </w:tblGrid>
      <w:tr w:rsidR="00441E9C" w:rsidRPr="00441E9C" w14:paraId="750E9943" w14:textId="77777777" w:rsidTr="00E67800">
        <w:tc>
          <w:tcPr>
            <w:tcW w:w="4385" w:type="dxa"/>
            <w:tcBorders>
              <w:top w:val="single" w:sz="8" w:space="0" w:color="A6A6A6"/>
              <w:left w:val="single" w:sz="8" w:space="0" w:color="A6A6A6"/>
              <w:bottom w:val="single" w:sz="8" w:space="0" w:color="A6A6A6"/>
              <w:right w:val="single" w:sz="8" w:space="0" w:color="A6A6A6"/>
            </w:tcBorders>
            <w:shd w:val="clear" w:color="auto" w:fill="374264"/>
            <w:tcMar>
              <w:top w:w="0" w:type="dxa"/>
              <w:left w:w="108" w:type="dxa"/>
              <w:bottom w:w="0" w:type="dxa"/>
              <w:right w:w="108" w:type="dxa"/>
            </w:tcMar>
            <w:vAlign w:val="center"/>
            <w:hideMark/>
          </w:tcPr>
          <w:p w14:paraId="12672C6B" w14:textId="77777777" w:rsidR="00441E9C" w:rsidRPr="00441E9C" w:rsidRDefault="00441E9C" w:rsidP="00441E9C">
            <w:pPr>
              <w:pStyle w:val="tabletext"/>
              <w:rPr>
                <w:b/>
                <w:bCs/>
                <w:color w:val="FFFFFF" w:themeColor="background1"/>
                <w:lang w:eastAsia="en-GB"/>
              </w:rPr>
            </w:pPr>
            <w:r w:rsidRPr="00441E9C">
              <w:rPr>
                <w:b/>
                <w:bCs/>
                <w:color w:val="FFFFFF" w:themeColor="background1"/>
                <w:lang w:eastAsia="en-GB"/>
              </w:rPr>
              <w:t>Milestone</w:t>
            </w:r>
          </w:p>
        </w:tc>
        <w:tc>
          <w:tcPr>
            <w:tcW w:w="1701" w:type="dxa"/>
            <w:tcBorders>
              <w:top w:val="single" w:sz="8" w:space="0" w:color="A6A6A6"/>
              <w:bottom w:val="single" w:sz="8" w:space="0" w:color="A6A6A6"/>
              <w:right w:val="single" w:sz="8" w:space="0" w:color="A6A6A6"/>
            </w:tcBorders>
            <w:shd w:val="clear" w:color="auto" w:fill="374264"/>
            <w:tcMar>
              <w:top w:w="0" w:type="dxa"/>
              <w:left w:w="108" w:type="dxa"/>
              <w:bottom w:w="0" w:type="dxa"/>
              <w:right w:w="108" w:type="dxa"/>
            </w:tcMar>
            <w:vAlign w:val="center"/>
            <w:hideMark/>
          </w:tcPr>
          <w:p w14:paraId="1B1FD2B9" w14:textId="77777777" w:rsidR="00441E9C" w:rsidRPr="00441E9C" w:rsidRDefault="00441E9C" w:rsidP="00441E9C">
            <w:pPr>
              <w:pStyle w:val="tabletext"/>
              <w:rPr>
                <w:b/>
                <w:bCs/>
                <w:color w:val="FFFFFF" w:themeColor="background1"/>
                <w:lang w:eastAsia="en-GB"/>
              </w:rPr>
            </w:pPr>
            <w:r w:rsidRPr="00441E9C">
              <w:rPr>
                <w:b/>
                <w:bCs/>
                <w:color w:val="FFFFFF" w:themeColor="background1"/>
                <w:lang w:eastAsia="en-GB"/>
              </w:rPr>
              <w:t>Start</w:t>
            </w:r>
          </w:p>
        </w:tc>
        <w:tc>
          <w:tcPr>
            <w:tcW w:w="1559" w:type="dxa"/>
            <w:tcBorders>
              <w:top w:val="single" w:sz="8" w:space="0" w:color="A6A6A6"/>
              <w:bottom w:val="single" w:sz="8" w:space="0" w:color="A6A6A6"/>
              <w:right w:val="single" w:sz="8" w:space="0" w:color="A6A6A6"/>
            </w:tcBorders>
            <w:shd w:val="clear" w:color="auto" w:fill="374264"/>
            <w:tcMar>
              <w:top w:w="0" w:type="dxa"/>
              <w:left w:w="108" w:type="dxa"/>
              <w:bottom w:w="0" w:type="dxa"/>
              <w:right w:w="108" w:type="dxa"/>
            </w:tcMar>
            <w:vAlign w:val="center"/>
            <w:hideMark/>
          </w:tcPr>
          <w:p w14:paraId="2EE3D27C" w14:textId="77777777" w:rsidR="00441E9C" w:rsidRPr="00441E9C" w:rsidRDefault="00441E9C" w:rsidP="00441E9C">
            <w:pPr>
              <w:pStyle w:val="tabletext"/>
              <w:rPr>
                <w:b/>
                <w:bCs/>
                <w:color w:val="FFFFFF" w:themeColor="background1"/>
                <w:lang w:eastAsia="en-GB"/>
              </w:rPr>
            </w:pPr>
            <w:r w:rsidRPr="00441E9C">
              <w:rPr>
                <w:b/>
                <w:bCs/>
                <w:color w:val="FFFFFF" w:themeColor="background1"/>
                <w:lang w:eastAsia="en-GB"/>
              </w:rPr>
              <w:t>Completion</w:t>
            </w:r>
          </w:p>
        </w:tc>
      </w:tr>
      <w:tr w:rsidR="00441E9C" w:rsidRPr="0070589C" w14:paraId="06798F4F"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4C1AA4B6" w14:textId="77777777" w:rsidR="00441E9C" w:rsidRPr="0070589C" w:rsidRDefault="00441E9C" w:rsidP="00441E9C">
            <w:pPr>
              <w:pStyle w:val="tabletext"/>
              <w:rPr>
                <w:lang w:eastAsia="en-GB"/>
              </w:rPr>
            </w:pPr>
            <w:r w:rsidRPr="0070589C">
              <w:rPr>
                <w:lang w:eastAsia="en-GB"/>
              </w:rPr>
              <w:t>SOC submission and approval</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352DC03F" w14:textId="77777777" w:rsidR="00441E9C" w:rsidRPr="0070589C" w:rsidRDefault="00441E9C" w:rsidP="00441E9C">
            <w:pPr>
              <w:pStyle w:val="tabletext"/>
              <w:rPr>
                <w:lang w:eastAsia="en-GB"/>
              </w:rPr>
            </w:pPr>
            <w:r w:rsidRPr="0070589C">
              <w:rPr>
                <w:lang w:eastAsia="en-GB"/>
              </w:rPr>
              <w:t>Sept 2024</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3734FA78" w14:textId="77777777" w:rsidR="00441E9C" w:rsidRPr="0070589C" w:rsidRDefault="00441E9C" w:rsidP="00441E9C">
            <w:pPr>
              <w:pStyle w:val="tabletext"/>
              <w:rPr>
                <w:lang w:eastAsia="en-GB"/>
              </w:rPr>
            </w:pPr>
            <w:r w:rsidRPr="0070589C">
              <w:rPr>
                <w:lang w:eastAsia="en-GB"/>
              </w:rPr>
              <w:t>Sept 2024</w:t>
            </w:r>
          </w:p>
        </w:tc>
      </w:tr>
      <w:tr w:rsidR="00441E9C" w:rsidRPr="0070589C" w14:paraId="1314D002"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007B88A5" w14:textId="77777777" w:rsidR="00441E9C" w:rsidRPr="0070589C" w:rsidRDefault="00441E9C" w:rsidP="00441E9C">
            <w:pPr>
              <w:pStyle w:val="tabletext"/>
              <w:rPr>
                <w:lang w:eastAsia="en-GB"/>
              </w:rPr>
            </w:pPr>
            <w:r w:rsidRPr="0070589C">
              <w:rPr>
                <w:lang w:eastAsia="en-GB"/>
              </w:rPr>
              <w:t>OBC submission and approval</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1E35C53C" w14:textId="77777777" w:rsidR="00441E9C" w:rsidRPr="0070589C" w:rsidRDefault="00441E9C" w:rsidP="00441E9C">
            <w:pPr>
              <w:pStyle w:val="tabletext"/>
              <w:rPr>
                <w:lang w:eastAsia="en-GB"/>
              </w:rPr>
            </w:pPr>
            <w:r w:rsidRPr="0070589C">
              <w:rPr>
                <w:lang w:eastAsia="en-GB"/>
              </w:rPr>
              <w:t>Oct 2025</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0FDC577B" w14:textId="77777777" w:rsidR="00441E9C" w:rsidRPr="0070589C" w:rsidRDefault="00441E9C" w:rsidP="00441E9C">
            <w:pPr>
              <w:pStyle w:val="tabletext"/>
              <w:rPr>
                <w:lang w:eastAsia="en-GB"/>
              </w:rPr>
            </w:pPr>
            <w:r w:rsidRPr="0070589C">
              <w:rPr>
                <w:lang w:eastAsia="en-GB"/>
              </w:rPr>
              <w:t>Jan 2026</w:t>
            </w:r>
          </w:p>
        </w:tc>
      </w:tr>
      <w:tr w:rsidR="00441E9C" w:rsidRPr="0070589C" w14:paraId="2101D170"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207C8F0B" w14:textId="77777777" w:rsidR="00441E9C" w:rsidRPr="0070589C" w:rsidRDefault="00441E9C" w:rsidP="00441E9C">
            <w:pPr>
              <w:pStyle w:val="tabletext"/>
              <w:rPr>
                <w:lang w:eastAsia="en-GB"/>
              </w:rPr>
            </w:pPr>
            <w:r w:rsidRPr="0070589C">
              <w:rPr>
                <w:lang w:eastAsia="en-GB"/>
              </w:rPr>
              <w:t>FBC submission and approval</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65885E91" w14:textId="77777777" w:rsidR="00441E9C" w:rsidRPr="0070589C" w:rsidRDefault="00441E9C" w:rsidP="00441E9C">
            <w:pPr>
              <w:pStyle w:val="tabletext"/>
              <w:rPr>
                <w:lang w:eastAsia="en-GB"/>
              </w:rPr>
            </w:pPr>
            <w:r w:rsidRPr="0070589C">
              <w:rPr>
                <w:lang w:eastAsia="en-GB"/>
              </w:rPr>
              <w:t>May 2026</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3BA0C066" w14:textId="77777777" w:rsidR="00441E9C" w:rsidRPr="0070589C" w:rsidRDefault="00441E9C" w:rsidP="00441E9C">
            <w:pPr>
              <w:pStyle w:val="tabletext"/>
              <w:rPr>
                <w:lang w:eastAsia="en-GB"/>
              </w:rPr>
            </w:pPr>
            <w:r w:rsidRPr="0070589C">
              <w:rPr>
                <w:lang w:eastAsia="en-GB"/>
              </w:rPr>
              <w:t>June 2026</w:t>
            </w:r>
          </w:p>
        </w:tc>
      </w:tr>
      <w:tr w:rsidR="00441E9C" w:rsidRPr="0070589C" w14:paraId="13E4A9AF"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5DCC7AFF" w14:textId="77777777" w:rsidR="00441E9C" w:rsidRPr="0070589C" w:rsidRDefault="00441E9C" w:rsidP="00441E9C">
            <w:pPr>
              <w:pStyle w:val="tabletext"/>
              <w:rPr>
                <w:lang w:eastAsia="en-GB"/>
              </w:rPr>
            </w:pPr>
            <w:r w:rsidRPr="0070589C">
              <w:rPr>
                <w:lang w:eastAsia="en-GB"/>
              </w:rPr>
              <w:t>Demolition works start</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08976327" w14:textId="77777777" w:rsidR="00441E9C" w:rsidRPr="0070589C" w:rsidRDefault="00441E9C" w:rsidP="00441E9C">
            <w:pPr>
              <w:pStyle w:val="tabletext"/>
              <w:rPr>
                <w:lang w:eastAsia="en-GB"/>
              </w:rPr>
            </w:pPr>
            <w:r w:rsidRPr="0070589C">
              <w:rPr>
                <w:lang w:eastAsia="en-GB"/>
              </w:rPr>
              <w:t>Apr 2025</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32C392D4" w14:textId="77777777" w:rsidR="00441E9C" w:rsidRPr="0070589C" w:rsidRDefault="00441E9C" w:rsidP="00441E9C">
            <w:pPr>
              <w:pStyle w:val="tabletext"/>
              <w:rPr>
                <w:lang w:eastAsia="en-GB"/>
              </w:rPr>
            </w:pPr>
            <w:r w:rsidRPr="0070589C">
              <w:rPr>
                <w:lang w:eastAsia="en-GB"/>
              </w:rPr>
              <w:t>Oct 2025</w:t>
            </w:r>
          </w:p>
        </w:tc>
      </w:tr>
      <w:tr w:rsidR="00441E9C" w:rsidRPr="0070589C" w14:paraId="37BB878D"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464E49CF" w14:textId="77777777" w:rsidR="00441E9C" w:rsidRPr="0070589C" w:rsidRDefault="00441E9C" w:rsidP="00441E9C">
            <w:pPr>
              <w:pStyle w:val="tabletext"/>
              <w:rPr>
                <w:lang w:eastAsia="en-GB"/>
              </w:rPr>
            </w:pPr>
            <w:r w:rsidRPr="0070589C">
              <w:rPr>
                <w:lang w:eastAsia="en-GB"/>
              </w:rPr>
              <w:t>PCSA design works:</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44725C9F" w14:textId="77777777" w:rsidR="00441E9C" w:rsidRPr="0070589C" w:rsidRDefault="00441E9C" w:rsidP="00441E9C">
            <w:pPr>
              <w:pStyle w:val="tabletext"/>
              <w:rPr>
                <w:rFonts w:ascii="Times New Roman" w:hAnsi="Times New Roman"/>
                <w:szCs w:val="20"/>
                <w:lang w:eastAsia="en-GB"/>
              </w:rPr>
            </w:pP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7258121B" w14:textId="77777777" w:rsidR="00441E9C" w:rsidRPr="0070589C" w:rsidRDefault="00441E9C" w:rsidP="00441E9C">
            <w:pPr>
              <w:pStyle w:val="tabletext"/>
              <w:rPr>
                <w:rFonts w:ascii="Times New Roman" w:hAnsi="Times New Roman"/>
                <w:szCs w:val="20"/>
                <w:lang w:eastAsia="en-GB"/>
              </w:rPr>
            </w:pPr>
          </w:p>
        </w:tc>
      </w:tr>
      <w:tr w:rsidR="00441E9C" w:rsidRPr="0070589C" w14:paraId="2B0B3E6A"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304BFBDF" w14:textId="77777777" w:rsidR="00441E9C" w:rsidRPr="0070589C" w:rsidRDefault="00441E9C" w:rsidP="00441E9C">
            <w:pPr>
              <w:pStyle w:val="tabletext"/>
              <w:ind w:left="284"/>
              <w:rPr>
                <w:lang w:eastAsia="en-GB"/>
              </w:rPr>
            </w:pPr>
            <w:r w:rsidRPr="0070589C">
              <w:rPr>
                <w:lang w:eastAsia="en-GB"/>
              </w:rPr>
              <w:t>RIBA 3 Design</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6E0A7712" w14:textId="77777777" w:rsidR="00441E9C" w:rsidRPr="0070589C" w:rsidRDefault="00441E9C" w:rsidP="00441E9C">
            <w:pPr>
              <w:pStyle w:val="tabletext"/>
              <w:rPr>
                <w:lang w:eastAsia="en-GB"/>
              </w:rPr>
            </w:pPr>
            <w:r w:rsidRPr="0070589C">
              <w:rPr>
                <w:lang w:eastAsia="en-GB"/>
              </w:rPr>
              <w:t>Sept 2025</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2286DE4F" w14:textId="77777777" w:rsidR="00441E9C" w:rsidRPr="0070589C" w:rsidRDefault="00441E9C" w:rsidP="00441E9C">
            <w:pPr>
              <w:pStyle w:val="tabletext"/>
              <w:rPr>
                <w:lang w:eastAsia="en-GB"/>
              </w:rPr>
            </w:pPr>
            <w:r w:rsidRPr="0070589C">
              <w:rPr>
                <w:lang w:eastAsia="en-GB"/>
              </w:rPr>
              <w:t>Dec 2025</w:t>
            </w:r>
          </w:p>
        </w:tc>
      </w:tr>
      <w:tr w:rsidR="00441E9C" w:rsidRPr="0070589C" w14:paraId="0458968D"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69662772" w14:textId="77777777" w:rsidR="00441E9C" w:rsidRPr="0070589C" w:rsidRDefault="00441E9C" w:rsidP="00441E9C">
            <w:pPr>
              <w:pStyle w:val="tabletext"/>
              <w:ind w:left="284"/>
              <w:rPr>
                <w:lang w:eastAsia="en-GB"/>
              </w:rPr>
            </w:pPr>
            <w:r w:rsidRPr="0070589C">
              <w:rPr>
                <w:lang w:eastAsia="en-GB"/>
              </w:rPr>
              <w:t>RIBA 4 Design</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0F04306F" w14:textId="77777777" w:rsidR="00441E9C" w:rsidRPr="0070589C" w:rsidRDefault="00441E9C" w:rsidP="00441E9C">
            <w:pPr>
              <w:pStyle w:val="tabletext"/>
              <w:rPr>
                <w:lang w:eastAsia="en-GB"/>
              </w:rPr>
            </w:pPr>
            <w:r w:rsidRPr="0070589C">
              <w:rPr>
                <w:lang w:eastAsia="en-GB"/>
              </w:rPr>
              <w:t>Dec 2025</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2EC2DB02" w14:textId="77777777" w:rsidR="00441E9C" w:rsidRPr="0070589C" w:rsidRDefault="00441E9C" w:rsidP="00441E9C">
            <w:pPr>
              <w:pStyle w:val="tabletext"/>
              <w:rPr>
                <w:lang w:eastAsia="en-GB"/>
              </w:rPr>
            </w:pPr>
            <w:r w:rsidRPr="0070589C">
              <w:rPr>
                <w:lang w:eastAsia="en-GB"/>
              </w:rPr>
              <w:t>April 2026</w:t>
            </w:r>
          </w:p>
        </w:tc>
      </w:tr>
      <w:tr w:rsidR="00441E9C" w:rsidRPr="0070589C" w14:paraId="38519650"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559442E3" w14:textId="77777777" w:rsidR="00441E9C" w:rsidRPr="0070589C" w:rsidRDefault="00441E9C" w:rsidP="00441E9C">
            <w:pPr>
              <w:pStyle w:val="tabletext"/>
              <w:ind w:left="284"/>
              <w:rPr>
                <w:lang w:eastAsia="en-GB"/>
              </w:rPr>
            </w:pPr>
            <w:r w:rsidRPr="0070589C">
              <w:rPr>
                <w:lang w:eastAsia="en-GB"/>
              </w:rPr>
              <w:t xml:space="preserve">RIBA 5 </w:t>
            </w:r>
            <w:r w:rsidRPr="00F23894">
              <w:rPr>
                <w:lang w:eastAsia="en-GB"/>
              </w:rPr>
              <w:t>Design Construction</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33D6E9FD" w14:textId="77777777" w:rsidR="00441E9C" w:rsidRPr="0070589C" w:rsidRDefault="00441E9C" w:rsidP="00441E9C">
            <w:pPr>
              <w:pStyle w:val="tabletext"/>
              <w:rPr>
                <w:lang w:eastAsia="en-GB"/>
              </w:rPr>
            </w:pPr>
            <w:r w:rsidRPr="0070589C">
              <w:rPr>
                <w:lang w:eastAsia="en-GB"/>
              </w:rPr>
              <w:t>June 2026</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56DB5B7C" w14:textId="77777777" w:rsidR="00441E9C" w:rsidRPr="0070589C" w:rsidRDefault="00441E9C" w:rsidP="00441E9C">
            <w:pPr>
              <w:pStyle w:val="tabletext"/>
              <w:rPr>
                <w:lang w:eastAsia="en-GB"/>
              </w:rPr>
            </w:pPr>
            <w:r w:rsidRPr="0070589C">
              <w:rPr>
                <w:lang w:eastAsia="en-GB"/>
              </w:rPr>
              <w:t>July 2028</w:t>
            </w:r>
          </w:p>
        </w:tc>
      </w:tr>
      <w:tr w:rsidR="00441E9C" w:rsidRPr="0070589C" w14:paraId="4B34AC51"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2D0054FA" w14:textId="77777777" w:rsidR="00441E9C" w:rsidRPr="0070589C" w:rsidRDefault="00441E9C" w:rsidP="00441E9C">
            <w:pPr>
              <w:pStyle w:val="tabletext"/>
              <w:rPr>
                <w:lang w:eastAsia="en-GB"/>
              </w:rPr>
            </w:pPr>
            <w:r w:rsidRPr="0070589C">
              <w:rPr>
                <w:lang w:eastAsia="en-GB"/>
              </w:rPr>
              <w:t>Surgical hub construction</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00C8D377" w14:textId="77777777" w:rsidR="00441E9C" w:rsidRPr="0070589C" w:rsidRDefault="00441E9C" w:rsidP="00441E9C">
            <w:pPr>
              <w:pStyle w:val="tabletext"/>
              <w:rPr>
                <w:lang w:eastAsia="en-GB"/>
              </w:rPr>
            </w:pPr>
            <w:r w:rsidRPr="0070589C">
              <w:rPr>
                <w:lang w:eastAsia="en-GB"/>
              </w:rPr>
              <w:t>June 2026</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33652B23" w14:textId="77777777" w:rsidR="00441E9C" w:rsidRPr="0070589C" w:rsidRDefault="00441E9C" w:rsidP="00441E9C">
            <w:pPr>
              <w:pStyle w:val="tabletext"/>
              <w:rPr>
                <w:lang w:eastAsia="en-GB"/>
              </w:rPr>
            </w:pPr>
            <w:r w:rsidRPr="0070589C">
              <w:rPr>
                <w:lang w:eastAsia="en-GB"/>
              </w:rPr>
              <w:t>July 2028</w:t>
            </w:r>
          </w:p>
        </w:tc>
      </w:tr>
      <w:tr w:rsidR="00441E9C" w:rsidRPr="0070589C" w14:paraId="65D8FC88"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3EC37329" w14:textId="77777777" w:rsidR="00441E9C" w:rsidRPr="0070589C" w:rsidRDefault="00441E9C" w:rsidP="00441E9C">
            <w:pPr>
              <w:pStyle w:val="tabletext"/>
              <w:rPr>
                <w:lang w:eastAsia="en-GB"/>
              </w:rPr>
            </w:pPr>
            <w:r w:rsidRPr="0070589C">
              <w:rPr>
                <w:lang w:eastAsia="en-GB"/>
              </w:rPr>
              <w:t>Operational Commissioning</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6B25B1E0" w14:textId="77777777" w:rsidR="00441E9C" w:rsidRPr="0070589C" w:rsidRDefault="00441E9C" w:rsidP="00441E9C">
            <w:pPr>
              <w:pStyle w:val="tabletext"/>
              <w:rPr>
                <w:lang w:eastAsia="en-GB"/>
              </w:rPr>
            </w:pPr>
            <w:r w:rsidRPr="0070589C">
              <w:rPr>
                <w:lang w:eastAsia="en-GB"/>
              </w:rPr>
              <w:t>Aug 2028</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2025D13E" w14:textId="77777777" w:rsidR="00441E9C" w:rsidRPr="0070589C" w:rsidRDefault="00441E9C" w:rsidP="00441E9C">
            <w:pPr>
              <w:pStyle w:val="tabletext"/>
              <w:rPr>
                <w:lang w:eastAsia="en-GB"/>
              </w:rPr>
            </w:pPr>
            <w:r w:rsidRPr="0070589C">
              <w:rPr>
                <w:lang w:eastAsia="en-GB"/>
              </w:rPr>
              <w:t>Oct 2028</w:t>
            </w:r>
          </w:p>
        </w:tc>
      </w:tr>
      <w:tr w:rsidR="00441E9C" w:rsidRPr="0070589C" w14:paraId="7BFE060A"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505CD269" w14:textId="77777777" w:rsidR="00441E9C" w:rsidRPr="0070589C" w:rsidRDefault="00441E9C" w:rsidP="00441E9C">
            <w:pPr>
              <w:pStyle w:val="tabletext"/>
              <w:rPr>
                <w:lang w:eastAsia="en-GB"/>
              </w:rPr>
            </w:pPr>
            <w:r w:rsidRPr="0070589C">
              <w:rPr>
                <w:lang w:eastAsia="en-GB"/>
              </w:rPr>
              <w:t>Handover of fully commissioned buildings</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1400DA4B" w14:textId="77777777" w:rsidR="00441E9C" w:rsidRPr="0070589C" w:rsidRDefault="00441E9C" w:rsidP="00441E9C">
            <w:pPr>
              <w:pStyle w:val="tabletext"/>
              <w:rPr>
                <w:lang w:eastAsia="en-GB"/>
              </w:rPr>
            </w:pPr>
            <w:r w:rsidRPr="0070589C">
              <w:rPr>
                <w:lang w:eastAsia="en-GB"/>
              </w:rPr>
              <w:t>Nov 2028</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7FC3220B" w14:textId="77777777" w:rsidR="00441E9C" w:rsidRPr="0070589C" w:rsidRDefault="00441E9C" w:rsidP="00441E9C">
            <w:pPr>
              <w:pStyle w:val="tabletext"/>
              <w:rPr>
                <w:lang w:eastAsia="en-GB"/>
              </w:rPr>
            </w:pPr>
            <w:r>
              <w:rPr>
                <w:lang w:eastAsia="en-GB"/>
              </w:rPr>
              <w:t>Dec</w:t>
            </w:r>
            <w:r w:rsidRPr="0070589C">
              <w:rPr>
                <w:lang w:eastAsia="en-GB"/>
              </w:rPr>
              <w:t xml:space="preserve"> 2028</w:t>
            </w:r>
          </w:p>
        </w:tc>
      </w:tr>
    </w:tbl>
    <w:p w14:paraId="27DDF274" w14:textId="77777777" w:rsidR="007A16F2" w:rsidRPr="00CB4ED1" w:rsidRDefault="007A16F2" w:rsidP="001D39F4">
      <w:pPr>
        <w:pStyle w:val="NoSpacing"/>
      </w:pPr>
    </w:p>
    <w:p w14:paraId="2C2B812C" w14:textId="65064F44" w:rsidR="00E53CBD" w:rsidRPr="00CB4ED1" w:rsidRDefault="58670D6B" w:rsidP="00616B6F">
      <w:r w:rsidRPr="00CB4ED1">
        <w:t xml:space="preserve">Within the PRINCE 2 governance arrangements the PMO is classed as part of the Assurance function. </w:t>
      </w:r>
    </w:p>
    <w:p w14:paraId="188ACB76" w14:textId="23B0E67C" w:rsidR="00E53CBD" w:rsidRPr="00CB4ED1" w:rsidRDefault="58670D6B" w:rsidP="005F422E">
      <w:pPr>
        <w:pStyle w:val="Heading4"/>
      </w:pPr>
      <w:r w:rsidRPr="00CB4ED1">
        <w:t>Programme</w:t>
      </w:r>
    </w:p>
    <w:p w14:paraId="68C7C840" w14:textId="637BBB16" w:rsidR="00E53CBD" w:rsidRPr="00CB4ED1" w:rsidRDefault="58670D6B" w:rsidP="00616B6F">
      <w:pPr>
        <w:pStyle w:val="bullets1"/>
      </w:pPr>
      <w:r w:rsidRPr="00CB4ED1">
        <w:t>Review of upcoming programme activity and milestones with LHP Technical PM and Project Director to determine outputs required by workstreams.</w:t>
      </w:r>
    </w:p>
    <w:p w14:paraId="5DF2CD44" w14:textId="30814B2B" w:rsidR="00E53CBD" w:rsidRPr="00CB4ED1" w:rsidRDefault="58670D6B" w:rsidP="00616B6F">
      <w:pPr>
        <w:pStyle w:val="bullets1"/>
      </w:pPr>
      <w:r w:rsidRPr="00CB4ED1">
        <w:t>Create lookahead programme highlighting key programme deliverables over coming weeks/months for dissemination to workstreams.</w:t>
      </w:r>
    </w:p>
    <w:p w14:paraId="7C2B5AD7" w14:textId="4D3E0E35" w:rsidR="00E53CBD" w:rsidRPr="00CB4ED1" w:rsidRDefault="58670D6B" w:rsidP="00616B6F">
      <w:pPr>
        <w:pStyle w:val="bullets1"/>
      </w:pPr>
      <w:r w:rsidRPr="00CB4ED1">
        <w:t>Track workstream output and performance toward achieving programme deliverables and feed progress into monthly reporting – PMO drumbeat.</w:t>
      </w:r>
    </w:p>
    <w:p w14:paraId="2573CAB1" w14:textId="77777777" w:rsidR="00616B6F" w:rsidRPr="00CB4ED1" w:rsidRDefault="00616B6F" w:rsidP="00616B6F">
      <w:pPr>
        <w:pStyle w:val="NoSpacing"/>
      </w:pPr>
    </w:p>
    <w:p w14:paraId="40CBD6BB" w14:textId="7322560B" w:rsidR="00E53CBD" w:rsidRPr="00CB4ED1" w:rsidRDefault="58670D6B" w:rsidP="005F422E">
      <w:pPr>
        <w:pStyle w:val="Heading4"/>
      </w:pPr>
      <w:r w:rsidRPr="00CB4ED1">
        <w:t>Risk</w:t>
      </w:r>
    </w:p>
    <w:p w14:paraId="1FEC72D9" w14:textId="215C13EA" w:rsidR="00E53CBD" w:rsidRPr="00CB4ED1" w:rsidRDefault="58670D6B" w:rsidP="00616B6F">
      <w:pPr>
        <w:pStyle w:val="bullets1"/>
      </w:pPr>
      <w:r w:rsidRPr="00CB4ED1">
        <w:t>Review of risk with LHP Technical PM and Project Director to review and update risk register based on workstream risks.</w:t>
      </w:r>
    </w:p>
    <w:p w14:paraId="7657688F" w14:textId="35137BC3" w:rsidR="00E53CBD" w:rsidRPr="00CB4ED1" w:rsidRDefault="58670D6B" w:rsidP="00616B6F">
      <w:pPr>
        <w:pStyle w:val="bullets1"/>
      </w:pPr>
      <w:r w:rsidRPr="00CB4ED1">
        <w:t>Track workstream risks and feed into project reporting – PMO drumbeat.</w:t>
      </w:r>
    </w:p>
    <w:p w14:paraId="6855CBA6" w14:textId="77777777" w:rsidR="00616B6F" w:rsidRPr="00CB4ED1" w:rsidRDefault="00616B6F" w:rsidP="00616B6F">
      <w:pPr>
        <w:pStyle w:val="NoSpacing"/>
      </w:pPr>
    </w:p>
    <w:p w14:paraId="368B9456" w14:textId="4982AF16" w:rsidR="00E53CBD" w:rsidRPr="00CB4ED1" w:rsidRDefault="58670D6B" w:rsidP="005F422E">
      <w:pPr>
        <w:pStyle w:val="Heading4"/>
      </w:pPr>
      <w:r w:rsidRPr="00CB4ED1">
        <w:t>Key Performance Indicators (KPIs)</w:t>
      </w:r>
    </w:p>
    <w:p w14:paraId="1DC118F3" w14:textId="1D12AD0B" w:rsidR="00E53CBD" w:rsidRPr="00CB4ED1" w:rsidRDefault="58670D6B" w:rsidP="00616B6F">
      <w:pPr>
        <w:pStyle w:val="bullets1"/>
      </w:pPr>
      <w:r w:rsidRPr="00CB4ED1">
        <w:t>Work with LHP Project Director to determine workstream KPIs.</w:t>
      </w:r>
    </w:p>
    <w:p w14:paraId="43506C1D" w14:textId="468010F5" w:rsidR="00E53CBD" w:rsidRPr="00CB4ED1" w:rsidRDefault="58670D6B" w:rsidP="00616B6F">
      <w:pPr>
        <w:pStyle w:val="bullets1"/>
      </w:pPr>
      <w:r w:rsidRPr="00CB4ED1">
        <w:t>Track workstream KPIs and feed into project reporting – PMO drumbeat.</w:t>
      </w:r>
    </w:p>
    <w:p w14:paraId="4A86FC21" w14:textId="77777777" w:rsidR="00616B6F" w:rsidRPr="00CB4ED1" w:rsidRDefault="00616B6F" w:rsidP="00616B6F">
      <w:pPr>
        <w:pStyle w:val="NoSpacing"/>
      </w:pPr>
    </w:p>
    <w:p w14:paraId="06F3AEDB" w14:textId="3583B7C8" w:rsidR="00E53CBD" w:rsidRPr="00CB4ED1" w:rsidRDefault="58670D6B" w:rsidP="005F422E">
      <w:pPr>
        <w:pStyle w:val="Heading4"/>
      </w:pPr>
      <w:r w:rsidRPr="00CB4ED1">
        <w:t>Reporting</w:t>
      </w:r>
    </w:p>
    <w:p w14:paraId="6601E576" w14:textId="29DA1B63" w:rsidR="00E53CBD" w:rsidRPr="00CB4ED1" w:rsidRDefault="58670D6B" w:rsidP="00616B6F">
      <w:pPr>
        <w:pStyle w:val="bullets1"/>
      </w:pPr>
      <w:r w:rsidRPr="00CB4ED1">
        <w:t>Work with PMO governance lead to integrate programme, risk and KPI updates into monthly drumbeat reporting.</w:t>
      </w:r>
    </w:p>
    <w:p w14:paraId="60EB8F3B" w14:textId="6D1299D4" w:rsidR="00E53CBD" w:rsidRPr="00CB4ED1" w:rsidRDefault="58670D6B" w:rsidP="00616B6F">
      <w:pPr>
        <w:pStyle w:val="bullets1"/>
      </w:pPr>
      <w:r w:rsidRPr="00CB4ED1">
        <w:t>Provide updates to LHP Design Team Meeting and Programme Board.</w:t>
      </w:r>
    </w:p>
    <w:p w14:paraId="4435E110" w14:textId="2F25A490" w:rsidR="00E53CBD" w:rsidRPr="00CB4ED1" w:rsidRDefault="00E53CBD" w:rsidP="00616B6F"/>
    <w:p w14:paraId="23C91F27" w14:textId="21283802" w:rsidR="13B85C03" w:rsidRPr="00CB4ED1" w:rsidRDefault="518B3610" w:rsidP="00616B6F">
      <w:pPr>
        <w:pStyle w:val="Heading2"/>
      </w:pPr>
      <w:bookmarkStart w:id="14" w:name="_Toc213865205"/>
      <w:r w:rsidRPr="00CB4ED1">
        <w:t xml:space="preserve">Summary </w:t>
      </w:r>
      <w:r w:rsidR="00616B6F" w:rsidRPr="00CB4ED1">
        <w:t>recommendation and requirements</w:t>
      </w:r>
      <w:bookmarkEnd w:id="14"/>
      <w:r w:rsidR="00616B6F" w:rsidRPr="00CB4ED1">
        <w:t xml:space="preserve"> </w:t>
      </w:r>
    </w:p>
    <w:p w14:paraId="133F107F" w14:textId="77777777" w:rsidR="00890324" w:rsidRPr="00C26793" w:rsidRDefault="00890324" w:rsidP="00890324">
      <w:r w:rsidRPr="00C26793">
        <w:t>The works funded so far have delivered interim mobile capacity on the site alongside the site wide building demolition works.  All other work has been focused on the design of the total Health Park to end of RIBA Stage 3 and commencement of RIBA Stage 4 Design Works for Phase 1 CDH and supporting side wide infrastructure.</w:t>
      </w:r>
    </w:p>
    <w:p w14:paraId="4D8BD997" w14:textId="0303AA5B" w:rsidR="00890324" w:rsidRPr="00C26793" w:rsidRDefault="00890324" w:rsidP="00890324">
      <w:r w:rsidRPr="00C26793">
        <w:t>The recommended option is to.</w:t>
      </w:r>
      <w:r w:rsidR="001D38E8" w:rsidRPr="00C26793">
        <w:t xml:space="preserve"> proceed to complete RIBA design stages 3 and 4 and develop an FBC for a regional orthopaedic </w:t>
      </w:r>
      <w:proofErr w:type="gramStart"/>
      <w:r w:rsidR="001D38E8" w:rsidRPr="00C26793">
        <w:t xml:space="preserve">hub </w:t>
      </w:r>
      <w:r w:rsidRPr="00C26793">
        <w:t>.</w:t>
      </w:r>
      <w:proofErr w:type="gramEnd"/>
    </w:p>
    <w:p w14:paraId="50231D7B" w14:textId="19448E75" w:rsidR="00E53CBD" w:rsidRPr="00CB4ED1" w:rsidRDefault="00890324" w:rsidP="00616B6F">
      <w:r w:rsidRPr="00C26793">
        <w:t>Spend so far</w:t>
      </w:r>
      <w:r w:rsidR="001D38E8" w:rsidRPr="00C26793">
        <w:t xml:space="preserve"> on this phase only is £1.</w:t>
      </w:r>
      <w:r w:rsidR="00C26793" w:rsidRPr="00C26793">
        <w:t>9M</w:t>
      </w:r>
      <w:r w:rsidR="001D38E8" w:rsidRPr="00C26793">
        <w:t xml:space="preserve">M, all sunk costs have been included in the Phase 1 OBC and FBC. </w:t>
      </w:r>
      <w:r w:rsidR="00E67800">
        <w:t>T</w:t>
      </w:r>
      <w:r w:rsidR="2F93402E" w:rsidRPr="00C26793">
        <w:t>he LHP Pro</w:t>
      </w:r>
      <w:r w:rsidR="58517554" w:rsidRPr="00C26793">
        <w:t xml:space="preserve">gramme is </w:t>
      </w:r>
      <w:r w:rsidR="2F93402E" w:rsidRPr="00C26793">
        <w:t xml:space="preserve">seeking </w:t>
      </w:r>
      <w:r w:rsidR="6DADD4CC" w:rsidRPr="00C26793">
        <w:t>urgent</w:t>
      </w:r>
      <w:r w:rsidR="15F75DBF" w:rsidRPr="00C26793">
        <w:t xml:space="preserve"> </w:t>
      </w:r>
      <w:r w:rsidR="2F93402E" w:rsidRPr="00C26793">
        <w:t>approval</w:t>
      </w:r>
      <w:r w:rsidR="2B83FCD4" w:rsidRPr="00C26793">
        <w:t xml:space="preserve"> of this business case</w:t>
      </w:r>
      <w:r w:rsidR="2F93402E" w:rsidRPr="00C26793">
        <w:t xml:space="preserve"> </w:t>
      </w:r>
      <w:r w:rsidR="50A0E6BA" w:rsidRPr="00C26793">
        <w:t xml:space="preserve">and </w:t>
      </w:r>
      <w:r w:rsidR="65C40667" w:rsidRPr="00C26793">
        <w:t>the release of</w:t>
      </w:r>
      <w:r w:rsidR="4CCDD542" w:rsidRPr="00C26793">
        <w:t xml:space="preserve"> </w:t>
      </w:r>
      <w:r w:rsidR="00E67800">
        <w:t xml:space="preserve">further </w:t>
      </w:r>
      <w:r w:rsidR="4CCDD542" w:rsidRPr="00C26793">
        <w:t xml:space="preserve">funding </w:t>
      </w:r>
      <w:proofErr w:type="gramStart"/>
      <w:r w:rsidR="4CCDD542" w:rsidRPr="00C26793">
        <w:t xml:space="preserve">of </w:t>
      </w:r>
      <w:r w:rsidR="64924451" w:rsidRPr="00C26793">
        <w:t xml:space="preserve"> £</w:t>
      </w:r>
      <w:proofErr w:type="gramEnd"/>
      <w:r w:rsidR="001D38E8" w:rsidRPr="00C26793">
        <w:t>1.67M</w:t>
      </w:r>
      <w:r w:rsidR="3075E341" w:rsidRPr="00C26793">
        <w:t xml:space="preserve"> for the RIBA 4 </w:t>
      </w:r>
      <w:r w:rsidR="00A90575" w:rsidRPr="00C26793">
        <w:t xml:space="preserve">and 5 </w:t>
      </w:r>
      <w:r w:rsidR="695762BD" w:rsidRPr="00C26793">
        <w:t>design stage</w:t>
      </w:r>
      <w:r w:rsidR="00A90575" w:rsidRPr="00C26793">
        <w:t xml:space="preserve"> of the Orthopaedic Surgical Hub</w:t>
      </w:r>
      <w:r w:rsidR="3075E341" w:rsidRPr="00C26793">
        <w:t xml:space="preserve"> to avoid delay to the programme</w:t>
      </w:r>
      <w:r w:rsidR="208C1FE3" w:rsidRPr="00C26793">
        <w:t>.</w:t>
      </w:r>
    </w:p>
    <w:p w14:paraId="728615C8" w14:textId="427A2FF2" w:rsidR="00E53CBD" w:rsidRPr="00CB4ED1" w:rsidRDefault="00E53CBD">
      <w:pPr>
        <w:spacing w:after="16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D81168" w:rsidRPr="00CB4ED1" w14:paraId="06160A15" w14:textId="77777777" w:rsidTr="00D81168">
        <w:trPr>
          <w:trHeight w:val="8505"/>
        </w:trPr>
        <w:tc>
          <w:tcPr>
            <w:tcW w:w="9628" w:type="dxa"/>
            <w:vAlign w:val="center"/>
          </w:tcPr>
          <w:p w14:paraId="0C21C1D7" w14:textId="77777777" w:rsidR="00D81168" w:rsidRPr="00CB4ED1" w:rsidRDefault="00D81168" w:rsidP="00D81168">
            <w:pPr>
              <w:pStyle w:val="Heading0"/>
            </w:pPr>
            <w:bookmarkStart w:id="15" w:name="_Toc213865206"/>
            <w:bookmarkStart w:id="16" w:name="_Hlk212813588"/>
            <w:r w:rsidRPr="00CB4ED1">
              <w:lastRenderedPageBreak/>
              <w:t>Strategic Case</w:t>
            </w:r>
            <w:bookmarkEnd w:id="15"/>
          </w:p>
        </w:tc>
      </w:tr>
    </w:tbl>
    <w:p w14:paraId="6C1E083D" w14:textId="5C88694A" w:rsidR="00A92AD1" w:rsidRPr="00CB4ED1" w:rsidRDefault="00A92AD1" w:rsidP="00DC313D">
      <w:pPr>
        <w:pStyle w:val="Heading1"/>
      </w:pPr>
      <w:bookmarkStart w:id="17" w:name="_Toc197096774"/>
      <w:bookmarkStart w:id="18" w:name="_Toc213865207"/>
      <w:r w:rsidRPr="00CB4ED1">
        <w:lastRenderedPageBreak/>
        <w:t xml:space="preserve">Strategic </w:t>
      </w:r>
      <w:r w:rsidR="00402A81" w:rsidRPr="00CB4ED1">
        <w:t>context</w:t>
      </w:r>
      <w:bookmarkEnd w:id="17"/>
      <w:bookmarkEnd w:id="18"/>
    </w:p>
    <w:p w14:paraId="572EF9DB" w14:textId="77777777" w:rsidR="00A92AD1" w:rsidRPr="00CB4ED1" w:rsidRDefault="00A92AD1" w:rsidP="00B45630">
      <w:pPr>
        <w:pStyle w:val="Heading2"/>
      </w:pPr>
      <w:bookmarkStart w:id="19" w:name="_Toc197096775"/>
      <w:bookmarkStart w:id="20" w:name="_Toc213865208"/>
      <w:r w:rsidRPr="00CB4ED1">
        <w:t>Introduction</w:t>
      </w:r>
      <w:bookmarkEnd w:id="19"/>
      <w:bookmarkEnd w:id="20"/>
    </w:p>
    <w:p w14:paraId="3598F265" w14:textId="47353C42" w:rsidR="000710B6" w:rsidRPr="00CB4ED1" w:rsidRDefault="000710B6" w:rsidP="000710B6">
      <w:r w:rsidRPr="00CB4ED1">
        <w:t>This section of the business case outlines the strategic context for the proposals to develop the regional Llantrisant Health Park by explaining how the project is strategically placed to support delivery of services across the three Health Boards in the South East Wales Region, Aneurin Bevan (ABUHB), Cardiff and Vale (C</w:t>
      </w:r>
      <w:r w:rsidR="0074294A">
        <w:t>A</w:t>
      </w:r>
      <w:r w:rsidRPr="00CB4ED1">
        <w:t>VUHB) and Cwm Taf Morgannwg (CTMUHB).</w:t>
      </w:r>
      <w:r w:rsidR="00403253">
        <w:t xml:space="preserve"> </w:t>
      </w:r>
      <w:r w:rsidRPr="00CB4ED1">
        <w:t>This section will:</w:t>
      </w:r>
    </w:p>
    <w:p w14:paraId="4797E1BC" w14:textId="77777777" w:rsidR="000710B6" w:rsidRPr="00CB4ED1" w:rsidRDefault="000710B6" w:rsidP="000710B6">
      <w:pPr>
        <w:pStyle w:val="bullets1"/>
      </w:pPr>
      <w:r w:rsidRPr="00CB4ED1">
        <w:t>Provide a summary of the Programme progress to date;</w:t>
      </w:r>
    </w:p>
    <w:p w14:paraId="28BBC95B" w14:textId="77777777" w:rsidR="000710B6" w:rsidRPr="00CB4ED1" w:rsidRDefault="000710B6" w:rsidP="000710B6">
      <w:pPr>
        <w:pStyle w:val="bullets1"/>
      </w:pPr>
      <w:r w:rsidRPr="00CB4ED1">
        <w:t>Provide an overview of the organisations working in partnership to successfully deliver the project;</w:t>
      </w:r>
    </w:p>
    <w:p w14:paraId="47287CA7" w14:textId="77777777" w:rsidR="000710B6" w:rsidRPr="00CB4ED1" w:rsidRDefault="000710B6" w:rsidP="000710B6">
      <w:pPr>
        <w:pStyle w:val="bullets1"/>
      </w:pPr>
      <w:r w:rsidRPr="00CB4ED1">
        <w:t>Outline how the project will contribute to achieving our business strategies and aims;</w:t>
      </w:r>
    </w:p>
    <w:p w14:paraId="7742EF47" w14:textId="77777777" w:rsidR="000710B6" w:rsidRPr="00CB4ED1" w:rsidRDefault="000710B6" w:rsidP="000710B6">
      <w:pPr>
        <w:pStyle w:val="bullets1"/>
      </w:pPr>
      <w:r w:rsidRPr="00CB4ED1">
        <w:t>Describe how the project aligns with other relevant local and national strategies;</w:t>
      </w:r>
    </w:p>
    <w:p w14:paraId="5DE2641D" w14:textId="77777777" w:rsidR="000710B6" w:rsidRPr="00CB4ED1" w:rsidRDefault="000710B6" w:rsidP="000710B6">
      <w:pPr>
        <w:pStyle w:val="bullets1"/>
      </w:pPr>
      <w:r w:rsidRPr="00CB4ED1">
        <w:t>Describe the geographical context and local health needs.</w:t>
      </w:r>
    </w:p>
    <w:p w14:paraId="512786F9" w14:textId="77777777" w:rsidR="000710B6" w:rsidRPr="00CB4ED1" w:rsidRDefault="000710B6" w:rsidP="000710B6"/>
    <w:p w14:paraId="7471E182" w14:textId="77777777" w:rsidR="000710B6" w:rsidRPr="00CB4ED1" w:rsidRDefault="000710B6" w:rsidP="00174463">
      <w:pPr>
        <w:pStyle w:val="Heading2"/>
      </w:pPr>
      <w:bookmarkStart w:id="21" w:name="_Toc208561617"/>
      <w:bookmarkStart w:id="22" w:name="_Toc213865209"/>
      <w:r w:rsidRPr="00CB4ED1">
        <w:t>LHP programme context and background</w:t>
      </w:r>
      <w:bookmarkEnd w:id="21"/>
      <w:bookmarkEnd w:id="22"/>
    </w:p>
    <w:p w14:paraId="4FE53D60" w14:textId="77777777" w:rsidR="000710B6" w:rsidRPr="00CB4ED1" w:rsidRDefault="000710B6" w:rsidP="000710B6">
      <w:pPr>
        <w:rPr>
          <w:rFonts w:cs="Arial"/>
        </w:rPr>
      </w:pPr>
      <w:r w:rsidRPr="00CB4ED1">
        <w:t>The LHP site was acquired in February 2023</w:t>
      </w:r>
      <w:r w:rsidRPr="00CB4ED1">
        <w:rPr>
          <w:rFonts w:cs="Arial"/>
        </w:rPr>
        <w:t xml:space="preserve"> by CTMUHB for £7.8m capital funding provided by Welsh Government. The site is located directly adjacent to the Royal Glamorgan hospital and extends over 20 acres. At the time of purchase the site included two storeys separate buildings totalling over 10,300sqm. The layout of the site already supported car parking for over 299 and separate front and rear access roads to the buildings.  </w:t>
      </w:r>
    </w:p>
    <w:p w14:paraId="28705D2D" w14:textId="77777777" w:rsidR="000710B6" w:rsidRPr="00CB4ED1" w:rsidRDefault="000710B6" w:rsidP="000710B6">
      <w:pPr>
        <w:rPr>
          <w:rFonts w:cs="Arial"/>
        </w:rPr>
      </w:pPr>
      <w:r w:rsidRPr="00CB4ED1">
        <w:rPr>
          <w:rFonts w:cs="Arial"/>
        </w:rPr>
        <w:t xml:space="preserve">As well as the existing building footprints, there is a further developable area on the site for an additional building.  The case for purchase described how the site was ideally suited to provide a </w:t>
      </w:r>
      <w:proofErr w:type="gramStart"/>
      <w:r w:rsidRPr="00CB4ED1">
        <w:rPr>
          <w:rFonts w:cs="Arial"/>
        </w:rPr>
        <w:t>high volume</w:t>
      </w:r>
      <w:proofErr w:type="gramEnd"/>
      <w:r w:rsidRPr="00CB4ED1">
        <w:rPr>
          <w:rFonts w:cs="Arial"/>
        </w:rPr>
        <w:t xml:space="preserve"> low complexity diagnostic and elective treatment centre with benefits for the whole South East Wales region. At the time of purchase the proposed scope of services to be provided at LHP were:</w:t>
      </w:r>
    </w:p>
    <w:tbl>
      <w:tblPr>
        <w:tblW w:w="5100" w:type="pct"/>
        <w:tblInd w:w="-113" w:type="dxa"/>
        <w:tblLayout w:type="fixed"/>
        <w:tblLook w:val="04A0" w:firstRow="1" w:lastRow="0" w:firstColumn="1" w:lastColumn="0" w:noHBand="0" w:noVBand="1"/>
      </w:tblPr>
      <w:tblGrid>
        <w:gridCol w:w="4082"/>
        <w:gridCol w:w="5749"/>
      </w:tblGrid>
      <w:tr w:rsidR="000710B6" w:rsidRPr="00CB4ED1" w14:paraId="5C1B9BE5" w14:textId="77777777" w:rsidTr="00377EA9">
        <w:tc>
          <w:tcPr>
            <w:tcW w:w="4082" w:type="dxa"/>
          </w:tcPr>
          <w:p w14:paraId="79B33DE4" w14:textId="77777777" w:rsidR="000710B6" w:rsidRPr="00CB4ED1" w:rsidRDefault="000710B6" w:rsidP="00377EA9">
            <w:pPr>
              <w:pStyle w:val="bullets1"/>
            </w:pPr>
            <w:r w:rsidRPr="00CB4ED1">
              <w:t xml:space="preserve">A </w:t>
            </w:r>
            <w:r w:rsidRPr="00CB4ED1">
              <w:rPr>
                <w:b/>
                <w:bCs/>
              </w:rPr>
              <w:t>Community Diagnostic Hub</w:t>
            </w:r>
            <w:r w:rsidRPr="00CB4ED1">
              <w:t xml:space="preserve"> comprising:</w:t>
            </w:r>
          </w:p>
          <w:p w14:paraId="6C5A5D05" w14:textId="77777777" w:rsidR="000710B6" w:rsidRPr="00CB4ED1" w:rsidRDefault="000710B6" w:rsidP="00377EA9">
            <w:pPr>
              <w:pStyle w:val="bullets2"/>
            </w:pPr>
            <w:r w:rsidRPr="00CB4ED1">
              <w:t>Diagnostic Imaging – CT, MRI and Ultrasound</w:t>
            </w:r>
          </w:p>
          <w:p w14:paraId="61AF7922" w14:textId="77777777" w:rsidR="000710B6" w:rsidRPr="00CB4ED1" w:rsidRDefault="000710B6" w:rsidP="00377EA9">
            <w:pPr>
              <w:pStyle w:val="bullets2"/>
            </w:pPr>
            <w:r w:rsidRPr="00CB4ED1">
              <w:t>Regional Endoscopy services</w:t>
            </w:r>
          </w:p>
          <w:p w14:paraId="23C6F1FB" w14:textId="77777777" w:rsidR="000710B6" w:rsidRPr="00CB4ED1" w:rsidRDefault="000710B6" w:rsidP="00377EA9">
            <w:pPr>
              <w:pStyle w:val="bullets2"/>
            </w:pPr>
            <w:r w:rsidRPr="00CB4ED1">
              <w:t>Plain Film X Ray</w:t>
            </w:r>
          </w:p>
        </w:tc>
        <w:tc>
          <w:tcPr>
            <w:tcW w:w="5749" w:type="dxa"/>
          </w:tcPr>
          <w:p w14:paraId="223E01DA" w14:textId="77777777" w:rsidR="000710B6" w:rsidRPr="00CB4ED1" w:rsidRDefault="000710B6" w:rsidP="00377EA9">
            <w:pPr>
              <w:pStyle w:val="bullets1"/>
            </w:pPr>
            <w:r w:rsidRPr="00CB4ED1">
              <w:t xml:space="preserve">A </w:t>
            </w:r>
            <w:r w:rsidRPr="00CB4ED1">
              <w:rPr>
                <w:b/>
                <w:bCs/>
              </w:rPr>
              <w:t>Surgical Hub</w:t>
            </w:r>
            <w:r w:rsidRPr="00CB4ED1">
              <w:t xml:space="preserve"> comprising:</w:t>
            </w:r>
          </w:p>
          <w:p w14:paraId="3FD9CF9A" w14:textId="0D435B11" w:rsidR="000710B6" w:rsidRPr="00CB4ED1" w:rsidRDefault="000710B6" w:rsidP="00377EA9">
            <w:pPr>
              <w:pStyle w:val="bullets2"/>
            </w:pPr>
            <w:r w:rsidRPr="00CB4ED1">
              <w:t xml:space="preserve">Up to </w:t>
            </w:r>
            <w:r w:rsidR="00174463" w:rsidRPr="00CB4ED1">
              <w:t>six</w:t>
            </w:r>
            <w:r w:rsidRPr="00CB4ED1">
              <w:t xml:space="preserve"> orthopaedic theatres for high volume low complexity works</w:t>
            </w:r>
          </w:p>
          <w:p w14:paraId="21FE24C2" w14:textId="77777777" w:rsidR="000710B6" w:rsidRPr="00CB4ED1" w:rsidRDefault="000710B6" w:rsidP="00377EA9">
            <w:pPr>
              <w:pStyle w:val="bullets2"/>
            </w:pPr>
            <w:r w:rsidRPr="00CB4ED1">
              <w:t>Up to 54 beds to support the orthopaedic theatres</w:t>
            </w:r>
          </w:p>
          <w:p w14:paraId="2DD4E9D7" w14:textId="5A4644EF" w:rsidR="000710B6" w:rsidRPr="00CB4ED1" w:rsidRDefault="000710B6" w:rsidP="00377EA9">
            <w:pPr>
              <w:pStyle w:val="bullets2"/>
            </w:pPr>
            <w:r w:rsidRPr="00CB4ED1">
              <w:t xml:space="preserve">A </w:t>
            </w:r>
            <w:r w:rsidR="00174463" w:rsidRPr="00CB4ED1">
              <w:t>self-contained</w:t>
            </w:r>
            <w:r w:rsidRPr="00CB4ED1">
              <w:t xml:space="preserve"> day surgery unit containing </w:t>
            </w:r>
            <w:r w:rsidR="00174463" w:rsidRPr="00CB4ED1">
              <w:t>six</w:t>
            </w:r>
            <w:r w:rsidRPr="00CB4ED1">
              <w:t xml:space="preserve"> theatres</w:t>
            </w:r>
          </w:p>
        </w:tc>
      </w:tr>
    </w:tbl>
    <w:p w14:paraId="2A388246" w14:textId="77777777" w:rsidR="000710B6" w:rsidRPr="00CB4ED1" w:rsidRDefault="000710B6" w:rsidP="000710B6">
      <w:pPr>
        <w:spacing w:after="0"/>
      </w:pPr>
    </w:p>
    <w:p w14:paraId="54EA885A" w14:textId="77777777" w:rsidR="000710B6" w:rsidRPr="00CB4ED1" w:rsidRDefault="000710B6" w:rsidP="000710B6">
      <w:r w:rsidRPr="00CB4ED1">
        <w:t xml:space="preserve">Immediately following the purchase of the site, a design team and internal programme team were appointed to commence site master-planning and design development.  During this time, a successful early termination of the lease to the incumbent tenant was agreed giving CTMUHB full access to the site from October 2023.  This access facilitated detailed and intrusive survey work to be undertaken which identified several limitations to the existing buildings impacting on their ability for use as healthcare premises. </w:t>
      </w:r>
    </w:p>
    <w:p w14:paraId="447DC521" w14:textId="77777777" w:rsidR="000710B6" w:rsidRPr="00CB4ED1" w:rsidRDefault="000710B6" w:rsidP="000710B6">
      <w:r w:rsidRPr="00CB4ED1">
        <w:t>At their request, a Strategic Overview Document was submitted to Welsh Government in September 2024 which gave a detailed overview of the programme and included a comprehensive option appraisal to identify the optimal way forward for the site infrastructure.    The preferred option was the demolition of the existing buildings and replacement with modular buildings which would deliver the quickest and most value for money solution.  This can be found in Appendix 1.</w:t>
      </w:r>
    </w:p>
    <w:p w14:paraId="28005410" w14:textId="77777777" w:rsidR="000710B6" w:rsidRPr="00CB4ED1" w:rsidRDefault="000710B6" w:rsidP="000710B6">
      <w:pPr>
        <w:rPr>
          <w:rFonts w:cs="Arial"/>
        </w:rPr>
      </w:pPr>
      <w:r w:rsidRPr="00CB4ED1">
        <w:rPr>
          <w:rFonts w:cs="Arial"/>
        </w:rPr>
        <w:lastRenderedPageBreak/>
        <w:t xml:space="preserve">This approach was formally considered by Welsh Government alongside the completed RIBA 2 design works at the Infrastructure Investment Board in November 2024. </w:t>
      </w:r>
    </w:p>
    <w:p w14:paraId="2FA5B1D2" w14:textId="77777777" w:rsidR="000710B6" w:rsidRPr="00CB4ED1" w:rsidRDefault="000710B6" w:rsidP="000710B6">
      <w:pPr>
        <w:rPr>
          <w:rFonts w:cs="Arial"/>
        </w:rPr>
      </w:pPr>
      <w:r w:rsidRPr="00CB4ED1">
        <w:rPr>
          <w:rFonts w:cs="Arial"/>
        </w:rPr>
        <w:t>Following this meeting, approval was given to proceed to RIBA 3 design stage and in January 2025 approval was given to demolish the buildings on the site in a separate advance works package. Demolition works commenced on 14</w:t>
      </w:r>
      <w:r w:rsidRPr="00CB4ED1">
        <w:rPr>
          <w:rFonts w:cs="Arial"/>
          <w:vertAlign w:val="superscript"/>
        </w:rPr>
        <w:t xml:space="preserve"> </w:t>
      </w:r>
      <w:r w:rsidRPr="00CB4ED1">
        <w:rPr>
          <w:rFonts w:cs="Arial"/>
        </w:rPr>
        <w:t>April 2025 and works completed on 3</w:t>
      </w:r>
      <w:r w:rsidRPr="00CB4ED1">
        <w:rPr>
          <w:rFonts w:cs="Arial"/>
          <w:vertAlign w:val="superscript"/>
        </w:rPr>
        <w:t xml:space="preserve">rd </w:t>
      </w:r>
      <w:r w:rsidRPr="00CB4ED1">
        <w:rPr>
          <w:rFonts w:cs="Arial"/>
        </w:rPr>
        <w:t xml:space="preserve">October 2025.  The works package was delivered within the funding envelope provided despite a small delay to the programme.  </w:t>
      </w:r>
    </w:p>
    <w:p w14:paraId="02A38E20" w14:textId="77777777" w:rsidR="000710B6" w:rsidRPr="00CB4ED1" w:rsidRDefault="000710B6" w:rsidP="000710B6">
      <w:pPr>
        <w:rPr>
          <w:rFonts w:cs="Arial"/>
        </w:rPr>
      </w:pPr>
      <w:r w:rsidRPr="00CB4ED1">
        <w:rPr>
          <w:rFonts w:cs="Arial"/>
        </w:rPr>
        <w:t xml:space="preserve">A condition of the approval to continue design work was that a business case was delivered at the completion of the RIBA Stage 3 of the development.   </w:t>
      </w:r>
    </w:p>
    <w:p w14:paraId="57900404" w14:textId="77777777" w:rsidR="000710B6" w:rsidRPr="00CB4ED1" w:rsidRDefault="000710B6" w:rsidP="000710B6">
      <w:r w:rsidRPr="00CB4ED1">
        <w:rPr>
          <w:rFonts w:cs="Arial"/>
        </w:rPr>
        <w:t xml:space="preserve">At this point, the programme was continuing under a single business case route but with phased completions, with the CDH completing ahead of the surgical hub.  This position changed in July 2025, following a programme assurance review, with confirmation from WG that </w:t>
      </w:r>
      <w:r w:rsidRPr="00CB4ED1">
        <w:t>the programme should proceed under a phased approach with separate business cases for each of the proposed phases of development.</w:t>
      </w:r>
    </w:p>
    <w:p w14:paraId="4AF6F59B" w14:textId="77777777" w:rsidR="000710B6" w:rsidRPr="00CB4ED1" w:rsidRDefault="000710B6" w:rsidP="000710B6">
      <w:r w:rsidRPr="00CB4ED1">
        <w:t xml:space="preserve">During the review, concerns were raised on the demand and capacity planning and ability to evidence the scope and scale of the proposed Hubs within the programme.  This has been addressed for the services contained in the phase 1 OBC and to facilitate this for the orthopaedic activity, expertise from Welsh Government has been provided to develop the demand and capacity modelling with regional partners.  However, the move to a phased approach prompted a further review on the scope of each phase.  Whilst the CDH is a straightforward stand-alone phase, disaggregating the originally proposed surgical hub into phases was more complex.  </w:t>
      </w:r>
    </w:p>
    <w:p w14:paraId="7F391837" w14:textId="41475F62" w:rsidR="000710B6" w:rsidRPr="00CB4ED1" w:rsidRDefault="000710B6" w:rsidP="000710B6">
      <w:r w:rsidRPr="00CB4ED1">
        <w:t xml:space="preserve">Further to this, the orthopaedic demand and capacity has progressed at pace with regional engagement and support and highlights the criticality of increasing orthopaedic capacity.  The activity and demand modelling for day surgery modalities has not developed at the same pace.  In addition, a day case development would be CTM only.  It is recognised that the overriding priority is the increase in diagnostic and orthopaedic capacity and therefore a decision was made to focus phase 2 on the orthopaedic hub only, with the number of theatres required being supported by the regional demand and capacity planning as well as a proposed transfer of CTM </w:t>
      </w:r>
      <w:r w:rsidR="00481EAA">
        <w:t xml:space="preserve">orthopaedic </w:t>
      </w:r>
      <w:r w:rsidRPr="00CB4ED1">
        <w:t xml:space="preserve">activity to LHP to support the realisation of further efficiencies. </w:t>
      </w:r>
    </w:p>
    <w:p w14:paraId="4C62FF2C" w14:textId="77777777" w:rsidR="000710B6" w:rsidRPr="00CB4ED1" w:rsidRDefault="000710B6" w:rsidP="000710B6">
      <w:r w:rsidRPr="00CB4ED1">
        <w:t xml:space="preserve">The original (pre phasing) design had a surgical hub spread across 2 buildings, 1 containing theatres (day and orthopaedic) and the other containing inpatient facilities for the orthopaedic theatres.  To create a standalone orthopaedic hub the RIBA 2 design has had to be revisited architecturally to create a single building with orthopaedic theatres and beds only.  Day surgery may be in the scope of a later phase 3 development.  However, the regional position has been to support phases 1 and 2 as the programme overriding priorities at this stage.  </w:t>
      </w:r>
    </w:p>
    <w:p w14:paraId="0CE42B4E" w14:textId="77777777" w:rsidR="000710B6" w:rsidRPr="00CB4ED1" w:rsidRDefault="000710B6" w:rsidP="000710B6">
      <w:r w:rsidRPr="00CB4ED1">
        <w:t xml:space="preserve">As a result of the redesign works at this OBC stage for Phase 2 drawings are at signed off RIBA 2 stage. The M&amp;E strategy has required minimal changes but has had to be reviewed.  There will be a short RIBA 3 phase before RIBA 4 design takes place following OBC approval.   </w:t>
      </w:r>
    </w:p>
    <w:p w14:paraId="285E0D87" w14:textId="77777777" w:rsidR="000710B6" w:rsidRPr="00CB4ED1" w:rsidRDefault="000710B6" w:rsidP="000710B6">
      <w:r w:rsidRPr="00CB4ED1">
        <w:t>The revised programme delivery structure is as set below:</w:t>
      </w:r>
    </w:p>
    <w:p w14:paraId="3B39C4BE" w14:textId="77777777" w:rsidR="000710B6" w:rsidRPr="00CB4ED1" w:rsidRDefault="000710B6" w:rsidP="000710B6">
      <w:pPr>
        <w:pStyle w:val="bullets1"/>
      </w:pPr>
      <w:r w:rsidRPr="00CB4ED1">
        <w:t>Phase 1: CDH comprising MRI, CT, non-obstetric ultrasound, plain film x-ray capability and endoscopy including a regional endoscopy training centre of excellence.  This business case also includes the wider site infrastructure required to facilitate later developments. The OBC was approved in October 2025 with an FBC proposed to be submitted in early December 2025.</w:t>
      </w:r>
    </w:p>
    <w:p w14:paraId="323D788D" w14:textId="77777777" w:rsidR="000710B6" w:rsidRPr="00CB4ED1" w:rsidRDefault="000710B6" w:rsidP="000710B6">
      <w:pPr>
        <w:pStyle w:val="bullets1"/>
      </w:pPr>
      <w:r w:rsidRPr="00CB4ED1">
        <w:t>Phase 2: surgical Hub comprising six orthopaedic theatres and supporting wards.</w:t>
      </w:r>
    </w:p>
    <w:p w14:paraId="7B4696A8" w14:textId="14345C28" w:rsidR="000710B6" w:rsidRPr="00CB4ED1" w:rsidRDefault="000710B6" w:rsidP="000710B6">
      <w:pPr>
        <w:pStyle w:val="bullets1"/>
      </w:pPr>
      <w:r w:rsidRPr="00CB4ED1">
        <w:t xml:space="preserve">Potential Phase 3: Scope to be subject to a regional review, could contain </w:t>
      </w:r>
      <w:r w:rsidR="00481EAA">
        <w:t xml:space="preserve">up to </w:t>
      </w:r>
      <w:r w:rsidRPr="00CB4ED1">
        <w:t>six-day surgery theatres.</w:t>
      </w:r>
    </w:p>
    <w:p w14:paraId="5E0E9846" w14:textId="77777777" w:rsidR="000710B6" w:rsidRPr="00CB4ED1" w:rsidRDefault="000710B6" w:rsidP="000710B6">
      <w:pPr>
        <w:spacing w:after="0"/>
      </w:pPr>
    </w:p>
    <w:p w14:paraId="70F4AF56" w14:textId="2C904C0E" w:rsidR="000710B6" w:rsidRPr="00CB4ED1" w:rsidRDefault="000710B6" w:rsidP="000710B6">
      <w:pPr>
        <w:rPr>
          <w:b/>
          <w:bCs/>
        </w:rPr>
      </w:pPr>
      <w:r w:rsidRPr="00CB4ED1">
        <w:lastRenderedPageBreak/>
        <w:t xml:space="preserve">This outline business case has been prepared to seek outline approval for the </w:t>
      </w:r>
      <w:r w:rsidRPr="00CB4ED1">
        <w:rPr>
          <w:b/>
          <w:bCs/>
        </w:rPr>
        <w:t xml:space="preserve">Phase 2 – Regional Orthopaedic </w:t>
      </w:r>
      <w:r w:rsidR="00481EAA">
        <w:rPr>
          <w:b/>
          <w:bCs/>
        </w:rPr>
        <w:t xml:space="preserve">Arthroplasty </w:t>
      </w:r>
      <w:r w:rsidRPr="00CB4ED1">
        <w:rPr>
          <w:b/>
          <w:bCs/>
        </w:rPr>
        <w:t>Surgical Hub.</w:t>
      </w:r>
    </w:p>
    <w:p w14:paraId="75F76462" w14:textId="77777777" w:rsidR="000710B6" w:rsidRPr="00CB4ED1" w:rsidRDefault="000710B6" w:rsidP="000710B6">
      <w:pPr>
        <w:rPr>
          <w:b/>
          <w:bCs/>
        </w:rPr>
      </w:pPr>
      <w:r w:rsidRPr="00CB4ED1">
        <w:t xml:space="preserve">The development of a Regional Elective Orthopaedic Primary Arthroscopy Centre in South East Wales represents a strategic response to the growing demand for minimally invasive orthopaedic procedures, particularly in the context of increasing musculoskeletal morbidity and constrained elective capacity across the region. This proposal aligns with the Welsh Government’s </w:t>
      </w:r>
      <w:r w:rsidRPr="00CB4ED1">
        <w:rPr>
          <w:rStyle w:val="Emphasis"/>
        </w:rPr>
        <w:t>A Healthier Wales</w:t>
      </w:r>
      <w:r w:rsidRPr="00CB4ED1">
        <w:t xml:space="preserve"> strategy and the NHS Wales </w:t>
      </w:r>
      <w:r w:rsidRPr="00CB4ED1">
        <w:rPr>
          <w:rStyle w:val="Emphasis"/>
        </w:rPr>
        <w:t>Planned Care Recovery Plan</w:t>
      </w:r>
      <w:r w:rsidRPr="00CB4ED1">
        <w:t>, which advocate for the transformation of elective services through regional collaboration, innovation, and sustainable models of care.</w:t>
      </w:r>
    </w:p>
    <w:p w14:paraId="705CC68C" w14:textId="3E8C3F9C" w:rsidR="000710B6" w:rsidRDefault="000710B6" w:rsidP="002C6611">
      <w:r w:rsidRPr="00CB4ED1">
        <w:t xml:space="preserve">The LHP site delivers a unique opportunity to develop infrastructure that supports the design of a clinical pathway that incorporates best practice and challenges traditional ways of working.  Significant research which looks at both UK and worldwide practice for delivering lower limb arthroplasty has been undertaken by the LHP clinical team and will be discussed in later sections of this case. </w:t>
      </w:r>
    </w:p>
    <w:p w14:paraId="17322B32" w14:textId="77777777" w:rsidR="00403253" w:rsidRPr="00CB4ED1" w:rsidRDefault="00403253" w:rsidP="00403253">
      <w:pPr>
        <w:pStyle w:val="NoSpacing"/>
      </w:pPr>
    </w:p>
    <w:p w14:paraId="3239CE9D" w14:textId="77777777" w:rsidR="000710B6" w:rsidRPr="00CB4ED1" w:rsidRDefault="000710B6" w:rsidP="002C6611">
      <w:pPr>
        <w:pStyle w:val="Heading2"/>
      </w:pPr>
      <w:bookmarkStart w:id="23" w:name="_Toc213865210"/>
      <w:r w:rsidRPr="00CB4ED1">
        <w:t>South East Wales regional overview</w:t>
      </w:r>
      <w:bookmarkEnd w:id="23"/>
      <w:r w:rsidRPr="00CB4ED1">
        <w:t xml:space="preserve"> </w:t>
      </w:r>
    </w:p>
    <w:p w14:paraId="6EB82A49" w14:textId="77777777" w:rsidR="000710B6" w:rsidRPr="00CB4ED1" w:rsidRDefault="000710B6" w:rsidP="000710B6">
      <w:r w:rsidRPr="00CB4ED1">
        <w:t>The South East Wales Region is establishing a Regional Joint Committee. The South-East Wales Regional Joint Committee (RJC) represents an evolution of and step change in the potential for existing partnership arrangements and is a strategic collaboration established by direction of the Cabinet Secretary for Health and Social Care. It more formally brings together Aneurin Bevan University Health Board, Cardiff and Vale University Health Board, and Cwm Taf Morgannwg University Health Board to oversee regional planning and service delivery for a catchment population exceeding 1.5 million, noting the service provision of these organisations reaches beyond this. The RJC seeks to transform regional collaboration by providing collective leadership for planning, commissioning, and delivering health services. It focuses on aligning clinical service development with population health needs, addressing service and financial challenges, and reducing unwarranted variation in outcomes and access.</w:t>
      </w:r>
    </w:p>
    <w:p w14:paraId="2A3B16C6" w14:textId="77777777" w:rsidR="000710B6" w:rsidRPr="00CB4ED1" w:rsidRDefault="000710B6" w:rsidP="000710B6">
      <w:r w:rsidRPr="00CB4ED1">
        <w:t>The RJC will operate under four core partnership principles;</w:t>
      </w:r>
    </w:p>
    <w:tbl>
      <w:tblPr>
        <w:tblW w:w="5100" w:type="pct"/>
        <w:tblInd w:w="-113" w:type="dxa"/>
        <w:tblLayout w:type="fixed"/>
        <w:tblLook w:val="04A0" w:firstRow="1" w:lastRow="0" w:firstColumn="1" w:lastColumn="0" w:noHBand="0" w:noVBand="1"/>
      </w:tblPr>
      <w:tblGrid>
        <w:gridCol w:w="4915"/>
        <w:gridCol w:w="4916"/>
      </w:tblGrid>
      <w:tr w:rsidR="002C6611" w:rsidRPr="00CB4ED1" w14:paraId="7F05407F" w14:textId="77777777" w:rsidTr="00377EA9">
        <w:tc>
          <w:tcPr>
            <w:tcW w:w="4814" w:type="dxa"/>
          </w:tcPr>
          <w:p w14:paraId="4079AD21" w14:textId="30A8A1D5" w:rsidR="002C6611" w:rsidRPr="00CB4ED1" w:rsidRDefault="002C6611" w:rsidP="002C6611">
            <w:pPr>
              <w:pStyle w:val="bullets1"/>
            </w:pPr>
            <w:r w:rsidRPr="00CB4ED1">
              <w:t>A system-focused partnership aiming for agreed population outcomes</w:t>
            </w:r>
          </w:p>
          <w:p w14:paraId="7923803B" w14:textId="0B7C52FC" w:rsidR="002C6611" w:rsidRPr="00CB4ED1" w:rsidRDefault="002C6611" w:rsidP="002C6611">
            <w:pPr>
              <w:pStyle w:val="bullets1"/>
            </w:pPr>
            <w:r w:rsidRPr="00CB4ED1">
              <w:t>A system enabler fostering collaboration</w:t>
            </w:r>
          </w:p>
        </w:tc>
        <w:tc>
          <w:tcPr>
            <w:tcW w:w="4814" w:type="dxa"/>
          </w:tcPr>
          <w:p w14:paraId="14BE3BA6" w14:textId="5055387A" w:rsidR="002C6611" w:rsidRPr="00CB4ED1" w:rsidRDefault="002C6611" w:rsidP="002C6611">
            <w:pPr>
              <w:pStyle w:val="bullets1"/>
            </w:pPr>
            <w:r w:rsidRPr="00CB4ED1">
              <w:t>A low-bureaucracy, high-trust environment</w:t>
            </w:r>
          </w:p>
          <w:p w14:paraId="61FB414E" w14:textId="6789E87B" w:rsidR="002C6611" w:rsidRPr="00CB4ED1" w:rsidRDefault="002C6611" w:rsidP="002C6611">
            <w:pPr>
              <w:pStyle w:val="bullets1"/>
            </w:pPr>
            <w:r w:rsidRPr="00CB4ED1">
              <w:t>A culture of constructive behaviours.</w:t>
            </w:r>
          </w:p>
        </w:tc>
      </w:tr>
    </w:tbl>
    <w:p w14:paraId="1465D171" w14:textId="77777777" w:rsidR="002C6611" w:rsidRPr="00CB4ED1" w:rsidRDefault="002C6611" w:rsidP="002C6611">
      <w:pPr>
        <w:pStyle w:val="NoSpacing"/>
      </w:pPr>
    </w:p>
    <w:p w14:paraId="726CD8DA" w14:textId="77777777" w:rsidR="000710B6" w:rsidRPr="00CB4ED1" w:rsidRDefault="000710B6" w:rsidP="000710B6">
      <w:r w:rsidRPr="00CB4ED1">
        <w:t xml:space="preserve">The RJC has been established to: </w:t>
      </w:r>
    </w:p>
    <w:p w14:paraId="54C82246" w14:textId="77777777" w:rsidR="000710B6" w:rsidRPr="00CB4ED1" w:rsidRDefault="000710B6" w:rsidP="00B52127">
      <w:pPr>
        <w:numPr>
          <w:ilvl w:val="0"/>
          <w:numId w:val="26"/>
        </w:numPr>
        <w:spacing w:after="120"/>
        <w:ind w:left="426" w:hanging="426"/>
      </w:pPr>
      <w:r w:rsidRPr="00CB4ED1">
        <w:t xml:space="preserve">Create a step change in the effectiveness of arrangements to collaborate across the regional footprint in the interests of our shared population, marking a change in the way we work collectively as health boards. </w:t>
      </w:r>
    </w:p>
    <w:p w14:paraId="1CD7B3AB" w14:textId="77777777" w:rsidR="000710B6" w:rsidRPr="00CB4ED1" w:rsidRDefault="000710B6" w:rsidP="00B52127">
      <w:pPr>
        <w:numPr>
          <w:ilvl w:val="0"/>
          <w:numId w:val="26"/>
        </w:numPr>
        <w:spacing w:after="120"/>
        <w:ind w:left="426" w:hanging="426"/>
      </w:pPr>
      <w:r w:rsidRPr="00CB4ED1">
        <w:t>Provide collective leadership for the regional planning, commissioning, and delivery of services for the population served by the three health boards, considering the service challenges, financial challenges and population health needs of all three organisations.</w:t>
      </w:r>
    </w:p>
    <w:p w14:paraId="1A14719A" w14:textId="77777777" w:rsidR="000710B6" w:rsidRPr="00CB4ED1" w:rsidRDefault="000710B6" w:rsidP="00B52127">
      <w:pPr>
        <w:numPr>
          <w:ilvl w:val="0"/>
          <w:numId w:val="26"/>
        </w:numPr>
        <w:spacing w:after="120"/>
        <w:ind w:left="426" w:hanging="426"/>
      </w:pPr>
      <w:r w:rsidRPr="00CB4ED1">
        <w:t xml:space="preserve">Establish a regional approach to the development of clinical services planning, aligned to regional population health needs assessments, to develop and deliver sustainable services in terms of achieving quality and outcome measures, workforce and financial sustainability. </w:t>
      </w:r>
    </w:p>
    <w:p w14:paraId="1D56E98E" w14:textId="77777777" w:rsidR="000710B6" w:rsidRPr="00CB4ED1" w:rsidRDefault="000710B6" w:rsidP="00B52127">
      <w:pPr>
        <w:numPr>
          <w:ilvl w:val="0"/>
          <w:numId w:val="26"/>
        </w:numPr>
        <w:spacing w:after="120"/>
        <w:ind w:left="426" w:hanging="426"/>
      </w:pPr>
      <w:r w:rsidRPr="00CB4ED1">
        <w:t xml:space="preserve">Identifying priorities for the three health boards, where a regional approach will deliver benefit. </w:t>
      </w:r>
    </w:p>
    <w:p w14:paraId="2A4AA070" w14:textId="77777777" w:rsidR="000710B6" w:rsidRPr="00CB4ED1" w:rsidRDefault="000710B6" w:rsidP="00B52127">
      <w:pPr>
        <w:numPr>
          <w:ilvl w:val="0"/>
          <w:numId w:val="26"/>
        </w:numPr>
        <w:spacing w:after="120"/>
        <w:ind w:left="426" w:hanging="426"/>
      </w:pPr>
      <w:r w:rsidRPr="00CB4ED1">
        <w:t>Explore how the benefits of a regional health economy are harnessed to best serve the south-east Wales population of over 1.5million.</w:t>
      </w:r>
    </w:p>
    <w:p w14:paraId="0BF9B6D7" w14:textId="77777777" w:rsidR="000710B6" w:rsidRDefault="000710B6" w:rsidP="00B52127">
      <w:pPr>
        <w:numPr>
          <w:ilvl w:val="0"/>
          <w:numId w:val="26"/>
        </w:numPr>
        <w:ind w:left="426" w:hanging="426"/>
      </w:pPr>
      <w:r w:rsidRPr="00CB4ED1">
        <w:t>Reduce unwarranted variation and inequality in health outcomes, access to services and experience at a regional population level.</w:t>
      </w:r>
    </w:p>
    <w:p w14:paraId="05E81AE5" w14:textId="77777777" w:rsidR="000710B6" w:rsidRPr="00CB4ED1" w:rsidRDefault="000710B6" w:rsidP="000710B6">
      <w:r w:rsidRPr="00CB4ED1">
        <w:lastRenderedPageBreak/>
        <w:t>The RJC builds on the existing regional portfolio currently comprises several programmes: orthopaedics; diagnostics; ophthalmology; stroke; and cancer services. Health Boards in South East Wales have committed to active collaboration when adding value to clinical service delivery, access, and sustainability. Health Board planning teams (joined by clinical, operational, and other colleagues where beneficial) continue to meet on a regular basis to agree common approaches to strategic challenges, progress ongoing regional collaborative programmes, share experience / best practice and to consider future opportunities for closer working to mutual benefit.</w:t>
      </w:r>
    </w:p>
    <w:p w14:paraId="345C6CED" w14:textId="77777777" w:rsidR="000710B6" w:rsidRPr="00CB4ED1" w:rsidRDefault="000710B6" w:rsidP="00CB4ED1">
      <w:pPr>
        <w:pStyle w:val="Heading3"/>
      </w:pPr>
      <w:r w:rsidRPr="00CB4ED1">
        <w:t>Cwm Taf Morgannwg University Health Board</w:t>
      </w:r>
    </w:p>
    <w:p w14:paraId="58CBA09B" w14:textId="77777777" w:rsidR="000710B6" w:rsidRPr="00CB4ED1" w:rsidRDefault="000710B6" w:rsidP="000710B6">
      <w:r w:rsidRPr="00CB4ED1">
        <w:t>Established in 2009, Cwm Taf Morgannwg University Health Board (previously known as Cwm Taf University Health Board) provides primary, community, hospital and mental health services to the 450,000 people living in the County Boroughs of Bridgend, Merthyr Tydfil and Rhondda Cynon Taf. The Health Board employs approximately 12,000 staff and has an annual budget of approximately £1.3 billion.</w:t>
      </w:r>
    </w:p>
    <w:p w14:paraId="6B745C89" w14:textId="77777777" w:rsidR="00AE480E" w:rsidRDefault="000710B6" w:rsidP="000710B6">
      <w:r w:rsidRPr="00CB4ED1">
        <w:t xml:space="preserve">CTMUHB’s long term strategy, CTM2030: Building Healthier Communities Together has four strategic goals: Improving Care; Creating Health; Sustaining our Future; and Inspiring People. Using population health focused information to drive decision making, the UHB aims to reduce health inequalities, deliver person-centred care and ensure high quality, safe services are sustainable in the future. </w:t>
      </w:r>
    </w:p>
    <w:p w14:paraId="16DD325A" w14:textId="3FB25594" w:rsidR="000710B6" w:rsidRPr="00CB4ED1" w:rsidRDefault="000710B6" w:rsidP="000710B6">
      <w:r w:rsidRPr="00CB4ED1">
        <w:t>Regional working with partners actively supports the UHB’s aims and vision, as working together to deliver the changes needed to ensure people living in CTM communities receive safe, good quality services and benefit from advances in treatment and care that will help them to live healthy longer lives</w:t>
      </w:r>
      <w:r w:rsidR="00403253">
        <w:t>.</w:t>
      </w:r>
    </w:p>
    <w:p w14:paraId="3EE16A95" w14:textId="77777777" w:rsidR="000710B6" w:rsidRPr="00CB4ED1" w:rsidRDefault="000710B6" w:rsidP="000710B6">
      <w:r w:rsidRPr="00CB4ED1">
        <w:t>CTMUHB is located between Wales’ capital city Cardiff to the south, the coastal town of Porthcawl to the west, and the Brecon Beacons National Park to the north. Hospital sites include:</w:t>
      </w:r>
    </w:p>
    <w:tbl>
      <w:tblPr>
        <w:tblW w:w="5100" w:type="pct"/>
        <w:tblInd w:w="-113" w:type="dxa"/>
        <w:tblLayout w:type="fixed"/>
        <w:tblLook w:val="04A0" w:firstRow="1" w:lastRow="0" w:firstColumn="1" w:lastColumn="0" w:noHBand="0" w:noVBand="1"/>
      </w:tblPr>
      <w:tblGrid>
        <w:gridCol w:w="4915"/>
        <w:gridCol w:w="4916"/>
      </w:tblGrid>
      <w:tr w:rsidR="00AA15CE" w:rsidRPr="00F2076E" w14:paraId="281E58D5" w14:textId="77777777" w:rsidTr="00AA15CE">
        <w:tc>
          <w:tcPr>
            <w:tcW w:w="4915" w:type="dxa"/>
          </w:tcPr>
          <w:p w14:paraId="0D479054" w14:textId="77777777" w:rsidR="00AA15CE" w:rsidRPr="00CB4ED1" w:rsidRDefault="00AA15CE" w:rsidP="00AA15CE">
            <w:pPr>
              <w:pStyle w:val="bullets1"/>
            </w:pPr>
            <w:r w:rsidRPr="00CB4ED1">
              <w:t xml:space="preserve">Prince Charles Hospital </w:t>
            </w:r>
          </w:p>
          <w:p w14:paraId="0D789F04" w14:textId="77777777" w:rsidR="00AA15CE" w:rsidRPr="00CB4ED1" w:rsidRDefault="00AA15CE" w:rsidP="00AA15CE">
            <w:pPr>
              <w:pStyle w:val="bullets1"/>
            </w:pPr>
            <w:r w:rsidRPr="00CB4ED1">
              <w:t xml:space="preserve">Princess of Wales Hospital </w:t>
            </w:r>
          </w:p>
          <w:p w14:paraId="67790E47" w14:textId="77777777" w:rsidR="00AA15CE" w:rsidRPr="00CB4ED1" w:rsidRDefault="00AA15CE" w:rsidP="00AA15CE">
            <w:pPr>
              <w:pStyle w:val="bullets1"/>
            </w:pPr>
            <w:r w:rsidRPr="00CB4ED1">
              <w:t>Royal Glamorgan Hospital</w:t>
            </w:r>
          </w:p>
          <w:p w14:paraId="2A25B1FB" w14:textId="77777777" w:rsidR="00AA15CE" w:rsidRPr="00CB4ED1" w:rsidRDefault="00AA15CE" w:rsidP="00AA15CE">
            <w:pPr>
              <w:pStyle w:val="bullets1"/>
            </w:pPr>
            <w:r w:rsidRPr="00CB4ED1">
              <w:t>Ysbyty Cwm Cynon</w:t>
            </w:r>
          </w:p>
          <w:p w14:paraId="14D4DA89" w14:textId="77777777" w:rsidR="00AA15CE" w:rsidRDefault="00AA15CE" w:rsidP="00AA15CE">
            <w:pPr>
              <w:pStyle w:val="bullets1"/>
            </w:pPr>
            <w:r w:rsidRPr="00CB4ED1">
              <w:t>Ysbyty Cwm Rhondda</w:t>
            </w:r>
          </w:p>
          <w:p w14:paraId="7B16EF59" w14:textId="77777777" w:rsidR="00AA15CE" w:rsidRPr="00CB4ED1" w:rsidRDefault="00AA15CE" w:rsidP="00AA15CE">
            <w:pPr>
              <w:pStyle w:val="bullets1"/>
            </w:pPr>
            <w:r w:rsidRPr="00CB4ED1">
              <w:t xml:space="preserve">Ysbyty George Thomas </w:t>
            </w:r>
          </w:p>
          <w:p w14:paraId="00CAA6A7" w14:textId="07CACD10" w:rsidR="00AA15CE" w:rsidRPr="00AA15CE" w:rsidRDefault="00AA15CE" w:rsidP="00AA15CE">
            <w:pPr>
              <w:pStyle w:val="bullets1"/>
            </w:pPr>
            <w:proofErr w:type="spellStart"/>
            <w:r w:rsidRPr="00CB4ED1">
              <w:t>Cefn</w:t>
            </w:r>
            <w:proofErr w:type="spellEnd"/>
            <w:r w:rsidRPr="00CB4ED1">
              <w:t xml:space="preserve"> </w:t>
            </w:r>
            <w:proofErr w:type="spellStart"/>
            <w:r w:rsidRPr="00CB4ED1">
              <w:t>Yr</w:t>
            </w:r>
            <w:proofErr w:type="spellEnd"/>
            <w:r w:rsidRPr="00CB4ED1">
              <w:t xml:space="preserve"> </w:t>
            </w:r>
            <w:proofErr w:type="spellStart"/>
            <w:r w:rsidRPr="00CB4ED1">
              <w:t>Afon</w:t>
            </w:r>
            <w:proofErr w:type="spellEnd"/>
          </w:p>
        </w:tc>
        <w:tc>
          <w:tcPr>
            <w:tcW w:w="4916" w:type="dxa"/>
          </w:tcPr>
          <w:p w14:paraId="5B93F3D2" w14:textId="77777777" w:rsidR="00AA15CE" w:rsidRPr="00CB4ED1" w:rsidRDefault="00AA15CE" w:rsidP="00AA15CE">
            <w:pPr>
              <w:pStyle w:val="bullets1"/>
            </w:pPr>
            <w:proofErr w:type="spellStart"/>
            <w:r w:rsidRPr="00CB4ED1">
              <w:t>Dewi</w:t>
            </w:r>
            <w:proofErr w:type="spellEnd"/>
            <w:r w:rsidRPr="00CB4ED1">
              <w:t xml:space="preserve"> Sant Health Park</w:t>
            </w:r>
          </w:p>
          <w:p w14:paraId="55FDA976" w14:textId="77777777" w:rsidR="00AA15CE" w:rsidRPr="00CB4ED1" w:rsidRDefault="00AA15CE" w:rsidP="00AA15CE">
            <w:pPr>
              <w:pStyle w:val="bullets1"/>
            </w:pPr>
            <w:proofErr w:type="spellStart"/>
            <w:r w:rsidRPr="00CB4ED1">
              <w:t>Glanrhyd</w:t>
            </w:r>
            <w:proofErr w:type="spellEnd"/>
            <w:r w:rsidRPr="00CB4ED1">
              <w:t xml:space="preserve"> Hospital</w:t>
            </w:r>
          </w:p>
          <w:p w14:paraId="757904B7" w14:textId="77777777" w:rsidR="00AA15CE" w:rsidRDefault="00AA15CE" w:rsidP="00AA15CE">
            <w:pPr>
              <w:pStyle w:val="bullets1"/>
            </w:pPr>
            <w:r w:rsidRPr="00CB4ED1">
              <w:t>Pontypridd Cottage Hospital</w:t>
            </w:r>
          </w:p>
          <w:p w14:paraId="5099A75C" w14:textId="77777777" w:rsidR="00AA15CE" w:rsidRPr="00CB4ED1" w:rsidRDefault="00AA15CE" w:rsidP="00AA15CE">
            <w:pPr>
              <w:pStyle w:val="bullets1"/>
            </w:pPr>
            <w:r w:rsidRPr="00CB4ED1">
              <w:t xml:space="preserve">Keir Hardy University Health Park </w:t>
            </w:r>
          </w:p>
          <w:p w14:paraId="31B64EDD" w14:textId="77777777" w:rsidR="00AA15CE" w:rsidRPr="00CB4ED1" w:rsidRDefault="00AA15CE" w:rsidP="00AA15CE">
            <w:pPr>
              <w:pStyle w:val="bullets1"/>
            </w:pPr>
            <w:proofErr w:type="spellStart"/>
            <w:r w:rsidRPr="00CB4ED1">
              <w:t>Maestag</w:t>
            </w:r>
            <w:proofErr w:type="spellEnd"/>
            <w:r w:rsidRPr="00CB4ED1">
              <w:t xml:space="preserve"> Community Hospital</w:t>
            </w:r>
          </w:p>
          <w:p w14:paraId="39FC30FA" w14:textId="77777777" w:rsidR="00AA15CE" w:rsidRPr="00CB4ED1" w:rsidRDefault="00AA15CE" w:rsidP="00AA15CE">
            <w:pPr>
              <w:pStyle w:val="bullets1"/>
            </w:pPr>
            <w:r w:rsidRPr="00CB4ED1">
              <w:t xml:space="preserve">Merthyr Renal Dialysis Unit </w:t>
            </w:r>
          </w:p>
          <w:p w14:paraId="79680F42" w14:textId="0A299C55" w:rsidR="00AA15CE" w:rsidRPr="00AA15CE" w:rsidRDefault="00AA15CE" w:rsidP="00AA15CE">
            <w:pPr>
              <w:pStyle w:val="bullets1"/>
            </w:pPr>
            <w:r w:rsidRPr="00CB4ED1">
              <w:t>Pinewood House</w:t>
            </w:r>
            <w:r>
              <w:t>.</w:t>
            </w:r>
          </w:p>
        </w:tc>
      </w:tr>
    </w:tbl>
    <w:p w14:paraId="73335AA5" w14:textId="77777777" w:rsidR="00AA15CE" w:rsidRPr="00CB4ED1" w:rsidRDefault="00AA15CE" w:rsidP="000710B6">
      <w:pPr>
        <w:pStyle w:val="NoSpacing"/>
      </w:pPr>
    </w:p>
    <w:p w14:paraId="0E14C990" w14:textId="77777777" w:rsidR="000710B6" w:rsidRPr="00CB4ED1" w:rsidRDefault="000710B6" w:rsidP="000710B6">
      <w:r w:rsidRPr="00CB4ED1">
        <w:t>The proposed Llantrisant Health Park is situated close to the Royal Glamorgan Hospital.</w:t>
      </w:r>
    </w:p>
    <w:p w14:paraId="4E8543A6" w14:textId="77777777" w:rsidR="000710B6" w:rsidRPr="00CB4ED1" w:rsidRDefault="000710B6" w:rsidP="00CB4ED1">
      <w:pPr>
        <w:pStyle w:val="Heading3"/>
      </w:pPr>
      <w:r w:rsidRPr="00CB4ED1">
        <w:t>Cardiff and Vale University Health Board</w:t>
      </w:r>
    </w:p>
    <w:p w14:paraId="69811133" w14:textId="77777777" w:rsidR="000710B6" w:rsidRPr="00CB4ED1" w:rsidRDefault="000710B6" w:rsidP="000710B6">
      <w:r w:rsidRPr="00CB4ED1">
        <w:t>CAVUHB is one of the largest NHS organisations in Europe, employing approximately 17,000 staff and spending around £1.4 bn every year on providing health and wellbeing services to a population of around 472,400 people living in Cardiff and the Vale of Glamorgan. The UHB also serves a wider population across South and Mid Wales for a range of specialities.</w:t>
      </w:r>
    </w:p>
    <w:p w14:paraId="177DB20A" w14:textId="77777777" w:rsidR="000710B6" w:rsidRDefault="000710B6" w:rsidP="000710B6">
      <w:r w:rsidRPr="00CB4ED1">
        <w:t xml:space="preserve">The UHB is structured and designed into eight Clinical Boards, which cover the four main service areas. The eight Clinical Boards were created in June 2013 and have focussed on providing strong leadership in clinical areas, resulting in the acceleration of operational decision-making, greatly enhancing the outcomes for patients in their care. The Boards are held to account via the Executive Directors, and a process of scrutiny is ensured through monthly performance boards and a robust authorisation process.  </w:t>
      </w:r>
    </w:p>
    <w:p w14:paraId="07841092" w14:textId="77777777" w:rsidR="00AE480E" w:rsidRDefault="00AE480E" w:rsidP="000710B6"/>
    <w:p w14:paraId="4C23DB4F" w14:textId="77777777" w:rsidR="000710B6" w:rsidRPr="00CB4ED1" w:rsidRDefault="000710B6" w:rsidP="000710B6">
      <w:r w:rsidRPr="00CB4ED1">
        <w:lastRenderedPageBreak/>
        <w:t xml:space="preserve">Hospital sites include </w:t>
      </w:r>
    </w:p>
    <w:tbl>
      <w:tblPr>
        <w:tblW w:w="5100" w:type="pct"/>
        <w:tblInd w:w="-113" w:type="dxa"/>
        <w:tblLayout w:type="fixed"/>
        <w:tblLook w:val="04A0" w:firstRow="1" w:lastRow="0" w:firstColumn="1" w:lastColumn="0" w:noHBand="0" w:noVBand="1"/>
      </w:tblPr>
      <w:tblGrid>
        <w:gridCol w:w="4915"/>
        <w:gridCol w:w="4916"/>
      </w:tblGrid>
      <w:tr w:rsidR="000710B6" w:rsidRPr="00CB4ED1" w14:paraId="5B82BFF0" w14:textId="77777777" w:rsidTr="00377EA9">
        <w:tc>
          <w:tcPr>
            <w:tcW w:w="4915" w:type="dxa"/>
          </w:tcPr>
          <w:p w14:paraId="16A14FF3" w14:textId="77777777" w:rsidR="000710B6" w:rsidRPr="00CB4ED1" w:rsidRDefault="000710B6" w:rsidP="00377EA9">
            <w:pPr>
              <w:pStyle w:val="bullets1"/>
            </w:pPr>
            <w:r w:rsidRPr="00CB4ED1">
              <w:t>University Hospital Wales</w:t>
            </w:r>
          </w:p>
          <w:p w14:paraId="4584E67B" w14:textId="77777777" w:rsidR="000710B6" w:rsidRPr="00CB4ED1" w:rsidRDefault="000710B6" w:rsidP="00377EA9">
            <w:pPr>
              <w:pStyle w:val="bullets1"/>
            </w:pPr>
            <w:r w:rsidRPr="00CB4ED1">
              <w:t xml:space="preserve">University Hospital </w:t>
            </w:r>
            <w:proofErr w:type="spellStart"/>
            <w:r w:rsidRPr="00CB4ED1">
              <w:t>Llandough</w:t>
            </w:r>
            <w:proofErr w:type="spellEnd"/>
          </w:p>
          <w:p w14:paraId="168AE849" w14:textId="77777777" w:rsidR="000710B6" w:rsidRPr="00CB4ED1" w:rsidRDefault="000710B6" w:rsidP="00377EA9">
            <w:pPr>
              <w:pStyle w:val="bullets1"/>
            </w:pPr>
            <w:r w:rsidRPr="00CB4ED1">
              <w:t>Noah’s Ark Children’s Hospital for Wales</w:t>
            </w:r>
          </w:p>
          <w:p w14:paraId="69FDE5B3" w14:textId="77777777" w:rsidR="000710B6" w:rsidRPr="00CB4ED1" w:rsidRDefault="000710B6" w:rsidP="00377EA9">
            <w:pPr>
              <w:pStyle w:val="bullets1"/>
            </w:pPr>
            <w:r w:rsidRPr="00CB4ED1">
              <w:t>Barry Hospital</w:t>
            </w:r>
          </w:p>
        </w:tc>
        <w:tc>
          <w:tcPr>
            <w:tcW w:w="4916" w:type="dxa"/>
          </w:tcPr>
          <w:p w14:paraId="4C61F22C" w14:textId="77777777" w:rsidR="000710B6" w:rsidRPr="00CB4ED1" w:rsidRDefault="000710B6" w:rsidP="00377EA9">
            <w:pPr>
              <w:pStyle w:val="bullets1"/>
            </w:pPr>
            <w:r w:rsidRPr="00CB4ED1">
              <w:t>St David’s Hospital</w:t>
            </w:r>
          </w:p>
          <w:p w14:paraId="64945C45" w14:textId="77777777" w:rsidR="000710B6" w:rsidRPr="00CB4ED1" w:rsidRDefault="000710B6" w:rsidP="00377EA9">
            <w:pPr>
              <w:pStyle w:val="bullets1"/>
            </w:pPr>
            <w:proofErr w:type="spellStart"/>
            <w:r w:rsidRPr="00CB4ED1">
              <w:t>Hafan</w:t>
            </w:r>
            <w:proofErr w:type="spellEnd"/>
            <w:r w:rsidRPr="00CB4ED1">
              <w:t xml:space="preserve"> y </w:t>
            </w:r>
            <w:proofErr w:type="spellStart"/>
            <w:r w:rsidRPr="00CB4ED1">
              <w:t>Coed</w:t>
            </w:r>
            <w:proofErr w:type="spellEnd"/>
            <w:r w:rsidRPr="00CB4ED1">
              <w:t xml:space="preserve"> Mental Health Unit</w:t>
            </w:r>
          </w:p>
          <w:p w14:paraId="2AA4BE8D" w14:textId="77777777" w:rsidR="000710B6" w:rsidRPr="00CB4ED1" w:rsidRDefault="000710B6" w:rsidP="00377EA9">
            <w:pPr>
              <w:pStyle w:val="bullets1"/>
            </w:pPr>
            <w:r w:rsidRPr="00CB4ED1">
              <w:t xml:space="preserve">Cardiff Royal Infirmary </w:t>
            </w:r>
          </w:p>
          <w:p w14:paraId="0D2EE7E4" w14:textId="214669DF" w:rsidR="000710B6" w:rsidRPr="00CB4ED1" w:rsidRDefault="000710B6" w:rsidP="00377EA9">
            <w:pPr>
              <w:pStyle w:val="bullets1"/>
            </w:pPr>
            <w:r w:rsidRPr="00CB4ED1">
              <w:t>University Dental Hospital</w:t>
            </w:r>
            <w:r w:rsidR="00AE480E">
              <w:t>.</w:t>
            </w:r>
          </w:p>
        </w:tc>
      </w:tr>
    </w:tbl>
    <w:p w14:paraId="420A372C" w14:textId="77777777" w:rsidR="000710B6" w:rsidRPr="00CB4ED1" w:rsidRDefault="000710B6" w:rsidP="000710B6">
      <w:pPr>
        <w:pStyle w:val="NoSpacing"/>
      </w:pPr>
    </w:p>
    <w:p w14:paraId="1CF37CC9" w14:textId="77777777" w:rsidR="000710B6" w:rsidRPr="00CB4ED1" w:rsidRDefault="000710B6" w:rsidP="000710B6">
      <w:r w:rsidRPr="00CB4ED1">
        <w:t>CAVUHB’s “Shaping Our Future Wellbeing” strategy outlines a long-term vision to improve population health, reduce inequalities, and deliver outstanding care by 2035. Building on the principles of prevention, person-centred care, and integrated services, the strategy sets four strategic objectives: Putting People First; Providing Outstanding Quality; Acting for the Future; and Delivering in the Right Places.</w:t>
      </w:r>
    </w:p>
    <w:p w14:paraId="4406F0C7" w14:textId="77777777" w:rsidR="000710B6" w:rsidRPr="00CB4ED1" w:rsidRDefault="000710B6" w:rsidP="000710B6">
      <w:r w:rsidRPr="00CB4ED1">
        <w:t>The Health Board aims to shift more services into community settings, enhance digital maturity, and develop modern, flexible facilities that support recovery and sustainability. It emphasises reducing health inequities, improving life expectancy, and ensuring care is accessible, timely, and safe. The strategy also prioritises workforce wellbeing, inclusivity, and the expansion of research and innovation in collaboration with academic and industry partners.</w:t>
      </w:r>
    </w:p>
    <w:p w14:paraId="594FE040" w14:textId="77777777" w:rsidR="000710B6" w:rsidRPr="00CB4ED1" w:rsidRDefault="000710B6" w:rsidP="000710B6">
      <w:r w:rsidRPr="00CB4ED1">
        <w:t>Collaborative regional working aligns directly with this vision, supporting the delivery of high-quality, efficient, and equitable care closer to home. Regional facilities enable the Health Board to help meet rising demand, reducing pressure on its acute hospitals, and contribute to the Health Board’s goals of sustainability, digital transformation, and improved patient outcomes.</w:t>
      </w:r>
    </w:p>
    <w:p w14:paraId="685AEEE9" w14:textId="77777777" w:rsidR="000710B6" w:rsidRPr="0016797D" w:rsidRDefault="000710B6" w:rsidP="0016797D">
      <w:pPr>
        <w:pStyle w:val="Heading3"/>
      </w:pPr>
      <w:r w:rsidRPr="0016797D">
        <w:t>Aneurin Bevan University Health Board</w:t>
      </w:r>
    </w:p>
    <w:p w14:paraId="038C3D8F" w14:textId="77777777" w:rsidR="000710B6" w:rsidRPr="00CB4ED1" w:rsidRDefault="000710B6" w:rsidP="000710B6">
      <w:r w:rsidRPr="00CB4ED1">
        <w:t>ABUHB was established in October 2009 and serves the areas of Blaenau Gwent, Caerphilly, Monmouthshire, Newport, Torfaen and South Powys.</w:t>
      </w:r>
    </w:p>
    <w:p w14:paraId="3622536B" w14:textId="77777777" w:rsidR="000710B6" w:rsidRPr="00CB4ED1" w:rsidRDefault="000710B6" w:rsidP="000710B6">
      <w:r w:rsidRPr="00CB4ED1">
        <w:t>The UHB employs over 14,000 staff, two thirds of whom are involved in direct patient care and has an annual budget of approximately £1.7bn. There are more than 250 consultants in a total of over 1000 hospital and general practice doctors, 6,000 nurses, midwives, allied professionals and community workers. Hospital sites include acute sites:</w:t>
      </w:r>
    </w:p>
    <w:tbl>
      <w:tblPr>
        <w:tblW w:w="5100" w:type="pct"/>
        <w:tblInd w:w="-113" w:type="dxa"/>
        <w:tblLayout w:type="fixed"/>
        <w:tblLook w:val="04A0" w:firstRow="1" w:lastRow="0" w:firstColumn="1" w:lastColumn="0" w:noHBand="0" w:noVBand="1"/>
      </w:tblPr>
      <w:tblGrid>
        <w:gridCol w:w="4915"/>
        <w:gridCol w:w="4916"/>
      </w:tblGrid>
      <w:tr w:rsidR="000710B6" w:rsidRPr="00CB4ED1" w14:paraId="5CC85030" w14:textId="77777777" w:rsidTr="00055A6B">
        <w:tc>
          <w:tcPr>
            <w:tcW w:w="4915" w:type="dxa"/>
          </w:tcPr>
          <w:p w14:paraId="5DE6F9C0" w14:textId="77777777" w:rsidR="000710B6" w:rsidRPr="00CB4ED1" w:rsidRDefault="000710B6" w:rsidP="00377EA9">
            <w:pPr>
              <w:pStyle w:val="bullets1"/>
            </w:pPr>
            <w:r w:rsidRPr="00CB4ED1">
              <w:t xml:space="preserve">Grange University Hospital </w:t>
            </w:r>
          </w:p>
          <w:p w14:paraId="01081857" w14:textId="77777777" w:rsidR="000710B6" w:rsidRPr="00CB4ED1" w:rsidRDefault="000710B6" w:rsidP="00377EA9">
            <w:pPr>
              <w:pStyle w:val="bullets1"/>
            </w:pPr>
            <w:r w:rsidRPr="00CB4ED1">
              <w:t>Royal Gwent Hospital</w:t>
            </w:r>
          </w:p>
        </w:tc>
        <w:tc>
          <w:tcPr>
            <w:tcW w:w="4916" w:type="dxa"/>
          </w:tcPr>
          <w:p w14:paraId="2E9A7010" w14:textId="77777777" w:rsidR="000710B6" w:rsidRPr="00CB4ED1" w:rsidRDefault="000710B6" w:rsidP="00377EA9">
            <w:pPr>
              <w:pStyle w:val="bullets1"/>
            </w:pPr>
            <w:proofErr w:type="spellStart"/>
            <w:r w:rsidRPr="00CB4ED1">
              <w:t>Nevill</w:t>
            </w:r>
            <w:proofErr w:type="spellEnd"/>
            <w:r w:rsidRPr="00CB4ED1">
              <w:t xml:space="preserve"> Hall Hospital</w:t>
            </w:r>
          </w:p>
          <w:p w14:paraId="75C9E0F7" w14:textId="77777777" w:rsidR="000710B6" w:rsidRPr="00CB4ED1" w:rsidRDefault="000710B6" w:rsidP="00377EA9">
            <w:pPr>
              <w:pStyle w:val="bullets1"/>
            </w:pPr>
            <w:r w:rsidRPr="00CB4ED1">
              <w:t xml:space="preserve">Ysbyty </w:t>
            </w:r>
            <w:proofErr w:type="spellStart"/>
            <w:r w:rsidRPr="00CB4ED1">
              <w:t>Ystrad</w:t>
            </w:r>
            <w:proofErr w:type="spellEnd"/>
            <w:r w:rsidRPr="00CB4ED1">
              <w:t xml:space="preserve"> </w:t>
            </w:r>
            <w:proofErr w:type="spellStart"/>
            <w:r w:rsidRPr="00CB4ED1">
              <w:t>Fawr</w:t>
            </w:r>
            <w:proofErr w:type="spellEnd"/>
          </w:p>
        </w:tc>
      </w:tr>
    </w:tbl>
    <w:p w14:paraId="0BB92B9D" w14:textId="77777777" w:rsidR="000710B6" w:rsidRPr="0016797D" w:rsidRDefault="000710B6" w:rsidP="000710B6">
      <w:pPr>
        <w:spacing w:after="0"/>
        <w:rPr>
          <w:sz w:val="16"/>
          <w:szCs w:val="16"/>
        </w:rPr>
      </w:pPr>
    </w:p>
    <w:p w14:paraId="59CAE845" w14:textId="77777777" w:rsidR="000710B6" w:rsidRPr="00CB4ED1" w:rsidRDefault="000710B6" w:rsidP="000710B6">
      <w:r w:rsidRPr="00CB4ED1">
        <w:t xml:space="preserve">and </w:t>
      </w:r>
      <w:proofErr w:type="gramStart"/>
      <w:r w:rsidRPr="00CB4ED1">
        <w:t>a number of</w:t>
      </w:r>
      <w:proofErr w:type="gramEnd"/>
      <w:r w:rsidRPr="00CB4ED1">
        <w:t xml:space="preserve"> community hospitals and facilities, including:</w:t>
      </w:r>
    </w:p>
    <w:tbl>
      <w:tblPr>
        <w:tblW w:w="5100" w:type="pct"/>
        <w:tblInd w:w="-113" w:type="dxa"/>
        <w:tblLayout w:type="fixed"/>
        <w:tblLook w:val="04A0" w:firstRow="1" w:lastRow="0" w:firstColumn="1" w:lastColumn="0" w:noHBand="0" w:noVBand="1"/>
      </w:tblPr>
      <w:tblGrid>
        <w:gridCol w:w="4915"/>
        <w:gridCol w:w="4916"/>
      </w:tblGrid>
      <w:tr w:rsidR="00055A6B" w:rsidRPr="00CB4ED1" w14:paraId="5D639477" w14:textId="77777777" w:rsidTr="00055A6B">
        <w:tc>
          <w:tcPr>
            <w:tcW w:w="4915" w:type="dxa"/>
          </w:tcPr>
          <w:p w14:paraId="583D8EC9" w14:textId="77777777" w:rsidR="00055A6B" w:rsidRPr="00CB4ED1" w:rsidRDefault="00055A6B" w:rsidP="00377EA9">
            <w:pPr>
              <w:pStyle w:val="bullets1"/>
            </w:pPr>
            <w:r w:rsidRPr="00CB4ED1">
              <w:t>Rhymney Integrated Health and Social Care Centre</w:t>
            </w:r>
          </w:p>
          <w:p w14:paraId="754EE94F" w14:textId="77777777" w:rsidR="00055A6B" w:rsidRDefault="00055A6B" w:rsidP="00377EA9">
            <w:pPr>
              <w:pStyle w:val="bullets1"/>
            </w:pPr>
            <w:r w:rsidRPr="00CB4ED1">
              <w:t>County Hospital</w:t>
            </w:r>
          </w:p>
          <w:p w14:paraId="4C9B8831" w14:textId="74004DFD" w:rsidR="00055A6B" w:rsidRPr="00055A6B" w:rsidRDefault="00055A6B" w:rsidP="00055A6B">
            <w:pPr>
              <w:pStyle w:val="bullets1"/>
            </w:pPr>
            <w:r w:rsidRPr="00CB4ED1">
              <w:t xml:space="preserve">St </w:t>
            </w:r>
            <w:proofErr w:type="spellStart"/>
            <w:r w:rsidRPr="00CB4ED1">
              <w:t>Woolos</w:t>
            </w:r>
            <w:proofErr w:type="spellEnd"/>
            <w:r w:rsidRPr="00CB4ED1">
              <w:t xml:space="preserve"> Hospital</w:t>
            </w:r>
          </w:p>
        </w:tc>
        <w:tc>
          <w:tcPr>
            <w:tcW w:w="4916" w:type="dxa"/>
          </w:tcPr>
          <w:p w14:paraId="4FE1BE24" w14:textId="77777777" w:rsidR="00055A6B" w:rsidRDefault="00055A6B" w:rsidP="00055A6B">
            <w:pPr>
              <w:pStyle w:val="bullets1"/>
            </w:pPr>
            <w:r w:rsidRPr="00CB4ED1">
              <w:t xml:space="preserve">Chepstow Community Hospital </w:t>
            </w:r>
          </w:p>
          <w:p w14:paraId="469F03DA" w14:textId="2DD05B1E" w:rsidR="00055A6B" w:rsidRPr="00CB4ED1" w:rsidRDefault="00055A6B" w:rsidP="00377EA9">
            <w:pPr>
              <w:pStyle w:val="bullets1"/>
            </w:pPr>
            <w:r w:rsidRPr="00CB4ED1">
              <w:t>Monnow Vale Integrated Health and Social Care Centre</w:t>
            </w:r>
            <w:r w:rsidR="00AA15CE">
              <w:t>.</w:t>
            </w:r>
          </w:p>
        </w:tc>
      </w:tr>
    </w:tbl>
    <w:p w14:paraId="50438401" w14:textId="77777777" w:rsidR="000710B6" w:rsidRPr="00CB4ED1" w:rsidRDefault="000710B6" w:rsidP="000710B6"/>
    <w:p w14:paraId="4A54F3B7" w14:textId="77777777" w:rsidR="00AE480E" w:rsidRDefault="00AE480E">
      <w:pPr>
        <w:spacing w:after="160" w:line="259" w:lineRule="auto"/>
        <w:rPr>
          <w:rFonts w:asciiTheme="majorHAnsi" w:eastAsiaTheme="majorEastAsia" w:hAnsiTheme="majorHAnsi" w:cstheme="majorBidi"/>
          <w:b/>
          <w:color w:val="356A91" w:themeColor="accent1"/>
          <w:sz w:val="32"/>
          <w:szCs w:val="26"/>
        </w:rPr>
      </w:pPr>
      <w:r>
        <w:br w:type="page"/>
      </w:r>
    </w:p>
    <w:p w14:paraId="492BEDFC" w14:textId="25585F83" w:rsidR="000710B6" w:rsidRPr="0016797D" w:rsidRDefault="000710B6" w:rsidP="0016797D">
      <w:pPr>
        <w:pStyle w:val="Heading2"/>
      </w:pPr>
      <w:bookmarkStart w:id="24" w:name="_Toc213865211"/>
      <w:r w:rsidRPr="0016797D">
        <w:lastRenderedPageBreak/>
        <w:t>National and regional strategies</w:t>
      </w:r>
      <w:bookmarkEnd w:id="24"/>
    </w:p>
    <w:p w14:paraId="3555AB4C" w14:textId="77777777" w:rsidR="000710B6" w:rsidRPr="0016797D" w:rsidRDefault="000710B6" w:rsidP="0016797D">
      <w:pPr>
        <w:pStyle w:val="Heading3"/>
      </w:pPr>
      <w:r w:rsidRPr="0016797D">
        <w:t>Strategic fit with national priorities</w:t>
      </w:r>
    </w:p>
    <w:p w14:paraId="329958C7" w14:textId="6A23034C" w:rsidR="000710B6" w:rsidRPr="00CB4ED1" w:rsidRDefault="000710B6" w:rsidP="000710B6">
      <w:pPr>
        <w:pStyle w:val="NormalWeb"/>
        <w:rPr>
          <w:rFonts w:asciiTheme="majorHAnsi" w:hAnsiTheme="majorHAnsi" w:cstheme="majorHAnsi"/>
          <w:sz w:val="22"/>
          <w:szCs w:val="22"/>
        </w:rPr>
      </w:pPr>
      <w:r w:rsidRPr="00CB4ED1">
        <w:rPr>
          <w:rFonts w:asciiTheme="majorHAnsi" w:hAnsiTheme="majorHAnsi" w:cstheme="majorHAnsi"/>
          <w:sz w:val="22"/>
          <w:szCs w:val="22"/>
        </w:rPr>
        <w:t>The proposed LHP</w:t>
      </w:r>
      <w:r w:rsidR="00481EAA">
        <w:rPr>
          <w:rFonts w:asciiTheme="majorHAnsi" w:hAnsiTheme="majorHAnsi" w:cstheme="majorHAnsi"/>
          <w:sz w:val="22"/>
          <w:szCs w:val="22"/>
        </w:rPr>
        <w:t xml:space="preserve"> orthopaedic arthroplasty </w:t>
      </w:r>
      <w:r w:rsidRPr="00CB4ED1">
        <w:rPr>
          <w:rFonts w:asciiTheme="majorHAnsi" w:hAnsiTheme="majorHAnsi" w:cstheme="majorHAnsi"/>
          <w:sz w:val="22"/>
          <w:szCs w:val="22"/>
        </w:rPr>
        <w:t>hub supports the strategic objectives of NHS Wales by:</w:t>
      </w:r>
    </w:p>
    <w:p w14:paraId="3FEF9FC9" w14:textId="77777777" w:rsidR="000710B6" w:rsidRPr="00CB4ED1" w:rsidRDefault="000710B6" w:rsidP="000710B6">
      <w:pPr>
        <w:pStyle w:val="bullets1"/>
      </w:pPr>
      <w:r w:rsidRPr="00CB4ED1">
        <w:rPr>
          <w:rStyle w:val="Strong"/>
          <w:rFonts w:asciiTheme="majorHAnsi" w:hAnsiTheme="majorHAnsi" w:cstheme="majorHAnsi"/>
        </w:rPr>
        <w:t>Reducing waiting times</w:t>
      </w:r>
      <w:r w:rsidRPr="00CB4ED1">
        <w:t xml:space="preserve"> for elective arthroscopic procedures, thereby improving patient experience and outcomes.</w:t>
      </w:r>
    </w:p>
    <w:p w14:paraId="66D1C586" w14:textId="77777777" w:rsidR="000710B6" w:rsidRPr="00CB4ED1" w:rsidRDefault="000710B6" w:rsidP="000710B6">
      <w:pPr>
        <w:pStyle w:val="bullets1"/>
      </w:pPr>
      <w:r w:rsidRPr="00CB4ED1">
        <w:rPr>
          <w:rStyle w:val="Strong"/>
          <w:rFonts w:asciiTheme="majorHAnsi" w:hAnsiTheme="majorHAnsi" w:cstheme="majorHAnsi"/>
        </w:rPr>
        <w:t>Enhancing clinical productivity</w:t>
      </w:r>
      <w:r w:rsidRPr="00CB4ED1">
        <w:t xml:space="preserve"> through dedicated theatre capacity, streamlined pathways, and standardised protocols.</w:t>
      </w:r>
    </w:p>
    <w:p w14:paraId="189387EA" w14:textId="77777777" w:rsidR="000710B6" w:rsidRPr="00CB4ED1" w:rsidRDefault="000710B6" w:rsidP="000710B6">
      <w:pPr>
        <w:pStyle w:val="bullets1"/>
      </w:pPr>
      <w:r w:rsidRPr="00CB4ED1">
        <w:rPr>
          <w:rStyle w:val="Strong"/>
          <w:rFonts w:asciiTheme="majorHAnsi" w:hAnsiTheme="majorHAnsi" w:cstheme="majorHAnsi"/>
        </w:rPr>
        <w:t>Supporting workforce sustainability</w:t>
      </w:r>
      <w:r w:rsidRPr="00CB4ED1">
        <w:t xml:space="preserve"> by enabling sub-specialist practice, training opportunities, and improved staff retention.</w:t>
      </w:r>
    </w:p>
    <w:p w14:paraId="6ED1D480" w14:textId="77777777" w:rsidR="000710B6" w:rsidRDefault="000710B6" w:rsidP="000710B6">
      <w:pPr>
        <w:pStyle w:val="bullets1"/>
      </w:pPr>
      <w:r w:rsidRPr="00CB4ED1">
        <w:rPr>
          <w:rStyle w:val="Strong"/>
          <w:rFonts w:asciiTheme="majorHAnsi" w:hAnsiTheme="majorHAnsi" w:cstheme="majorHAnsi"/>
        </w:rPr>
        <w:t>Improving system resilience</w:t>
      </w:r>
      <w:r w:rsidRPr="00CB4ED1">
        <w:t xml:space="preserve"> by decoupling elective care from emergency pressures and winter surges.</w:t>
      </w:r>
    </w:p>
    <w:p w14:paraId="532460E0" w14:textId="77777777" w:rsidR="00AE480E" w:rsidRPr="00AE480E" w:rsidRDefault="00AE480E" w:rsidP="00AE480E">
      <w:pPr>
        <w:pStyle w:val="NoSpacing"/>
      </w:pPr>
    </w:p>
    <w:p w14:paraId="54B0B7FB" w14:textId="77777777" w:rsidR="000710B6" w:rsidRPr="00CB4ED1" w:rsidRDefault="000710B6" w:rsidP="000710B6">
      <w:r w:rsidRPr="00CB4ED1">
        <w:t xml:space="preserve">This initiative also complements the </w:t>
      </w:r>
      <w:r w:rsidRPr="00CB4ED1">
        <w:rPr>
          <w:rStyle w:val="Emphasis"/>
          <w:rFonts w:asciiTheme="majorHAnsi" w:hAnsiTheme="majorHAnsi" w:cstheme="majorHAnsi"/>
        </w:rPr>
        <w:t>Getting It Right First Time (GIRFT)</w:t>
      </w:r>
      <w:r w:rsidRPr="00CB4ED1">
        <w:t xml:space="preserve"> programme by embedding evidence-based practice and reducing variation in surgical technique, rehabilitation, and follow-up care.</w:t>
      </w:r>
    </w:p>
    <w:p w14:paraId="1A8F067C" w14:textId="77777777" w:rsidR="000710B6" w:rsidRPr="0016797D" w:rsidRDefault="000710B6" w:rsidP="0016797D">
      <w:pPr>
        <w:pStyle w:val="Heading3"/>
      </w:pPr>
      <w:r w:rsidRPr="0016797D">
        <w:t>Population health and value-based care</w:t>
      </w:r>
    </w:p>
    <w:p w14:paraId="7BF8758C" w14:textId="77777777" w:rsidR="000710B6" w:rsidRPr="00CB4ED1" w:rsidRDefault="000710B6" w:rsidP="000710B6">
      <w:r w:rsidRPr="00CB4ED1">
        <w:t>LHP will contribute to improved population health by addressing unmet need in orthopaedic care, particularly among working-age adults and older populations experiencing functional impairment due to joint pathology. By focusing on value-based outcomes—such as return to function, reduced pain, and patient-reported experience—LHP will support the shift towards prudent healthcare and optimise resource utilisation across the system</w:t>
      </w:r>
    </w:p>
    <w:p w14:paraId="05C26609" w14:textId="1D9E26F8" w:rsidR="000710B6" w:rsidRPr="00CB4ED1" w:rsidRDefault="000710B6" w:rsidP="000710B6">
      <w:r w:rsidRPr="00CB4ED1">
        <w:t xml:space="preserve">LHP will ideally be underpinned by a robust digital infrastructure, enabling real-time data capture, remote </w:t>
      </w:r>
      <w:r w:rsidR="00EC328F">
        <w:t>p</w:t>
      </w:r>
      <w:r w:rsidRPr="00CB4ED1">
        <w:t>re-operative assessment, and virtual follow-up pathways. Integration with the Welsh Clinical Portal and national PROMs datasets will support continuous improvement and benchmarking. LHP will also act as a testbed for innovation in surgical technique, anaesthesia, and rehabilitation, in partnership with academic and industry stakeholders.</w:t>
      </w:r>
    </w:p>
    <w:p w14:paraId="0DD12996" w14:textId="77777777" w:rsidR="000710B6" w:rsidRPr="0016797D" w:rsidRDefault="000710B6" w:rsidP="0016797D">
      <w:pPr>
        <w:pStyle w:val="Heading3"/>
      </w:pPr>
      <w:r w:rsidRPr="0016797D">
        <w:t>South East Wales Regional Orthopaedic Plan</w:t>
      </w:r>
    </w:p>
    <w:p w14:paraId="2C350974" w14:textId="77777777" w:rsidR="000710B6" w:rsidRPr="00CB4ED1" w:rsidRDefault="000710B6" w:rsidP="000710B6">
      <w:pPr>
        <w:rPr>
          <w:rFonts w:eastAsia="Calibri" w:cs="Arial"/>
        </w:rPr>
      </w:pPr>
      <w:r w:rsidRPr="00CB4ED1">
        <w:t xml:space="preserve">This sets out a collaborative plan for the South-East Wales (SEW) region to deliver high quality, sustainable orthopaedic services for the population. The plan has been developed through the regional Orthopaedic programme working closely with the LHP programme, national Orthopaedics leads and the NHS Wales Performance and Improvement Unit. It presents a comprehensive assessment for planned orthopaedic services over the next four years, emphasising the optimal use of existing resources and setting out both immediate and long-term strategies. </w:t>
      </w:r>
      <w:r w:rsidRPr="00CB4ED1">
        <w:rPr>
          <w:rFonts w:eastAsia="Calibri" w:cs="Arial"/>
        </w:rPr>
        <w:t>The plan will continue to develop in line with the LHP programme timelines.</w:t>
      </w:r>
    </w:p>
    <w:p w14:paraId="09B87632" w14:textId="77777777" w:rsidR="000710B6" w:rsidRPr="00CB4ED1" w:rsidRDefault="000710B6" w:rsidP="000710B6">
      <w:pPr>
        <w:jc w:val="both"/>
        <w:rPr>
          <w:rFonts w:eastAsia="Calibri" w:cs="Arial"/>
        </w:rPr>
      </w:pPr>
      <w:r w:rsidRPr="00CB4ED1">
        <w:rPr>
          <w:rFonts w:eastAsia="Calibri" w:cs="Arial"/>
        </w:rPr>
        <w:t xml:space="preserve">The SEW regional orthopaedic plan outlines the region’s collective plans to delivering sustainable, high-quality orthopaedic services over the next four years. The plan in this initial phase, focuses on the acute phase of the Orthopaedic pathway and the demand and capacity modelling for the region. </w:t>
      </w:r>
    </w:p>
    <w:p w14:paraId="499490B1" w14:textId="5749ACD8" w:rsidR="000710B6" w:rsidRPr="00CB4ED1" w:rsidRDefault="000710B6" w:rsidP="000710B6">
      <w:r w:rsidRPr="00CB4ED1">
        <w:t xml:space="preserve">A key component of the long-term vision is the development of a regional primary </w:t>
      </w:r>
      <w:proofErr w:type="gramStart"/>
      <w:r w:rsidR="001D38E8">
        <w:t xml:space="preserve">orthopaedic </w:t>
      </w:r>
      <w:r w:rsidRPr="00CB4ED1">
        <w:t xml:space="preserve"> arthroplasty</w:t>
      </w:r>
      <w:proofErr w:type="gramEnd"/>
      <w:r w:rsidRPr="00CB4ED1">
        <w:t xml:space="preserve"> service at LHP. The plan aims to support the planning for this facility, specifically supporting the requirement for additional capacity to inform this OBC.</w:t>
      </w:r>
      <w:r w:rsidR="00453650">
        <w:t xml:space="preserve"> </w:t>
      </w:r>
      <w:r w:rsidRPr="00CB4ED1">
        <w:t>The key elements / scope of the plan are as follows: -</w:t>
      </w:r>
    </w:p>
    <w:p w14:paraId="637FBB4D" w14:textId="77777777" w:rsidR="000710B6" w:rsidRPr="00CB4ED1" w:rsidRDefault="000710B6" w:rsidP="000710B6">
      <w:pPr>
        <w:pStyle w:val="bullets1"/>
      </w:pPr>
      <w:r w:rsidRPr="00CB4ED1">
        <w:t>Examination and analysis of baseline health board positions of demand and capacity, covering case-mix, complexity, projected demand, waiting list growth and trends</w:t>
      </w:r>
    </w:p>
    <w:p w14:paraId="3641737B" w14:textId="77777777" w:rsidR="000710B6" w:rsidRPr="00CB4ED1" w:rsidRDefault="000710B6" w:rsidP="000710B6">
      <w:pPr>
        <w:pStyle w:val="bullets1"/>
      </w:pPr>
      <w:r w:rsidRPr="00CB4ED1">
        <w:lastRenderedPageBreak/>
        <w:t>A focus on theatre and outpatient demand and capacity. Further work to be undertaken throughout the pathway including diagnostics, therapies, pre-operative and post-operative services</w:t>
      </w:r>
    </w:p>
    <w:p w14:paraId="07F80EDA" w14:textId="77777777" w:rsidR="000710B6" w:rsidRPr="00CB4ED1" w:rsidRDefault="000710B6" w:rsidP="000710B6">
      <w:pPr>
        <w:pStyle w:val="bullets1"/>
      </w:pPr>
      <w:r w:rsidRPr="00CB4ED1">
        <w:t>Efficiency measures to optimise existing resource, including gaps, bottlenecks and unwarranted variation, and informed by bench marked examples of best practice</w:t>
      </w:r>
    </w:p>
    <w:p w14:paraId="525E7A84" w14:textId="77777777" w:rsidR="000710B6" w:rsidRPr="00CB4ED1" w:rsidRDefault="000710B6" w:rsidP="000710B6">
      <w:pPr>
        <w:pStyle w:val="bullets1"/>
      </w:pPr>
      <w:r w:rsidRPr="00CB4ED1">
        <w:t>Short term health board plans to address capacity gaps</w:t>
      </w:r>
    </w:p>
    <w:p w14:paraId="0D8EF212" w14:textId="77777777" w:rsidR="000710B6" w:rsidRPr="00CB4ED1" w:rsidRDefault="000710B6" w:rsidP="000710B6">
      <w:pPr>
        <w:pStyle w:val="bullets1"/>
      </w:pPr>
      <w:r w:rsidRPr="00CB4ED1">
        <w:t>Longer term regional plans, incorporating LHP capacity and future clinical model</w:t>
      </w:r>
    </w:p>
    <w:p w14:paraId="3FE96765" w14:textId="77777777" w:rsidR="000710B6" w:rsidRPr="00CB4ED1" w:rsidRDefault="000710B6" w:rsidP="000710B6">
      <w:pPr>
        <w:pStyle w:val="bullets1"/>
      </w:pPr>
      <w:r w:rsidRPr="00CB4ED1">
        <w:t>Benefits and risks</w:t>
      </w:r>
    </w:p>
    <w:p w14:paraId="783052C6" w14:textId="77777777" w:rsidR="000710B6" w:rsidRPr="00CB4ED1" w:rsidRDefault="000710B6" w:rsidP="000710B6">
      <w:pPr>
        <w:pStyle w:val="bullets1"/>
      </w:pPr>
      <w:r w:rsidRPr="00CB4ED1">
        <w:t>Planning assumptions, including workforce / finance / diagnostics / digital</w:t>
      </w:r>
    </w:p>
    <w:p w14:paraId="70E461E6" w14:textId="77777777" w:rsidR="000710B6" w:rsidRPr="00CB4ED1" w:rsidRDefault="000710B6" w:rsidP="000710B6">
      <w:pPr>
        <w:pStyle w:val="bullets1"/>
      </w:pPr>
      <w:r w:rsidRPr="00CB4ED1">
        <w:t>Programme governance and delivery including next steps and timescales</w:t>
      </w:r>
    </w:p>
    <w:p w14:paraId="048CAB05" w14:textId="77777777" w:rsidR="000710B6" w:rsidRPr="00CB4ED1" w:rsidRDefault="000710B6" w:rsidP="000710B6">
      <w:pPr>
        <w:pStyle w:val="bullets1"/>
      </w:pPr>
      <w:r w:rsidRPr="00CB4ED1">
        <w:t>Conclusions, and recommendations.</w:t>
      </w:r>
    </w:p>
    <w:p w14:paraId="2389990A" w14:textId="77777777" w:rsidR="000710B6" w:rsidRPr="00CB4ED1" w:rsidRDefault="000710B6" w:rsidP="000710B6">
      <w:pPr>
        <w:pStyle w:val="NoSpacing"/>
        <w:rPr>
          <w:lang w:eastAsia="en-GB"/>
        </w:rPr>
      </w:pPr>
    </w:p>
    <w:p w14:paraId="70C0CD47" w14:textId="4E351016" w:rsidR="000710B6" w:rsidRDefault="000710B6" w:rsidP="000710B6">
      <w:r w:rsidRPr="00CB4ED1">
        <w:t xml:space="preserve">There are several areas of the plan which will further develop over the next six months to include areas such as detailed pathway, workforce and financial planning. It is anticipated that an updated version of the regional plan will be completed and submitted alongside the regional FBC for Phase 2. The latest version of this document can be found </w:t>
      </w:r>
      <w:r w:rsidRPr="00E67800">
        <w:t xml:space="preserve">in Appendix </w:t>
      </w:r>
      <w:r w:rsidR="00EC05B5" w:rsidRPr="00E67800">
        <w:t>2</w:t>
      </w:r>
      <w:r w:rsidRPr="00E67800">
        <w:t>.</w:t>
      </w:r>
    </w:p>
    <w:p w14:paraId="54E03266" w14:textId="77777777" w:rsidR="00453650" w:rsidRPr="00CB4ED1" w:rsidRDefault="00453650" w:rsidP="00453650">
      <w:pPr>
        <w:pStyle w:val="NoSpacing"/>
      </w:pPr>
    </w:p>
    <w:p w14:paraId="2F9002EC" w14:textId="52E07DAE" w:rsidR="000710B6" w:rsidRPr="00453650" w:rsidRDefault="000710B6" w:rsidP="00453650">
      <w:pPr>
        <w:pStyle w:val="Heading2"/>
      </w:pPr>
      <w:bookmarkStart w:id="25" w:name="_Toc213865212"/>
      <w:r w:rsidRPr="00453650">
        <w:t xml:space="preserve">Alignment with other </w:t>
      </w:r>
      <w:r w:rsidR="00453650" w:rsidRPr="00453650">
        <w:t>local and national strategies</w:t>
      </w:r>
      <w:bookmarkEnd w:id="25"/>
    </w:p>
    <w:p w14:paraId="42CCE164" w14:textId="77777777" w:rsidR="000710B6" w:rsidRPr="00CB4ED1" w:rsidRDefault="000710B6" w:rsidP="000710B6">
      <w:r w:rsidRPr="00CB4ED1">
        <w:t>Optimisation Frameworks have been developed by the Strategic Programme for Planned Care, as a tool for all UHBs to be able to:</w:t>
      </w:r>
    </w:p>
    <w:p w14:paraId="48EF8202" w14:textId="77777777" w:rsidR="000710B6" w:rsidRPr="00CB4ED1" w:rsidRDefault="000710B6" w:rsidP="000710B6">
      <w:pPr>
        <w:pStyle w:val="bullets1"/>
      </w:pPr>
      <w:r w:rsidRPr="00CB4ED1">
        <w:t>review planned care specialities that are provided to patients</w:t>
      </w:r>
    </w:p>
    <w:p w14:paraId="275B67E9" w14:textId="77777777" w:rsidR="000710B6" w:rsidRPr="00CB4ED1" w:rsidRDefault="000710B6" w:rsidP="000710B6">
      <w:pPr>
        <w:pStyle w:val="bullets1"/>
      </w:pPr>
      <w:r w:rsidRPr="00CB4ED1">
        <w:t>identify areas of good practice</w:t>
      </w:r>
    </w:p>
    <w:p w14:paraId="78AE1FAC" w14:textId="77777777" w:rsidR="000710B6" w:rsidRPr="00CB4ED1" w:rsidRDefault="000710B6" w:rsidP="000710B6">
      <w:pPr>
        <w:pStyle w:val="bullets1"/>
      </w:pPr>
      <w:r w:rsidRPr="00CB4ED1">
        <w:t>identify areas for improvement across all Clinical Implementation Networks.</w:t>
      </w:r>
    </w:p>
    <w:p w14:paraId="4B01F502" w14:textId="77777777" w:rsidR="000710B6" w:rsidRPr="00CB4ED1" w:rsidRDefault="000710B6" w:rsidP="000710B6">
      <w:pPr>
        <w:pStyle w:val="NoSpacing"/>
      </w:pPr>
    </w:p>
    <w:p w14:paraId="25211A61" w14:textId="77777777" w:rsidR="000710B6" w:rsidRPr="00CB4ED1" w:rsidRDefault="000710B6" w:rsidP="000710B6">
      <w:r w:rsidRPr="00CB4ED1">
        <w:t xml:space="preserve">The framework is a result of collaboration between the Welsh NHS Executive, UHBs, and the </w:t>
      </w:r>
      <w:r w:rsidRPr="00CB4ED1">
        <w:rPr>
          <w:b/>
          <w:bCs/>
        </w:rPr>
        <w:t>Getting It Right First Time (GiRFT)</w:t>
      </w:r>
      <w:r w:rsidRPr="00CB4ED1">
        <w:t xml:space="preserve"> guidance. They have been fully endorsed by Judith Paget, previous Director General of Health and Social Services and NHS Wales Chief Executive, as a comprehensive guide to help UHBs meet the challenges faced within the system.</w:t>
      </w:r>
    </w:p>
    <w:p w14:paraId="01FDCE1D" w14:textId="77777777" w:rsidR="000710B6" w:rsidRPr="00CB4ED1" w:rsidRDefault="000710B6" w:rsidP="000710B6">
      <w:r w:rsidRPr="00CB4ED1">
        <w:t>The framework has been developed in two parts:</w:t>
      </w:r>
    </w:p>
    <w:p w14:paraId="00D8DDF8" w14:textId="77777777" w:rsidR="000710B6" w:rsidRPr="00CB4ED1" w:rsidRDefault="000710B6" w:rsidP="000710B6">
      <w:pPr>
        <w:pStyle w:val="bullets1"/>
      </w:pPr>
      <w:r w:rsidRPr="00CB4ED1">
        <w:t>A matrix designed to allow UHB’s to score themselves based on maturity (0 – Nothing planned, 1 – Planned, 2 – Early progress, 3 – Results, 4 – Fully mature)</w:t>
      </w:r>
    </w:p>
    <w:p w14:paraId="1AC825C0" w14:textId="77777777" w:rsidR="000710B6" w:rsidRPr="00CB4ED1" w:rsidRDefault="000710B6" w:rsidP="000710B6">
      <w:pPr>
        <w:pStyle w:val="bullets1"/>
      </w:pPr>
      <w:r w:rsidRPr="00CB4ED1">
        <w:t xml:space="preserve">A handbook that integrates advice, guidance, standard operating procedures, outpatient dashboard data, clinic guides and established pathways. </w:t>
      </w:r>
    </w:p>
    <w:p w14:paraId="0B5CF922" w14:textId="77777777" w:rsidR="000710B6" w:rsidRPr="00CB4ED1" w:rsidRDefault="000710B6" w:rsidP="000710B6">
      <w:pPr>
        <w:pStyle w:val="NoSpacing"/>
      </w:pPr>
    </w:p>
    <w:p w14:paraId="08CE5181" w14:textId="77777777" w:rsidR="000710B6" w:rsidRPr="00CB4ED1" w:rsidRDefault="000710B6" w:rsidP="000710B6">
      <w:r w:rsidRPr="00CB4ED1">
        <w:t>Both documents were developed by the NHS Executive with guidance from the Clinical Lead of each network and discussed with the wider network group for further feedback and input.</w:t>
      </w:r>
    </w:p>
    <w:p w14:paraId="6E1969E9" w14:textId="77777777" w:rsidR="000710B6" w:rsidRPr="00CB4ED1" w:rsidRDefault="000710B6" w:rsidP="000710B6">
      <w:r w:rsidRPr="00CB4ED1">
        <w:t xml:space="preserve">Results produced when using the matrix/handbook will subsequently provide actionable strategies, condition-specific interventions and evidence-based practices, to address the challenges identified. They will also help drive priorities and areas of focus UHBs need to target in </w:t>
      </w:r>
      <w:proofErr w:type="gramStart"/>
      <w:r w:rsidRPr="00CB4ED1">
        <w:t>future plans</w:t>
      </w:r>
      <w:proofErr w:type="gramEnd"/>
      <w:r w:rsidRPr="00CB4ED1">
        <w:t>, whilst working closely with the Clinical Implementation Network.</w:t>
      </w:r>
    </w:p>
    <w:p w14:paraId="1976B6E2" w14:textId="77777777" w:rsidR="00AE480E" w:rsidRDefault="000710B6" w:rsidP="000710B6">
      <w:r w:rsidRPr="00CB4ED1">
        <w:t>Orthopaedics is one of the highest volume specialties and has one of the longest waiting lists. It is one of the first specialties to which GIRFT was applied to help drive efficiency, throughput and cost effectiveness. GIRFT first shone the light on areas for focus and improvement in Orthopaedics in March 2015.</w:t>
      </w:r>
    </w:p>
    <w:p w14:paraId="6000FFFF" w14:textId="22FA2413" w:rsidR="000710B6" w:rsidRPr="00CB4ED1" w:rsidRDefault="00AE480E" w:rsidP="000710B6">
      <w:r>
        <w:lastRenderedPageBreak/>
        <w:t>G</w:t>
      </w:r>
      <w:r w:rsidR="000710B6" w:rsidRPr="00CB4ED1">
        <w:t>IRFT identified three key steps to improve quality and productivity for high volume, low complexity (HVLC) surgery</w:t>
      </w:r>
      <w:r>
        <w:t>, t</w:t>
      </w:r>
      <w:r w:rsidR="000710B6" w:rsidRPr="00CB4ED1">
        <w:t xml:space="preserve">hese are: </w:t>
      </w:r>
    </w:p>
    <w:p w14:paraId="2169D4E5" w14:textId="77777777" w:rsidR="000710B6" w:rsidRPr="00CB4ED1" w:rsidRDefault="000710B6" w:rsidP="000710B6">
      <w:pPr>
        <w:pStyle w:val="bullets1"/>
      </w:pPr>
      <w:r w:rsidRPr="00CB4ED1">
        <w:t xml:space="preserve">separating elective and non-elective surgery </w:t>
      </w:r>
    </w:p>
    <w:p w14:paraId="7419274F" w14:textId="77777777" w:rsidR="000710B6" w:rsidRPr="00CB4ED1" w:rsidRDefault="000710B6" w:rsidP="000710B6">
      <w:pPr>
        <w:pStyle w:val="bullets1"/>
      </w:pPr>
      <w:r w:rsidRPr="00CB4ED1">
        <w:t xml:space="preserve">increasing day case surgery rates </w:t>
      </w:r>
    </w:p>
    <w:p w14:paraId="040604E7" w14:textId="77777777" w:rsidR="000710B6" w:rsidRPr="00CB4ED1" w:rsidRDefault="000710B6" w:rsidP="000710B6">
      <w:pPr>
        <w:pStyle w:val="bullets1"/>
      </w:pPr>
      <w:r w:rsidRPr="00CB4ED1">
        <w:t>improving the utilisation of asset such as operating theatres, x-ray equipment and other complex equipment, increasing theatre productivity and creating more efficient care pathways.</w:t>
      </w:r>
    </w:p>
    <w:p w14:paraId="75F6C77D" w14:textId="77777777" w:rsidR="000710B6" w:rsidRPr="00CB4ED1" w:rsidRDefault="000710B6" w:rsidP="000710B6">
      <w:pPr>
        <w:pStyle w:val="NoSpacing"/>
      </w:pPr>
    </w:p>
    <w:p w14:paraId="175001BF" w14:textId="77777777" w:rsidR="000710B6" w:rsidRPr="00CB4ED1" w:rsidRDefault="000710B6" w:rsidP="000710B6">
      <w:r w:rsidRPr="00CB4ED1">
        <w:t>The NHS Elective Recovery Plan also includes surgical hubs as a key measure for focusing on high-volume routine surgery to enable a rapid increase in the number of patients can get seen more quickly, ensuring that emergency cases do not disrupt operations and cause cancellations or delays. Surgical hubs will reduce waiting lists; improve patient outcomes create a centre of excellence for clinical excellence and level up patient access and performance.</w:t>
      </w:r>
    </w:p>
    <w:p w14:paraId="735FAF43" w14:textId="77777777" w:rsidR="000710B6" w:rsidRPr="00CB4ED1" w:rsidRDefault="000710B6" w:rsidP="000710B6">
      <w:r w:rsidRPr="00CB4ED1">
        <w:t>Despite an independent review by the GiRFT programme in 2014, key recommendations, particularly around increasing and safeguarding elective capacity have not been implemented to date, contributing to ongoing instability across the services in Southeast Wales. Pressures have been further exacerbated since this time by growing demands for urgent / unscheduled orthopaedic care and the impact of the COVID-19 pandemic.</w:t>
      </w:r>
    </w:p>
    <w:p w14:paraId="38D383FE" w14:textId="77777777" w:rsidR="000710B6" w:rsidRPr="00CB4ED1" w:rsidRDefault="000710B6" w:rsidP="000710B6">
      <w:r w:rsidRPr="00CB4ED1">
        <w:t>The GIRFT report called for a shift from individual health board planning to a more integrated, regional model, based on common pathways and sharing of best practice. This now forms a key priority for Welsh Government, as reflected within the National Clinical Framework for NHS Wales. A letter from the Cabinet Secretary was received by Health Board Chairs in April 2025, indicating a wish to see accelerated progress in the planning and delivery of healthcare services on a regional level to maintain safety, quality, and sustainability.</w:t>
      </w:r>
    </w:p>
    <w:p w14:paraId="257B7B6B" w14:textId="77777777" w:rsidR="000710B6" w:rsidRPr="007340C5" w:rsidRDefault="000710B6" w:rsidP="007340C5">
      <w:pPr>
        <w:pStyle w:val="Heading3"/>
      </w:pPr>
      <w:r w:rsidRPr="007340C5">
        <w:t>National Blueprint for Orthopaedic Surgery Delivery in Wales</w:t>
      </w:r>
    </w:p>
    <w:p w14:paraId="0D3A910A" w14:textId="77777777" w:rsidR="000710B6" w:rsidRPr="00CB4ED1" w:rsidRDefault="000710B6" w:rsidP="000710B6">
      <w:r w:rsidRPr="00CB4ED1">
        <w:t>A further key informing document for the orthopaedic programme is the National Blueprint for Orthopaedic Surgical Delivery in Wales report that was developed as part of the National Clinical Strategy for Orthopaedic Surgery (NCSOS) in 2022. The report acknowledges that delays in elective orthopaedic care have been a persistent issue for decades, with temporary fixes like waiting list initiatives and private outsourcing masking deeper systemic problems. It concludes that if the current model of orthopaedic service delivery remains unchanged, the national elective orthopaedic backlog is projected to increase by up to 300% over the next five years.</w:t>
      </w:r>
    </w:p>
    <w:p w14:paraId="1ADAE5F5" w14:textId="77777777" w:rsidR="000710B6" w:rsidRDefault="000710B6" w:rsidP="000710B6">
      <w:r w:rsidRPr="00CB4ED1">
        <w:t>Even with the implementation of mitigation strategies, such as efficiency improvements and service redesign, the backlog is still expected to grow by approximately 59%. This continued growth is attributed to critical systemic constraints, including:</w:t>
      </w:r>
    </w:p>
    <w:tbl>
      <w:tblPr>
        <w:tblW w:w="5100" w:type="pct"/>
        <w:tblInd w:w="-113" w:type="dxa"/>
        <w:tblLayout w:type="fixed"/>
        <w:tblLook w:val="04A0" w:firstRow="1" w:lastRow="0" w:firstColumn="1" w:lastColumn="0" w:noHBand="0" w:noVBand="1"/>
      </w:tblPr>
      <w:tblGrid>
        <w:gridCol w:w="4915"/>
        <w:gridCol w:w="4916"/>
      </w:tblGrid>
      <w:tr w:rsidR="001D39F4" w:rsidRPr="00F2076E" w14:paraId="08DB70ED" w14:textId="77777777" w:rsidTr="00E67800">
        <w:tc>
          <w:tcPr>
            <w:tcW w:w="4814" w:type="dxa"/>
          </w:tcPr>
          <w:p w14:paraId="19110A9B" w14:textId="77777777" w:rsidR="001D39F4" w:rsidRPr="00CB4ED1" w:rsidRDefault="001D39F4" w:rsidP="001D39F4">
            <w:pPr>
              <w:pStyle w:val="bullets1"/>
            </w:pPr>
            <w:r w:rsidRPr="00CB4ED1">
              <w:t>Inadequate estate infrastructure</w:t>
            </w:r>
          </w:p>
          <w:p w14:paraId="33ED4392" w14:textId="49FA801B" w:rsidR="001D39F4" w:rsidRPr="00F2076E" w:rsidRDefault="001D39F4" w:rsidP="001D39F4">
            <w:pPr>
              <w:pStyle w:val="bullets1"/>
            </w:pPr>
            <w:r w:rsidRPr="00CB4ED1">
              <w:t>Insufficient ring-fenced elective beds</w:t>
            </w:r>
          </w:p>
        </w:tc>
        <w:tc>
          <w:tcPr>
            <w:tcW w:w="4814" w:type="dxa"/>
          </w:tcPr>
          <w:p w14:paraId="30460285" w14:textId="2A116101" w:rsidR="001D39F4" w:rsidRPr="00F2076E" w:rsidRDefault="001D39F4" w:rsidP="001D39F4">
            <w:pPr>
              <w:pStyle w:val="bullets1"/>
            </w:pPr>
            <w:r w:rsidRPr="00CB4ED1">
              <w:t>Persistent workforce shortages.</w:t>
            </w:r>
          </w:p>
        </w:tc>
      </w:tr>
    </w:tbl>
    <w:p w14:paraId="53B22857" w14:textId="77777777" w:rsidR="000710B6" w:rsidRPr="00CB4ED1" w:rsidRDefault="000710B6" w:rsidP="000710B6">
      <w:pPr>
        <w:pStyle w:val="NoSpacing"/>
      </w:pPr>
    </w:p>
    <w:p w14:paraId="74C261A0" w14:textId="77777777" w:rsidR="000710B6" w:rsidRDefault="000710B6" w:rsidP="000710B6">
      <w:r w:rsidRPr="00CB4ED1">
        <w:t>These projections underscore the urgent need for a transformational shift in service configuration, capacity planning, and investment to prevent further deterioration in access and outcomes for orthopaedic patients across Wales.</w:t>
      </w:r>
    </w:p>
    <w:p w14:paraId="60283707" w14:textId="77777777" w:rsidR="000710B6" w:rsidRPr="007340C5" w:rsidRDefault="000710B6" w:rsidP="007340C5">
      <w:pPr>
        <w:pStyle w:val="Heading3"/>
      </w:pPr>
      <w:r w:rsidRPr="007340C5">
        <w:t xml:space="preserve">Ministerial Advisory Group on NHS Wales Performance and Productivity </w:t>
      </w:r>
    </w:p>
    <w:p w14:paraId="01D3E3C9" w14:textId="77777777" w:rsidR="000710B6" w:rsidRPr="00CB4ED1" w:rsidRDefault="000710B6" w:rsidP="000710B6">
      <w:pPr>
        <w:rPr>
          <w:rFonts w:eastAsia="Times New Roman"/>
        </w:rPr>
      </w:pPr>
      <w:r w:rsidRPr="00CB4ED1">
        <w:rPr>
          <w:rFonts w:eastAsia="Times New Roman"/>
        </w:rPr>
        <w:t xml:space="preserve">In addition, the report by the external Ministerial Advisory Group (MAG) on NHS Wales Performance and Productivity in April 2025 recommends that all health boards and trusts should take action to improve waiting list management. Prioritisation of available capacity for the longest-wait patients should become a pre-condition for receipt of additional funding from Welsh </w:t>
      </w:r>
      <w:r w:rsidRPr="00CB4ED1">
        <w:rPr>
          <w:rFonts w:eastAsia="Times New Roman"/>
        </w:rPr>
        <w:lastRenderedPageBreak/>
        <w:t>Government for elective recovery. The report identified the following key factors driving long waiting times:</w:t>
      </w:r>
    </w:p>
    <w:tbl>
      <w:tblPr>
        <w:tblW w:w="5100" w:type="pct"/>
        <w:tblInd w:w="-113" w:type="dxa"/>
        <w:tblLayout w:type="fixed"/>
        <w:tblLook w:val="04A0" w:firstRow="1" w:lastRow="0" w:firstColumn="1" w:lastColumn="0" w:noHBand="0" w:noVBand="1"/>
      </w:tblPr>
      <w:tblGrid>
        <w:gridCol w:w="4915"/>
        <w:gridCol w:w="4916"/>
      </w:tblGrid>
      <w:tr w:rsidR="000710B6" w:rsidRPr="00CB4ED1" w14:paraId="05E241B3" w14:textId="77777777" w:rsidTr="00377EA9">
        <w:tc>
          <w:tcPr>
            <w:tcW w:w="4814" w:type="dxa"/>
          </w:tcPr>
          <w:p w14:paraId="38D63A23" w14:textId="77777777" w:rsidR="000710B6" w:rsidRPr="00CB4ED1" w:rsidRDefault="000710B6" w:rsidP="00377EA9">
            <w:pPr>
              <w:pStyle w:val="bullets1"/>
            </w:pPr>
            <w:r w:rsidRPr="00CB4ED1">
              <w:t xml:space="preserve">Growth in outpatient referrals </w:t>
            </w:r>
          </w:p>
          <w:p w14:paraId="0D811953" w14:textId="77777777" w:rsidR="000710B6" w:rsidRPr="00CB4ED1" w:rsidRDefault="000710B6" w:rsidP="00377EA9">
            <w:pPr>
              <w:pStyle w:val="bullets1"/>
            </w:pPr>
            <w:r w:rsidRPr="00CB4ED1">
              <w:t xml:space="preserve">Uneven adoption of best practice in referral management </w:t>
            </w:r>
          </w:p>
          <w:p w14:paraId="2CB55002" w14:textId="77777777" w:rsidR="000710B6" w:rsidRPr="00CB4ED1" w:rsidRDefault="000710B6" w:rsidP="00377EA9">
            <w:pPr>
              <w:pStyle w:val="bullets1"/>
            </w:pPr>
            <w:r w:rsidRPr="00CB4ED1">
              <w:t xml:space="preserve">Unwarranted variation in outpatient management </w:t>
            </w:r>
          </w:p>
          <w:p w14:paraId="42CB21D0" w14:textId="77777777" w:rsidR="000710B6" w:rsidRPr="00CB4ED1" w:rsidRDefault="000710B6" w:rsidP="00377EA9">
            <w:pPr>
              <w:pStyle w:val="bullets1"/>
            </w:pPr>
            <w:r w:rsidRPr="00CB4ED1">
              <w:t xml:space="preserve">Poor waiting list management </w:t>
            </w:r>
          </w:p>
          <w:p w14:paraId="05DCEE2D" w14:textId="77777777" w:rsidR="000710B6" w:rsidRPr="00CB4ED1" w:rsidRDefault="000710B6" w:rsidP="00377EA9">
            <w:pPr>
              <w:pStyle w:val="bullets1"/>
            </w:pPr>
            <w:r w:rsidRPr="00CB4ED1">
              <w:t>Sub-optimal theatre and surgical productivity</w:t>
            </w:r>
          </w:p>
        </w:tc>
        <w:tc>
          <w:tcPr>
            <w:tcW w:w="4814" w:type="dxa"/>
          </w:tcPr>
          <w:p w14:paraId="07A9DE03" w14:textId="77777777" w:rsidR="000710B6" w:rsidRPr="00CB4ED1" w:rsidRDefault="000710B6" w:rsidP="00377EA9">
            <w:pPr>
              <w:pStyle w:val="bullets1"/>
            </w:pPr>
            <w:r w:rsidRPr="00CB4ED1">
              <w:t xml:space="preserve">The absence of protected high volume elective surgical capacity </w:t>
            </w:r>
          </w:p>
          <w:p w14:paraId="1AB6CC45" w14:textId="77777777" w:rsidR="000710B6" w:rsidRPr="00CB4ED1" w:rsidRDefault="000710B6" w:rsidP="00377EA9">
            <w:pPr>
              <w:pStyle w:val="bullets1"/>
            </w:pPr>
            <w:r w:rsidRPr="00CB4ED1">
              <w:t xml:space="preserve">Sub-optimal use of the independent sector </w:t>
            </w:r>
          </w:p>
          <w:p w14:paraId="71C728DD" w14:textId="77777777" w:rsidR="000710B6" w:rsidRPr="00CB4ED1" w:rsidRDefault="000710B6" w:rsidP="00377EA9">
            <w:pPr>
              <w:pStyle w:val="bullets1"/>
            </w:pPr>
            <w:r w:rsidRPr="00CB4ED1">
              <w:t xml:space="preserve">Bottle necks, capacity and management issues in diagnostics </w:t>
            </w:r>
          </w:p>
          <w:p w14:paraId="0077902A" w14:textId="77777777" w:rsidR="000710B6" w:rsidRPr="00CB4ED1" w:rsidRDefault="000710B6" w:rsidP="00377EA9">
            <w:pPr>
              <w:pStyle w:val="bullets1"/>
            </w:pPr>
            <w:r w:rsidRPr="00CB4ED1">
              <w:t>Very high numbers waiting in a few providers.</w:t>
            </w:r>
          </w:p>
        </w:tc>
      </w:tr>
    </w:tbl>
    <w:p w14:paraId="53FF2A79" w14:textId="77777777" w:rsidR="000710B6" w:rsidRPr="00CB4ED1" w:rsidRDefault="000710B6" w:rsidP="000710B6">
      <w:pPr>
        <w:pStyle w:val="NoSpacing"/>
      </w:pPr>
    </w:p>
    <w:p w14:paraId="7F0D3D00" w14:textId="79025915" w:rsidR="000710B6" w:rsidRDefault="000710B6" w:rsidP="000710B6">
      <w:pPr>
        <w:rPr>
          <w:rFonts w:eastAsia="Times New Roman"/>
        </w:rPr>
      </w:pPr>
      <w:r w:rsidRPr="00CB4ED1">
        <w:rPr>
          <w:rFonts w:eastAsia="Times New Roman"/>
          <w:b/>
        </w:rPr>
        <w:t xml:space="preserve">The MAG report also identified that the individual preparation of IMTPs overlooks opportunities for shared service models even in underperforming areas.  </w:t>
      </w:r>
      <w:r w:rsidRPr="00CB4ED1">
        <w:rPr>
          <w:rFonts w:eastAsia="Times New Roman"/>
        </w:rPr>
        <w:t>An example given is</w:t>
      </w:r>
      <w:r w:rsidRPr="00CB4ED1">
        <w:rPr>
          <w:rFonts w:eastAsia="Times New Roman"/>
          <w:b/>
        </w:rPr>
        <w:t xml:space="preserve"> </w:t>
      </w:r>
      <w:r w:rsidRPr="00CB4ED1">
        <w:rPr>
          <w:rFonts w:eastAsia="Times New Roman"/>
        </w:rPr>
        <w:t>complex arthroplasty, where fragmented planning has contributed to inefficiencies, variability in access, and challenges in maintaining high-quality, sustainable care. A more integrated, regionally coordinated planning process has developed over the past 2-3 years and is essential to address these systemic issues and to ensure equitable, high</w:t>
      </w:r>
      <w:r w:rsidRPr="00CB4ED1">
        <w:rPr>
          <w:rFonts w:eastAsia="Times New Roman"/>
          <w:b/>
        </w:rPr>
        <w:t xml:space="preserve"> </w:t>
      </w:r>
      <w:r w:rsidRPr="00CB4ED1">
        <w:rPr>
          <w:rFonts w:eastAsia="Times New Roman"/>
        </w:rPr>
        <w:t>performing orthopaedic services across Southeast Wales. The MAG report includes greater regional collaboration within its recommendations, and th</w:t>
      </w:r>
      <w:r w:rsidRPr="00CB4ED1">
        <w:rPr>
          <w:rFonts w:eastAsia="Times New Roman"/>
          <w:b/>
        </w:rPr>
        <w:t>e regional orthopaedic</w:t>
      </w:r>
      <w:r w:rsidRPr="00CB4ED1">
        <w:rPr>
          <w:rFonts w:eastAsia="Times New Roman"/>
        </w:rPr>
        <w:t xml:space="preserve"> plan</w:t>
      </w:r>
      <w:r w:rsidRPr="00CB4ED1">
        <w:rPr>
          <w:rFonts w:eastAsia="Times New Roman"/>
          <w:b/>
        </w:rPr>
        <w:t xml:space="preserve"> and the LHP Programme are</w:t>
      </w:r>
      <w:r w:rsidRPr="00CB4ED1">
        <w:rPr>
          <w:rFonts w:eastAsia="Times New Roman"/>
        </w:rPr>
        <w:t xml:space="preserve"> intended to be a key first step towards addressing this need.</w:t>
      </w:r>
    </w:p>
    <w:p w14:paraId="01B93CBA" w14:textId="77777777" w:rsidR="00942562" w:rsidRPr="001D39F4" w:rsidRDefault="00942562" w:rsidP="001D39F4">
      <w:r w:rsidRPr="001D39F4">
        <w:t xml:space="preserve">The review furthermore identified workforce productivity and leadership as critical levers for improving NHS Wales performance, as well as the need to align workforce planning with performance goals.  </w:t>
      </w:r>
    </w:p>
    <w:p w14:paraId="3A5B5DC6" w14:textId="0E7C9BB0" w:rsidR="00942562" w:rsidRPr="001D39F4" w:rsidRDefault="00942562" w:rsidP="001D39F4">
      <w:r w:rsidRPr="001D39F4">
        <w:t>Within the broader strategic People context The National Workforce Implementation Plan for Wales (building on the Welsh Government ‘A Healthier Wales: Our Workforce Strategy for Health and Social Care) sets the strategic direction for training, retention, new roles and regional workforce planning with stronger regional workforce levers. The LHP plans to will aim to work to these principles with agile, regional workforce models and better use of digital support to increase workforce capacity and productivity. It is noted that there remains workforce risks due to skills shortages in key areas which requires robust workforce planning</w:t>
      </w:r>
    </w:p>
    <w:p w14:paraId="304367DB" w14:textId="1A77A7C1" w:rsidR="00942562" w:rsidRDefault="00942562" w:rsidP="006F4DBE">
      <w:pPr>
        <w:pStyle w:val="Heading3"/>
      </w:pPr>
      <w:r>
        <w:t xml:space="preserve">A Healthier Wales: Our Workforce Strategy for Health and Social Care </w:t>
      </w:r>
      <w:r w:rsidR="006F4DBE">
        <w:t xml:space="preserve">(National Implementation Plan for Wales) </w:t>
      </w:r>
    </w:p>
    <w:p w14:paraId="5F0509EC" w14:textId="77777777" w:rsidR="006F4DBE" w:rsidRPr="001D39F4" w:rsidRDefault="006F4DBE" w:rsidP="001D39F4">
      <w:r w:rsidRPr="001D39F4">
        <w:t xml:space="preserve">The workforce plan will be underpinned by A Healthier Wales: Our Workforce Strategy for Health and Social Care, which sets out a 10-year vision to create a motivated, engaged, and sustainable workforce, capable of meeting the evolving needs of the population. </w:t>
      </w:r>
    </w:p>
    <w:p w14:paraId="2E72592D" w14:textId="77777777" w:rsidR="006F4DBE" w:rsidRDefault="006F4DBE" w:rsidP="001D39F4">
      <w:r w:rsidRPr="001D39F4">
        <w:t>The strategy emphasises seven core themes:</w:t>
      </w:r>
    </w:p>
    <w:tbl>
      <w:tblPr>
        <w:tblW w:w="5100" w:type="pct"/>
        <w:tblInd w:w="-113" w:type="dxa"/>
        <w:tblLayout w:type="fixed"/>
        <w:tblLook w:val="04A0" w:firstRow="1" w:lastRow="0" w:firstColumn="1" w:lastColumn="0" w:noHBand="0" w:noVBand="1"/>
      </w:tblPr>
      <w:tblGrid>
        <w:gridCol w:w="5358"/>
        <w:gridCol w:w="4473"/>
      </w:tblGrid>
      <w:tr w:rsidR="001D39F4" w:rsidRPr="00F2076E" w14:paraId="72A637FC" w14:textId="77777777" w:rsidTr="001D39F4">
        <w:tc>
          <w:tcPr>
            <w:tcW w:w="5358" w:type="dxa"/>
          </w:tcPr>
          <w:p w14:paraId="464A80BC" w14:textId="5BC003C7" w:rsidR="001D39F4" w:rsidRDefault="001D39F4" w:rsidP="001D39F4">
            <w:pPr>
              <w:pStyle w:val="bullets1"/>
            </w:pPr>
            <w:r>
              <w:t>An engaged, motivated and healthy workforce</w:t>
            </w:r>
          </w:p>
          <w:p w14:paraId="33398863" w14:textId="577E47BF" w:rsidR="001D39F4" w:rsidRDefault="001D39F4" w:rsidP="001D39F4">
            <w:pPr>
              <w:pStyle w:val="bullets1"/>
            </w:pPr>
            <w:r>
              <w:t>Attraction and recruitment</w:t>
            </w:r>
          </w:p>
          <w:p w14:paraId="4131FA82" w14:textId="0A001077" w:rsidR="001D39F4" w:rsidRDefault="001D39F4" w:rsidP="001D39F4">
            <w:pPr>
              <w:pStyle w:val="bullets1"/>
            </w:pPr>
            <w:r>
              <w:t>Seamless workforce models</w:t>
            </w:r>
          </w:p>
          <w:p w14:paraId="794BE3DD" w14:textId="54659CC0" w:rsidR="001D39F4" w:rsidRPr="00F2076E" w:rsidRDefault="001D39F4" w:rsidP="001D39F4">
            <w:pPr>
              <w:pStyle w:val="bullets1"/>
            </w:pPr>
            <w:r>
              <w:t>Building a digitally ready workforce</w:t>
            </w:r>
          </w:p>
        </w:tc>
        <w:tc>
          <w:tcPr>
            <w:tcW w:w="4473" w:type="dxa"/>
          </w:tcPr>
          <w:p w14:paraId="2D9108FE" w14:textId="55761301" w:rsidR="001D39F4" w:rsidRDefault="001D39F4" w:rsidP="001D39F4">
            <w:pPr>
              <w:pStyle w:val="bullets1"/>
            </w:pPr>
            <w:r>
              <w:t>Excellent education and learning</w:t>
            </w:r>
          </w:p>
          <w:p w14:paraId="3012D4A9" w14:textId="53329D67" w:rsidR="001D39F4" w:rsidRDefault="001D39F4" w:rsidP="001D39F4">
            <w:pPr>
              <w:pStyle w:val="bullets1"/>
            </w:pPr>
            <w:r>
              <w:t>Leadership and succession</w:t>
            </w:r>
          </w:p>
          <w:p w14:paraId="6F718FCA" w14:textId="7AAB81B7" w:rsidR="001D39F4" w:rsidRPr="00F2076E" w:rsidRDefault="001D39F4" w:rsidP="001D39F4">
            <w:pPr>
              <w:pStyle w:val="bullets1"/>
            </w:pPr>
            <w:r>
              <w:t>Workforce supply and shape</w:t>
            </w:r>
          </w:p>
        </w:tc>
      </w:tr>
    </w:tbl>
    <w:p w14:paraId="5DD2EC30" w14:textId="77777777" w:rsidR="006F4DBE" w:rsidRPr="008C70ED" w:rsidRDefault="006F4DBE" w:rsidP="001D39F4">
      <w:pPr>
        <w:pStyle w:val="NoSpacing"/>
      </w:pPr>
    </w:p>
    <w:p w14:paraId="7FBBE8B1" w14:textId="77777777" w:rsidR="006F4DBE" w:rsidRDefault="006F4DBE" w:rsidP="001D39F4">
      <w:r w:rsidRPr="001D39F4">
        <w:t xml:space="preserve">The National Implementation Plan translates these ambitions into actionable steps, focusing on filling workforce gaps, improving recruitment and retention, and embedding digital innovation to support service transformation. By aligning with these principles, the initiative contributes directly to the delivery of a flexible and resilient workforce that can adapt to future challenges, including demographic change and increasing service demand. </w:t>
      </w:r>
    </w:p>
    <w:p w14:paraId="09B65AE0" w14:textId="77777777" w:rsidR="001D39F4" w:rsidRDefault="001D39F4" w:rsidP="001D39F4">
      <w:r>
        <w:lastRenderedPageBreak/>
        <w:t xml:space="preserve">The approach also reflects wider UK and Welsh Government priorities, including the Well-being of Future Generations (Wales) Act 2015 and the NHS Wales National Workforce Implementation Plan. These frameworks support long-term sustainability, integrated health and social care models, and investment in education and training to address chronic workforce shortages. The Parliamentary Review of Health and Social Care and subsequent A Healthier Wales plan reinforce the need for a seamless system designed around individuals, supported by a skilled workforce prepared for digital transformation and new models of care. </w:t>
      </w:r>
    </w:p>
    <w:p w14:paraId="40149678" w14:textId="4FFDA267" w:rsidR="001D39F4" w:rsidRDefault="001D39F4" w:rsidP="001D39F4">
      <w:r>
        <w:t>Within the broader strategic People context, The National Workforce Implementation Plan for Wales, sets the strategic direction for training, retention, new roles and regional workforce planning with stronger regional workforce levers. The LHP plans to will aim to work to these principles with agile, regional workforce models and better use of digital support to increase workforce capacity and productivity.</w:t>
      </w:r>
    </w:p>
    <w:p w14:paraId="3D1D218A" w14:textId="77777777" w:rsidR="001D39F4" w:rsidRPr="001D39F4" w:rsidRDefault="001D39F4" w:rsidP="001D39F4"/>
    <w:p w14:paraId="1F5712B6" w14:textId="77777777" w:rsidR="00AE480E" w:rsidRPr="00CB4ED1" w:rsidRDefault="00AE480E" w:rsidP="000710B6"/>
    <w:p w14:paraId="39EA302C" w14:textId="77777777" w:rsidR="000710B6" w:rsidRPr="00CB4ED1" w:rsidRDefault="000710B6" w:rsidP="000710B6">
      <w:pPr>
        <w:pStyle w:val="Heading1"/>
      </w:pPr>
      <w:bookmarkStart w:id="26" w:name="_Toc213865213"/>
      <w:r w:rsidRPr="00CB4ED1">
        <w:lastRenderedPageBreak/>
        <w:t xml:space="preserve">Case </w:t>
      </w:r>
      <w:proofErr w:type="gramStart"/>
      <w:r w:rsidRPr="00CB4ED1">
        <w:t>For</w:t>
      </w:r>
      <w:proofErr w:type="gramEnd"/>
      <w:r w:rsidRPr="00CB4ED1">
        <w:t xml:space="preserve"> Change</w:t>
      </w:r>
      <w:bookmarkEnd w:id="26"/>
    </w:p>
    <w:p w14:paraId="6846D588" w14:textId="77777777" w:rsidR="000710B6" w:rsidRPr="00AE480E" w:rsidRDefault="000710B6" w:rsidP="00AE480E">
      <w:pPr>
        <w:pStyle w:val="Heading2"/>
      </w:pPr>
      <w:bookmarkStart w:id="27" w:name="_Toc213865214"/>
      <w:r w:rsidRPr="00AE480E">
        <w:t>Introduction</w:t>
      </w:r>
      <w:bookmarkEnd w:id="27"/>
    </w:p>
    <w:p w14:paraId="007AC28A" w14:textId="77777777" w:rsidR="000710B6" w:rsidRPr="00CB4ED1" w:rsidRDefault="000710B6" w:rsidP="000710B6">
      <w:r w:rsidRPr="00CB4ED1">
        <w:t>This section of the business case establishes the case for change for the development of LHP by providing a clear understanding of:</w:t>
      </w:r>
    </w:p>
    <w:p w14:paraId="0085CC7A" w14:textId="77777777" w:rsidR="000710B6" w:rsidRPr="00CB4ED1" w:rsidRDefault="000710B6" w:rsidP="000710B6">
      <w:pPr>
        <w:pStyle w:val="bullets1"/>
      </w:pPr>
      <w:r w:rsidRPr="00CB4ED1">
        <w:t>The spending objectives (what the proposals seek to achieve)</w:t>
      </w:r>
    </w:p>
    <w:p w14:paraId="28021B78" w14:textId="77777777" w:rsidR="000710B6" w:rsidRPr="00CB4ED1" w:rsidRDefault="000710B6" w:rsidP="000710B6">
      <w:pPr>
        <w:pStyle w:val="bullets1"/>
      </w:pPr>
      <w:r w:rsidRPr="00CB4ED1">
        <w:t>Existing arrangements (what is currently happening)</w:t>
      </w:r>
    </w:p>
    <w:p w14:paraId="73E4A3F1" w14:textId="77777777" w:rsidR="000710B6" w:rsidRPr="00CB4ED1" w:rsidRDefault="000710B6" w:rsidP="000710B6">
      <w:pPr>
        <w:pStyle w:val="bullets1"/>
      </w:pPr>
      <w:r w:rsidRPr="00CB4ED1">
        <w:t>Business needs (what is required to close the gap between existing arrangements and what is required in the future).</w:t>
      </w:r>
    </w:p>
    <w:p w14:paraId="257241D6" w14:textId="77777777" w:rsidR="000710B6" w:rsidRPr="00CB4ED1" w:rsidRDefault="000710B6" w:rsidP="000710B6"/>
    <w:p w14:paraId="2B54728E" w14:textId="77777777" w:rsidR="000710B6" w:rsidRPr="00AE480E" w:rsidRDefault="000710B6" w:rsidP="00AE480E">
      <w:pPr>
        <w:pStyle w:val="Heading2"/>
      </w:pPr>
      <w:bookmarkStart w:id="28" w:name="_Toc213865215"/>
      <w:r w:rsidRPr="00AE480E">
        <w:t>Spending objectives</w:t>
      </w:r>
      <w:bookmarkEnd w:id="28"/>
    </w:p>
    <w:p w14:paraId="61BB73D2" w14:textId="4078AF83" w:rsidR="000710B6" w:rsidRPr="00CB4ED1" w:rsidRDefault="000710B6" w:rsidP="000710B6">
      <w:r w:rsidRPr="00CB4ED1">
        <w:t>The main aim of the project is to deliver a Regional Health Park that is right-sized</w:t>
      </w:r>
      <w:r w:rsidR="00EC328F">
        <w:t>,</w:t>
      </w:r>
      <w:r w:rsidRPr="00CB4ED1">
        <w:t xml:space="preserve"> to meet the current and future needs of the local population, supports the integration of primary, community and social care services, complies with regulatory standards and is suitable for the delivery of twenty first century healthcare.</w:t>
      </w:r>
    </w:p>
    <w:p w14:paraId="6F572F01" w14:textId="77777777" w:rsidR="000710B6" w:rsidRPr="00CB4ED1" w:rsidRDefault="000710B6" w:rsidP="000710B6">
      <w:pPr>
        <w:rPr>
          <w:highlight w:val="yellow"/>
        </w:rPr>
      </w:pPr>
      <w:r w:rsidRPr="00CB4ED1">
        <w:t>The spending objectives listed in the table below were agreed by members at LHP Programme Board in September 2024.</w:t>
      </w:r>
    </w:p>
    <w:p w14:paraId="2D5D0940" w14:textId="7E5155A3" w:rsidR="001D39F4" w:rsidRDefault="001D39F4" w:rsidP="001D39F4">
      <w:pPr>
        <w:pStyle w:val="Caption"/>
      </w:pPr>
      <w:bookmarkStart w:id="29" w:name="_Toc213865281"/>
      <w:r>
        <w:t xml:space="preserve">Table </w:t>
      </w:r>
      <w:r>
        <w:fldChar w:fldCharType="begin"/>
      </w:r>
      <w:r>
        <w:instrText xml:space="preserve"> SEQ Table \* ARABIC </w:instrText>
      </w:r>
      <w:r>
        <w:fldChar w:fldCharType="separate"/>
      </w:r>
      <w:r w:rsidR="004A33ED">
        <w:t>1</w:t>
      </w:r>
      <w:r>
        <w:fldChar w:fldCharType="end"/>
      </w:r>
      <w:r>
        <w:t xml:space="preserve"> - </w:t>
      </w:r>
      <w:r w:rsidRPr="00251D7E">
        <w:t>Spending objectives</w:t>
      </w:r>
      <w:bookmarkEnd w:id="29"/>
    </w:p>
    <w:tbl>
      <w:tblPr>
        <w:tblStyle w:val="TableGrid"/>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767"/>
        <w:gridCol w:w="1609"/>
        <w:gridCol w:w="3828"/>
        <w:gridCol w:w="3617"/>
      </w:tblGrid>
      <w:tr w:rsidR="000710B6" w:rsidRPr="00CB4ED1" w14:paraId="1E1D7883" w14:textId="77777777" w:rsidTr="00AE480E">
        <w:trPr>
          <w:cantSplit/>
          <w:tblHeader/>
        </w:trPr>
        <w:tc>
          <w:tcPr>
            <w:tcW w:w="767" w:type="dxa"/>
            <w:shd w:val="clear" w:color="auto" w:fill="374264"/>
            <w:vAlign w:val="center"/>
          </w:tcPr>
          <w:p w14:paraId="3BB46D02" w14:textId="77777777" w:rsidR="000710B6" w:rsidRPr="00AE480E" w:rsidRDefault="000710B6" w:rsidP="00377EA9">
            <w:pPr>
              <w:pStyle w:val="tabletext"/>
              <w:rPr>
                <w:b/>
                <w:bCs/>
                <w:color w:val="FFFFFF" w:themeColor="background1"/>
              </w:rPr>
            </w:pPr>
            <w:r w:rsidRPr="00AE480E">
              <w:rPr>
                <w:b/>
                <w:bCs/>
                <w:color w:val="FFFFFF" w:themeColor="background1"/>
              </w:rPr>
              <w:t>Ref</w:t>
            </w:r>
          </w:p>
        </w:tc>
        <w:tc>
          <w:tcPr>
            <w:tcW w:w="1609" w:type="dxa"/>
            <w:shd w:val="clear" w:color="auto" w:fill="374264"/>
            <w:vAlign w:val="center"/>
          </w:tcPr>
          <w:p w14:paraId="13C6BC46" w14:textId="77777777" w:rsidR="000710B6" w:rsidRPr="00CB4ED1" w:rsidRDefault="000710B6" w:rsidP="00377EA9">
            <w:pPr>
              <w:pStyle w:val="tabletext"/>
              <w:rPr>
                <w:b/>
                <w:bCs/>
                <w:color w:val="FFFFFF" w:themeColor="background1"/>
              </w:rPr>
            </w:pPr>
            <w:r w:rsidRPr="00CB4ED1">
              <w:rPr>
                <w:b/>
                <w:bCs/>
                <w:color w:val="FFFFFF" w:themeColor="background1"/>
              </w:rPr>
              <w:t>Theme</w:t>
            </w:r>
          </w:p>
        </w:tc>
        <w:tc>
          <w:tcPr>
            <w:tcW w:w="3828" w:type="dxa"/>
            <w:shd w:val="clear" w:color="auto" w:fill="374264"/>
            <w:vAlign w:val="center"/>
          </w:tcPr>
          <w:p w14:paraId="4A31750A" w14:textId="77777777" w:rsidR="000710B6" w:rsidRPr="00CB4ED1" w:rsidRDefault="000710B6" w:rsidP="00377EA9">
            <w:pPr>
              <w:pStyle w:val="tabletext"/>
              <w:rPr>
                <w:b/>
                <w:bCs/>
                <w:color w:val="FFFFFF" w:themeColor="background1"/>
              </w:rPr>
            </w:pPr>
            <w:r w:rsidRPr="00CB4ED1">
              <w:rPr>
                <w:b/>
                <w:bCs/>
                <w:color w:val="FFFFFF" w:themeColor="background1"/>
              </w:rPr>
              <w:t>Spending objective</w:t>
            </w:r>
          </w:p>
        </w:tc>
        <w:tc>
          <w:tcPr>
            <w:tcW w:w="3617" w:type="dxa"/>
            <w:shd w:val="clear" w:color="auto" w:fill="374264"/>
            <w:vAlign w:val="center"/>
          </w:tcPr>
          <w:p w14:paraId="6663CF88" w14:textId="77777777" w:rsidR="000710B6" w:rsidRPr="00CB4ED1" w:rsidRDefault="000710B6" w:rsidP="00377EA9">
            <w:pPr>
              <w:pStyle w:val="tabletext"/>
              <w:rPr>
                <w:b/>
                <w:bCs/>
                <w:color w:val="FFFFFF" w:themeColor="background1"/>
              </w:rPr>
            </w:pPr>
            <w:r w:rsidRPr="00CB4ED1">
              <w:rPr>
                <w:b/>
                <w:bCs/>
                <w:color w:val="FFFFFF" w:themeColor="background1"/>
              </w:rPr>
              <w:t>Benefit</w:t>
            </w:r>
          </w:p>
        </w:tc>
      </w:tr>
      <w:tr w:rsidR="000710B6" w:rsidRPr="00CB4ED1" w14:paraId="2B120B6F" w14:textId="77777777" w:rsidTr="00AE480E">
        <w:trPr>
          <w:cantSplit/>
        </w:trPr>
        <w:tc>
          <w:tcPr>
            <w:tcW w:w="767" w:type="dxa"/>
            <w:shd w:val="clear" w:color="auto" w:fill="BDD5E6"/>
          </w:tcPr>
          <w:p w14:paraId="6BA506D7" w14:textId="77777777" w:rsidR="000710B6" w:rsidRPr="00AE480E" w:rsidRDefault="000710B6" w:rsidP="00377EA9">
            <w:pPr>
              <w:pStyle w:val="tabletext"/>
              <w:rPr>
                <w:b/>
                <w:bCs/>
              </w:rPr>
            </w:pPr>
            <w:r w:rsidRPr="00AE480E">
              <w:rPr>
                <w:b/>
                <w:bCs/>
              </w:rPr>
              <w:t>SO1</w:t>
            </w:r>
          </w:p>
        </w:tc>
        <w:tc>
          <w:tcPr>
            <w:tcW w:w="1609" w:type="dxa"/>
          </w:tcPr>
          <w:p w14:paraId="35044A5C" w14:textId="77777777" w:rsidR="000710B6" w:rsidRPr="00CB4ED1" w:rsidRDefault="000710B6" w:rsidP="00377EA9">
            <w:pPr>
              <w:pStyle w:val="tabletext"/>
            </w:pPr>
            <w:r w:rsidRPr="00CB4ED1">
              <w:t>Meet population needs</w:t>
            </w:r>
          </w:p>
        </w:tc>
        <w:tc>
          <w:tcPr>
            <w:tcW w:w="3828" w:type="dxa"/>
          </w:tcPr>
          <w:p w14:paraId="00A586C3" w14:textId="5C595846" w:rsidR="000710B6" w:rsidRPr="00CB4ED1" w:rsidRDefault="000710B6" w:rsidP="00377EA9">
            <w:pPr>
              <w:pStyle w:val="tabletext"/>
            </w:pPr>
            <w:r w:rsidRPr="00CB4ED1">
              <w:t xml:space="preserve">The delivery of an elective </w:t>
            </w:r>
            <w:proofErr w:type="gramStart"/>
            <w:r w:rsidRPr="00CB4ED1">
              <w:t>high volume</w:t>
            </w:r>
            <w:proofErr w:type="gramEnd"/>
            <w:r w:rsidRPr="00CB4ED1">
              <w:t xml:space="preserve"> low acuity model of care for the South East Wales Region on a phased basis.  This </w:t>
            </w:r>
            <w:r w:rsidR="00C66C00">
              <w:t xml:space="preserve">second phase </w:t>
            </w:r>
            <w:r w:rsidRPr="00CB4ED1">
              <w:t xml:space="preserve">to focus on the delivery </w:t>
            </w:r>
            <w:proofErr w:type="gramStart"/>
            <w:r w:rsidRPr="00CB4ED1">
              <w:t>of  elective</w:t>
            </w:r>
            <w:proofErr w:type="gramEnd"/>
            <w:r w:rsidRPr="00CB4ED1">
              <w:t xml:space="preserve"> orthopaedic arthroplasty, to be operational by the end of the 2028/29 financial year. </w:t>
            </w:r>
          </w:p>
        </w:tc>
        <w:tc>
          <w:tcPr>
            <w:tcW w:w="3617" w:type="dxa"/>
          </w:tcPr>
          <w:p w14:paraId="692FAA6C" w14:textId="77777777" w:rsidR="000710B6" w:rsidRPr="007B3B7E" w:rsidRDefault="000710B6" w:rsidP="000710B6">
            <w:pPr>
              <w:pStyle w:val="tablebulletsLHP"/>
            </w:pPr>
            <w:proofErr w:type="gramStart"/>
            <w:r w:rsidRPr="007B3B7E">
              <w:t>Right-sized</w:t>
            </w:r>
            <w:proofErr w:type="gramEnd"/>
            <w:r w:rsidRPr="007B3B7E">
              <w:t xml:space="preserve"> to meet current and future demand </w:t>
            </w:r>
          </w:p>
          <w:p w14:paraId="64A9EB4B" w14:textId="77777777" w:rsidR="000710B6" w:rsidRPr="007B3B7E" w:rsidRDefault="000710B6" w:rsidP="000710B6">
            <w:pPr>
              <w:pStyle w:val="tablebulletsLHP"/>
            </w:pPr>
            <w:r w:rsidRPr="007B3B7E">
              <w:t>Improves access to range of services</w:t>
            </w:r>
          </w:p>
          <w:p w14:paraId="65B47D6D" w14:textId="77777777" w:rsidR="000710B6" w:rsidRPr="007B3B7E" w:rsidRDefault="000710B6" w:rsidP="000710B6">
            <w:pPr>
              <w:pStyle w:val="tablebulletsLHP"/>
            </w:pPr>
            <w:r w:rsidRPr="007B3B7E">
              <w:t xml:space="preserve">Centre of Excellence with efficient service delivery models and improved patient outcomes and increased throughput </w:t>
            </w:r>
          </w:p>
          <w:p w14:paraId="583CAEFD" w14:textId="77777777" w:rsidR="000710B6" w:rsidRPr="007B3B7E" w:rsidRDefault="000710B6" w:rsidP="000710B6">
            <w:pPr>
              <w:pStyle w:val="tablebulletsLHP"/>
            </w:pPr>
            <w:r w:rsidRPr="007B3B7E">
              <w:t>Able to flex for the future</w:t>
            </w:r>
          </w:p>
        </w:tc>
      </w:tr>
      <w:tr w:rsidR="000710B6" w:rsidRPr="00CB4ED1" w14:paraId="36ADE0A7" w14:textId="77777777" w:rsidTr="00AE480E">
        <w:trPr>
          <w:cantSplit/>
        </w:trPr>
        <w:tc>
          <w:tcPr>
            <w:tcW w:w="767" w:type="dxa"/>
            <w:shd w:val="clear" w:color="auto" w:fill="BDD5E6"/>
          </w:tcPr>
          <w:p w14:paraId="6E4D6DE6" w14:textId="77777777" w:rsidR="000710B6" w:rsidRPr="00AE480E" w:rsidRDefault="000710B6" w:rsidP="00377EA9">
            <w:pPr>
              <w:pStyle w:val="tabletext"/>
              <w:rPr>
                <w:b/>
                <w:bCs/>
              </w:rPr>
            </w:pPr>
            <w:r w:rsidRPr="00AE480E">
              <w:rPr>
                <w:b/>
                <w:bCs/>
              </w:rPr>
              <w:t>SO2</w:t>
            </w:r>
          </w:p>
        </w:tc>
        <w:tc>
          <w:tcPr>
            <w:tcW w:w="1609" w:type="dxa"/>
          </w:tcPr>
          <w:p w14:paraId="2B7E02D2" w14:textId="77777777" w:rsidR="000710B6" w:rsidRPr="00CB4ED1" w:rsidRDefault="000710B6" w:rsidP="00377EA9">
            <w:pPr>
              <w:pStyle w:val="tabletext"/>
            </w:pPr>
            <w:r w:rsidRPr="00CB4ED1">
              <w:t>Maximise capacity</w:t>
            </w:r>
          </w:p>
        </w:tc>
        <w:tc>
          <w:tcPr>
            <w:tcW w:w="3828" w:type="dxa"/>
          </w:tcPr>
          <w:p w14:paraId="1C3F0C48" w14:textId="77777777" w:rsidR="000710B6" w:rsidRPr="00CB4ED1" w:rsidRDefault="000710B6" w:rsidP="00377EA9">
            <w:pPr>
              <w:pStyle w:val="tabletext"/>
            </w:pPr>
            <w:r w:rsidRPr="00CB4ED1">
              <w:t>To maximise clinical capacity on the LHP site. To ensure that the maximum amount of available space is directed towards direct service delivery with supporting services managed from the neighbouring Royal Glamorgan site.</w:t>
            </w:r>
          </w:p>
        </w:tc>
        <w:tc>
          <w:tcPr>
            <w:tcW w:w="3617" w:type="dxa"/>
          </w:tcPr>
          <w:p w14:paraId="39C6DF67" w14:textId="77777777" w:rsidR="000710B6" w:rsidRPr="00CB4ED1" w:rsidRDefault="000710B6" w:rsidP="000710B6">
            <w:pPr>
              <w:pStyle w:val="tablebulletsLHP"/>
            </w:pPr>
            <w:r w:rsidRPr="00CB4ED1">
              <w:t>Creates opportunities for centralisation of skillsets; centre of excellence</w:t>
            </w:r>
          </w:p>
          <w:p w14:paraId="1D754391" w14:textId="77777777" w:rsidR="000710B6" w:rsidRPr="00CB4ED1" w:rsidRDefault="000710B6" w:rsidP="000710B6">
            <w:pPr>
              <w:pStyle w:val="tablebulletsLHP"/>
            </w:pPr>
            <w:r w:rsidRPr="00CB4ED1">
              <w:t>Enables greater collaboration regionally</w:t>
            </w:r>
          </w:p>
        </w:tc>
      </w:tr>
      <w:tr w:rsidR="000710B6" w:rsidRPr="00CB4ED1" w14:paraId="28B53DF4" w14:textId="77777777" w:rsidTr="00AE480E">
        <w:trPr>
          <w:cantSplit/>
        </w:trPr>
        <w:tc>
          <w:tcPr>
            <w:tcW w:w="767" w:type="dxa"/>
            <w:shd w:val="clear" w:color="auto" w:fill="BDD5E6"/>
          </w:tcPr>
          <w:p w14:paraId="47902B61" w14:textId="77777777" w:rsidR="000710B6" w:rsidRPr="00AE480E" w:rsidRDefault="000710B6" w:rsidP="00377EA9">
            <w:pPr>
              <w:pStyle w:val="tabletext"/>
              <w:rPr>
                <w:b/>
                <w:bCs/>
              </w:rPr>
            </w:pPr>
            <w:r w:rsidRPr="00AE480E">
              <w:rPr>
                <w:b/>
                <w:bCs/>
              </w:rPr>
              <w:t>SO3</w:t>
            </w:r>
          </w:p>
        </w:tc>
        <w:tc>
          <w:tcPr>
            <w:tcW w:w="1609" w:type="dxa"/>
          </w:tcPr>
          <w:p w14:paraId="00DCF15F" w14:textId="77777777" w:rsidR="000710B6" w:rsidRPr="00CB4ED1" w:rsidRDefault="000710B6" w:rsidP="00377EA9">
            <w:pPr>
              <w:pStyle w:val="tabletext"/>
            </w:pPr>
            <w:r w:rsidRPr="00CB4ED1">
              <w:t>Innovation and standardisation</w:t>
            </w:r>
          </w:p>
        </w:tc>
        <w:tc>
          <w:tcPr>
            <w:tcW w:w="3828" w:type="dxa"/>
          </w:tcPr>
          <w:p w14:paraId="372487C7" w14:textId="77777777" w:rsidR="000710B6" w:rsidRPr="00CB4ED1" w:rsidRDefault="000710B6" w:rsidP="00377EA9">
            <w:pPr>
              <w:pStyle w:val="tabletext"/>
            </w:pPr>
            <w:r w:rsidRPr="00CB4ED1">
              <w:t>To facilitate and support the use of innovative design and delivery solutions in both clinical and non-clinical services. To implement standardised protocols and practices to promote efficient service delivery offering improved value for money, reported via comprehensive patient level costing, over the English tariff.</w:t>
            </w:r>
          </w:p>
        </w:tc>
        <w:tc>
          <w:tcPr>
            <w:tcW w:w="3617" w:type="dxa"/>
          </w:tcPr>
          <w:p w14:paraId="0F79B4F7" w14:textId="77777777" w:rsidR="000710B6" w:rsidRPr="00CB4ED1" w:rsidRDefault="000710B6" w:rsidP="000710B6">
            <w:pPr>
              <w:pStyle w:val="tablebulletsLHP"/>
            </w:pPr>
            <w:r w:rsidRPr="00CB4ED1">
              <w:t>Standardisation of consumables, with financial savings</w:t>
            </w:r>
          </w:p>
          <w:p w14:paraId="4B20143D" w14:textId="77777777" w:rsidR="000710B6" w:rsidRPr="00CB4ED1" w:rsidRDefault="000710B6" w:rsidP="000710B6">
            <w:pPr>
              <w:pStyle w:val="tablebulletsLHP"/>
            </w:pPr>
            <w:r w:rsidRPr="00CB4ED1">
              <w:t>Standardisation of best practice/policies; efficiencies, increased throughput, reduction of wait lists</w:t>
            </w:r>
          </w:p>
        </w:tc>
      </w:tr>
      <w:tr w:rsidR="000710B6" w:rsidRPr="00CB4ED1" w14:paraId="3EC8D1C7" w14:textId="77777777" w:rsidTr="00AE480E">
        <w:trPr>
          <w:cantSplit/>
        </w:trPr>
        <w:tc>
          <w:tcPr>
            <w:tcW w:w="767" w:type="dxa"/>
            <w:shd w:val="clear" w:color="auto" w:fill="BDD5E6" w:themeFill="accent3" w:themeFillTint="99"/>
          </w:tcPr>
          <w:p w14:paraId="4C1692A8" w14:textId="77777777" w:rsidR="000710B6" w:rsidRPr="00AE480E" w:rsidRDefault="000710B6" w:rsidP="00377EA9">
            <w:pPr>
              <w:pStyle w:val="tabletext"/>
              <w:rPr>
                <w:b/>
                <w:bCs/>
              </w:rPr>
            </w:pPr>
            <w:r w:rsidRPr="00AE480E">
              <w:rPr>
                <w:b/>
                <w:bCs/>
              </w:rPr>
              <w:lastRenderedPageBreak/>
              <w:t>SO4</w:t>
            </w:r>
          </w:p>
        </w:tc>
        <w:tc>
          <w:tcPr>
            <w:tcW w:w="1609" w:type="dxa"/>
          </w:tcPr>
          <w:p w14:paraId="190508C8" w14:textId="77777777" w:rsidR="000710B6" w:rsidRPr="00CB4ED1" w:rsidRDefault="000710B6" w:rsidP="00377EA9">
            <w:pPr>
              <w:pStyle w:val="tabletext"/>
            </w:pPr>
            <w:r w:rsidRPr="00CB4ED1">
              <w:t>Enable training / development of future workforce</w:t>
            </w:r>
          </w:p>
        </w:tc>
        <w:tc>
          <w:tcPr>
            <w:tcW w:w="3828" w:type="dxa"/>
          </w:tcPr>
          <w:p w14:paraId="712E9AA6" w14:textId="77777777" w:rsidR="000710B6" w:rsidRPr="00CB4ED1" w:rsidRDefault="000710B6" w:rsidP="00377EA9">
            <w:pPr>
              <w:pStyle w:val="tabletext"/>
            </w:pPr>
            <w:r w:rsidRPr="00CB4ED1">
              <w:t>To enable increased training and development of secondary care staff including accommodating more medical trainees and students.</w:t>
            </w:r>
          </w:p>
        </w:tc>
        <w:tc>
          <w:tcPr>
            <w:tcW w:w="3617" w:type="dxa"/>
          </w:tcPr>
          <w:p w14:paraId="23EFC2C6" w14:textId="77777777" w:rsidR="000710B6" w:rsidRPr="00CB4ED1" w:rsidRDefault="000710B6" w:rsidP="000710B6">
            <w:pPr>
              <w:pStyle w:val="tablebulletsLHP"/>
            </w:pPr>
            <w:r w:rsidRPr="00CB4ED1">
              <w:t>Accommodates placements for students (allowing role development and succession planning)</w:t>
            </w:r>
          </w:p>
          <w:p w14:paraId="400FF222" w14:textId="77777777" w:rsidR="000710B6" w:rsidRPr="00CB4ED1" w:rsidRDefault="000710B6" w:rsidP="000710B6">
            <w:pPr>
              <w:pStyle w:val="tablebulletsLHP"/>
            </w:pPr>
            <w:r w:rsidRPr="00CB4ED1">
              <w:t>Improved workforce retention and recruitment</w:t>
            </w:r>
          </w:p>
        </w:tc>
      </w:tr>
      <w:tr w:rsidR="000710B6" w:rsidRPr="00CB4ED1" w14:paraId="25BED158" w14:textId="77777777" w:rsidTr="00AE480E">
        <w:trPr>
          <w:cantSplit/>
        </w:trPr>
        <w:tc>
          <w:tcPr>
            <w:tcW w:w="767" w:type="dxa"/>
            <w:shd w:val="clear" w:color="auto" w:fill="BDD5E6" w:themeFill="accent3" w:themeFillTint="99"/>
          </w:tcPr>
          <w:p w14:paraId="39248773" w14:textId="77777777" w:rsidR="000710B6" w:rsidRPr="00AE480E" w:rsidRDefault="000710B6" w:rsidP="00377EA9">
            <w:pPr>
              <w:pStyle w:val="tabletext"/>
              <w:rPr>
                <w:b/>
                <w:bCs/>
              </w:rPr>
            </w:pPr>
            <w:r w:rsidRPr="00AE480E">
              <w:rPr>
                <w:b/>
                <w:bCs/>
              </w:rPr>
              <w:t>SO5</w:t>
            </w:r>
          </w:p>
        </w:tc>
        <w:tc>
          <w:tcPr>
            <w:tcW w:w="1609" w:type="dxa"/>
          </w:tcPr>
          <w:p w14:paraId="496D1D8B" w14:textId="77777777" w:rsidR="000710B6" w:rsidRPr="00CB4ED1" w:rsidRDefault="000710B6" w:rsidP="00377EA9">
            <w:pPr>
              <w:pStyle w:val="tabletext"/>
            </w:pPr>
            <w:r w:rsidRPr="00CB4ED1">
              <w:t>LHP Models of Care and Workforce Models</w:t>
            </w:r>
          </w:p>
        </w:tc>
        <w:tc>
          <w:tcPr>
            <w:tcW w:w="3828" w:type="dxa"/>
          </w:tcPr>
          <w:p w14:paraId="7A13445F" w14:textId="77777777" w:rsidR="000710B6" w:rsidRPr="00CB4ED1" w:rsidRDefault="000710B6" w:rsidP="00377EA9">
            <w:pPr>
              <w:pStyle w:val="tabletext"/>
            </w:pPr>
            <w:r w:rsidRPr="00CB4ED1">
              <w:t xml:space="preserve">To develop a new model of care and workforce models to support the delivery of the core services, the models will support efficient delivery of services </w:t>
            </w:r>
          </w:p>
        </w:tc>
        <w:tc>
          <w:tcPr>
            <w:tcW w:w="3617" w:type="dxa"/>
          </w:tcPr>
          <w:p w14:paraId="5032D969" w14:textId="77777777" w:rsidR="000710B6" w:rsidRPr="00CB4ED1" w:rsidRDefault="000710B6" w:rsidP="000710B6">
            <w:pPr>
              <w:pStyle w:val="tablebulletsLHP"/>
            </w:pPr>
            <w:r w:rsidRPr="00CB4ED1">
              <w:t>Environment / ways of working that support staff welfare and wellbeing</w:t>
            </w:r>
          </w:p>
          <w:p w14:paraId="49CB765F" w14:textId="77777777" w:rsidR="000710B6" w:rsidRPr="00CB4ED1" w:rsidRDefault="000710B6" w:rsidP="000710B6">
            <w:pPr>
              <w:pStyle w:val="tablebulletsLHP"/>
            </w:pPr>
            <w:r w:rsidRPr="00CB4ED1">
              <w:t>Improved skills and job satisfaction</w:t>
            </w:r>
          </w:p>
          <w:p w14:paraId="1D890390" w14:textId="77777777" w:rsidR="000710B6" w:rsidRPr="00CB4ED1" w:rsidRDefault="000710B6" w:rsidP="000710B6">
            <w:pPr>
              <w:pStyle w:val="tablebulletsLHP"/>
            </w:pPr>
            <w:r w:rsidRPr="00CB4ED1">
              <w:t>Improved patient outcomes</w:t>
            </w:r>
          </w:p>
          <w:p w14:paraId="2C5A781E" w14:textId="77777777" w:rsidR="000710B6" w:rsidRPr="00CB4ED1" w:rsidRDefault="000710B6" w:rsidP="000710B6">
            <w:pPr>
              <w:pStyle w:val="tablebulletsLHP"/>
            </w:pPr>
            <w:r w:rsidRPr="00CB4ED1">
              <w:t>Multi-disciplinary working</w:t>
            </w:r>
          </w:p>
        </w:tc>
      </w:tr>
      <w:tr w:rsidR="000710B6" w:rsidRPr="00CB4ED1" w14:paraId="27BC3922" w14:textId="77777777" w:rsidTr="00AE480E">
        <w:trPr>
          <w:cantSplit/>
        </w:trPr>
        <w:tc>
          <w:tcPr>
            <w:tcW w:w="767" w:type="dxa"/>
            <w:shd w:val="clear" w:color="auto" w:fill="BDD5E6" w:themeFill="accent3" w:themeFillTint="99"/>
          </w:tcPr>
          <w:p w14:paraId="2471EA86" w14:textId="77777777" w:rsidR="000710B6" w:rsidRPr="00AE480E" w:rsidRDefault="000710B6" w:rsidP="00377EA9">
            <w:pPr>
              <w:pStyle w:val="tabletext"/>
              <w:rPr>
                <w:b/>
                <w:bCs/>
              </w:rPr>
            </w:pPr>
            <w:r w:rsidRPr="00AE480E">
              <w:rPr>
                <w:b/>
                <w:bCs/>
              </w:rPr>
              <w:t>SO6</w:t>
            </w:r>
          </w:p>
        </w:tc>
        <w:tc>
          <w:tcPr>
            <w:tcW w:w="1609" w:type="dxa"/>
          </w:tcPr>
          <w:p w14:paraId="413ECA15" w14:textId="77777777" w:rsidR="000710B6" w:rsidRPr="00CB4ED1" w:rsidRDefault="000710B6" w:rsidP="00377EA9">
            <w:pPr>
              <w:pStyle w:val="tabletext"/>
            </w:pPr>
            <w:r w:rsidRPr="00CB4ED1">
              <w:t>Sustainable estate</w:t>
            </w:r>
          </w:p>
        </w:tc>
        <w:tc>
          <w:tcPr>
            <w:tcW w:w="3828" w:type="dxa"/>
          </w:tcPr>
          <w:p w14:paraId="20DB5256" w14:textId="77777777" w:rsidR="000710B6" w:rsidRPr="00CB4ED1" w:rsidRDefault="000710B6" w:rsidP="00377EA9">
            <w:pPr>
              <w:pStyle w:val="tabletext"/>
            </w:pPr>
            <w:r w:rsidRPr="00CB4ED1">
              <w:t xml:space="preserve">To deliver a sustainable infrastructure on the site maximising decarbonisation and net zero opportunities.  </w:t>
            </w:r>
          </w:p>
        </w:tc>
        <w:tc>
          <w:tcPr>
            <w:tcW w:w="3617" w:type="dxa"/>
          </w:tcPr>
          <w:p w14:paraId="18F26464" w14:textId="77777777" w:rsidR="000710B6" w:rsidRPr="00CB4ED1" w:rsidRDefault="000710B6" w:rsidP="000710B6">
            <w:pPr>
              <w:pStyle w:val="tablebulletsLHP"/>
            </w:pPr>
            <w:r w:rsidRPr="00CB4ED1">
              <w:t>Complies with relevant standards; NZC, BREEAM excellent and energy performance</w:t>
            </w:r>
          </w:p>
          <w:p w14:paraId="26021E2E" w14:textId="77777777" w:rsidR="000710B6" w:rsidRPr="00CB4ED1" w:rsidRDefault="000710B6" w:rsidP="000710B6">
            <w:pPr>
              <w:pStyle w:val="tablebulletsLHP"/>
            </w:pPr>
            <w:r w:rsidRPr="00CB4ED1">
              <w:t>Opportunities for future additional service provision for South East Wales.</w:t>
            </w:r>
          </w:p>
          <w:p w14:paraId="3A4C99FC" w14:textId="77777777" w:rsidR="000710B6" w:rsidRPr="00CB4ED1" w:rsidRDefault="000710B6" w:rsidP="000710B6">
            <w:pPr>
              <w:pStyle w:val="tablebulletsLHP"/>
            </w:pPr>
            <w:r w:rsidRPr="00CB4ED1">
              <w:t>Opportunities for further regional reconfiguration and enabling of service and or estate rationalisation.</w:t>
            </w:r>
          </w:p>
        </w:tc>
      </w:tr>
    </w:tbl>
    <w:p w14:paraId="7AE885FE" w14:textId="77777777" w:rsidR="000710B6" w:rsidRPr="00CB4ED1" w:rsidRDefault="000710B6" w:rsidP="000710B6"/>
    <w:p w14:paraId="45696DC4" w14:textId="77777777" w:rsidR="000710B6" w:rsidRPr="00AE480E" w:rsidRDefault="000710B6" w:rsidP="00AE480E">
      <w:pPr>
        <w:pStyle w:val="Heading2"/>
      </w:pPr>
      <w:bookmarkStart w:id="30" w:name="_Toc213865216"/>
      <w:r w:rsidRPr="00AE480E">
        <w:t>Business need</w:t>
      </w:r>
      <w:bookmarkEnd w:id="30"/>
    </w:p>
    <w:p w14:paraId="78A4C1DB" w14:textId="77777777" w:rsidR="000710B6" w:rsidRPr="00CB4ED1" w:rsidRDefault="000710B6" w:rsidP="000710B6">
      <w:r w:rsidRPr="00CB4ED1">
        <w:t xml:space="preserve">The vision is to create a standalone site for high volume low complexity arthroplasty surgery that guarantees uninterrupted, effective, efficient services, which address both current capacity shortfalls and offers opportunity to meet future demand growth. </w:t>
      </w:r>
    </w:p>
    <w:p w14:paraId="63ADDD9A" w14:textId="77777777" w:rsidR="000710B6" w:rsidRPr="00CB4ED1" w:rsidRDefault="000710B6" w:rsidP="000710B6">
      <w:r w:rsidRPr="00CB4ED1">
        <w:t xml:space="preserve">The need to significantly increase treatment capacity in Wales was set out in the Welsh Government Programme for Transforming and Modernising Planned Care and Reducing Waiting Lists in Wales which was published in April 2022. </w:t>
      </w:r>
    </w:p>
    <w:p w14:paraId="201B3E48" w14:textId="77777777" w:rsidR="000710B6" w:rsidRPr="00CB4ED1" w:rsidRDefault="000710B6" w:rsidP="000710B6">
      <w:r w:rsidRPr="00CB4ED1">
        <w:t xml:space="preserve">The plan set a clear direction for UHBs to recover the backlog of elective activity that has developed during the COVID-19 pandemic as well as responding to the increasing demand for surgical services due to demographic change and the challenge of health inequalities evident in many parts of Wales. </w:t>
      </w:r>
    </w:p>
    <w:p w14:paraId="503101C2" w14:textId="77777777" w:rsidR="000710B6" w:rsidRPr="00CB4ED1" w:rsidRDefault="000710B6" w:rsidP="000710B6">
      <w:r w:rsidRPr="00CB4ED1">
        <w:t>The plan has five main goals, which are underpinned by seven priorities to support and influence recovery planning and investment decisions as set out below.</w:t>
      </w:r>
    </w:p>
    <w:p w14:paraId="031D52C3" w14:textId="6A7707FF" w:rsidR="000710B6" w:rsidRPr="00CB4ED1" w:rsidRDefault="000710B6" w:rsidP="000710B6">
      <w:pPr>
        <w:pStyle w:val="Caption"/>
        <w:rPr>
          <w:noProof w:val="0"/>
        </w:rPr>
      </w:pPr>
      <w:bookmarkStart w:id="31" w:name="_Toc213865314"/>
      <w:r w:rsidRPr="00CB4ED1">
        <w:rPr>
          <w:noProof w:val="0"/>
        </w:rPr>
        <w:lastRenderedPageBreak/>
        <w:t xml:space="preserve">Figure </w:t>
      </w:r>
      <w:r w:rsidR="009C05F7">
        <w:rPr>
          <w:noProof w:val="0"/>
        </w:rPr>
        <w:fldChar w:fldCharType="begin"/>
      </w:r>
      <w:r w:rsidR="009C05F7">
        <w:rPr>
          <w:noProof w:val="0"/>
        </w:rPr>
        <w:instrText xml:space="preserve"> SEQ Figure \* ARABIC </w:instrText>
      </w:r>
      <w:r w:rsidR="009C05F7">
        <w:rPr>
          <w:noProof w:val="0"/>
        </w:rPr>
        <w:fldChar w:fldCharType="separate"/>
      </w:r>
      <w:r w:rsidR="00376786">
        <w:t>1</w:t>
      </w:r>
      <w:r w:rsidR="009C05F7">
        <w:rPr>
          <w:noProof w:val="0"/>
        </w:rPr>
        <w:fldChar w:fldCharType="end"/>
      </w:r>
      <w:r w:rsidRPr="00CB4ED1">
        <w:rPr>
          <w:noProof w:val="0"/>
        </w:rPr>
        <w:t xml:space="preserve"> - Welsh Government programme for Transforming and Modernising Planned Care Goals and Priorities</w:t>
      </w:r>
      <w:bookmarkEnd w:id="31"/>
    </w:p>
    <w:p w14:paraId="16FCA9CE" w14:textId="77777777" w:rsidR="000710B6" w:rsidRPr="00CB4ED1" w:rsidRDefault="000710B6" w:rsidP="000710B6">
      <w:pPr>
        <w:rPr>
          <w:rFonts w:ascii="Myriad Pro" w:hAnsi="Myriad Pro"/>
        </w:rPr>
      </w:pPr>
      <w:r w:rsidRPr="00CB4ED1">
        <w:rPr>
          <w:noProof/>
        </w:rPr>
        <w:drawing>
          <wp:inline distT="0" distB="0" distL="0" distR="0" wp14:anchorId="060B9E8C" wp14:editId="06CE26EC">
            <wp:extent cx="6120000" cy="4071386"/>
            <wp:effectExtent l="0" t="0" r="0" b="5715"/>
            <wp:docPr id="6" name="Picture 6" descr="A diagram of a health care syste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diagram of a health care system&#10;&#10;AI-generated content may be incorrect."/>
                    <pic:cNvPicPr>
                      <a:picLocks noChangeAspect="1" noChangeArrowheads="1"/>
                    </pic:cNvPicPr>
                  </pic:nvPicPr>
                  <pic:blipFill rotWithShape="1">
                    <a:blip r:embed="rId22">
                      <a:extLst>
                        <a:ext uri="{28A0092B-C50C-407E-A947-70E740481C1C}">
                          <a14:useLocalDpi xmlns:a14="http://schemas.microsoft.com/office/drawing/2010/main" val="0"/>
                        </a:ext>
                      </a:extLst>
                    </a:blip>
                    <a:srcRect l="3382" t="4402" b="1519"/>
                    <a:stretch/>
                  </pic:blipFill>
                  <pic:spPr bwMode="auto">
                    <a:xfrm>
                      <a:off x="0" y="0"/>
                      <a:ext cx="6120000" cy="4071386"/>
                    </a:xfrm>
                    <a:prstGeom prst="rect">
                      <a:avLst/>
                    </a:prstGeom>
                    <a:noFill/>
                    <a:ln>
                      <a:noFill/>
                    </a:ln>
                    <a:extLst>
                      <a:ext uri="{53640926-AAD7-44D8-BBD7-CCE9431645EC}">
                        <a14:shadowObscured xmlns:a14="http://schemas.microsoft.com/office/drawing/2010/main"/>
                      </a:ext>
                    </a:extLst>
                  </pic:spPr>
                </pic:pic>
              </a:graphicData>
            </a:graphic>
          </wp:inline>
        </w:drawing>
      </w:r>
    </w:p>
    <w:p w14:paraId="760B08B2" w14:textId="77777777" w:rsidR="000710B6" w:rsidRPr="00CB4ED1" w:rsidRDefault="000710B6" w:rsidP="000710B6">
      <w:r w:rsidRPr="00CB4ED1">
        <w:t>The seven priorities are:</w:t>
      </w:r>
    </w:p>
    <w:tbl>
      <w:tblPr>
        <w:tblW w:w="5100" w:type="pct"/>
        <w:tblInd w:w="-113" w:type="dxa"/>
        <w:tblLayout w:type="fixed"/>
        <w:tblLook w:val="04A0" w:firstRow="1" w:lastRow="0" w:firstColumn="1" w:lastColumn="0" w:noHBand="0" w:noVBand="1"/>
      </w:tblPr>
      <w:tblGrid>
        <w:gridCol w:w="680"/>
        <w:gridCol w:w="9151"/>
      </w:tblGrid>
      <w:tr w:rsidR="000710B6" w:rsidRPr="00CB4ED1" w14:paraId="08271B83" w14:textId="77777777" w:rsidTr="00377EA9">
        <w:tc>
          <w:tcPr>
            <w:tcW w:w="680" w:type="dxa"/>
            <w:vAlign w:val="center"/>
          </w:tcPr>
          <w:p w14:paraId="205982BC" w14:textId="77777777" w:rsidR="000710B6" w:rsidRPr="00CB4ED1" w:rsidRDefault="000710B6" w:rsidP="00377EA9">
            <w:pPr>
              <w:spacing w:before="40" w:after="40"/>
              <w:rPr>
                <w:color w:val="2C4295"/>
              </w:rPr>
            </w:pPr>
            <w:r w:rsidRPr="00CB4ED1">
              <w:rPr>
                <w:noProof/>
                <w:color w:val="2C4295"/>
              </w:rPr>
              <w:drawing>
                <wp:inline distT="0" distB="0" distL="0" distR="0" wp14:anchorId="2DB7D8D8" wp14:editId="01069749">
                  <wp:extent cx="294640" cy="294640"/>
                  <wp:effectExtent l="0" t="0" r="0" b="0"/>
                  <wp:docPr id="2114946294" name="Graphic 1" descr="Badge 1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4946294" name="Graphic 2114946294" descr="Badge 1 with solid fill"/>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294640" cy="294640"/>
                          </a:xfrm>
                          <a:prstGeom prst="rect">
                            <a:avLst/>
                          </a:prstGeom>
                        </pic:spPr>
                      </pic:pic>
                    </a:graphicData>
                  </a:graphic>
                </wp:inline>
              </w:drawing>
            </w:r>
          </w:p>
        </w:tc>
        <w:tc>
          <w:tcPr>
            <w:tcW w:w="9151" w:type="dxa"/>
            <w:vAlign w:val="center"/>
          </w:tcPr>
          <w:p w14:paraId="24F939B2" w14:textId="77777777" w:rsidR="000710B6" w:rsidRPr="00CB4ED1" w:rsidRDefault="000710B6" w:rsidP="00377EA9">
            <w:pPr>
              <w:pStyle w:val="priorities"/>
            </w:pPr>
            <w:r w:rsidRPr="00CB4ED1">
              <w:t>Transformation of outpatients</w:t>
            </w:r>
          </w:p>
        </w:tc>
      </w:tr>
      <w:tr w:rsidR="000710B6" w:rsidRPr="00CB4ED1" w14:paraId="3C77668A" w14:textId="77777777" w:rsidTr="00377EA9">
        <w:tc>
          <w:tcPr>
            <w:tcW w:w="680" w:type="dxa"/>
            <w:vAlign w:val="center"/>
          </w:tcPr>
          <w:p w14:paraId="5F572CC1" w14:textId="77777777" w:rsidR="000710B6" w:rsidRPr="00CB4ED1" w:rsidRDefault="000710B6" w:rsidP="00377EA9">
            <w:pPr>
              <w:spacing w:before="40" w:after="40"/>
              <w:rPr>
                <w:color w:val="2C4295"/>
              </w:rPr>
            </w:pPr>
            <w:r w:rsidRPr="00CB4ED1">
              <w:rPr>
                <w:noProof/>
                <w:color w:val="2C4295"/>
              </w:rPr>
              <w:drawing>
                <wp:inline distT="0" distB="0" distL="0" distR="0" wp14:anchorId="74E68390" wp14:editId="4A52266C">
                  <wp:extent cx="294640" cy="294640"/>
                  <wp:effectExtent l="0" t="0" r="0" b="0"/>
                  <wp:docPr id="105807645" name="Graphic 1" descr="Badge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807645" name="Graphic 1" descr="Badge with solid fill"/>
                          <pic:cNvPicPr/>
                        </pic:nvPicPr>
                        <pic:blipFill>
                          <a:blip r:embed="rId25" cstate="print">
                            <a:extLst>
                              <a:ext uri="{28A0092B-C50C-407E-A947-70E740481C1C}">
                                <a14:useLocalDpi xmlns:a14="http://schemas.microsoft.com/office/drawing/2010/main" val="0"/>
                              </a:ext>
                              <a:ext uri="{96DAC541-7B7A-43D3-8B79-37D633B846F1}">
                                <asvg:svgBlip xmlns:asvg="http://schemas.microsoft.com/office/drawing/2016/SVG/main" r:embed="rId26"/>
                              </a:ext>
                            </a:extLst>
                          </a:blip>
                          <a:stretch>
                            <a:fillRect/>
                          </a:stretch>
                        </pic:blipFill>
                        <pic:spPr>
                          <a:xfrm>
                            <a:off x="0" y="0"/>
                            <a:ext cx="294640" cy="294640"/>
                          </a:xfrm>
                          <a:prstGeom prst="rect">
                            <a:avLst/>
                          </a:prstGeom>
                        </pic:spPr>
                      </pic:pic>
                    </a:graphicData>
                  </a:graphic>
                </wp:inline>
              </w:drawing>
            </w:r>
          </w:p>
        </w:tc>
        <w:tc>
          <w:tcPr>
            <w:tcW w:w="9151" w:type="dxa"/>
            <w:vAlign w:val="center"/>
          </w:tcPr>
          <w:p w14:paraId="2E5CE2D9" w14:textId="77777777" w:rsidR="000710B6" w:rsidRPr="00CB4ED1" w:rsidRDefault="000710B6" w:rsidP="00377EA9">
            <w:pPr>
              <w:pStyle w:val="priorities"/>
            </w:pPr>
            <w:r w:rsidRPr="00CB4ED1">
              <w:t>Prioritisation of diagnostic services</w:t>
            </w:r>
          </w:p>
        </w:tc>
      </w:tr>
      <w:tr w:rsidR="000710B6" w:rsidRPr="00CB4ED1" w14:paraId="426925E4" w14:textId="77777777" w:rsidTr="00377EA9">
        <w:tc>
          <w:tcPr>
            <w:tcW w:w="680" w:type="dxa"/>
            <w:vAlign w:val="center"/>
          </w:tcPr>
          <w:p w14:paraId="4BA58F74" w14:textId="77777777" w:rsidR="000710B6" w:rsidRPr="00CB4ED1" w:rsidRDefault="000710B6" w:rsidP="00377EA9">
            <w:pPr>
              <w:spacing w:before="40" w:after="40"/>
              <w:rPr>
                <w:color w:val="2C4295"/>
              </w:rPr>
            </w:pPr>
            <w:r w:rsidRPr="00CB4ED1">
              <w:rPr>
                <w:noProof/>
                <w:color w:val="2C4295"/>
              </w:rPr>
              <w:drawing>
                <wp:inline distT="0" distB="0" distL="0" distR="0" wp14:anchorId="4C98CD08" wp14:editId="1CFE96E8">
                  <wp:extent cx="294640" cy="294640"/>
                  <wp:effectExtent l="0" t="0" r="0" b="0"/>
                  <wp:docPr id="1341060555" name="Graphic 1" descr="Badge 3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1060555" name="Graphic 1" descr="Badge 3 with solid fill"/>
                          <pic:cNvPicPr/>
                        </pic:nvPicPr>
                        <pic:blipFill>
                          <a:blip r:embed="rId27" cstate="print">
                            <a:extLst>
                              <a:ext uri="{28A0092B-C50C-407E-A947-70E740481C1C}">
                                <a14:useLocalDpi xmlns:a14="http://schemas.microsoft.com/office/drawing/2010/main" val="0"/>
                              </a:ext>
                              <a:ext uri="{96DAC541-7B7A-43D3-8B79-37D633B846F1}">
                                <asvg:svgBlip xmlns:asvg="http://schemas.microsoft.com/office/drawing/2016/SVG/main" r:embed="rId28"/>
                              </a:ext>
                            </a:extLst>
                          </a:blip>
                          <a:stretch>
                            <a:fillRect/>
                          </a:stretch>
                        </pic:blipFill>
                        <pic:spPr>
                          <a:xfrm>
                            <a:off x="0" y="0"/>
                            <a:ext cx="294640" cy="294640"/>
                          </a:xfrm>
                          <a:prstGeom prst="rect">
                            <a:avLst/>
                          </a:prstGeom>
                        </pic:spPr>
                      </pic:pic>
                    </a:graphicData>
                  </a:graphic>
                </wp:inline>
              </w:drawing>
            </w:r>
          </w:p>
        </w:tc>
        <w:tc>
          <w:tcPr>
            <w:tcW w:w="9151" w:type="dxa"/>
            <w:vAlign w:val="center"/>
          </w:tcPr>
          <w:p w14:paraId="297D2E62" w14:textId="77777777" w:rsidR="000710B6" w:rsidRPr="00CB4ED1" w:rsidRDefault="000710B6" w:rsidP="00377EA9">
            <w:pPr>
              <w:pStyle w:val="priorities"/>
            </w:pPr>
            <w:r w:rsidRPr="00CB4ED1">
              <w:t>Focus on early diagnosis and treatment of suspected cancer patients</w:t>
            </w:r>
          </w:p>
        </w:tc>
      </w:tr>
      <w:tr w:rsidR="000710B6" w:rsidRPr="00CB4ED1" w14:paraId="0D47EBAB" w14:textId="77777777" w:rsidTr="00377EA9">
        <w:tc>
          <w:tcPr>
            <w:tcW w:w="680" w:type="dxa"/>
            <w:vAlign w:val="center"/>
          </w:tcPr>
          <w:p w14:paraId="56DF6FD2" w14:textId="77777777" w:rsidR="000710B6" w:rsidRPr="00CB4ED1" w:rsidRDefault="000710B6" w:rsidP="00377EA9">
            <w:pPr>
              <w:spacing w:before="40" w:after="40"/>
              <w:rPr>
                <w:color w:val="2C4295"/>
              </w:rPr>
            </w:pPr>
            <w:r w:rsidRPr="00CB4ED1">
              <w:rPr>
                <w:noProof/>
                <w:color w:val="2C4295"/>
              </w:rPr>
              <w:drawing>
                <wp:inline distT="0" distB="0" distL="0" distR="0" wp14:anchorId="6DF00471" wp14:editId="2BE74BCD">
                  <wp:extent cx="294640" cy="294640"/>
                  <wp:effectExtent l="0" t="0" r="0" b="0"/>
                  <wp:docPr id="16433630" name="Graphic 1" descr="Badge 4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3630" name="Graphic 1" descr="Badge 4 with solid fill"/>
                          <pic:cNvPicPr/>
                        </pic:nvPicPr>
                        <pic:blipFill>
                          <a:blip r:embed="rId29" cstate="print">
                            <a:extLst>
                              <a:ext uri="{28A0092B-C50C-407E-A947-70E740481C1C}">
                                <a14:useLocalDpi xmlns:a14="http://schemas.microsoft.com/office/drawing/2010/main" val="0"/>
                              </a:ext>
                              <a:ext uri="{96DAC541-7B7A-43D3-8B79-37D633B846F1}">
                                <asvg:svgBlip xmlns:asvg="http://schemas.microsoft.com/office/drawing/2016/SVG/main" r:embed="rId30"/>
                              </a:ext>
                            </a:extLst>
                          </a:blip>
                          <a:stretch>
                            <a:fillRect/>
                          </a:stretch>
                        </pic:blipFill>
                        <pic:spPr>
                          <a:xfrm>
                            <a:off x="0" y="0"/>
                            <a:ext cx="294640" cy="294640"/>
                          </a:xfrm>
                          <a:prstGeom prst="rect">
                            <a:avLst/>
                          </a:prstGeom>
                        </pic:spPr>
                      </pic:pic>
                    </a:graphicData>
                  </a:graphic>
                </wp:inline>
              </w:drawing>
            </w:r>
          </w:p>
        </w:tc>
        <w:tc>
          <w:tcPr>
            <w:tcW w:w="9151" w:type="dxa"/>
            <w:vAlign w:val="center"/>
          </w:tcPr>
          <w:p w14:paraId="54D1BCE1" w14:textId="77777777" w:rsidR="000710B6" w:rsidRPr="00CB4ED1" w:rsidRDefault="000710B6" w:rsidP="00377EA9">
            <w:pPr>
              <w:pStyle w:val="priorities"/>
            </w:pPr>
            <w:r w:rsidRPr="00CB4ED1">
              <w:t>Implementing a fair and equitable approach to patient prioritisation to minimise health inequalities</w:t>
            </w:r>
          </w:p>
        </w:tc>
      </w:tr>
      <w:tr w:rsidR="000710B6" w:rsidRPr="00CB4ED1" w14:paraId="3AB7159D" w14:textId="77777777" w:rsidTr="00377EA9">
        <w:tc>
          <w:tcPr>
            <w:tcW w:w="680" w:type="dxa"/>
            <w:vAlign w:val="center"/>
          </w:tcPr>
          <w:p w14:paraId="1B28B020" w14:textId="77777777" w:rsidR="000710B6" w:rsidRPr="00CB4ED1" w:rsidRDefault="000710B6" w:rsidP="00377EA9">
            <w:pPr>
              <w:spacing w:before="40" w:after="40"/>
              <w:rPr>
                <w:color w:val="2C4295"/>
              </w:rPr>
            </w:pPr>
            <w:r w:rsidRPr="00CB4ED1">
              <w:rPr>
                <w:noProof/>
                <w:color w:val="2C4295"/>
              </w:rPr>
              <w:drawing>
                <wp:inline distT="0" distB="0" distL="0" distR="0" wp14:anchorId="6353CEEA" wp14:editId="2135BFE0">
                  <wp:extent cx="294640" cy="294640"/>
                  <wp:effectExtent l="0" t="0" r="0" b="0"/>
                  <wp:docPr id="1044267036" name="Graphic 1" descr="Badge 5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267036" name="Graphic 1" descr="Badge 5 with solid fill"/>
                          <pic:cNvPicPr/>
                        </pic:nvPicPr>
                        <pic:blipFill>
                          <a:blip r:embed="rId31" cstate="print">
                            <a:extLst>
                              <a:ext uri="{28A0092B-C50C-407E-A947-70E740481C1C}">
                                <a14:useLocalDpi xmlns:a14="http://schemas.microsoft.com/office/drawing/2010/main" val="0"/>
                              </a:ext>
                              <a:ext uri="{96DAC541-7B7A-43D3-8B79-37D633B846F1}">
                                <asvg:svgBlip xmlns:asvg="http://schemas.microsoft.com/office/drawing/2016/SVG/main" r:embed="rId32"/>
                              </a:ext>
                            </a:extLst>
                          </a:blip>
                          <a:stretch>
                            <a:fillRect/>
                          </a:stretch>
                        </pic:blipFill>
                        <pic:spPr>
                          <a:xfrm>
                            <a:off x="0" y="0"/>
                            <a:ext cx="294640" cy="294640"/>
                          </a:xfrm>
                          <a:prstGeom prst="rect">
                            <a:avLst/>
                          </a:prstGeom>
                        </pic:spPr>
                      </pic:pic>
                    </a:graphicData>
                  </a:graphic>
                </wp:inline>
              </w:drawing>
            </w:r>
          </w:p>
        </w:tc>
        <w:tc>
          <w:tcPr>
            <w:tcW w:w="9151" w:type="dxa"/>
            <w:vAlign w:val="center"/>
          </w:tcPr>
          <w:p w14:paraId="02F98D87" w14:textId="77777777" w:rsidR="000710B6" w:rsidRPr="00CB4ED1" w:rsidRDefault="000710B6" w:rsidP="00377EA9">
            <w:pPr>
              <w:pStyle w:val="priorities"/>
            </w:pPr>
            <w:r w:rsidRPr="00CB4ED1">
              <w:t>Elimination of long waits at all stages of the pathway</w:t>
            </w:r>
          </w:p>
        </w:tc>
      </w:tr>
      <w:tr w:rsidR="000710B6" w:rsidRPr="00CB4ED1" w14:paraId="50738108" w14:textId="77777777" w:rsidTr="00377EA9">
        <w:tc>
          <w:tcPr>
            <w:tcW w:w="680" w:type="dxa"/>
            <w:vAlign w:val="center"/>
          </w:tcPr>
          <w:p w14:paraId="1CC4E9E7" w14:textId="77777777" w:rsidR="000710B6" w:rsidRPr="00CB4ED1" w:rsidRDefault="000710B6" w:rsidP="00377EA9">
            <w:pPr>
              <w:spacing w:before="40" w:after="40"/>
              <w:rPr>
                <w:color w:val="2C4295"/>
              </w:rPr>
            </w:pPr>
            <w:r w:rsidRPr="00CB4ED1">
              <w:rPr>
                <w:noProof/>
                <w:color w:val="2C4295"/>
              </w:rPr>
              <w:drawing>
                <wp:inline distT="0" distB="0" distL="0" distR="0" wp14:anchorId="260EB830" wp14:editId="1DBCCBAD">
                  <wp:extent cx="294640" cy="294640"/>
                  <wp:effectExtent l="0" t="0" r="0" b="0"/>
                  <wp:docPr id="373732904" name="Graphic 1" descr="Badge 6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3732904" name="Graphic 1" descr="Badge 6 with solid fill"/>
                          <pic:cNvPicPr/>
                        </pic:nvPicPr>
                        <pic:blipFill>
                          <a:blip r:embed="rId33" cstate="print">
                            <a:extLst>
                              <a:ext uri="{28A0092B-C50C-407E-A947-70E740481C1C}">
                                <a14:useLocalDpi xmlns:a14="http://schemas.microsoft.com/office/drawing/2010/main" val="0"/>
                              </a:ext>
                              <a:ext uri="{96DAC541-7B7A-43D3-8B79-37D633B846F1}">
                                <asvg:svgBlip xmlns:asvg="http://schemas.microsoft.com/office/drawing/2016/SVG/main" r:embed="rId34"/>
                              </a:ext>
                            </a:extLst>
                          </a:blip>
                          <a:stretch>
                            <a:fillRect/>
                          </a:stretch>
                        </pic:blipFill>
                        <pic:spPr>
                          <a:xfrm>
                            <a:off x="0" y="0"/>
                            <a:ext cx="294640" cy="294640"/>
                          </a:xfrm>
                          <a:prstGeom prst="rect">
                            <a:avLst/>
                          </a:prstGeom>
                        </pic:spPr>
                      </pic:pic>
                    </a:graphicData>
                  </a:graphic>
                </wp:inline>
              </w:drawing>
            </w:r>
          </w:p>
        </w:tc>
        <w:tc>
          <w:tcPr>
            <w:tcW w:w="9151" w:type="dxa"/>
            <w:vAlign w:val="center"/>
          </w:tcPr>
          <w:p w14:paraId="494E006F" w14:textId="77777777" w:rsidR="000710B6" w:rsidRPr="00CB4ED1" w:rsidRDefault="000710B6" w:rsidP="00377EA9">
            <w:pPr>
              <w:pStyle w:val="priorities"/>
            </w:pPr>
            <w:r w:rsidRPr="00CB4ED1">
              <w:t>Building sustainable planned care capacity across the care pathway</w:t>
            </w:r>
          </w:p>
        </w:tc>
      </w:tr>
      <w:tr w:rsidR="000710B6" w:rsidRPr="00CB4ED1" w14:paraId="466DD5C0" w14:textId="77777777" w:rsidTr="00377EA9">
        <w:tc>
          <w:tcPr>
            <w:tcW w:w="680" w:type="dxa"/>
            <w:vAlign w:val="center"/>
          </w:tcPr>
          <w:p w14:paraId="7A2A0085" w14:textId="77777777" w:rsidR="000710B6" w:rsidRPr="00CB4ED1" w:rsidRDefault="000710B6" w:rsidP="00377EA9">
            <w:pPr>
              <w:spacing w:before="40" w:after="40"/>
              <w:rPr>
                <w:color w:val="2C4295"/>
              </w:rPr>
            </w:pPr>
            <w:r w:rsidRPr="00CB4ED1">
              <w:rPr>
                <w:noProof/>
                <w:color w:val="2C4295"/>
              </w:rPr>
              <w:drawing>
                <wp:inline distT="0" distB="0" distL="0" distR="0" wp14:anchorId="6EDE7533" wp14:editId="67431F0F">
                  <wp:extent cx="294640" cy="294640"/>
                  <wp:effectExtent l="0" t="0" r="0" b="0"/>
                  <wp:docPr id="771672489" name="Graphic 1" descr="Badge 7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672489" name="Graphic 1" descr="Badge 7 with solid fill"/>
                          <pic:cNvPicPr/>
                        </pic:nvPicPr>
                        <pic:blipFill>
                          <a:blip r:embed="rId35" cstate="print">
                            <a:extLst>
                              <a:ext uri="{28A0092B-C50C-407E-A947-70E740481C1C}">
                                <a14:useLocalDpi xmlns:a14="http://schemas.microsoft.com/office/drawing/2010/main" val="0"/>
                              </a:ext>
                              <a:ext uri="{96DAC541-7B7A-43D3-8B79-37D633B846F1}">
                                <asvg:svgBlip xmlns:asvg="http://schemas.microsoft.com/office/drawing/2016/SVG/main" r:embed="rId36"/>
                              </a:ext>
                            </a:extLst>
                          </a:blip>
                          <a:stretch>
                            <a:fillRect/>
                          </a:stretch>
                        </pic:blipFill>
                        <pic:spPr>
                          <a:xfrm>
                            <a:off x="0" y="0"/>
                            <a:ext cx="294640" cy="294640"/>
                          </a:xfrm>
                          <a:prstGeom prst="rect">
                            <a:avLst/>
                          </a:prstGeom>
                        </pic:spPr>
                      </pic:pic>
                    </a:graphicData>
                  </a:graphic>
                </wp:inline>
              </w:drawing>
            </w:r>
          </w:p>
        </w:tc>
        <w:tc>
          <w:tcPr>
            <w:tcW w:w="9151" w:type="dxa"/>
            <w:vAlign w:val="center"/>
          </w:tcPr>
          <w:p w14:paraId="3862EEBF" w14:textId="77777777" w:rsidR="000710B6" w:rsidRPr="00CB4ED1" w:rsidRDefault="000710B6" w:rsidP="00377EA9">
            <w:pPr>
              <w:pStyle w:val="priorities"/>
            </w:pPr>
            <w:r w:rsidRPr="00CB4ED1">
              <w:t>Provision of appropriate information and support to people</w:t>
            </w:r>
          </w:p>
        </w:tc>
      </w:tr>
    </w:tbl>
    <w:p w14:paraId="7EAE01B6" w14:textId="77777777" w:rsidR="000710B6" w:rsidRPr="00CB4ED1" w:rsidRDefault="000710B6" w:rsidP="000710B6"/>
    <w:p w14:paraId="74849096" w14:textId="77777777" w:rsidR="000710B6" w:rsidRPr="00CB4ED1" w:rsidRDefault="000710B6" w:rsidP="000710B6">
      <w:r w:rsidRPr="00CB4ED1">
        <w:t>The LHP programme aligns with planned care recovery programmes across with the region in the development of long-term additional capacity to support the delivery of efficient and effective solutions to support all three UHBs to eliminate long waits and reduce overall waits within the patient pathway, both in terms of access to orthopaedic services as well as in diagnostics.</w:t>
      </w:r>
    </w:p>
    <w:p w14:paraId="1CABB2DF" w14:textId="1665F32C" w:rsidR="000710B6" w:rsidRPr="00CB4ED1" w:rsidRDefault="000710B6" w:rsidP="000710B6">
      <w:r w:rsidRPr="00CB4ED1">
        <w:t>The ability to create bespoke capacity</w:t>
      </w:r>
      <w:r w:rsidR="009360BE">
        <w:t>,</w:t>
      </w:r>
      <w:r w:rsidRPr="00CB4ED1">
        <w:t xml:space="preserve"> to maximise patient flow and increase efficiency and innovation in service delivery</w:t>
      </w:r>
      <w:r w:rsidR="009360BE">
        <w:t>,</w:t>
      </w:r>
      <w:r w:rsidRPr="00CB4ED1">
        <w:t xml:space="preserve"> offers additional benefits to the region from investment in the programme</w:t>
      </w:r>
      <w:r w:rsidR="009360BE">
        <w:t>, including:</w:t>
      </w:r>
    </w:p>
    <w:p w14:paraId="7CC5D642" w14:textId="3DD83F80" w:rsidR="009360BE" w:rsidRDefault="000710B6" w:rsidP="009360BE">
      <w:pPr>
        <w:pStyle w:val="bullets1"/>
      </w:pPr>
      <w:r w:rsidRPr="00CB4ED1">
        <w:lastRenderedPageBreak/>
        <w:t>standardisation of patient pathways and clinical practices which should increase efficiency and improve patient outcomes</w:t>
      </w:r>
    </w:p>
    <w:p w14:paraId="4BA52D3C" w14:textId="6B08B37E" w:rsidR="009360BE" w:rsidRDefault="000710B6" w:rsidP="009360BE">
      <w:pPr>
        <w:pStyle w:val="bullets1"/>
      </w:pPr>
      <w:r w:rsidRPr="00CB4ED1">
        <w:t>consolidation of services on LHP which will release space on existing sites and act as a key enabler for future regional reconfiguration and transformation</w:t>
      </w:r>
    </w:p>
    <w:p w14:paraId="01F9C98A" w14:textId="471CD326" w:rsidR="000710B6" w:rsidRPr="00CB4ED1" w:rsidRDefault="00105A46" w:rsidP="009360BE">
      <w:pPr>
        <w:pStyle w:val="bullets1"/>
      </w:pPr>
      <w:r>
        <w:t xml:space="preserve">an </w:t>
      </w:r>
      <w:r w:rsidR="000710B6" w:rsidRPr="00CB4ED1">
        <w:t xml:space="preserve">opportunity to standardise procurements thus achieving greater revenue savings on high volume items. </w:t>
      </w:r>
    </w:p>
    <w:p w14:paraId="66B57345" w14:textId="1B0CE1B3" w:rsidR="000710B6" w:rsidRPr="009360BE" w:rsidRDefault="000710B6" w:rsidP="009360BE"/>
    <w:p w14:paraId="5A140A7D" w14:textId="77777777" w:rsidR="000710B6" w:rsidRPr="00BB1F2E" w:rsidRDefault="000710B6" w:rsidP="00BB1F2E">
      <w:pPr>
        <w:pStyle w:val="Heading2"/>
      </w:pPr>
      <w:bookmarkStart w:id="32" w:name="_Toc213865217"/>
      <w:r w:rsidRPr="00BB1F2E">
        <w:t>Clinical evidence and policies underpinning LHP, including Getting it Right First Time</w:t>
      </w:r>
      <w:bookmarkEnd w:id="32"/>
    </w:p>
    <w:p w14:paraId="4DE347E2" w14:textId="5D3D98CE" w:rsidR="000710B6" w:rsidRPr="00CB4ED1" w:rsidRDefault="000710B6" w:rsidP="000710B6">
      <w:pPr>
        <w:rPr>
          <w:highlight w:val="green"/>
        </w:rPr>
      </w:pPr>
      <w:bookmarkStart w:id="33" w:name="_Hlk212799443"/>
      <w:r w:rsidRPr="00CB4ED1">
        <w:t>The vision is for LHP to be an exemplar regional facility providing an elective orthopaedic</w:t>
      </w:r>
      <w:r w:rsidR="00481EAA">
        <w:t xml:space="preserve"> primary arthroplasty</w:t>
      </w:r>
      <w:r w:rsidRPr="00CB4ED1">
        <w:t xml:space="preserve"> hub (E</w:t>
      </w:r>
      <w:r w:rsidR="00481EAA">
        <w:t>A</w:t>
      </w:r>
      <w:r w:rsidRPr="00CB4ED1">
        <w:t>H</w:t>
      </w:r>
      <w:proofErr w:type="gramStart"/>
      <w:r w:rsidRPr="00CB4ED1">
        <w:t>),.</w:t>
      </w:r>
      <w:proofErr w:type="gramEnd"/>
    </w:p>
    <w:p w14:paraId="23498737" w14:textId="77777777" w:rsidR="000710B6" w:rsidRPr="00CB4ED1" w:rsidRDefault="000710B6" w:rsidP="000710B6">
      <w:r w:rsidRPr="00CB4ED1">
        <w:t xml:space="preserve">Surgical hubs are an important part of plans to increase surgical capacity and to offer hundreds of thousands more patients' quicker access to some of the most common procedures. Hubs focus mainly on providing ‘high volume low complexity’ (HVLC) surgery with </w:t>
      </w:r>
      <w:proofErr w:type="gramStart"/>
      <w:r w:rsidRPr="00CB4ED1">
        <w:t>particular emphasis</w:t>
      </w:r>
      <w:proofErr w:type="gramEnd"/>
      <w:r w:rsidRPr="00CB4ED1">
        <w:t xml:space="preserve"> on ophthalmology, general surgery, trauma and orthopaedics, gynaecology, ear nose and throat, and urology.</w:t>
      </w:r>
    </w:p>
    <w:p w14:paraId="56D501DA" w14:textId="77777777" w:rsidR="000710B6" w:rsidRPr="00CB4ED1" w:rsidRDefault="000710B6" w:rsidP="000710B6">
      <w:r w:rsidRPr="00CB4ED1">
        <w:t>They bring together skills and expertise of staff under one roof – reducing waiting times for some of the most common procedures such as day surgeries and hip replacements. These operations can be performed quickly and effectively in one place.</w:t>
      </w:r>
    </w:p>
    <w:p w14:paraId="44B4DCDD" w14:textId="77777777" w:rsidR="000710B6" w:rsidRPr="00BB1F2E" w:rsidRDefault="000710B6" w:rsidP="00BB1F2E">
      <w:pPr>
        <w:pStyle w:val="Heading3"/>
      </w:pPr>
      <w:r w:rsidRPr="00BB1F2E">
        <w:t>What defines a HVLC hub?</w:t>
      </w:r>
    </w:p>
    <w:p w14:paraId="6989EDDD" w14:textId="77777777" w:rsidR="000710B6" w:rsidRPr="00CB4ED1" w:rsidRDefault="000710B6" w:rsidP="000710B6">
      <w:pPr>
        <w:pStyle w:val="bullets1"/>
      </w:pPr>
      <w:r w:rsidRPr="00CB4ED1">
        <w:t>Exclusively perform elective surgery, avoiding emergency disruptions</w:t>
      </w:r>
    </w:p>
    <w:p w14:paraId="6B77207B" w14:textId="34B6CBD0" w:rsidR="000710B6" w:rsidRPr="00CB4ED1" w:rsidRDefault="000710B6" w:rsidP="000710B6">
      <w:pPr>
        <w:pStyle w:val="bullets1"/>
      </w:pPr>
      <w:r w:rsidRPr="00CB4ED1">
        <w:rPr>
          <w:rFonts w:cs="Arial"/>
        </w:rPr>
        <w:t>Operate with</w:t>
      </w:r>
      <w:r w:rsidR="007B3B7E">
        <w:rPr>
          <w:rFonts w:cs="Arial"/>
        </w:rPr>
        <w:t xml:space="preserve"> </w:t>
      </w:r>
      <w:r w:rsidRPr="00CB4ED1">
        <w:rPr>
          <w:rFonts w:cs="Arial"/>
        </w:rPr>
        <w:t>ring-fenced theatres, beds, and staff, ensuring continuity and infection control</w:t>
      </w:r>
      <w:r w:rsidRPr="00CB4ED1" w:rsidDel="00BA0DEE">
        <w:t xml:space="preserve"> </w:t>
      </w:r>
    </w:p>
    <w:p w14:paraId="54260FC9" w14:textId="77777777" w:rsidR="000710B6" w:rsidRPr="00CB4ED1" w:rsidRDefault="000710B6" w:rsidP="000710B6">
      <w:pPr>
        <w:pStyle w:val="bullets1"/>
      </w:pPr>
      <w:r w:rsidRPr="00CB4ED1">
        <w:t>Has embedded – or is working towards – the principles of 6-day operating, 48 weeks per year, 2.5 session days and 85% theatre utilisation</w:t>
      </w:r>
    </w:p>
    <w:p w14:paraId="53386AA9" w14:textId="77777777" w:rsidR="000710B6" w:rsidRPr="00CB4ED1" w:rsidRDefault="000710B6" w:rsidP="000710B6">
      <w:pPr>
        <w:pStyle w:val="bullets1"/>
      </w:pPr>
      <w:r w:rsidRPr="00CB4ED1">
        <w:t xml:space="preserve">By separating elective care from emergency services, hubs reduce cancellations, improve patient flow, and support faster recovery. </w:t>
      </w:r>
    </w:p>
    <w:p w14:paraId="3660AAAA" w14:textId="77777777" w:rsidR="000710B6" w:rsidRPr="00CB4ED1" w:rsidRDefault="000710B6" w:rsidP="000710B6">
      <w:pPr>
        <w:pStyle w:val="NoSpacing"/>
      </w:pPr>
    </w:p>
    <w:p w14:paraId="35800A5C" w14:textId="77777777" w:rsidR="000710B6" w:rsidRPr="00BB1F2E" w:rsidRDefault="000710B6" w:rsidP="00BB1F2E">
      <w:pPr>
        <w:pStyle w:val="Heading3"/>
      </w:pPr>
      <w:r w:rsidRPr="00BB1F2E">
        <w:t>Benefits of this approach</w:t>
      </w:r>
    </w:p>
    <w:p w14:paraId="0C1A33A8" w14:textId="77777777" w:rsidR="000710B6" w:rsidRPr="00CB4ED1" w:rsidRDefault="000710B6" w:rsidP="000710B6">
      <w:r w:rsidRPr="00CB4ED1">
        <w:t>Improving quality and efficiency will mean patients have shorter waits for surgery, will be more likely to go home on the same day, and will be less likely to need additional treatment after surgery. As the hubs are separated from emergency services, surgical beds are kept free for patients waiting for planned operations, reducing the risk of short-notice cancellations due to other emergency admissions taking priority.</w:t>
      </w:r>
    </w:p>
    <w:p w14:paraId="643C6B67" w14:textId="77777777" w:rsidR="000710B6" w:rsidRPr="00CB4ED1" w:rsidRDefault="000710B6" w:rsidP="000710B6">
      <w:r w:rsidRPr="00CB4ED1">
        <w:t xml:space="preserve">GiRFT identifies the </w:t>
      </w:r>
      <w:r w:rsidRPr="00CB4ED1">
        <w:rPr>
          <w:b/>
          <w:bCs/>
        </w:rPr>
        <w:t>key benefits</w:t>
      </w:r>
      <w:r w:rsidRPr="00CB4ED1">
        <w:t xml:space="preserve"> as:</w:t>
      </w:r>
    </w:p>
    <w:p w14:paraId="7CF1312C" w14:textId="77777777" w:rsidR="000710B6" w:rsidRPr="00CB4ED1" w:rsidRDefault="000710B6" w:rsidP="000710B6">
      <w:pPr>
        <w:pStyle w:val="bullets1"/>
      </w:pPr>
      <w:r w:rsidRPr="00CB4ED1">
        <w:t>More efficient use of theatre capacity and increased throughput</w:t>
      </w:r>
    </w:p>
    <w:p w14:paraId="4BF84E42" w14:textId="77777777" w:rsidR="000710B6" w:rsidRPr="00CB4ED1" w:rsidRDefault="000710B6" w:rsidP="000710B6">
      <w:pPr>
        <w:pStyle w:val="bullets1"/>
      </w:pPr>
      <w:r w:rsidRPr="00CB4ED1">
        <w:t>Increased resilience against winter pressures</w:t>
      </w:r>
    </w:p>
    <w:p w14:paraId="0FDF1BC3" w14:textId="77777777" w:rsidR="000710B6" w:rsidRPr="00CB4ED1" w:rsidRDefault="000710B6" w:rsidP="000710B6">
      <w:pPr>
        <w:pStyle w:val="bullets1"/>
      </w:pPr>
      <w:r w:rsidRPr="00CB4ED1">
        <w:t>Streamlined pathways and shorter length of stay</w:t>
      </w:r>
    </w:p>
    <w:p w14:paraId="7D38BCE3" w14:textId="77777777" w:rsidR="000710B6" w:rsidRPr="00CB4ED1" w:rsidRDefault="000710B6" w:rsidP="000710B6">
      <w:pPr>
        <w:pStyle w:val="bullets1"/>
      </w:pPr>
      <w:r w:rsidRPr="00CB4ED1">
        <w:t>Application of innovative, more sustainable workforce</w:t>
      </w:r>
    </w:p>
    <w:p w14:paraId="04B34163" w14:textId="77777777" w:rsidR="000710B6" w:rsidRPr="00CB4ED1" w:rsidRDefault="000710B6" w:rsidP="000710B6">
      <w:pPr>
        <w:pStyle w:val="bullets1"/>
      </w:pPr>
      <w:r w:rsidRPr="00CB4ED1">
        <w:t>Reduced pressure on staff and improving morale, recruitment and retention.</w:t>
      </w:r>
    </w:p>
    <w:p w14:paraId="33C9B4E9" w14:textId="77777777" w:rsidR="00105A46" w:rsidRDefault="00105A46" w:rsidP="001D39F4">
      <w:pPr>
        <w:pStyle w:val="NoSpacing"/>
      </w:pPr>
    </w:p>
    <w:p w14:paraId="5468AA8C" w14:textId="77777777" w:rsidR="001D39F4" w:rsidRDefault="000710B6" w:rsidP="000710B6">
      <w:r w:rsidRPr="00CB4ED1">
        <w:t xml:space="preserve">The model being developed for LHP is consistent with the model recommended by GIRFT and the British Orthopaedic Association (BOA) and in Line with and Royal College of Surgeons (RSC) practices adopted widely across England. </w:t>
      </w:r>
    </w:p>
    <w:p w14:paraId="0FA8A050" w14:textId="1D43FDB4" w:rsidR="000710B6" w:rsidRPr="00CB4ED1" w:rsidRDefault="000710B6" w:rsidP="000710B6">
      <w:r w:rsidRPr="00CB4ED1">
        <w:lastRenderedPageBreak/>
        <w:t xml:space="preserve">The intention is to create a centre of excellence for planned HVLC elective primary arthroplasty surgery, delivering productivity and quality of care for patients that consistently meets best practice and delivers optimum value.  </w:t>
      </w:r>
    </w:p>
    <w:p w14:paraId="531AE79E" w14:textId="1F1BF2A0" w:rsidR="000710B6" w:rsidRPr="00CB4ED1" w:rsidRDefault="000710B6" w:rsidP="000710B6">
      <w:r w:rsidRPr="00CB4ED1">
        <w:t>LHP will build on the learning from the South West London Elective Orthopaedic Centre (SWLEOC</w:t>
      </w:r>
      <w:proofErr w:type="gramStart"/>
      <w:r w:rsidRPr="00CB4ED1">
        <w:t>) ,</w:t>
      </w:r>
      <w:proofErr w:type="gramEnd"/>
      <w:r w:rsidRPr="00CB4ED1">
        <w:t xml:space="preserve"> Exeter, Colchester and Oswestry elective orthopaedic centres (EOC) and Elective surgical hubs in Kidderminster and Emerson Green. The design has been focused on ensuring good flow in a timely manner to reduce wasted time and improve patient experience.</w:t>
      </w:r>
    </w:p>
    <w:p w14:paraId="4A3467F9" w14:textId="77777777" w:rsidR="000710B6" w:rsidRPr="00CB4ED1" w:rsidRDefault="000710B6" w:rsidP="000710B6">
      <w:r w:rsidRPr="00CB4ED1">
        <w:t xml:space="preserve">LHP will be fit for the future. It is designed using evidence from a range of sources from GIRFT and the BOA to the National Joint Registry, and other professional bodies. There will be </w:t>
      </w:r>
      <w:proofErr w:type="gramStart"/>
      <w:r w:rsidRPr="00CB4ED1">
        <w:t>sufficient</w:t>
      </w:r>
      <w:proofErr w:type="gramEnd"/>
      <w:r w:rsidRPr="00CB4ED1">
        <w:t xml:space="preserve"> capacity to meet current and future demand resulting in timely access to services for patients. </w:t>
      </w:r>
    </w:p>
    <w:p w14:paraId="5785918C" w14:textId="77777777" w:rsidR="000710B6" w:rsidRPr="00CB4ED1" w:rsidRDefault="000710B6" w:rsidP="000710B6">
      <w:r w:rsidRPr="00CB4ED1">
        <w:t>Following an assessment of various models, the chosen approach will support the region in meeting the collaboration's goals, addressing the capacity gap, and ensuring all facilities meet GIRFT standards and are accredited for HVLC surgery. The proposed clinical model includes a dedicated building, fully separate from any acute care facilities. The Arthroplasty unit will be completely ring-fenced to meet GIRFT and BOA requirements for an orthopaedic hub.</w:t>
      </w:r>
    </w:p>
    <w:p w14:paraId="3A2D9CC0" w14:textId="77777777" w:rsidR="000710B6" w:rsidRPr="00CB4ED1" w:rsidRDefault="000710B6" w:rsidP="000710B6">
      <w:r w:rsidRPr="00CB4ED1">
        <w:t xml:space="preserve">The potential benefits for patients include: </w:t>
      </w:r>
    </w:p>
    <w:tbl>
      <w:tblPr>
        <w:tblW w:w="5100" w:type="pct"/>
        <w:tblInd w:w="-113" w:type="dxa"/>
        <w:tblLayout w:type="fixed"/>
        <w:tblLook w:val="04A0" w:firstRow="1" w:lastRow="0" w:firstColumn="1" w:lastColumn="0" w:noHBand="0" w:noVBand="1"/>
      </w:tblPr>
      <w:tblGrid>
        <w:gridCol w:w="4791"/>
        <w:gridCol w:w="5040"/>
      </w:tblGrid>
      <w:tr w:rsidR="000710B6" w:rsidRPr="00CB4ED1" w14:paraId="0C639BE0" w14:textId="77777777" w:rsidTr="00377EA9">
        <w:tc>
          <w:tcPr>
            <w:tcW w:w="4791" w:type="dxa"/>
          </w:tcPr>
          <w:p w14:paraId="02E33304" w14:textId="77777777" w:rsidR="000710B6" w:rsidRPr="00CB4ED1" w:rsidRDefault="000710B6" w:rsidP="00377EA9">
            <w:pPr>
              <w:pStyle w:val="bullets1"/>
            </w:pPr>
            <w:r w:rsidRPr="00CB4ED1">
              <w:t xml:space="preserve">Faster access (due to </w:t>
            </w:r>
            <w:proofErr w:type="gramStart"/>
            <w:r w:rsidRPr="00CB4ED1">
              <w:t>sufficient</w:t>
            </w:r>
            <w:proofErr w:type="gramEnd"/>
            <w:r w:rsidRPr="00CB4ED1">
              <w:t xml:space="preserve"> capacity)</w:t>
            </w:r>
          </w:p>
          <w:p w14:paraId="6128DBF2" w14:textId="77777777" w:rsidR="000710B6" w:rsidRPr="00CB4ED1" w:rsidRDefault="000710B6" w:rsidP="00377EA9">
            <w:pPr>
              <w:pStyle w:val="bullets1"/>
            </w:pPr>
            <w:r w:rsidRPr="00CB4ED1">
              <w:t>Equitable access</w:t>
            </w:r>
          </w:p>
          <w:p w14:paraId="778AB54B" w14:textId="77777777" w:rsidR="000710B6" w:rsidRPr="00CB4ED1" w:rsidRDefault="000710B6" w:rsidP="00377EA9">
            <w:pPr>
              <w:pStyle w:val="bullets1"/>
            </w:pPr>
            <w:r w:rsidRPr="00CB4ED1">
              <w:t>Consistent and best practice care in a centre of excellence</w:t>
            </w:r>
          </w:p>
          <w:p w14:paraId="1F5A020C" w14:textId="77777777" w:rsidR="000710B6" w:rsidRPr="00CB4ED1" w:rsidRDefault="000710B6" w:rsidP="00377EA9">
            <w:pPr>
              <w:pStyle w:val="bullets1"/>
            </w:pPr>
            <w:r w:rsidRPr="00CB4ED1">
              <w:t>Better clinical outcomes</w:t>
            </w:r>
          </w:p>
          <w:p w14:paraId="5B0D4D51" w14:textId="77777777" w:rsidR="000710B6" w:rsidRPr="00CB4ED1" w:rsidRDefault="000710B6" w:rsidP="00377EA9">
            <w:pPr>
              <w:pStyle w:val="bullets1"/>
            </w:pPr>
            <w:r w:rsidRPr="00CB4ED1">
              <w:t>Improved preoperative care</w:t>
            </w:r>
          </w:p>
        </w:tc>
        <w:tc>
          <w:tcPr>
            <w:tcW w:w="5040" w:type="dxa"/>
          </w:tcPr>
          <w:p w14:paraId="285BF6CB" w14:textId="77777777" w:rsidR="000710B6" w:rsidRPr="00CB4ED1" w:rsidRDefault="000710B6" w:rsidP="00377EA9">
            <w:pPr>
              <w:pStyle w:val="bullets1"/>
            </w:pPr>
            <w:r w:rsidRPr="00CB4ED1">
              <w:t>Shorter length of inpatient stay</w:t>
            </w:r>
          </w:p>
          <w:p w14:paraId="6B177F78" w14:textId="77777777" w:rsidR="000710B6" w:rsidRPr="00CB4ED1" w:rsidRDefault="000710B6" w:rsidP="00377EA9">
            <w:pPr>
              <w:pStyle w:val="bullets1"/>
            </w:pPr>
            <w:r w:rsidRPr="00CB4ED1">
              <w:t>Dedicated facilities and reduced likelihood of cancellation</w:t>
            </w:r>
          </w:p>
          <w:p w14:paraId="7F82017F" w14:textId="77777777" w:rsidR="000710B6" w:rsidRPr="00CB4ED1" w:rsidRDefault="000710B6" w:rsidP="00377EA9">
            <w:pPr>
              <w:pStyle w:val="bullets1"/>
            </w:pPr>
            <w:r w:rsidRPr="00CB4ED1">
              <w:t>Dedicated, specialist post-operative care and service</w:t>
            </w:r>
          </w:p>
          <w:p w14:paraId="39805C59" w14:textId="77777777" w:rsidR="000710B6" w:rsidRPr="00CB4ED1" w:rsidRDefault="000710B6" w:rsidP="00377EA9">
            <w:pPr>
              <w:pStyle w:val="bullets1"/>
            </w:pPr>
            <w:r w:rsidRPr="00CB4ED1">
              <w:t xml:space="preserve">Increased investment due to potential savings from repatriation from out of sector. </w:t>
            </w:r>
          </w:p>
        </w:tc>
      </w:tr>
    </w:tbl>
    <w:p w14:paraId="645F962C" w14:textId="77777777" w:rsidR="000710B6" w:rsidRPr="00CB4ED1" w:rsidRDefault="000710B6" w:rsidP="000710B6">
      <w:pPr>
        <w:pStyle w:val="NoSpacing"/>
      </w:pPr>
    </w:p>
    <w:p w14:paraId="4210FFDC" w14:textId="77777777" w:rsidR="000710B6" w:rsidRPr="00105A46" w:rsidRDefault="000710B6" w:rsidP="00105A46">
      <w:pPr>
        <w:pStyle w:val="Heading3"/>
      </w:pPr>
      <w:r w:rsidRPr="00105A46">
        <w:t>Evidence supporting best practice</w:t>
      </w:r>
    </w:p>
    <w:p w14:paraId="213467A7" w14:textId="77777777" w:rsidR="000710B6" w:rsidRPr="00CB4ED1" w:rsidRDefault="000710B6" w:rsidP="000710B6">
      <w:r w:rsidRPr="00CB4ED1">
        <w:t>The GIRFT vision is for ‘cold’ elective surgical hubs, offering ring-fenced beds and ultra clean air theatres for orthopaedics, thus delivering evidence-based best practice in relation to protection against infection. Standardisation of care ensures the highest levels of productivity and value for money. This proposal is compatible with best practice recommendations from GIRFT, as shown, and is supported by the National Director of Clinical Improvement for the NHS and the Planned Care programme.</w:t>
      </w:r>
    </w:p>
    <w:p w14:paraId="72792524" w14:textId="36EBCD92" w:rsidR="000710B6" w:rsidRPr="00CB4ED1" w:rsidRDefault="000710B6" w:rsidP="000710B6">
      <w:r w:rsidRPr="00CB4ED1">
        <w:t>Since July 2023, GIRFT has been working with a group of 25 NHS trusts in England on a ‘Further Faster’ pilot, bringing together teams of highly</w:t>
      </w:r>
      <w:r w:rsidR="00223918">
        <w:t xml:space="preserve"> </w:t>
      </w:r>
      <w:r w:rsidRPr="00CB4ED1">
        <w:t>engaged clinicians and operational colleagues with the challenge of collectively going further and faster to reduce 52-week waits. The specialties supported by this programme align with all those that are to be delivered within LHP. GIRFT have evidenced that HVLC in stand-alone, dedicated units deliver many benefits and transformation of day case pathways.</w:t>
      </w:r>
    </w:p>
    <w:p w14:paraId="2C92CE1D" w14:textId="77777777" w:rsidR="000710B6" w:rsidRPr="00CB4ED1" w:rsidRDefault="000710B6" w:rsidP="000710B6">
      <w:r w:rsidRPr="00CB4ED1">
        <w:t xml:space="preserve">Data from the pilot shows that from October to mid-November 2023 the total 52-week backlog for all participating trusts reduced from 93.2% to 84.4% (by 9.8%), in comparison with a reduction among all other trusts from 105.5% to 103.9% (1.6%). This equates to a 19.5% difference in total backlog reductions between the pilot group and all other trusts since the Further Faster programme began. LHP will allow the adoption of the HVLC pathways for surgical hubs. </w:t>
      </w:r>
    </w:p>
    <w:p w14:paraId="16FA0814" w14:textId="2AB397F8" w:rsidR="000710B6" w:rsidRPr="00CB4ED1" w:rsidRDefault="000710B6" w:rsidP="000710B6">
      <w:pPr>
        <w:pStyle w:val="Caption"/>
        <w:rPr>
          <w:noProof w:val="0"/>
        </w:rPr>
      </w:pPr>
      <w:bookmarkStart w:id="34" w:name="_Toc213865282"/>
      <w:r w:rsidRPr="00CB4ED1">
        <w:rPr>
          <w:noProof w:val="0"/>
        </w:rPr>
        <w:lastRenderedPageBreak/>
        <w:t xml:space="preserve">Table </w:t>
      </w:r>
      <w:r w:rsidRPr="00CB4ED1">
        <w:rPr>
          <w:noProof w:val="0"/>
        </w:rPr>
        <w:fldChar w:fldCharType="begin"/>
      </w:r>
      <w:r w:rsidRPr="00CB4ED1">
        <w:rPr>
          <w:noProof w:val="0"/>
        </w:rPr>
        <w:instrText xml:space="preserve"> SEQ Table \* ARABIC </w:instrText>
      </w:r>
      <w:r w:rsidRPr="00CB4ED1">
        <w:rPr>
          <w:noProof w:val="0"/>
        </w:rPr>
        <w:fldChar w:fldCharType="separate"/>
      </w:r>
      <w:r w:rsidR="004A33ED">
        <w:t>2</w:t>
      </w:r>
      <w:r w:rsidRPr="00CB4ED1">
        <w:rPr>
          <w:noProof w:val="0"/>
        </w:rPr>
        <w:fldChar w:fldCharType="end"/>
      </w:r>
      <w:r w:rsidRPr="00CB4ED1">
        <w:rPr>
          <w:noProof w:val="0"/>
        </w:rPr>
        <w:t xml:space="preserve"> - GIRFT best practice recommendations for elective orthopaedics</w:t>
      </w:r>
      <w:bookmarkEnd w:id="34"/>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1526"/>
        <w:gridCol w:w="6946"/>
        <w:gridCol w:w="1349"/>
      </w:tblGrid>
      <w:tr w:rsidR="000710B6" w:rsidRPr="00CB4ED1" w14:paraId="1D506799" w14:textId="77777777" w:rsidTr="00377EA9">
        <w:trPr>
          <w:cantSplit/>
          <w:tblHeader/>
        </w:trPr>
        <w:tc>
          <w:tcPr>
            <w:tcW w:w="1526" w:type="dxa"/>
            <w:shd w:val="clear" w:color="auto" w:fill="374264" w:themeFill="text2"/>
            <w:vAlign w:val="center"/>
          </w:tcPr>
          <w:p w14:paraId="11149D11" w14:textId="77777777" w:rsidR="000710B6" w:rsidRPr="00CB4ED1" w:rsidRDefault="000710B6" w:rsidP="00377EA9">
            <w:pPr>
              <w:pStyle w:val="tabletext"/>
              <w:rPr>
                <w:b/>
                <w:bCs/>
                <w:color w:val="FFFFFF" w:themeColor="background1"/>
              </w:rPr>
            </w:pPr>
            <w:r w:rsidRPr="00CB4ED1">
              <w:rPr>
                <w:b/>
                <w:bCs/>
                <w:color w:val="FFFFFF" w:themeColor="background1"/>
              </w:rPr>
              <w:t xml:space="preserve">Theme </w:t>
            </w:r>
          </w:p>
        </w:tc>
        <w:tc>
          <w:tcPr>
            <w:tcW w:w="6946" w:type="dxa"/>
            <w:shd w:val="clear" w:color="auto" w:fill="374264" w:themeFill="text2"/>
            <w:vAlign w:val="center"/>
          </w:tcPr>
          <w:p w14:paraId="5EDA58AF" w14:textId="77777777" w:rsidR="000710B6" w:rsidRPr="00CB4ED1" w:rsidRDefault="000710B6" w:rsidP="00377EA9">
            <w:pPr>
              <w:pStyle w:val="tabletext"/>
              <w:rPr>
                <w:b/>
                <w:bCs/>
                <w:color w:val="FFFFFF" w:themeColor="background1"/>
              </w:rPr>
            </w:pPr>
            <w:r w:rsidRPr="00CB4ED1">
              <w:rPr>
                <w:b/>
                <w:bCs/>
                <w:color w:val="FFFFFF" w:themeColor="background1"/>
              </w:rPr>
              <w:t xml:space="preserve">GIRFT comment </w:t>
            </w:r>
          </w:p>
        </w:tc>
        <w:tc>
          <w:tcPr>
            <w:tcW w:w="1349" w:type="dxa"/>
            <w:shd w:val="clear" w:color="auto" w:fill="374264" w:themeFill="text2"/>
            <w:vAlign w:val="center"/>
          </w:tcPr>
          <w:p w14:paraId="798924A9" w14:textId="77777777" w:rsidR="000710B6" w:rsidRPr="00CB4ED1" w:rsidRDefault="000710B6" w:rsidP="00377EA9">
            <w:pPr>
              <w:pStyle w:val="tabletext"/>
              <w:jc w:val="center"/>
              <w:rPr>
                <w:b/>
                <w:bCs/>
                <w:color w:val="FFFFFF" w:themeColor="background1"/>
              </w:rPr>
            </w:pPr>
            <w:r w:rsidRPr="00CB4ED1">
              <w:rPr>
                <w:b/>
                <w:bCs/>
                <w:color w:val="FFFFFF" w:themeColor="background1"/>
              </w:rPr>
              <w:t>Meets best practice?</w:t>
            </w:r>
          </w:p>
        </w:tc>
      </w:tr>
      <w:tr w:rsidR="000710B6" w:rsidRPr="00CB4ED1" w14:paraId="0393C1E4" w14:textId="77777777" w:rsidTr="00377EA9">
        <w:trPr>
          <w:cantSplit/>
        </w:trPr>
        <w:tc>
          <w:tcPr>
            <w:tcW w:w="1526" w:type="dxa"/>
            <w:vAlign w:val="center"/>
          </w:tcPr>
          <w:p w14:paraId="30A32A54" w14:textId="77777777" w:rsidR="000710B6" w:rsidRPr="00CB4ED1" w:rsidRDefault="000710B6" w:rsidP="00377EA9">
            <w:pPr>
              <w:pStyle w:val="tabletext"/>
            </w:pPr>
            <w:r w:rsidRPr="00CB4ED1">
              <w:t xml:space="preserve">Ring-fenced beds </w:t>
            </w:r>
          </w:p>
        </w:tc>
        <w:tc>
          <w:tcPr>
            <w:tcW w:w="6946" w:type="dxa"/>
            <w:vAlign w:val="center"/>
          </w:tcPr>
          <w:p w14:paraId="7E9BB8DF" w14:textId="77777777" w:rsidR="000710B6" w:rsidRPr="00CB4ED1" w:rsidRDefault="000710B6" w:rsidP="00377EA9">
            <w:pPr>
              <w:pStyle w:val="tabletext"/>
            </w:pPr>
            <w:r w:rsidRPr="00CB4ED1">
              <w:t xml:space="preserve">Best practice is rigidly to enforce ring-fencing of elective orthopaedics minimises infection. </w:t>
            </w:r>
          </w:p>
        </w:tc>
        <w:tc>
          <w:tcPr>
            <w:tcW w:w="1349" w:type="dxa"/>
            <w:vAlign w:val="center"/>
          </w:tcPr>
          <w:p w14:paraId="3710337B" w14:textId="77777777" w:rsidR="000710B6" w:rsidRPr="00105A46" w:rsidRDefault="000710B6" w:rsidP="00377EA9">
            <w:pPr>
              <w:pStyle w:val="tabletext"/>
              <w:jc w:val="center"/>
              <w:rPr>
                <w:b/>
                <w:bCs/>
                <w:color w:val="92D050"/>
                <w:sz w:val="24"/>
                <w:szCs w:val="28"/>
              </w:rPr>
            </w:pPr>
            <w:r w:rsidRPr="00105A46">
              <w:rPr>
                <w:rFonts w:ascii="Wingdings" w:eastAsia="Wingdings" w:hAnsi="Wingdings" w:cs="Wingdings"/>
                <w:b/>
                <w:bCs/>
                <w:color w:val="92D050"/>
                <w:sz w:val="24"/>
                <w:szCs w:val="28"/>
              </w:rPr>
              <w:t>ü</w:t>
            </w:r>
          </w:p>
        </w:tc>
      </w:tr>
      <w:tr w:rsidR="000710B6" w:rsidRPr="00CB4ED1" w14:paraId="11E687F1" w14:textId="77777777" w:rsidTr="00377EA9">
        <w:trPr>
          <w:cantSplit/>
        </w:trPr>
        <w:tc>
          <w:tcPr>
            <w:tcW w:w="1526" w:type="dxa"/>
            <w:vAlign w:val="center"/>
          </w:tcPr>
          <w:p w14:paraId="5681F0E3" w14:textId="77777777" w:rsidR="000710B6" w:rsidRPr="00CB4ED1" w:rsidRDefault="000710B6" w:rsidP="00377EA9">
            <w:pPr>
              <w:pStyle w:val="tabletext"/>
            </w:pPr>
            <w:r w:rsidRPr="00CB4ED1">
              <w:t xml:space="preserve">Hot and cold sites </w:t>
            </w:r>
          </w:p>
        </w:tc>
        <w:tc>
          <w:tcPr>
            <w:tcW w:w="6946" w:type="dxa"/>
            <w:vAlign w:val="center"/>
          </w:tcPr>
          <w:p w14:paraId="520322FC" w14:textId="77777777" w:rsidR="000710B6" w:rsidRPr="00CB4ED1" w:rsidRDefault="000710B6" w:rsidP="00377EA9">
            <w:pPr>
              <w:pStyle w:val="tabletext"/>
            </w:pPr>
            <w:r w:rsidRPr="00CB4ED1">
              <w:t xml:space="preserve">By separating “hot” unplanned emergency work from their “cold” elective work, NHS organisations have seen reductions in average length of stay, reductions in cancellations of surgery and increased elective activity during winter pressures. </w:t>
            </w:r>
          </w:p>
        </w:tc>
        <w:tc>
          <w:tcPr>
            <w:tcW w:w="1349" w:type="dxa"/>
            <w:vAlign w:val="center"/>
          </w:tcPr>
          <w:p w14:paraId="5D61F450" w14:textId="77777777" w:rsidR="000710B6" w:rsidRPr="00105A46" w:rsidRDefault="000710B6" w:rsidP="00377EA9">
            <w:pPr>
              <w:pStyle w:val="tabletext"/>
              <w:jc w:val="center"/>
              <w:rPr>
                <w:b/>
                <w:bCs/>
                <w:color w:val="92D050"/>
                <w:sz w:val="24"/>
                <w:szCs w:val="28"/>
              </w:rPr>
            </w:pPr>
            <w:r w:rsidRPr="00105A46">
              <w:rPr>
                <w:rFonts w:ascii="Wingdings" w:eastAsia="Wingdings" w:hAnsi="Wingdings" w:cs="Wingdings"/>
                <w:b/>
                <w:bCs/>
                <w:color w:val="92D050"/>
                <w:sz w:val="24"/>
                <w:szCs w:val="28"/>
              </w:rPr>
              <w:t>ü</w:t>
            </w:r>
          </w:p>
        </w:tc>
      </w:tr>
      <w:tr w:rsidR="000710B6" w:rsidRPr="00CB4ED1" w14:paraId="72A3F87D" w14:textId="77777777" w:rsidTr="00377EA9">
        <w:trPr>
          <w:cantSplit/>
        </w:trPr>
        <w:tc>
          <w:tcPr>
            <w:tcW w:w="1526" w:type="dxa"/>
            <w:vAlign w:val="center"/>
          </w:tcPr>
          <w:p w14:paraId="53F9EB16" w14:textId="77777777" w:rsidR="000710B6" w:rsidRPr="00CB4ED1" w:rsidRDefault="000710B6" w:rsidP="00377EA9">
            <w:pPr>
              <w:pStyle w:val="tabletext"/>
            </w:pPr>
            <w:r w:rsidRPr="00CB4ED1">
              <w:t xml:space="preserve">Minimum volumes </w:t>
            </w:r>
          </w:p>
        </w:tc>
        <w:tc>
          <w:tcPr>
            <w:tcW w:w="6946" w:type="dxa"/>
            <w:vAlign w:val="center"/>
          </w:tcPr>
          <w:p w14:paraId="35BC9039" w14:textId="77777777" w:rsidR="000710B6" w:rsidRPr="00CB4ED1" w:rsidRDefault="000710B6" w:rsidP="00377EA9">
            <w:pPr>
              <w:pStyle w:val="tabletext"/>
            </w:pPr>
            <w:r w:rsidRPr="00CB4ED1">
              <w:t>Surgeons should perform 35 or more total hip replacements per year to avoid increased complication rates. LHP will support surgeons delivering high volume arthroplasty.</w:t>
            </w:r>
          </w:p>
        </w:tc>
        <w:tc>
          <w:tcPr>
            <w:tcW w:w="1349" w:type="dxa"/>
            <w:vAlign w:val="center"/>
          </w:tcPr>
          <w:p w14:paraId="1DF59D65" w14:textId="77777777" w:rsidR="000710B6" w:rsidRPr="00105A46" w:rsidRDefault="000710B6" w:rsidP="00377EA9">
            <w:pPr>
              <w:pStyle w:val="tabletext"/>
              <w:jc w:val="center"/>
              <w:rPr>
                <w:b/>
                <w:bCs/>
                <w:color w:val="92D050"/>
                <w:sz w:val="24"/>
                <w:szCs w:val="28"/>
              </w:rPr>
            </w:pPr>
            <w:r w:rsidRPr="00105A46">
              <w:rPr>
                <w:rFonts w:ascii="Wingdings" w:eastAsia="Wingdings" w:hAnsi="Wingdings" w:cs="Wingdings"/>
                <w:b/>
                <w:bCs/>
                <w:color w:val="92D050"/>
                <w:sz w:val="24"/>
                <w:szCs w:val="28"/>
              </w:rPr>
              <w:t>ü</w:t>
            </w:r>
          </w:p>
        </w:tc>
      </w:tr>
      <w:tr w:rsidR="000710B6" w:rsidRPr="00CB4ED1" w14:paraId="6A242886" w14:textId="77777777" w:rsidTr="00377EA9">
        <w:trPr>
          <w:cantSplit/>
        </w:trPr>
        <w:tc>
          <w:tcPr>
            <w:tcW w:w="1526" w:type="dxa"/>
            <w:vAlign w:val="center"/>
          </w:tcPr>
          <w:p w14:paraId="1780DA95" w14:textId="77777777" w:rsidR="000710B6" w:rsidRPr="00CB4ED1" w:rsidRDefault="000710B6" w:rsidP="00377EA9">
            <w:pPr>
              <w:pStyle w:val="tabletext"/>
            </w:pPr>
            <w:r w:rsidRPr="00CB4ED1">
              <w:t xml:space="preserve">Choice of implant </w:t>
            </w:r>
          </w:p>
        </w:tc>
        <w:tc>
          <w:tcPr>
            <w:tcW w:w="6946" w:type="dxa"/>
            <w:vAlign w:val="center"/>
          </w:tcPr>
          <w:p w14:paraId="454E53AE" w14:textId="77777777" w:rsidR="000710B6" w:rsidRPr="00CB4ED1" w:rsidRDefault="000710B6" w:rsidP="00377EA9">
            <w:pPr>
              <w:pStyle w:val="tabletext"/>
            </w:pPr>
            <w:r w:rsidRPr="00CB4ED1">
              <w:t xml:space="preserve">Surgeons should follow the evidence that choice of implant should be tailored to the patient need. Best practice is that 80% of patients over 70 should receive a cemented hip. </w:t>
            </w:r>
          </w:p>
        </w:tc>
        <w:tc>
          <w:tcPr>
            <w:tcW w:w="1349" w:type="dxa"/>
            <w:vAlign w:val="center"/>
          </w:tcPr>
          <w:p w14:paraId="68ED13F9" w14:textId="77777777" w:rsidR="000710B6" w:rsidRPr="00105A46" w:rsidRDefault="000710B6" w:rsidP="00377EA9">
            <w:pPr>
              <w:pStyle w:val="tabletext"/>
              <w:jc w:val="center"/>
              <w:rPr>
                <w:b/>
                <w:bCs/>
                <w:color w:val="92D050"/>
                <w:sz w:val="24"/>
                <w:szCs w:val="28"/>
              </w:rPr>
            </w:pPr>
            <w:r w:rsidRPr="00105A46">
              <w:rPr>
                <w:rFonts w:ascii="Wingdings" w:eastAsia="Wingdings" w:hAnsi="Wingdings" w:cs="Wingdings"/>
                <w:b/>
                <w:bCs/>
                <w:color w:val="92D050"/>
                <w:sz w:val="24"/>
                <w:szCs w:val="28"/>
              </w:rPr>
              <w:t>ü</w:t>
            </w:r>
          </w:p>
        </w:tc>
      </w:tr>
      <w:tr w:rsidR="000710B6" w:rsidRPr="00CB4ED1" w14:paraId="4100CE22" w14:textId="77777777" w:rsidTr="00377EA9">
        <w:trPr>
          <w:cantSplit/>
        </w:trPr>
        <w:tc>
          <w:tcPr>
            <w:tcW w:w="1526" w:type="dxa"/>
            <w:vAlign w:val="center"/>
          </w:tcPr>
          <w:p w14:paraId="08337A32" w14:textId="77777777" w:rsidR="000710B6" w:rsidRPr="00CB4ED1" w:rsidRDefault="000710B6" w:rsidP="00377EA9">
            <w:pPr>
              <w:pStyle w:val="tabletext"/>
            </w:pPr>
            <w:r w:rsidRPr="00CB4ED1">
              <w:t xml:space="preserve">Surgical site infection (SSI) </w:t>
            </w:r>
          </w:p>
        </w:tc>
        <w:tc>
          <w:tcPr>
            <w:tcW w:w="6946" w:type="dxa"/>
            <w:vAlign w:val="center"/>
          </w:tcPr>
          <w:p w14:paraId="39E377A7" w14:textId="77777777" w:rsidR="000710B6" w:rsidRPr="00CB4ED1" w:rsidRDefault="000710B6" w:rsidP="00377EA9">
            <w:pPr>
              <w:pStyle w:val="tabletext"/>
            </w:pPr>
            <w:r w:rsidRPr="00CB4ED1">
              <w:t xml:space="preserve">Variation in SSI rates were found when GIRFT started their visits. Ring-fencing, hot/cold sites and laminar flow are key factors in reducing infections. </w:t>
            </w:r>
          </w:p>
        </w:tc>
        <w:tc>
          <w:tcPr>
            <w:tcW w:w="1349" w:type="dxa"/>
            <w:vAlign w:val="center"/>
          </w:tcPr>
          <w:p w14:paraId="667210F1" w14:textId="77777777" w:rsidR="000710B6" w:rsidRPr="00105A46" w:rsidRDefault="000710B6" w:rsidP="00377EA9">
            <w:pPr>
              <w:pStyle w:val="tabletext"/>
              <w:jc w:val="center"/>
              <w:rPr>
                <w:b/>
                <w:bCs/>
                <w:color w:val="92D050"/>
                <w:sz w:val="24"/>
                <w:szCs w:val="28"/>
              </w:rPr>
            </w:pPr>
            <w:r w:rsidRPr="00105A46">
              <w:rPr>
                <w:rFonts w:ascii="Wingdings" w:eastAsia="Wingdings" w:hAnsi="Wingdings" w:cs="Wingdings"/>
                <w:b/>
                <w:bCs/>
                <w:color w:val="92D050"/>
                <w:sz w:val="24"/>
                <w:szCs w:val="28"/>
              </w:rPr>
              <w:t>ü</w:t>
            </w:r>
          </w:p>
        </w:tc>
      </w:tr>
      <w:tr w:rsidR="000710B6" w:rsidRPr="00CB4ED1" w14:paraId="553C0AB2" w14:textId="77777777" w:rsidTr="00377EA9">
        <w:trPr>
          <w:cantSplit/>
        </w:trPr>
        <w:tc>
          <w:tcPr>
            <w:tcW w:w="1526" w:type="dxa"/>
            <w:vAlign w:val="center"/>
          </w:tcPr>
          <w:p w14:paraId="56F0CD5C" w14:textId="77777777" w:rsidR="000710B6" w:rsidRPr="00CB4ED1" w:rsidRDefault="000710B6" w:rsidP="00377EA9">
            <w:pPr>
              <w:pStyle w:val="tabletext"/>
            </w:pPr>
            <w:r w:rsidRPr="00CB4ED1">
              <w:t xml:space="preserve">Rehabilitation services </w:t>
            </w:r>
          </w:p>
        </w:tc>
        <w:tc>
          <w:tcPr>
            <w:tcW w:w="6946" w:type="dxa"/>
            <w:vAlign w:val="center"/>
          </w:tcPr>
          <w:p w14:paraId="6F03288C" w14:textId="77777777" w:rsidR="000710B6" w:rsidRPr="00CB4ED1" w:rsidRDefault="000710B6" w:rsidP="00377EA9">
            <w:pPr>
              <w:pStyle w:val="tabletext"/>
            </w:pPr>
            <w:r w:rsidRPr="00CB4ED1">
              <w:t>Particularly relating to increased physiotherapy service for elective patients.</w:t>
            </w:r>
          </w:p>
        </w:tc>
        <w:tc>
          <w:tcPr>
            <w:tcW w:w="1349" w:type="dxa"/>
            <w:vAlign w:val="center"/>
          </w:tcPr>
          <w:p w14:paraId="673772CD" w14:textId="77777777" w:rsidR="000710B6" w:rsidRPr="00105A46" w:rsidRDefault="000710B6" w:rsidP="00377EA9">
            <w:pPr>
              <w:pStyle w:val="tabletext"/>
              <w:jc w:val="center"/>
              <w:rPr>
                <w:b/>
                <w:bCs/>
                <w:color w:val="92D050"/>
                <w:sz w:val="24"/>
                <w:szCs w:val="28"/>
              </w:rPr>
            </w:pPr>
            <w:r w:rsidRPr="00105A46">
              <w:rPr>
                <w:rFonts w:ascii="Wingdings" w:eastAsia="Wingdings" w:hAnsi="Wingdings" w:cs="Wingdings"/>
                <w:b/>
                <w:bCs/>
                <w:color w:val="92D050"/>
                <w:sz w:val="24"/>
                <w:szCs w:val="28"/>
              </w:rPr>
              <w:t>ü</w:t>
            </w:r>
          </w:p>
        </w:tc>
      </w:tr>
      <w:tr w:rsidR="000710B6" w:rsidRPr="00CB4ED1" w14:paraId="0375E2BB" w14:textId="77777777" w:rsidTr="00377EA9">
        <w:trPr>
          <w:cantSplit/>
        </w:trPr>
        <w:tc>
          <w:tcPr>
            <w:tcW w:w="1526" w:type="dxa"/>
            <w:vAlign w:val="center"/>
          </w:tcPr>
          <w:p w14:paraId="7B7341E7" w14:textId="77777777" w:rsidR="000710B6" w:rsidRPr="00CB4ED1" w:rsidRDefault="000710B6" w:rsidP="00377EA9">
            <w:pPr>
              <w:pStyle w:val="tabletext"/>
            </w:pPr>
            <w:r w:rsidRPr="00CB4ED1">
              <w:t xml:space="preserve">Procurement </w:t>
            </w:r>
          </w:p>
        </w:tc>
        <w:tc>
          <w:tcPr>
            <w:tcW w:w="6946" w:type="dxa"/>
            <w:vAlign w:val="center"/>
          </w:tcPr>
          <w:p w14:paraId="0FB422B2" w14:textId="77777777" w:rsidR="000710B6" w:rsidRPr="00CB4ED1" w:rsidRDefault="000710B6" w:rsidP="00377EA9">
            <w:pPr>
              <w:pStyle w:val="tabletext"/>
            </w:pPr>
            <w:r w:rsidRPr="00CB4ED1">
              <w:t xml:space="preserve">Variable implant costs and use of loan kits has been tackled through improved visibility and price negotiations. </w:t>
            </w:r>
          </w:p>
        </w:tc>
        <w:tc>
          <w:tcPr>
            <w:tcW w:w="1349" w:type="dxa"/>
            <w:vAlign w:val="center"/>
          </w:tcPr>
          <w:p w14:paraId="0CA3D02C" w14:textId="77777777" w:rsidR="000710B6" w:rsidRPr="00105A46" w:rsidRDefault="000710B6" w:rsidP="00377EA9">
            <w:pPr>
              <w:pStyle w:val="tabletext"/>
              <w:jc w:val="center"/>
              <w:rPr>
                <w:b/>
                <w:bCs/>
                <w:color w:val="92D050"/>
                <w:sz w:val="24"/>
                <w:szCs w:val="28"/>
              </w:rPr>
            </w:pPr>
            <w:r w:rsidRPr="00105A46">
              <w:rPr>
                <w:rFonts w:ascii="Wingdings" w:eastAsia="Wingdings" w:hAnsi="Wingdings" w:cs="Wingdings"/>
                <w:b/>
                <w:bCs/>
                <w:color w:val="92D050"/>
                <w:sz w:val="24"/>
                <w:szCs w:val="28"/>
              </w:rPr>
              <w:t>ü</w:t>
            </w:r>
          </w:p>
        </w:tc>
      </w:tr>
    </w:tbl>
    <w:p w14:paraId="5C87E2FE" w14:textId="77777777" w:rsidR="000710B6" w:rsidRPr="00CB4ED1" w:rsidRDefault="000710B6" w:rsidP="000710B6">
      <w:pPr>
        <w:pStyle w:val="NoSpacing"/>
      </w:pPr>
    </w:p>
    <w:p w14:paraId="641C19EA" w14:textId="70843384" w:rsidR="000710B6" w:rsidRDefault="000710B6" w:rsidP="000710B6">
      <w:r w:rsidRPr="00CB4ED1">
        <w:t xml:space="preserve">To support Wales in establishing an elective optimisation programme, Health Boards are required to focus on improving theatre efficiency and adopting HVLC and GIRFT pathways. It is vital that UHBs achieve 85% theatre utilisation, meet productivity measures, and maximise day case opportunities. Key objectives include reducing inpatient admissions, minimising cancellations, and ensuring patients are fit for surgery before scheduling. LHP is a driver to supporting these changes. The dedicated surgical Hubs in England have driven improvements and standardisation into the secondary care facilities.  The case for change has been widely accepted and is in line with the drivers for change identified as: </w:t>
      </w:r>
    </w:p>
    <w:tbl>
      <w:tblPr>
        <w:tblW w:w="5100" w:type="pct"/>
        <w:tblInd w:w="-113" w:type="dxa"/>
        <w:tblLayout w:type="fixed"/>
        <w:tblLook w:val="04A0" w:firstRow="1" w:lastRow="0" w:firstColumn="1" w:lastColumn="0" w:noHBand="0" w:noVBand="1"/>
      </w:tblPr>
      <w:tblGrid>
        <w:gridCol w:w="4915"/>
        <w:gridCol w:w="4916"/>
      </w:tblGrid>
      <w:tr w:rsidR="00AB17F7" w:rsidRPr="00F2076E" w14:paraId="63691383" w14:textId="77777777" w:rsidTr="00377EA9">
        <w:tc>
          <w:tcPr>
            <w:tcW w:w="4814" w:type="dxa"/>
          </w:tcPr>
          <w:p w14:paraId="1FF0990A" w14:textId="77777777" w:rsidR="00AB17F7" w:rsidRPr="00CB4ED1" w:rsidRDefault="00AB17F7" w:rsidP="00AB17F7">
            <w:pPr>
              <w:pStyle w:val="bullets1"/>
            </w:pPr>
            <w:r w:rsidRPr="00CB4ED1">
              <w:t>Growing demand and increasing waiting times</w:t>
            </w:r>
          </w:p>
          <w:p w14:paraId="6C2BEA46" w14:textId="77777777" w:rsidR="00AB17F7" w:rsidRPr="00CB4ED1" w:rsidRDefault="00AB17F7" w:rsidP="00AB17F7">
            <w:pPr>
              <w:pStyle w:val="bullets1"/>
            </w:pPr>
            <w:r w:rsidRPr="00CB4ED1">
              <w:t>Population health challenges, including large health inequalities</w:t>
            </w:r>
          </w:p>
          <w:p w14:paraId="5B259746" w14:textId="42D67BB3" w:rsidR="00AB17F7" w:rsidRPr="00F2076E" w:rsidRDefault="00AB17F7" w:rsidP="00AB17F7">
            <w:pPr>
              <w:pStyle w:val="bullets1"/>
            </w:pPr>
            <w:r w:rsidRPr="00CB4ED1">
              <w:t>Underperformance against key quality indicators, wide variations in quality and disruption to planned care caused by surges in unplanned car</w:t>
            </w:r>
          </w:p>
        </w:tc>
        <w:tc>
          <w:tcPr>
            <w:tcW w:w="4814" w:type="dxa"/>
          </w:tcPr>
          <w:p w14:paraId="1009F560" w14:textId="77777777" w:rsidR="00AB17F7" w:rsidRPr="00CB4ED1" w:rsidRDefault="00AB17F7" w:rsidP="00AB17F7">
            <w:pPr>
              <w:pStyle w:val="bullets1"/>
            </w:pPr>
            <w:r w:rsidRPr="00CB4ED1">
              <w:t>Insufficiently joined-up care across primary, community and acute services and care that is not sufficiently focused on the needs of the patient</w:t>
            </w:r>
          </w:p>
          <w:p w14:paraId="69171241" w14:textId="77777777" w:rsidR="00AB17F7" w:rsidRPr="00CB4ED1" w:rsidRDefault="00AB17F7" w:rsidP="00AB17F7">
            <w:pPr>
              <w:pStyle w:val="bullets1"/>
            </w:pPr>
            <w:r w:rsidRPr="00CB4ED1">
              <w:t>Unwarranted variations in theatre utilisation and downtime</w:t>
            </w:r>
          </w:p>
          <w:p w14:paraId="4C2931D2" w14:textId="6FEB1B2C" w:rsidR="00AB17F7" w:rsidRPr="00F2076E" w:rsidRDefault="00AB17F7" w:rsidP="00AB17F7">
            <w:pPr>
              <w:pStyle w:val="bullets1"/>
            </w:pPr>
            <w:r w:rsidRPr="00CB4ED1">
              <w:t xml:space="preserve">Staff recruitment and retention challenges. </w:t>
            </w:r>
          </w:p>
        </w:tc>
      </w:tr>
    </w:tbl>
    <w:p w14:paraId="3BD5E747" w14:textId="77777777" w:rsidR="000710B6" w:rsidRPr="00CB4ED1" w:rsidRDefault="000710B6" w:rsidP="000710B6">
      <w:pPr>
        <w:pStyle w:val="NoSpacing"/>
      </w:pPr>
    </w:p>
    <w:p w14:paraId="181673B9" w14:textId="0F3A372E" w:rsidR="000710B6" w:rsidRPr="00CB4ED1" w:rsidRDefault="000710B6" w:rsidP="000710B6">
      <w:r w:rsidRPr="00CB4ED1">
        <w:t xml:space="preserve">As part of </w:t>
      </w:r>
      <w:r w:rsidR="00D577E7">
        <w:t>the</w:t>
      </w:r>
      <w:r w:rsidRPr="00CB4ED1">
        <w:t xml:space="preserve"> strategic ambition, GIRFT Surgical Hub Accreditation</w:t>
      </w:r>
      <w:r w:rsidR="00D577E7">
        <w:t xml:space="preserve"> will be sought</w:t>
      </w:r>
      <w:r w:rsidRPr="00CB4ED1">
        <w:t xml:space="preserve"> for LHP shortly after opening. Securing this accreditation would not only affirm the quality and consistency of </w:t>
      </w:r>
      <w:r w:rsidR="00D577E7">
        <w:t>the</w:t>
      </w:r>
      <w:r w:rsidRPr="00CB4ED1">
        <w:t xml:space="preserve"> elective care services but also </w:t>
      </w:r>
      <w:r w:rsidR="00D577E7">
        <w:t>develop</w:t>
      </w:r>
      <w:r w:rsidR="00D577E7" w:rsidRPr="00CB4ED1">
        <w:t xml:space="preserve"> </w:t>
      </w:r>
      <w:r w:rsidR="00D577E7">
        <w:t>LHP’s</w:t>
      </w:r>
      <w:r w:rsidR="00223918">
        <w:t xml:space="preserve"> </w:t>
      </w:r>
      <w:r w:rsidRPr="00CB4ED1">
        <w:t>reputation as a high-performing surgical hub within the national landscape.</w:t>
      </w:r>
    </w:p>
    <w:p w14:paraId="30624D62" w14:textId="4763962F" w:rsidR="000710B6" w:rsidRPr="00CB4ED1" w:rsidRDefault="000710B6" w:rsidP="000710B6">
      <w:r w:rsidRPr="00CB4ED1">
        <w:t xml:space="preserve">Throughout the development and implementation phases of the LHP programme, </w:t>
      </w:r>
      <w:r w:rsidR="00D577E7">
        <w:t>the LHP team has</w:t>
      </w:r>
      <w:r w:rsidRPr="00CB4ED1">
        <w:t xml:space="preserve"> have proactively engaged with the GIRFT Surgical Hub Accreditation team. This collaboration has informed </w:t>
      </w:r>
      <w:r w:rsidR="00D577E7">
        <w:t>the</w:t>
      </w:r>
      <w:r w:rsidR="00223918">
        <w:t xml:space="preserve"> </w:t>
      </w:r>
      <w:r w:rsidRPr="00CB4ED1">
        <w:t xml:space="preserve">approach to service design, ensuring that </w:t>
      </w:r>
      <w:r w:rsidR="00D577E7">
        <w:t>the LHP i</w:t>
      </w:r>
      <w:r w:rsidRPr="00CB4ED1">
        <w:t xml:space="preserve">nfrastructure, workforce model, clinical pathways, and operating model are aligned with the standards required to achieve accreditation. This approach ensures </w:t>
      </w:r>
      <w:r w:rsidR="00D577E7">
        <w:t xml:space="preserve">maximum preparation </w:t>
      </w:r>
      <w:r w:rsidRPr="00CB4ED1">
        <w:t>for future assessment and recognition under the GIRFT framework.</w:t>
      </w:r>
    </w:p>
    <w:p w14:paraId="463F85E3" w14:textId="317C42F4" w:rsidR="000710B6" w:rsidRPr="00CB4ED1" w:rsidRDefault="000710B6" w:rsidP="000710B6">
      <w:r w:rsidRPr="00CB4ED1">
        <w:lastRenderedPageBreak/>
        <w:t xml:space="preserve">Collaborative working regionally and nationally will continue to be vital as </w:t>
      </w:r>
      <w:r w:rsidR="00D577E7">
        <w:t xml:space="preserve">the </w:t>
      </w:r>
      <w:proofErr w:type="gramStart"/>
      <w:r w:rsidR="00D577E7">
        <w:t>team</w:t>
      </w:r>
      <w:r w:rsidRPr="00CB4ED1">
        <w:t xml:space="preserve"> work</w:t>
      </w:r>
      <w:proofErr w:type="gramEnd"/>
      <w:r w:rsidRPr="00CB4ED1">
        <w:t xml:space="preserve"> towards delivery of the LHP alongside other priorities in our </w:t>
      </w:r>
      <w:bookmarkStart w:id="35" w:name="_Int_WRDm7wQt"/>
      <w:r w:rsidRPr="00CB4ED1">
        <w:t>South East</w:t>
      </w:r>
      <w:bookmarkEnd w:id="35"/>
      <w:r w:rsidRPr="00CB4ED1">
        <w:t xml:space="preserve"> Wales Regional Portfolio. </w:t>
      </w:r>
    </w:p>
    <w:p w14:paraId="0E0034C7" w14:textId="77777777" w:rsidR="000710B6" w:rsidRPr="00CB4ED1" w:rsidRDefault="000710B6" w:rsidP="000710B6">
      <w:r w:rsidRPr="00CB4ED1">
        <w:t>All the progress on the primary arthroplasty pathway to date has been developed across the region with good clinical engagement. This has been informed by best practice and learning from other exemplar facilities, both positive and negative experiences.</w:t>
      </w:r>
    </w:p>
    <w:p w14:paraId="38F56B91" w14:textId="77777777" w:rsidR="000710B6" w:rsidRPr="00CB4ED1" w:rsidRDefault="000710B6" w:rsidP="000710B6">
      <w:r w:rsidRPr="00CB4ED1">
        <w:t>One of the main actions from the Trauma and Orthopaedic Surgery Ministerial Summit December 2024 was that the Regional Orthopaedic Programmes reconfigure into Operational Delivery Networks/Groups (NW, SEW, SWW) working within the overarching WON, underpinned by the National Clinical Strategy for Orthopaedic Surgery. This aligns with the National Clinical Framework. The ODGs will establish processes to ensure implementation of regional working.</w:t>
      </w:r>
    </w:p>
    <w:p w14:paraId="3A2C7923" w14:textId="77777777" w:rsidR="000710B6" w:rsidRPr="00CB4ED1" w:rsidRDefault="000710B6" w:rsidP="000710B6">
      <w:r w:rsidRPr="00CB4ED1">
        <w:t>The establishment of surgical hubs delivering HVLC activity is not only endorsed by GiRFT, but it also forms and integral part of the orthopaedic strategic outline plan for Wales and the Orthopaedic Improvement Network (CIN). The Orthopaedic CIN is working towards ensuring adequate ring-fenced ward capacity for delivering elective arthroplasty surgery, as this is seen as essential to the delivery to reduce waiting times.  Surgical hubs bring benefits to all day surgery specialties as well as orthopaedic arthroplasty.</w:t>
      </w:r>
    </w:p>
    <w:p w14:paraId="572FF6ED" w14:textId="77777777" w:rsidR="000710B6" w:rsidRPr="00CB4ED1" w:rsidRDefault="000710B6" w:rsidP="00AB17F7">
      <w:pPr>
        <w:pStyle w:val="Heading4"/>
      </w:pPr>
      <w:r w:rsidRPr="00CB4ED1">
        <w:t>British Orthopaedic Association (BOA) guidance: Delivering a Safe Elective Orthopaedic Environment</w:t>
      </w:r>
    </w:p>
    <w:p w14:paraId="6620B950" w14:textId="77777777" w:rsidR="000710B6" w:rsidRPr="00CB4ED1" w:rsidRDefault="000710B6" w:rsidP="000710B6">
      <w:pPr>
        <w:rPr>
          <w:rFonts w:cs="Arial"/>
        </w:rPr>
      </w:pPr>
      <w:r w:rsidRPr="00CB4ED1">
        <w:rPr>
          <w:rFonts w:cs="Arial"/>
        </w:rPr>
        <w:t>The British Orthopaedic Association (BOA) has published clear standards for providing a continuous, safe elective orthopaedic environment, particularly in the context of increasing demand and system pressures. These standards are designed to ensure consistent, high-quality care for patients undergoing planned orthopaedic procedures, including joint replacements.</w:t>
      </w:r>
    </w:p>
    <w:p w14:paraId="04B7D224" w14:textId="2ABE27F0" w:rsidR="000710B6" w:rsidRPr="00CB4ED1" w:rsidRDefault="000710B6" w:rsidP="000710B6">
      <w:pPr>
        <w:rPr>
          <w:rFonts w:cs="Arial"/>
        </w:rPr>
      </w:pPr>
      <w:r w:rsidRPr="00CB4ED1">
        <w:rPr>
          <w:rFonts w:cs="Arial"/>
        </w:rPr>
        <w:t>Central to BOA guidance is the principle of ring-fencing both the physical and operational separation of elective orthopaedic services from emergency care. This includes dedicated beds, theatres, and staff exclusively for clean orthopaedic procedures. BOA also recommends:</w:t>
      </w:r>
    </w:p>
    <w:p w14:paraId="1B057032" w14:textId="77777777" w:rsidR="000710B6" w:rsidRPr="00CB4ED1" w:rsidRDefault="000710B6" w:rsidP="000710B6">
      <w:pPr>
        <w:pStyle w:val="bullets1"/>
      </w:pPr>
      <w:r w:rsidRPr="00CB4ED1">
        <w:t>Defined facilities that exclusively accept appropriate orthopaedic patients</w:t>
      </w:r>
    </w:p>
    <w:p w14:paraId="3AADDBB9" w14:textId="77777777" w:rsidR="000710B6" w:rsidRPr="00CB4ED1" w:rsidRDefault="000710B6" w:rsidP="000710B6">
      <w:pPr>
        <w:pStyle w:val="bullets1"/>
      </w:pPr>
      <w:r w:rsidRPr="00CB4ED1">
        <w:t>Standard Operating Procedures (SOPs) for screening, decolonisation, and infection control</w:t>
      </w:r>
    </w:p>
    <w:p w14:paraId="3AD30C78" w14:textId="77777777" w:rsidR="000710B6" w:rsidRPr="00CB4ED1" w:rsidRDefault="000710B6" w:rsidP="000710B6">
      <w:pPr>
        <w:pStyle w:val="bullets1"/>
      </w:pPr>
      <w:r w:rsidRPr="00CB4ED1">
        <w:t>Individual rooms for patients with infection risks</w:t>
      </w:r>
    </w:p>
    <w:p w14:paraId="4D921D47" w14:textId="77777777" w:rsidR="000710B6" w:rsidRPr="00CB4ED1" w:rsidRDefault="000710B6" w:rsidP="000710B6">
      <w:pPr>
        <w:pStyle w:val="bullets1"/>
      </w:pPr>
      <w:r w:rsidRPr="00CB4ED1">
        <w:t>Governance protocols to maintain the integrity of the ring-fenced environment, including escalation policies and executive oversight.</w:t>
      </w:r>
    </w:p>
    <w:p w14:paraId="797A03C8" w14:textId="77777777" w:rsidR="000710B6" w:rsidRPr="00CB4ED1" w:rsidRDefault="000710B6" w:rsidP="000710B6">
      <w:pPr>
        <w:pStyle w:val="NoSpacing"/>
      </w:pPr>
    </w:p>
    <w:p w14:paraId="58F00B70" w14:textId="77777777" w:rsidR="000710B6" w:rsidRPr="00CB4ED1" w:rsidRDefault="000710B6" w:rsidP="000710B6">
      <w:r w:rsidRPr="00CB4ED1">
        <w:t>The proposed elective surgical hub at LHP has been designed in full alignment with BOA guidance. By embedding BOA principles into its design and operations, LHP will provide a resilient, high-quality environment for elective orthopaedic surgery.</w:t>
      </w:r>
    </w:p>
    <w:bookmarkEnd w:id="33"/>
    <w:p w14:paraId="0BF3A43A" w14:textId="77777777" w:rsidR="000710B6" w:rsidRPr="00CB4ED1" w:rsidRDefault="000710B6" w:rsidP="000710B6">
      <w:pPr>
        <w:pStyle w:val="Heading4"/>
      </w:pPr>
      <w:r w:rsidRPr="00CB4ED1">
        <w:t>Development of the LHP Clinical Model – external studies to inform best practice</w:t>
      </w:r>
    </w:p>
    <w:p w14:paraId="1CF00510" w14:textId="2746924A" w:rsidR="000710B6" w:rsidRPr="00CB4ED1" w:rsidRDefault="000710B6" w:rsidP="000710B6">
      <w:r w:rsidRPr="00CB4ED1">
        <w:t xml:space="preserve">The LHP Arthroplasty Unit has been developed through a comprehensive, evidence-based process that draws on best practice from across the United Kingdom and Internationally. </w:t>
      </w:r>
      <w:proofErr w:type="gramStart"/>
      <w:r w:rsidR="00D577E7">
        <w:t xml:space="preserve">The </w:t>
      </w:r>
      <w:r w:rsidRPr="00CB4ED1">
        <w:t xml:space="preserve"> ambition</w:t>
      </w:r>
      <w:proofErr w:type="gramEnd"/>
      <w:r w:rsidRPr="00CB4ED1">
        <w:t xml:space="preserve"> has been to create a clinical and operational model that delivers high-quality, efficient, and patient-centred care, supported by infrastructure that enables and enhances patient experience and clinical excellence. To achieve this, </w:t>
      </w:r>
      <w:r w:rsidR="00D577E7">
        <w:t xml:space="preserve">the LHP team have undertaken </w:t>
      </w:r>
      <w:r w:rsidRPr="00CB4ED1">
        <w:t>a wide-ranging programme of research and engagement, including:</w:t>
      </w:r>
    </w:p>
    <w:p w14:paraId="3EFEEEEF" w14:textId="77777777" w:rsidR="000710B6" w:rsidRPr="00CB4ED1" w:rsidRDefault="000710B6" w:rsidP="000710B6">
      <w:pPr>
        <w:pStyle w:val="bullets1"/>
      </w:pPr>
      <w:r w:rsidRPr="00CB4ED1">
        <w:t>Site visits to exemplar units such as South West London Elective Orthopaedic Centre (SWLEOC), University Hospital Dorset NHS Foundation Trust (UHD), One Welbeck, East Suffolk and Essex Elective Orthopaedic Centre (ESEOC), and South West Ambulatory Orthopaedic Centre (SWAOC), each offering valuable insights into different aspects of orthopaedic service delivery, innovation and best practice</w:t>
      </w:r>
    </w:p>
    <w:p w14:paraId="55212289" w14:textId="5966DEB3" w:rsidR="000710B6" w:rsidRPr="00CB4ED1" w:rsidRDefault="000710B6" w:rsidP="000710B6">
      <w:pPr>
        <w:pStyle w:val="bullets1"/>
      </w:pPr>
      <w:r w:rsidRPr="00CB4ED1">
        <w:lastRenderedPageBreak/>
        <w:t xml:space="preserve">Participation in regional and national networks, including the South East Wales Regional Orthopaedic Programme, Orthopaedic and Anaesthetic Clinical Implementation Networks (CINs), and the National Planned Care Programme, which helped </w:t>
      </w:r>
      <w:r w:rsidR="00D577E7">
        <w:t>ensure</w:t>
      </w:r>
      <w:r w:rsidRPr="00CB4ED1">
        <w:t xml:space="preserve"> align</w:t>
      </w:r>
      <w:r w:rsidR="00D577E7">
        <w:t>ment</w:t>
      </w:r>
      <w:r w:rsidRPr="00CB4ED1">
        <w:t xml:space="preserve"> with local and national programmes</w:t>
      </w:r>
    </w:p>
    <w:p w14:paraId="7336C832" w14:textId="77777777" w:rsidR="000710B6" w:rsidRPr="00CB4ED1" w:rsidRDefault="000710B6" w:rsidP="000710B6">
      <w:pPr>
        <w:pStyle w:val="bullets1"/>
      </w:pPr>
      <w:r w:rsidRPr="00CB4ED1">
        <w:t>Multidisciplinary workshops and workstreams, which enabled collaborative design of pathways, protocols, and infrastructure specifications for LHP</w:t>
      </w:r>
    </w:p>
    <w:p w14:paraId="17AB0B9F" w14:textId="77777777" w:rsidR="000710B6" w:rsidRPr="00CB4ED1" w:rsidRDefault="000710B6" w:rsidP="000710B6">
      <w:pPr>
        <w:pStyle w:val="bullets1"/>
      </w:pPr>
      <w:r w:rsidRPr="00CB4ED1">
        <w:t>Targeted consultations on key operational and clinical components, such as theatre and anaesthetic room design, staggered admissions and preoperative health screening questionnaires.</w:t>
      </w:r>
    </w:p>
    <w:p w14:paraId="17E98424" w14:textId="77777777" w:rsidR="000710B6" w:rsidRPr="00CB4ED1" w:rsidRDefault="000710B6" w:rsidP="000710B6">
      <w:pPr>
        <w:pStyle w:val="NoSpacing"/>
      </w:pPr>
    </w:p>
    <w:p w14:paraId="747F2773" w14:textId="2482AEC6" w:rsidR="000710B6" w:rsidRPr="00CB4ED1" w:rsidRDefault="000710B6" w:rsidP="000710B6">
      <w:r w:rsidRPr="00CB4ED1">
        <w:t xml:space="preserve">Each of these engagements has contributed to shaping a model that is both innovative and evidence based. For example, </w:t>
      </w:r>
      <w:r w:rsidR="00D577E7">
        <w:t>the</w:t>
      </w:r>
      <w:r w:rsidRPr="00CB4ED1">
        <w:t xml:space="preserve"> visit to SWLEOC highlighted the benefits of staggered admissions and ring-fenced elective capacity, which </w:t>
      </w:r>
      <w:r w:rsidR="00D577E7">
        <w:t xml:space="preserve">has been </w:t>
      </w:r>
      <w:r w:rsidRPr="00CB4ED1">
        <w:t xml:space="preserve">incorporated into </w:t>
      </w:r>
      <w:r w:rsidR="00D577E7">
        <w:t xml:space="preserve">the LHP </w:t>
      </w:r>
      <w:r w:rsidRPr="00CB4ED1">
        <w:t xml:space="preserve">model. At UHD, </w:t>
      </w:r>
      <w:r w:rsidR="00D577E7">
        <w:t>the team</w:t>
      </w:r>
      <w:r w:rsidRPr="00CB4ED1">
        <w:t xml:space="preserve"> explored their infrastructure, including barn theatres, ultimately deciding against this model in favour of a more traditional layout that better supports clinical workflows, patient privacy standards and resilience. One Welbeck highlighted the need for standardisation of room space and importance of smart use of space and materials.</w:t>
      </w:r>
    </w:p>
    <w:p w14:paraId="4D1966D4" w14:textId="70641A8B" w:rsidR="000710B6" w:rsidRPr="00CB4ED1" w:rsidRDefault="000710B6" w:rsidP="000710B6">
      <w:r w:rsidRPr="00CB4ED1">
        <w:t xml:space="preserve">These insights, along with many others, have directly influenced the design and delivery of </w:t>
      </w:r>
      <w:r w:rsidR="00D577E7">
        <w:t xml:space="preserve">the </w:t>
      </w:r>
      <w:r w:rsidRPr="00CB4ED1">
        <w:t>unit</w:t>
      </w:r>
      <w:r w:rsidR="00D577E7">
        <w:t xml:space="preserve"> at LHP</w:t>
      </w:r>
      <w:r w:rsidRPr="00CB4ED1">
        <w:t>. The infrastructure has been purposefully developed to support the clinical model, ensuring optimal patient flow, efficient use of resources, and optimal outcomes</w:t>
      </w:r>
    </w:p>
    <w:p w14:paraId="628ABD30" w14:textId="340A2357" w:rsidR="000710B6" w:rsidRPr="00CB4ED1" w:rsidRDefault="000710B6" w:rsidP="000710B6">
      <w:pPr>
        <w:pStyle w:val="Caption"/>
        <w:rPr>
          <w:noProof w:val="0"/>
        </w:rPr>
      </w:pPr>
      <w:bookmarkStart w:id="36" w:name="_Toc213865283"/>
      <w:r w:rsidRPr="00CB4ED1">
        <w:rPr>
          <w:noProof w:val="0"/>
        </w:rPr>
        <w:t xml:space="preserve">Table </w:t>
      </w:r>
      <w:r w:rsidRPr="00CB4ED1">
        <w:rPr>
          <w:noProof w:val="0"/>
        </w:rPr>
        <w:fldChar w:fldCharType="begin"/>
      </w:r>
      <w:r w:rsidRPr="00CB4ED1">
        <w:rPr>
          <w:noProof w:val="0"/>
        </w:rPr>
        <w:instrText xml:space="preserve"> SEQ Table \* ARABIC </w:instrText>
      </w:r>
      <w:r w:rsidRPr="00CB4ED1">
        <w:rPr>
          <w:noProof w:val="0"/>
        </w:rPr>
        <w:fldChar w:fldCharType="separate"/>
      </w:r>
      <w:r w:rsidR="004A33ED">
        <w:t>3</w:t>
      </w:r>
      <w:r w:rsidRPr="00CB4ED1">
        <w:rPr>
          <w:noProof w:val="0"/>
        </w:rPr>
        <w:fldChar w:fldCharType="end"/>
      </w:r>
      <w:r w:rsidRPr="00CB4ED1">
        <w:rPr>
          <w:noProof w:val="0"/>
        </w:rPr>
        <w:t xml:space="preserve"> - Engagement undertaken so far</w:t>
      </w:r>
      <w:bookmarkEnd w:id="36"/>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1964"/>
        <w:gridCol w:w="1964"/>
        <w:gridCol w:w="1964"/>
        <w:gridCol w:w="1964"/>
        <w:gridCol w:w="1965"/>
      </w:tblGrid>
      <w:tr w:rsidR="000710B6" w:rsidRPr="00CB4ED1" w14:paraId="1C8ECB82" w14:textId="77777777" w:rsidTr="00377EA9">
        <w:tc>
          <w:tcPr>
            <w:tcW w:w="1964" w:type="dxa"/>
            <w:shd w:val="clear" w:color="auto" w:fill="374264" w:themeFill="text2"/>
            <w:vAlign w:val="center"/>
          </w:tcPr>
          <w:p w14:paraId="7F88C309" w14:textId="77777777" w:rsidR="000710B6" w:rsidRPr="00CB4ED1" w:rsidRDefault="000710B6" w:rsidP="00377EA9">
            <w:pPr>
              <w:pStyle w:val="tabletext"/>
              <w:rPr>
                <w:b/>
                <w:bCs/>
                <w:color w:val="FFFFFF" w:themeColor="background1"/>
              </w:rPr>
            </w:pPr>
            <w:r w:rsidRPr="00CB4ED1">
              <w:rPr>
                <w:b/>
                <w:bCs/>
                <w:color w:val="FFFFFF" w:themeColor="background1"/>
              </w:rPr>
              <w:t>Visits</w:t>
            </w:r>
          </w:p>
        </w:tc>
        <w:tc>
          <w:tcPr>
            <w:tcW w:w="1964" w:type="dxa"/>
            <w:shd w:val="clear" w:color="auto" w:fill="374264" w:themeFill="text2"/>
            <w:vAlign w:val="center"/>
          </w:tcPr>
          <w:p w14:paraId="3CAF1FFD" w14:textId="77777777" w:rsidR="000710B6" w:rsidRPr="00CB4ED1" w:rsidRDefault="000710B6" w:rsidP="00377EA9">
            <w:pPr>
              <w:pStyle w:val="tabletext"/>
              <w:rPr>
                <w:b/>
                <w:bCs/>
                <w:color w:val="FFFFFF" w:themeColor="background1"/>
              </w:rPr>
            </w:pPr>
            <w:r w:rsidRPr="00CB4ED1">
              <w:rPr>
                <w:b/>
                <w:bCs/>
                <w:color w:val="FFFFFF" w:themeColor="background1"/>
              </w:rPr>
              <w:t>Meetings</w:t>
            </w:r>
          </w:p>
        </w:tc>
        <w:tc>
          <w:tcPr>
            <w:tcW w:w="1964" w:type="dxa"/>
            <w:shd w:val="clear" w:color="auto" w:fill="374264" w:themeFill="text2"/>
            <w:vAlign w:val="center"/>
          </w:tcPr>
          <w:p w14:paraId="256B0028" w14:textId="77777777" w:rsidR="000710B6" w:rsidRPr="00CB4ED1" w:rsidRDefault="000710B6" w:rsidP="00377EA9">
            <w:pPr>
              <w:pStyle w:val="tabletext"/>
              <w:rPr>
                <w:b/>
                <w:bCs/>
                <w:color w:val="FFFFFF" w:themeColor="background1"/>
              </w:rPr>
            </w:pPr>
            <w:r w:rsidRPr="00CB4ED1">
              <w:rPr>
                <w:b/>
                <w:bCs/>
                <w:color w:val="FFFFFF" w:themeColor="background1"/>
              </w:rPr>
              <w:t>Workshops</w:t>
            </w:r>
          </w:p>
        </w:tc>
        <w:tc>
          <w:tcPr>
            <w:tcW w:w="1964" w:type="dxa"/>
            <w:shd w:val="clear" w:color="auto" w:fill="374264" w:themeFill="text2"/>
            <w:vAlign w:val="center"/>
          </w:tcPr>
          <w:p w14:paraId="14F1D0CE" w14:textId="4637E698" w:rsidR="000710B6" w:rsidRPr="00CB4ED1" w:rsidRDefault="000710B6" w:rsidP="00377EA9">
            <w:pPr>
              <w:pStyle w:val="tabletext"/>
              <w:rPr>
                <w:b/>
                <w:bCs/>
                <w:color w:val="FFFFFF" w:themeColor="background1"/>
              </w:rPr>
            </w:pPr>
            <w:r w:rsidRPr="00CB4ED1">
              <w:rPr>
                <w:b/>
                <w:bCs/>
                <w:color w:val="FFFFFF" w:themeColor="background1"/>
              </w:rPr>
              <w:t xml:space="preserve">Regional </w:t>
            </w:r>
            <w:r w:rsidR="00A157C0" w:rsidRPr="00CB4ED1">
              <w:rPr>
                <w:b/>
                <w:bCs/>
                <w:color w:val="FFFFFF" w:themeColor="background1"/>
              </w:rPr>
              <w:t>workstreams</w:t>
            </w:r>
          </w:p>
        </w:tc>
        <w:tc>
          <w:tcPr>
            <w:tcW w:w="1965" w:type="dxa"/>
            <w:shd w:val="clear" w:color="auto" w:fill="374264" w:themeFill="text2"/>
            <w:vAlign w:val="center"/>
          </w:tcPr>
          <w:p w14:paraId="1BE4333F" w14:textId="77777777" w:rsidR="000710B6" w:rsidRPr="00CB4ED1" w:rsidRDefault="000710B6" w:rsidP="00377EA9">
            <w:pPr>
              <w:pStyle w:val="tabletext"/>
              <w:rPr>
                <w:b/>
                <w:bCs/>
                <w:color w:val="FFFFFF" w:themeColor="background1"/>
              </w:rPr>
            </w:pPr>
            <w:r w:rsidRPr="00CB4ED1">
              <w:rPr>
                <w:b/>
                <w:bCs/>
                <w:color w:val="FFFFFF" w:themeColor="background1"/>
              </w:rPr>
              <w:t>Consultations</w:t>
            </w:r>
          </w:p>
        </w:tc>
      </w:tr>
      <w:tr w:rsidR="000710B6" w:rsidRPr="00CB4ED1" w14:paraId="2F84EC46" w14:textId="77777777" w:rsidTr="00377EA9">
        <w:tc>
          <w:tcPr>
            <w:tcW w:w="1964" w:type="dxa"/>
          </w:tcPr>
          <w:p w14:paraId="2D2208FA" w14:textId="77777777" w:rsidR="000710B6" w:rsidRPr="00CB4ED1" w:rsidRDefault="000710B6" w:rsidP="00377EA9">
            <w:pPr>
              <w:pStyle w:val="tablebulletsLHP"/>
            </w:pPr>
            <w:r w:rsidRPr="00CB4ED1">
              <w:t>Poole</w:t>
            </w:r>
          </w:p>
          <w:p w14:paraId="0DBF34FE" w14:textId="77777777" w:rsidR="000710B6" w:rsidRPr="00CB4ED1" w:rsidRDefault="000710B6" w:rsidP="00377EA9">
            <w:pPr>
              <w:pStyle w:val="tablebulletsLHP"/>
            </w:pPr>
            <w:r w:rsidRPr="00CB4ED1">
              <w:t>SWLEOC</w:t>
            </w:r>
          </w:p>
          <w:p w14:paraId="7B60A366" w14:textId="77777777" w:rsidR="000710B6" w:rsidRPr="00CB4ED1" w:rsidRDefault="000710B6" w:rsidP="00377EA9">
            <w:pPr>
              <w:pStyle w:val="tablebulletsLHP"/>
            </w:pPr>
            <w:r w:rsidRPr="00CB4ED1">
              <w:t>SWAOC</w:t>
            </w:r>
          </w:p>
          <w:p w14:paraId="456989EC" w14:textId="77777777" w:rsidR="000710B6" w:rsidRPr="00CB4ED1" w:rsidRDefault="000710B6" w:rsidP="00377EA9">
            <w:pPr>
              <w:pStyle w:val="tablebulletsLHP"/>
            </w:pPr>
            <w:r w:rsidRPr="00CB4ED1">
              <w:t>One Welbeck</w:t>
            </w:r>
          </w:p>
          <w:p w14:paraId="7CDD04F6" w14:textId="4FF75941" w:rsidR="000710B6" w:rsidRPr="00CB4ED1" w:rsidRDefault="000710B6" w:rsidP="00377EA9">
            <w:pPr>
              <w:pStyle w:val="tablebulletsLHP"/>
            </w:pPr>
            <w:r w:rsidRPr="00CB4ED1">
              <w:t>ESEOC</w:t>
            </w:r>
            <w:r w:rsidR="00A157C0">
              <w:t>.</w:t>
            </w:r>
          </w:p>
        </w:tc>
        <w:tc>
          <w:tcPr>
            <w:tcW w:w="1964" w:type="dxa"/>
          </w:tcPr>
          <w:p w14:paraId="46145697" w14:textId="77777777" w:rsidR="000710B6" w:rsidRPr="00CB4ED1" w:rsidRDefault="000710B6" w:rsidP="00377EA9">
            <w:pPr>
              <w:pStyle w:val="tablebulletsLHP"/>
            </w:pPr>
            <w:r w:rsidRPr="00CB4ED1">
              <w:t>SEW Regional Orthopaedic Board</w:t>
            </w:r>
          </w:p>
          <w:p w14:paraId="154AB733" w14:textId="77777777" w:rsidR="000710B6" w:rsidRPr="00CB4ED1" w:rsidRDefault="000710B6" w:rsidP="00377EA9">
            <w:pPr>
              <w:pStyle w:val="tablebulletsLHP"/>
            </w:pPr>
            <w:r w:rsidRPr="00CB4ED1">
              <w:t>Orthopaedic CIN</w:t>
            </w:r>
          </w:p>
          <w:p w14:paraId="6E62D8EB" w14:textId="77777777" w:rsidR="000710B6" w:rsidRPr="00CB4ED1" w:rsidRDefault="000710B6" w:rsidP="00377EA9">
            <w:pPr>
              <w:pStyle w:val="tablebulletsLHP"/>
            </w:pPr>
            <w:r w:rsidRPr="00CB4ED1">
              <w:t>Anaesthetic CIN</w:t>
            </w:r>
          </w:p>
          <w:p w14:paraId="6128B4D1" w14:textId="1741BCDE" w:rsidR="000710B6" w:rsidRPr="00CB4ED1" w:rsidRDefault="000710B6" w:rsidP="00377EA9">
            <w:pPr>
              <w:pStyle w:val="tablebulletsLHP"/>
            </w:pPr>
            <w:r w:rsidRPr="00CB4ED1">
              <w:t>National Planned Care Program</w:t>
            </w:r>
            <w:r w:rsidR="00A157C0">
              <w:t>.</w:t>
            </w:r>
          </w:p>
        </w:tc>
        <w:tc>
          <w:tcPr>
            <w:tcW w:w="1964" w:type="dxa"/>
          </w:tcPr>
          <w:p w14:paraId="71ADA318" w14:textId="77777777" w:rsidR="000710B6" w:rsidRPr="00CB4ED1" w:rsidRDefault="000710B6" w:rsidP="00377EA9">
            <w:pPr>
              <w:pStyle w:val="tablebulletsLHP"/>
            </w:pPr>
            <w:r w:rsidRPr="00CB4ED1">
              <w:t xml:space="preserve">SEW Regional Orthopaedic programme workshops. </w:t>
            </w:r>
          </w:p>
          <w:p w14:paraId="2D56C283" w14:textId="35EE6FBF" w:rsidR="000710B6" w:rsidRPr="00CB4ED1" w:rsidRDefault="000710B6" w:rsidP="00377EA9">
            <w:pPr>
              <w:pStyle w:val="tablebulletsLHP"/>
            </w:pPr>
            <w:r w:rsidRPr="00CB4ED1">
              <w:t>LHP Arthroplasty Pathway Development Workshop</w:t>
            </w:r>
            <w:r w:rsidR="00A157C0">
              <w:t>.</w:t>
            </w:r>
          </w:p>
        </w:tc>
        <w:tc>
          <w:tcPr>
            <w:tcW w:w="1964" w:type="dxa"/>
          </w:tcPr>
          <w:p w14:paraId="7470D98D" w14:textId="77777777" w:rsidR="000710B6" w:rsidRPr="00CB4ED1" w:rsidRDefault="000710B6" w:rsidP="00377EA9">
            <w:pPr>
              <w:pStyle w:val="tablebulletsLHP"/>
            </w:pPr>
            <w:r w:rsidRPr="00CB4ED1">
              <w:t xml:space="preserve">Arthroplasty </w:t>
            </w:r>
          </w:p>
          <w:p w14:paraId="2856FEBE" w14:textId="77777777" w:rsidR="000710B6" w:rsidRPr="00CB4ED1" w:rsidRDefault="000710B6" w:rsidP="00377EA9">
            <w:pPr>
              <w:pStyle w:val="tablebulletsLHP"/>
            </w:pPr>
            <w:r w:rsidRPr="00CB4ED1">
              <w:t xml:space="preserve">Anaesthetic </w:t>
            </w:r>
          </w:p>
          <w:p w14:paraId="2C779711" w14:textId="417B656A" w:rsidR="000710B6" w:rsidRPr="00CB4ED1" w:rsidRDefault="000710B6" w:rsidP="00377EA9">
            <w:pPr>
              <w:pStyle w:val="tablebulletsLHP"/>
            </w:pPr>
            <w:r w:rsidRPr="00CB4ED1">
              <w:t>Therapies</w:t>
            </w:r>
            <w:r w:rsidR="00A157C0">
              <w:t>.</w:t>
            </w:r>
          </w:p>
        </w:tc>
        <w:tc>
          <w:tcPr>
            <w:tcW w:w="1965" w:type="dxa"/>
          </w:tcPr>
          <w:p w14:paraId="02EB2B11" w14:textId="77777777" w:rsidR="000710B6" w:rsidRPr="00CB4ED1" w:rsidRDefault="000710B6" w:rsidP="00377EA9">
            <w:pPr>
              <w:pStyle w:val="tablebulletsLHP"/>
            </w:pPr>
            <w:r w:rsidRPr="00CB4ED1">
              <w:t>Staggered admission</w:t>
            </w:r>
          </w:p>
          <w:p w14:paraId="12DFCE05" w14:textId="77777777" w:rsidR="000710B6" w:rsidRPr="00CB4ED1" w:rsidRDefault="000710B6" w:rsidP="00377EA9">
            <w:pPr>
              <w:pStyle w:val="tablebulletsLHP"/>
            </w:pPr>
            <w:r w:rsidRPr="00CB4ED1">
              <w:t xml:space="preserve">Regional Health Screening questionnaire. </w:t>
            </w:r>
          </w:p>
          <w:p w14:paraId="2EEF5B0E" w14:textId="77777777" w:rsidR="000710B6" w:rsidRPr="00CB4ED1" w:rsidRDefault="000710B6" w:rsidP="00377EA9">
            <w:pPr>
              <w:pStyle w:val="tablebulletsLHP"/>
            </w:pPr>
            <w:r w:rsidRPr="00CB4ED1">
              <w:t>Arthroplasty development.</w:t>
            </w:r>
          </w:p>
        </w:tc>
      </w:tr>
    </w:tbl>
    <w:p w14:paraId="1968F826" w14:textId="77777777" w:rsidR="000710B6" w:rsidRPr="00CB4ED1" w:rsidRDefault="000710B6" w:rsidP="000710B6">
      <w:pPr>
        <w:rPr>
          <w:rFonts w:ascii="Tahoma" w:hAnsi="Tahoma" w:cs="Tahoma"/>
        </w:rPr>
      </w:pPr>
    </w:p>
    <w:p w14:paraId="6B047E8D" w14:textId="77777777" w:rsidR="000710B6" w:rsidRPr="00CB4ED1" w:rsidRDefault="000710B6" w:rsidP="000710B6">
      <w:pPr>
        <w:pStyle w:val="Heading4"/>
      </w:pPr>
      <w:r w:rsidRPr="00CB4ED1">
        <w:t>One Welbeck</w:t>
      </w:r>
    </w:p>
    <w:p w14:paraId="2677E2A2" w14:textId="15A13508" w:rsidR="000710B6" w:rsidRPr="00CB4ED1" w:rsidRDefault="000710B6" w:rsidP="000710B6">
      <w:r w:rsidRPr="00CB4ED1">
        <w:t>In the initial phases of the LHP development, a team of senior clinicians, infrastructure, operational, digital and programme management representatives visited One</w:t>
      </w:r>
      <w:r w:rsidR="00431B48">
        <w:t xml:space="preserve"> </w:t>
      </w:r>
      <w:r w:rsidRPr="00CB4ED1">
        <w:t>Welbeck, one of the UK’s largest and most advanced specialist outpatient healthcare centres. Located in central London, One</w:t>
      </w:r>
      <w:r w:rsidR="00431B48">
        <w:t xml:space="preserve"> </w:t>
      </w:r>
      <w:r w:rsidRPr="00CB4ED1">
        <w:t>Welbeck is an excellent example of modern, patient-centred approach to diagnostics, treatment, and day case surgery. The centre was built in an existing building, in-line with our initial plan to repurpose the existing British Airways buildings on the LHP site.</w:t>
      </w:r>
    </w:p>
    <w:p w14:paraId="603E1A9F" w14:textId="77777777" w:rsidR="000710B6" w:rsidRPr="00CB4ED1" w:rsidRDefault="000710B6" w:rsidP="000710B6">
      <w:r w:rsidRPr="00CB4ED1">
        <w:t>The facility is purpose built to deliver high quality, consultant led care across more than 14 specialties, including cardiology, gastroenterology, orthopaedics, ENT and dermatology.</w:t>
      </w:r>
    </w:p>
    <w:p w14:paraId="49902153" w14:textId="37E2DF67" w:rsidR="000710B6" w:rsidRPr="00CB4ED1" w:rsidRDefault="000710B6" w:rsidP="000710B6">
      <w:r w:rsidRPr="00CB4ED1">
        <w:t>Key features of One</w:t>
      </w:r>
      <w:r w:rsidR="00431B48">
        <w:t xml:space="preserve"> </w:t>
      </w:r>
      <w:r w:rsidRPr="00CB4ED1">
        <w:t>Welbeck that informed the development of model include:</w:t>
      </w:r>
    </w:p>
    <w:p w14:paraId="395B45A5" w14:textId="5F27ECD3" w:rsidR="000710B6" w:rsidRPr="00CB4ED1" w:rsidRDefault="000710B6" w:rsidP="000710B6">
      <w:pPr>
        <w:pStyle w:val="bullets1"/>
      </w:pPr>
      <w:r w:rsidRPr="00CB4ED1">
        <w:t>Co-location of outpatient and diagnostic facilities whereby patients can receive consultation, diagnostics, and results within the same day, streamlining the care journey and reducing delays</w:t>
      </w:r>
    </w:p>
    <w:p w14:paraId="7D8B9245" w14:textId="19B54F2B" w:rsidR="000710B6" w:rsidRPr="00CB4ED1" w:rsidRDefault="000710B6" w:rsidP="000710B6">
      <w:pPr>
        <w:pStyle w:val="bullets1"/>
      </w:pPr>
      <w:r w:rsidRPr="00CB4ED1">
        <w:t>Use of advanced digital infrastructure for imaging, diagnostics, and patient engagement, supporting both clinical and operational efficiency</w:t>
      </w:r>
    </w:p>
    <w:p w14:paraId="6E775E45" w14:textId="5BAAE967" w:rsidR="000710B6" w:rsidRPr="00CB4ED1" w:rsidRDefault="000710B6" w:rsidP="000710B6">
      <w:pPr>
        <w:pStyle w:val="bullets1"/>
      </w:pPr>
      <w:r w:rsidRPr="00CB4ED1">
        <w:lastRenderedPageBreak/>
        <w:t>The environment is designed to be welcoming, with a strong emphasis on comfort, privacy and efficiency</w:t>
      </w:r>
    </w:p>
    <w:p w14:paraId="74686AFC" w14:textId="46C90AE1" w:rsidR="000710B6" w:rsidRPr="00CB4ED1" w:rsidRDefault="000710B6" w:rsidP="000710B6">
      <w:pPr>
        <w:pStyle w:val="bullets1"/>
      </w:pPr>
      <w:r w:rsidRPr="00CB4ED1">
        <w:t>Outpatient spaces are standardised which supports efficiency, reducing variation, and enabling flexible use across specialties</w:t>
      </w:r>
    </w:p>
    <w:p w14:paraId="64DD315E" w14:textId="77777777" w:rsidR="000710B6" w:rsidRPr="00CB4ED1" w:rsidRDefault="000710B6" w:rsidP="000710B6">
      <w:pPr>
        <w:pStyle w:val="bullets1"/>
      </w:pPr>
      <w:r w:rsidRPr="00CB4ED1">
        <w:t>While the facility is highly efficient, the visit highlighted the operational challenges posed by insufficient clinical storage. This highlighted the importance of incorporating adequate, accessible storage solutions in our own infrastructure planning.</w:t>
      </w:r>
    </w:p>
    <w:p w14:paraId="14BBCBAD" w14:textId="77777777" w:rsidR="000710B6" w:rsidRPr="00CB4ED1" w:rsidRDefault="000710B6" w:rsidP="000710B6">
      <w:pPr>
        <w:pStyle w:val="NoSpacing"/>
      </w:pPr>
    </w:p>
    <w:p w14:paraId="03816E3D" w14:textId="49F22704" w:rsidR="000710B6" w:rsidRPr="00CB4ED1" w:rsidRDefault="000710B6" w:rsidP="000710B6">
      <w:pPr>
        <w:rPr>
          <w:rFonts w:cs="Arial"/>
        </w:rPr>
      </w:pPr>
      <w:r w:rsidRPr="00CB4ED1">
        <w:rPr>
          <w:rFonts w:cs="Arial"/>
        </w:rPr>
        <w:t>The visit provided valuable insights into how infrastructure, clinical design, and operational processes can be aligned to deliver efficient, high</w:t>
      </w:r>
      <w:r w:rsidR="00E423C9">
        <w:rPr>
          <w:rFonts w:cs="Arial"/>
        </w:rPr>
        <w:t>-</w:t>
      </w:r>
      <w:r w:rsidRPr="00CB4ED1">
        <w:rPr>
          <w:rFonts w:cs="Arial"/>
        </w:rPr>
        <w:t xml:space="preserve">quality care. The learning has directly influenced </w:t>
      </w:r>
      <w:r w:rsidR="00D577E7">
        <w:rPr>
          <w:rFonts w:cs="Arial"/>
        </w:rPr>
        <w:t xml:space="preserve">the LHP </w:t>
      </w:r>
      <w:r w:rsidRPr="00CB4ED1">
        <w:rPr>
          <w:rFonts w:cs="Arial"/>
        </w:rPr>
        <w:t>model, particularly in the areas of pathway integration, digital enablement, and infrastructure design.</w:t>
      </w:r>
    </w:p>
    <w:p w14:paraId="176ECB17" w14:textId="77777777" w:rsidR="000710B6" w:rsidRPr="00CB4ED1" w:rsidRDefault="000710B6" w:rsidP="000710B6">
      <w:pPr>
        <w:pStyle w:val="Heading4"/>
      </w:pPr>
      <w:r w:rsidRPr="00CB4ED1">
        <w:t>University Hospitals Dorset NHS Foundation Trust</w:t>
      </w:r>
    </w:p>
    <w:p w14:paraId="1071FC49" w14:textId="77777777" w:rsidR="000710B6" w:rsidRPr="00CB4ED1" w:rsidRDefault="000710B6" w:rsidP="000710B6">
      <w:r w:rsidRPr="00CB4ED1">
        <w:t>University Hospitals Dorset NHS Foundation Trust (UHD) was established in October 2020 following the merger of Poole Hospital, the Royal Bournemouth Hospital, and Christchurch Hospital. Located on the south coast of England, the Trust serves a diverse population of over 800,000 people across Bournemouth, Poole, Christchurch, east Dorset, Purbeck, and parts of the New Forest and South Wiltshire. With more than 9,000 staff, UHD provides a wide range of acute and specialist services, including cancer care, cardiology, trauma, and orthopaedics.</w:t>
      </w:r>
    </w:p>
    <w:p w14:paraId="7FE84891" w14:textId="77777777" w:rsidR="000710B6" w:rsidRPr="00CB4ED1" w:rsidRDefault="000710B6" w:rsidP="000710B6">
      <w:r w:rsidRPr="00CB4ED1">
        <w:t xml:space="preserve">Poole Hospital, one of the Trust’s three main sites, is a long established acute general hospital and the designated trauma unit for east Dorset, serving a population of approximately 500,000 people. </w:t>
      </w:r>
    </w:p>
    <w:p w14:paraId="0D34F0E5" w14:textId="77777777" w:rsidR="000710B6" w:rsidRPr="00CB4ED1" w:rsidRDefault="000710B6" w:rsidP="000710B6">
      <w:r w:rsidRPr="00CB4ED1">
        <w:t>As part of UHD’s strategic transformation programme, Poole Hospital is being developed into the region’s major planned care hospital, focusing on elective procedures, and protected from emergency pressures. A key component of this transformation is the recent opening of a surgical hub, which includes five-storey extension housing eight new operating theatres. Among these is an open plan ‘barn’ theatre, designed to improve surgical efficiency, enhance teamwork, and reduce waiting times for elective orthopaedic procedures.</w:t>
      </w:r>
    </w:p>
    <w:p w14:paraId="430A2B60" w14:textId="05D58ED7" w:rsidR="000710B6" w:rsidRPr="00CB4ED1" w:rsidRDefault="00D577E7" w:rsidP="000710B6">
      <w:r>
        <w:t>A team</w:t>
      </w:r>
      <w:r w:rsidR="000710B6" w:rsidRPr="00CB4ED1">
        <w:t xml:space="preserve"> </w:t>
      </w:r>
      <w:r>
        <w:t>comprising</w:t>
      </w:r>
      <w:r w:rsidR="000710B6" w:rsidRPr="00CB4ED1">
        <w:t xml:space="preserve"> clinicians, infrastructure programme leads, architects, and estates colleagues attended Poole Hospital to explore this new facility and gain insights into its design, functionality, and potential impact on elective care delivery.</w:t>
      </w:r>
    </w:p>
    <w:p w14:paraId="782EE5D4" w14:textId="561DFFB2" w:rsidR="000710B6" w:rsidRPr="00CB4ED1" w:rsidRDefault="000710B6" w:rsidP="000710B6">
      <w:r w:rsidRPr="00CB4ED1">
        <w:t xml:space="preserve">The primary aim of </w:t>
      </w:r>
      <w:r w:rsidR="00D577E7">
        <w:t>the</w:t>
      </w:r>
      <w:r w:rsidRPr="00CB4ED1">
        <w:t xml:space="preserve"> visit was to explore their implementation of barn theatres and understand the practical implications of operating in an open plan surgical environment. </w:t>
      </w:r>
      <w:r w:rsidR="00D577E7">
        <w:t xml:space="preserve">Key focus was </w:t>
      </w:r>
      <w:proofErr w:type="gramStart"/>
      <w:r w:rsidR="00D577E7">
        <w:t xml:space="preserve">on </w:t>
      </w:r>
      <w:r w:rsidRPr="00CB4ED1">
        <w:t xml:space="preserve"> how</w:t>
      </w:r>
      <w:proofErr w:type="gramEnd"/>
      <w:r w:rsidRPr="00CB4ED1">
        <w:t xml:space="preserve"> the team maintained patient dignity despite the lack of physical barriers between operating spaces. Through thoughtful design and workflow management, they ensured privacy and comfort for patients throughout their surgical journey.</w:t>
      </w:r>
    </w:p>
    <w:p w14:paraId="3A33DBB2" w14:textId="5C91701E" w:rsidR="000710B6" w:rsidRPr="00CB4ED1" w:rsidRDefault="00D577E7" w:rsidP="000710B6">
      <w:r>
        <w:t>The LHP team</w:t>
      </w:r>
      <w:r w:rsidR="000710B6" w:rsidRPr="00CB4ED1">
        <w:t xml:space="preserve"> gained valuable insight into how infection control risks were managed between patients in a shared space. </w:t>
      </w:r>
      <w:r>
        <w:t>The hosts</w:t>
      </w:r>
      <w:r w:rsidR="000710B6" w:rsidRPr="00CB4ED1">
        <w:t xml:space="preserve"> demonstrated clear protocols and practices that mitigated cross-contamination. Similarly, radiation safety precautions specific to barn operating theatres were taken when X-ray imaging was used, ensuring both patient and staff safety.</w:t>
      </w:r>
    </w:p>
    <w:p w14:paraId="728001DE" w14:textId="77777777" w:rsidR="000710B6" w:rsidRPr="00CB4ED1" w:rsidRDefault="000710B6" w:rsidP="000710B6">
      <w:r w:rsidRPr="00CB4ED1">
        <w:t xml:space="preserve">Theatre etiquette was another area of learning, particularly around managing noise levels and the use of music. The team had established norms that balanced a positive working atmosphere with professionalism and respect for individual choice around the provision of music or not, with the default position being no music. </w:t>
      </w:r>
    </w:p>
    <w:p w14:paraId="33D4A96B" w14:textId="77777777" w:rsidR="000710B6" w:rsidRPr="00CB4ED1" w:rsidRDefault="000710B6" w:rsidP="000710B6">
      <w:r w:rsidRPr="00CB4ED1">
        <w:t xml:space="preserve">The barn theatre layout also offered significant benefits in terms of supervision and training. Trainees across all disciplines were more easily observed and supported, enhancing the learning environment. Working in an open-plan space also enabled teams to support one another more readily, improving communication and responsiveness. </w:t>
      </w:r>
    </w:p>
    <w:p w14:paraId="00744CCF" w14:textId="77777777" w:rsidR="000710B6" w:rsidRPr="00CB4ED1" w:rsidRDefault="000710B6" w:rsidP="000710B6">
      <w:r w:rsidRPr="00CB4ED1">
        <w:lastRenderedPageBreak/>
        <w:t>However, the visit also highlighted several operational challenges. Servicing individual ventilation units was complex, and any maintenance work had the potential to disrupt multiple theatres. Accessing a specific theatre for maintenance during operating hours was particularly difficult, and the environmental impact was notable since all four ventilation units had to run continuously to maintain airflow, unlike traditional theatres which can be set back when not in use.</w:t>
      </w:r>
    </w:p>
    <w:p w14:paraId="08B35A00" w14:textId="171813B9" w:rsidR="000710B6" w:rsidRPr="00CB4ED1" w:rsidRDefault="000710B6" w:rsidP="000710B6">
      <w:r w:rsidRPr="00CB4ED1">
        <w:t xml:space="preserve">These insights were instrumental in informing </w:t>
      </w:r>
      <w:r w:rsidR="00D577E7">
        <w:t>the</w:t>
      </w:r>
      <w:r w:rsidRPr="00CB4ED1">
        <w:t xml:space="preserve"> options appraisal for theatre architecture. While </w:t>
      </w:r>
      <w:r w:rsidR="00D577E7">
        <w:t xml:space="preserve">the LHP Programme </w:t>
      </w:r>
      <w:r w:rsidRPr="00CB4ED1">
        <w:t xml:space="preserve">ultimately chose to pursue a traditional theatre design, </w:t>
      </w:r>
      <w:r w:rsidR="00D577E7">
        <w:t>this</w:t>
      </w:r>
      <w:r w:rsidRPr="00CB4ED1">
        <w:t xml:space="preserve"> decision making was significantly strengthened by the lived experience and practical knowledge shared by the Poole team.</w:t>
      </w:r>
    </w:p>
    <w:p w14:paraId="63905956" w14:textId="6C358598" w:rsidR="000710B6" w:rsidRPr="00CB4ED1" w:rsidRDefault="000710B6" w:rsidP="000710B6">
      <w:r w:rsidRPr="00CB4ED1">
        <w:t xml:space="preserve">Beyond the barn theatre insights, the visit highlighted the importance of adequate storage. Clear corridors free from clutter were essential for safety and efficiency, and this observation directly influenced </w:t>
      </w:r>
      <w:r w:rsidR="00D577E7">
        <w:t>the</w:t>
      </w:r>
      <w:r w:rsidRPr="00CB4ED1">
        <w:t xml:space="preserve"> storage space allocation strategy across LHP.</w:t>
      </w:r>
    </w:p>
    <w:p w14:paraId="33C02B72" w14:textId="77777777" w:rsidR="000710B6" w:rsidRPr="00CB4ED1" w:rsidRDefault="000710B6" w:rsidP="000710B6">
      <w:pPr>
        <w:pStyle w:val="Heading4"/>
      </w:pPr>
      <w:r w:rsidRPr="00CB4ED1">
        <w:t>South West Ambulatory Orthopaedic Centre (SWAOC)</w:t>
      </w:r>
    </w:p>
    <w:p w14:paraId="6E4F857C" w14:textId="77777777" w:rsidR="000710B6" w:rsidRPr="00CB4ED1" w:rsidRDefault="000710B6" w:rsidP="000710B6">
      <w:r w:rsidRPr="00CB4ED1">
        <w:t>SWAOC is a specialist elective surgical hub located at the NHS Nightingale Hospital Exeter, part of the Royal Devon University Healthcare NHS Foundation Trust. Originally established in 2020 as part of the national response to the COVID-19 pandemic, the Nightingale Exeter was one of several temporary hospitals designed to provide additional capacity for treating patients with coronavirus. Following its decommissioning as a COVID-19 facility, the site was repurposed into an elective care centre to help address the growing backlog of planned procedures across the South West. SWAOC officially opened in March 2022 and has since become a GIRFT-accredited surgical hub, recognised nationally for its innovative clinical pathways, excellent outcomes and patient satisfaction.</w:t>
      </w:r>
    </w:p>
    <w:p w14:paraId="7BC0D46A" w14:textId="77777777" w:rsidR="000710B6" w:rsidRPr="00CB4ED1" w:rsidRDefault="000710B6" w:rsidP="000710B6">
      <w:r w:rsidRPr="00CB4ED1">
        <w:t>The centre features two operating theatres dedicated to day case and short stay orthopaedic procedures, including hip, knee, foot, ankle, and spinal surgery. It serves patients from across Devon, Cornwall, Somerset, and the wider South West region, supporting multiple NHS Trusts including Royal Devon, Torbay and South Devon, and Somerset Foundation Trusts.</w:t>
      </w:r>
    </w:p>
    <w:p w14:paraId="2FA1D5C7" w14:textId="77777777" w:rsidR="000710B6" w:rsidRPr="00CB4ED1" w:rsidRDefault="000710B6" w:rsidP="000710B6">
      <w:pPr>
        <w:rPr>
          <w:rFonts w:cs="Arial"/>
        </w:rPr>
      </w:pPr>
      <w:r w:rsidRPr="00CB4ED1">
        <w:rPr>
          <w:rFonts w:cs="Arial"/>
        </w:rPr>
        <w:t>The transformation of the Nightingale Exeter into SWAOC was a collaborative effort involving clinicians, infrastructure programme leads, architects, and estates teams. The redesign focused on delivering high-volume, efficient, elective orthopaedic care, with a strong emphasis on same day discharge and enhanced recovery protocols. The centre has achieved excellent outcomes, including same day discharge for almost all joint replacements, and has been instrumental in reducing waiting times for patients with musculoskeletal conditions.</w:t>
      </w:r>
    </w:p>
    <w:p w14:paraId="6E930317" w14:textId="77777777" w:rsidR="000710B6" w:rsidRPr="00CB4ED1" w:rsidRDefault="000710B6" w:rsidP="000710B6">
      <w:pPr>
        <w:rPr>
          <w:rFonts w:cs="Arial"/>
        </w:rPr>
      </w:pPr>
      <w:r w:rsidRPr="00CB4ED1">
        <w:rPr>
          <w:rFonts w:cs="Arial"/>
        </w:rPr>
        <w:t>Visits were arranged based on a personal recommendation from Professor Tim Briggs. Teams comprising of Health Board Executives, clinicians, operational managers infrastructure programme leads, architects, and estates colleagues attended the site to observe the facility and understand its operational model and design principles. The history of the site and its development, along with the key principles, made this directly comparable to the development of LHP.</w:t>
      </w:r>
    </w:p>
    <w:p w14:paraId="18EA745B" w14:textId="77777777" w:rsidR="000710B6" w:rsidRPr="00CB4ED1" w:rsidRDefault="000710B6" w:rsidP="000710B6">
      <w:pPr>
        <w:rPr>
          <w:rFonts w:cs="Arial"/>
        </w:rPr>
      </w:pPr>
      <w:r w:rsidRPr="00CB4ED1">
        <w:rPr>
          <w:rFonts w:cs="Arial"/>
        </w:rPr>
        <w:t>Key elements of learning included:</w:t>
      </w:r>
    </w:p>
    <w:p w14:paraId="757E8938" w14:textId="77777777" w:rsidR="000710B6" w:rsidRPr="00CB4ED1" w:rsidRDefault="000710B6" w:rsidP="000710B6">
      <w:pPr>
        <w:pStyle w:val="bullets1"/>
      </w:pPr>
      <w:r w:rsidRPr="00CB4ED1">
        <w:t>Centralising elective orthopaedic procedures for patients with lower clinical complexity in a dedicated hub to protect planned care from emergency pressures.</w:t>
      </w:r>
    </w:p>
    <w:p w14:paraId="12631219" w14:textId="77777777" w:rsidR="000710B6" w:rsidRPr="00CB4ED1" w:rsidRDefault="000710B6" w:rsidP="000710B6">
      <w:pPr>
        <w:pStyle w:val="bullets1"/>
      </w:pPr>
      <w:r w:rsidRPr="00CB4ED1">
        <w:t>Designing facilities around patient flow and surgical efficiency.</w:t>
      </w:r>
    </w:p>
    <w:p w14:paraId="7DB9FA28" w14:textId="77777777" w:rsidR="000710B6" w:rsidRPr="00CB4ED1" w:rsidRDefault="000710B6" w:rsidP="000710B6">
      <w:pPr>
        <w:pStyle w:val="bullets2"/>
      </w:pPr>
      <w:r w:rsidRPr="00CB4ED1">
        <w:t>Admissions area where patients remain in their own clothes until 15 minutes before theatre.</w:t>
      </w:r>
    </w:p>
    <w:p w14:paraId="62BECFC2" w14:textId="77777777" w:rsidR="000710B6" w:rsidRPr="00CB4ED1" w:rsidRDefault="000710B6" w:rsidP="000710B6">
      <w:pPr>
        <w:pStyle w:val="bullets2"/>
      </w:pPr>
      <w:r w:rsidRPr="00CB4ED1">
        <w:t>Anaesthetic and prep rooms to improve theatre turnaround times.</w:t>
      </w:r>
    </w:p>
    <w:p w14:paraId="4D352FCD" w14:textId="77777777" w:rsidR="000710B6" w:rsidRPr="00CB4ED1" w:rsidRDefault="000710B6" w:rsidP="000710B6">
      <w:pPr>
        <w:pStyle w:val="bullets2"/>
      </w:pPr>
      <w:r w:rsidRPr="00CB4ED1">
        <w:t>Plain film X-ray room between recovery and the ward area.</w:t>
      </w:r>
    </w:p>
    <w:p w14:paraId="0C779BA6" w14:textId="77777777" w:rsidR="000710B6" w:rsidRPr="00CB4ED1" w:rsidRDefault="000710B6" w:rsidP="000710B6">
      <w:pPr>
        <w:pStyle w:val="bullets2"/>
      </w:pPr>
      <w:r w:rsidRPr="00CB4ED1">
        <w:t>Patient trolleys, suitable for an overnight stay, to reinforce the ambulatory model.</w:t>
      </w:r>
    </w:p>
    <w:p w14:paraId="639AF06A" w14:textId="77777777" w:rsidR="000710B6" w:rsidRPr="00CB4ED1" w:rsidRDefault="000710B6" w:rsidP="000710B6">
      <w:pPr>
        <w:pStyle w:val="bullets2"/>
      </w:pPr>
      <w:r w:rsidRPr="00CB4ED1">
        <w:t xml:space="preserve">Colocation of therapies space to maximise the physiotherapy time spent with each patient. </w:t>
      </w:r>
    </w:p>
    <w:p w14:paraId="4A060CCA" w14:textId="77777777" w:rsidR="000710B6" w:rsidRPr="00CB4ED1" w:rsidRDefault="000710B6" w:rsidP="000710B6">
      <w:pPr>
        <w:pStyle w:val="bullets2"/>
      </w:pPr>
      <w:r w:rsidRPr="00CB4ED1">
        <w:lastRenderedPageBreak/>
        <w:t>Limited provision of television and radio and visiting to allow patients to concentrate on their recovery.</w:t>
      </w:r>
    </w:p>
    <w:p w14:paraId="65258C01" w14:textId="77777777" w:rsidR="000710B6" w:rsidRPr="00CB4ED1" w:rsidRDefault="000710B6" w:rsidP="000710B6">
      <w:pPr>
        <w:pStyle w:val="bullets1"/>
      </w:pPr>
      <w:r w:rsidRPr="00CB4ED1">
        <w:t>Innovative staffing models.</w:t>
      </w:r>
    </w:p>
    <w:p w14:paraId="6C78EE68" w14:textId="77777777" w:rsidR="000710B6" w:rsidRPr="00CB4ED1" w:rsidRDefault="000710B6" w:rsidP="000710B6">
      <w:pPr>
        <w:pStyle w:val="bullets2"/>
      </w:pPr>
      <w:r w:rsidRPr="00CB4ED1">
        <w:t>Float anaesthetist</w:t>
      </w:r>
    </w:p>
    <w:p w14:paraId="765F0922" w14:textId="77777777" w:rsidR="000710B6" w:rsidRPr="00CB4ED1" w:rsidRDefault="000710B6" w:rsidP="000710B6">
      <w:pPr>
        <w:pStyle w:val="bullets2"/>
      </w:pPr>
      <w:r w:rsidRPr="00CB4ED1">
        <w:t>Nurse competencies</w:t>
      </w:r>
    </w:p>
    <w:p w14:paraId="36EE5935" w14:textId="77777777" w:rsidR="000710B6" w:rsidRPr="00CB4ED1" w:rsidRDefault="000710B6" w:rsidP="000710B6">
      <w:pPr>
        <w:pStyle w:val="bullets1"/>
      </w:pPr>
      <w:r w:rsidRPr="00CB4ED1">
        <w:t>Catering</w:t>
      </w:r>
    </w:p>
    <w:p w14:paraId="70E129D5" w14:textId="77777777" w:rsidR="000710B6" w:rsidRPr="00CB4ED1" w:rsidRDefault="000710B6" w:rsidP="000710B6">
      <w:pPr>
        <w:pStyle w:val="bullets2"/>
      </w:pPr>
      <w:r w:rsidRPr="00CB4ED1">
        <w:t>Food available 24hrs a day.</w:t>
      </w:r>
    </w:p>
    <w:p w14:paraId="090EB995" w14:textId="77777777" w:rsidR="000710B6" w:rsidRPr="00CB4ED1" w:rsidRDefault="000710B6" w:rsidP="000710B6">
      <w:pPr>
        <w:pStyle w:val="bullets2"/>
      </w:pPr>
      <w:r w:rsidRPr="00CB4ED1">
        <w:t>Patients given a drink in recovery and encouraged to eat as soon as they return to the ward.</w:t>
      </w:r>
    </w:p>
    <w:p w14:paraId="14F23D82" w14:textId="77777777" w:rsidR="000710B6" w:rsidRPr="00CB4ED1" w:rsidRDefault="000710B6" w:rsidP="000710B6">
      <w:pPr>
        <w:pStyle w:val="bullets2"/>
      </w:pPr>
      <w:r w:rsidRPr="00CB4ED1">
        <w:t>All members of staff take responsibility to offer and prepare food- this could be the nurse, physiotherapist, surgeon or anaesthetist.</w:t>
      </w:r>
    </w:p>
    <w:p w14:paraId="2C2E566E" w14:textId="77777777" w:rsidR="000710B6" w:rsidRPr="00CB4ED1" w:rsidRDefault="000710B6" w:rsidP="000710B6">
      <w:pPr>
        <w:pStyle w:val="bullets1"/>
      </w:pPr>
      <w:r w:rsidRPr="00CB4ED1">
        <w:t>Standardised clinical pathways.</w:t>
      </w:r>
    </w:p>
    <w:p w14:paraId="08B68844" w14:textId="77777777" w:rsidR="000710B6" w:rsidRPr="00CB4ED1" w:rsidRDefault="000710B6" w:rsidP="000710B6">
      <w:pPr>
        <w:pStyle w:val="bullets1"/>
      </w:pPr>
      <w:r w:rsidRPr="00CB4ED1">
        <w:t>Regional collaboration</w:t>
      </w:r>
    </w:p>
    <w:p w14:paraId="5D96450F" w14:textId="77777777" w:rsidR="000710B6" w:rsidRPr="00CB4ED1" w:rsidRDefault="000710B6" w:rsidP="000710B6">
      <w:pPr>
        <w:pStyle w:val="bullets2"/>
      </w:pPr>
      <w:r w:rsidRPr="00CB4ED1">
        <w:t>Spread of improvement from SWAOC back to base hospitals.</w:t>
      </w:r>
    </w:p>
    <w:p w14:paraId="68E43EAB" w14:textId="77777777" w:rsidR="000710B6" w:rsidRPr="00CB4ED1" w:rsidRDefault="000710B6" w:rsidP="000710B6">
      <w:pPr>
        <w:pStyle w:val="bullets1"/>
      </w:pPr>
      <w:r w:rsidRPr="00CB4ED1">
        <w:t>Patient experience</w:t>
      </w:r>
    </w:p>
    <w:p w14:paraId="17450761" w14:textId="77777777" w:rsidR="000710B6" w:rsidRPr="00CB4ED1" w:rsidRDefault="000710B6" w:rsidP="000710B6">
      <w:pPr>
        <w:pStyle w:val="bullets2"/>
      </w:pPr>
      <w:r w:rsidRPr="00CB4ED1">
        <w:t>Willingness to travel to access high quality, timely care.</w:t>
      </w:r>
    </w:p>
    <w:p w14:paraId="4E38E53C" w14:textId="77777777" w:rsidR="000710B6" w:rsidRPr="00CB4ED1" w:rsidRDefault="000710B6" w:rsidP="000710B6">
      <w:pPr>
        <w:pStyle w:val="bullets2"/>
      </w:pPr>
      <w:r w:rsidRPr="00CB4ED1">
        <w:t>Acceptance of limited visiting, allowing patients to focus on recovery and discharge.</w:t>
      </w:r>
    </w:p>
    <w:p w14:paraId="77BF1632" w14:textId="77777777" w:rsidR="000710B6" w:rsidRPr="00CB4ED1" w:rsidRDefault="000710B6" w:rsidP="000710B6">
      <w:pPr>
        <w:pStyle w:val="bullets2"/>
      </w:pPr>
      <w:r w:rsidRPr="00CB4ED1">
        <w:t>Patients prepared for same day discharge.</w:t>
      </w:r>
    </w:p>
    <w:p w14:paraId="78C36F7A" w14:textId="77777777" w:rsidR="000710B6" w:rsidRPr="00CB4ED1" w:rsidRDefault="000710B6" w:rsidP="000710B6">
      <w:pPr>
        <w:pStyle w:val="bullets2"/>
      </w:pPr>
      <w:r w:rsidRPr="00CB4ED1">
        <w:t>Competition and encouragement between patients to recover and go home.</w:t>
      </w:r>
    </w:p>
    <w:p w14:paraId="7C988A23" w14:textId="77777777" w:rsidR="000710B6" w:rsidRPr="00CB4ED1" w:rsidRDefault="000710B6" w:rsidP="000710B6">
      <w:pPr>
        <w:pStyle w:val="bullets2"/>
      </w:pPr>
      <w:r w:rsidRPr="00CB4ED1">
        <w:t>Patients supported to be discharged home as soon as they are safe and ready to do so.</w:t>
      </w:r>
    </w:p>
    <w:p w14:paraId="02F8536F" w14:textId="77777777" w:rsidR="000710B6" w:rsidRPr="00CB4ED1" w:rsidRDefault="000710B6" w:rsidP="000710B6">
      <w:pPr>
        <w:pStyle w:val="bullets2"/>
      </w:pPr>
      <w:r w:rsidRPr="00CB4ED1">
        <w:t>No cut-off time for discharge if is safe and supported.</w:t>
      </w:r>
    </w:p>
    <w:p w14:paraId="0BA58066" w14:textId="77777777" w:rsidR="000710B6" w:rsidRPr="00CB4ED1" w:rsidRDefault="000710B6" w:rsidP="000710B6">
      <w:pPr>
        <w:pStyle w:val="bullets1"/>
      </w:pPr>
      <w:r w:rsidRPr="00CB4ED1">
        <w:t>Home alone protocol to support patients, who may not have anybody else at home, to be discharged on the day of surgery.</w:t>
      </w:r>
    </w:p>
    <w:p w14:paraId="673B8FF0" w14:textId="77777777" w:rsidR="000710B6" w:rsidRPr="00CB4ED1" w:rsidRDefault="000710B6" w:rsidP="000710B6">
      <w:pPr>
        <w:pStyle w:val="NoSpacing"/>
      </w:pPr>
    </w:p>
    <w:p w14:paraId="730DD493" w14:textId="46CE7081" w:rsidR="000710B6" w:rsidRPr="00CB4ED1" w:rsidRDefault="00D577E7" w:rsidP="000710B6">
      <w:r>
        <w:t>The</w:t>
      </w:r>
      <w:r w:rsidR="000710B6" w:rsidRPr="00CB4ED1">
        <w:t xml:space="preserve"> visit</w:t>
      </w:r>
      <w:r>
        <w:t>s</w:t>
      </w:r>
      <w:r w:rsidR="000710B6" w:rsidRPr="00CB4ED1">
        <w:t xml:space="preserve"> to SWAOC provided valuable insights that have directly shaped both the clinical model and physical infrastructure of </w:t>
      </w:r>
      <w:r>
        <w:t>the LHP</w:t>
      </w:r>
      <w:r w:rsidR="003672AD">
        <w:t xml:space="preserve"> </w:t>
      </w:r>
      <w:r w:rsidR="000710B6" w:rsidRPr="00CB4ED1">
        <w:t xml:space="preserve">elective orthopaedic hub. Central to their approach was the focus on HVLC patients in a dedicated surgical environment, effectively shielding planned care from emergency pressures. </w:t>
      </w:r>
      <w:r w:rsidR="00F66684">
        <w:t xml:space="preserve">Much of this model has been </w:t>
      </w:r>
      <w:r w:rsidR="000710B6" w:rsidRPr="00CB4ED1">
        <w:t xml:space="preserve">adopted </w:t>
      </w:r>
      <w:r w:rsidR="00F66684">
        <w:t>at LHP</w:t>
      </w:r>
      <w:r w:rsidR="003672AD">
        <w:t>.</w:t>
      </w:r>
    </w:p>
    <w:p w14:paraId="74A0F99E" w14:textId="0688DE39" w:rsidR="000710B6" w:rsidRPr="00CB4ED1" w:rsidRDefault="000710B6" w:rsidP="000710B6">
      <w:r w:rsidRPr="00CB4ED1">
        <w:t xml:space="preserve">Facilities have been purposefully designed to support patient flow and surgical efficiency. For example, </w:t>
      </w:r>
      <w:r w:rsidR="00F66684">
        <w:t>the LHP</w:t>
      </w:r>
      <w:r w:rsidRPr="00CB4ED1">
        <w:t xml:space="preserve"> admissions area is close to theatre and allows patients to remain in their own clothes until shortly before surgery, promoting comfort, helping maintain body temperature and reducing anxiety. Anaesthetic and preparation rooms have been included to improve theatre turnaround times, and a plain film X-ray room has been positioned between recovery and the ward to streamline the postoperative check x-ray process. Patient trolleys suitable for overnight stays reinforce the ambulatory care model, and therapies spaces have been co-located to maximise </w:t>
      </w:r>
      <w:r w:rsidR="00F66684">
        <w:t xml:space="preserve">the efficiency of the </w:t>
      </w:r>
      <w:r w:rsidRPr="00CB4ED1">
        <w:t>physiotherapy input.  There is also a limited entertainment and visiting provision to help patients focus on recovery</w:t>
      </w:r>
      <w:r w:rsidR="00F66684">
        <w:t xml:space="preserve"> during a shortened length of stay</w:t>
      </w:r>
      <w:r w:rsidRPr="00CB4ED1">
        <w:t>.</w:t>
      </w:r>
    </w:p>
    <w:p w14:paraId="5E952A18" w14:textId="77777777" w:rsidR="000710B6" w:rsidRPr="00CB4ED1" w:rsidRDefault="000710B6" w:rsidP="000710B6">
      <w:r w:rsidRPr="00CB4ED1">
        <w:t>Staffing models have been influenced by SWAOC’s innovations, including the use of a float anaesthetist and enhanced nurse competencies to support flexible, efficient care. Catering has been designed to be available 24/7, with all staff empowered to offer and prepare food, encouraging a shared responsibility for patient wellbeing.</w:t>
      </w:r>
    </w:p>
    <w:p w14:paraId="1B7CB2C3" w14:textId="78BED9D4" w:rsidR="000710B6" w:rsidRPr="00CB4ED1" w:rsidRDefault="000710B6" w:rsidP="000710B6">
      <w:r w:rsidRPr="00CB4ED1">
        <w:t xml:space="preserve">Standardised clinical pathways and regional collaboration are embedded in </w:t>
      </w:r>
      <w:r w:rsidR="00F66684">
        <w:t>the LHP</w:t>
      </w:r>
      <w:r w:rsidRPr="00CB4ED1">
        <w:t xml:space="preserve"> approach, ensuring consistency and enabling the spread of best practice. Patient experience remains central, with clear preparation for same-day discharge, flexible discharge times, and protocols such as “home alone” to support patients without immediate home support. These elements, drawn from SWAOC’s successful model, have helped build a service</w:t>
      </w:r>
      <w:r w:rsidR="00F66684">
        <w:t xml:space="preserve"> at LHP</w:t>
      </w:r>
      <w:r w:rsidRPr="00CB4ED1">
        <w:t xml:space="preserve"> that is both clinically robust and patient centred.</w:t>
      </w:r>
    </w:p>
    <w:p w14:paraId="19E2A6BA" w14:textId="77777777" w:rsidR="000710B6" w:rsidRPr="00CB4ED1" w:rsidRDefault="000710B6" w:rsidP="000710B6"/>
    <w:p w14:paraId="2722F6C7" w14:textId="77777777" w:rsidR="000710B6" w:rsidRPr="00CB4ED1" w:rsidRDefault="000710B6" w:rsidP="00756500">
      <w:pPr>
        <w:pStyle w:val="Heading4"/>
      </w:pPr>
      <w:r w:rsidRPr="00CB4ED1">
        <w:lastRenderedPageBreak/>
        <w:t>South West London Elective Orthopaedic Centre (SWLEOC)</w:t>
      </w:r>
    </w:p>
    <w:p w14:paraId="0361F588" w14:textId="77777777" w:rsidR="000710B6" w:rsidRPr="00CB4ED1" w:rsidRDefault="000710B6" w:rsidP="000710B6">
      <w:r w:rsidRPr="00CB4ED1">
        <w:t>Located on the Epsom General Hospital campus is one of the UK’s most high-performing centres for planned orthopaedic surgery. Established in 2004 as part of a government initiative to reduce waiting times, SWLEOC operates as a standalone, ring-fenced surgical hub, in partnership with four NHS trusts: Epsom and St Helier, St George’s, Croydon, and Kingston. SWLEOC is recognised as the largest joint replacement centre in the UK, and among the largest in Europe, performing over 6,300 procedures annually, including approximately 4,300 joint replacements. The centre comprises of 6 dedicated operating theatres and 72 inpatient beds. A multidisciplinary workforce including 43 consultant orthopaedic surgeons, nurses, physiotherapists, anaesthetists, and administrative staff.</w:t>
      </w:r>
    </w:p>
    <w:p w14:paraId="60150F96" w14:textId="4CB79978" w:rsidR="000710B6" w:rsidRPr="00CB4ED1" w:rsidRDefault="00F66684" w:rsidP="000710B6">
      <w:r>
        <w:t xml:space="preserve">The </w:t>
      </w:r>
      <w:r w:rsidR="000710B6" w:rsidRPr="00CB4ED1">
        <w:t xml:space="preserve">visiting clinical and operational team engaged with SWLEOC to understand the principles and practices that underpin its success, informing the development of a regional elective hub at LHP. </w:t>
      </w:r>
    </w:p>
    <w:p w14:paraId="2303DBA4" w14:textId="3A876962" w:rsidR="000710B6" w:rsidRPr="00CB4ED1" w:rsidRDefault="000710B6" w:rsidP="000710B6">
      <w:r w:rsidRPr="00CB4ED1">
        <w:t xml:space="preserve">SWLEOC has a robust clinical and operational model focused on HVLC surgery supported by efficient scheduling and digital solutions. In contrast to many other stand-alone elective orthopaedic units, SWLEOC exclusion criteria is limited to patients requiring renal dialysis (a medical treatment that removes waste, toxins, and excess fluid from the blood when the kidneys are no longer able to do so effectively). The team </w:t>
      </w:r>
      <w:proofErr w:type="gramStart"/>
      <w:r w:rsidRPr="00CB4ED1">
        <w:t>is capable of managing</w:t>
      </w:r>
      <w:proofErr w:type="gramEnd"/>
      <w:r w:rsidRPr="00CB4ED1">
        <w:t xml:space="preserve"> patients with higher clinical needs, such as advanced airway management, cardiovascular support, or post-operative monitoring beyond standard ward care. To support this, the immediate post-operative ward is staffed by nurses with critical care experience</w:t>
      </w:r>
      <w:r w:rsidR="003672AD">
        <w:t>,</w:t>
      </w:r>
      <w:r w:rsidRPr="00CB4ED1">
        <w:t xml:space="preserve"> and 24/7 medical cover is provided by intensive care consultant doctors. On the surface, this approach may seem resource heavy, however, the team at SWLEOC have found that care delivered directly by senior doctors has reduced the time taken to make decisions and begin treatment which reduces recovery time and length of stay which ultimately reduces cost over a traditional staffing model.</w:t>
      </w:r>
    </w:p>
    <w:p w14:paraId="660DD680" w14:textId="77777777" w:rsidR="000710B6" w:rsidRPr="00CB4ED1" w:rsidRDefault="000710B6" w:rsidP="000710B6">
      <w:r w:rsidRPr="00CB4ED1">
        <w:t>SWLEOC’s reputation for clinical excellence, patient outcomes, and operational efficiency has made it a national exemplar. In collaboration with the GIRFT programme, SWLEOC developed the Elective Hub Toolkit, a comprehensive online resource that distils two decades of learning into practical guidance for NHS teams. The toolkit covers every aspect of hub design and delivery, including patient pathways, staffing models, estate planning, IT systems, and governance structures. The key elements of the toolkit have been used to inform and guide the development if the clinical and operational model for LHP.</w:t>
      </w:r>
    </w:p>
    <w:p w14:paraId="3BEAE7FB" w14:textId="77777777" w:rsidR="000710B6" w:rsidRPr="00CB4ED1" w:rsidRDefault="000710B6" w:rsidP="000710B6">
      <w:pPr>
        <w:pStyle w:val="Heading4"/>
      </w:pPr>
      <w:r w:rsidRPr="00CB4ED1">
        <w:t>Essex and Suffolk Elective Orthopaedic Centre (ESEOC)</w:t>
      </w:r>
    </w:p>
    <w:p w14:paraId="3DD26F36" w14:textId="77777777" w:rsidR="000710B6" w:rsidRPr="00CB4ED1" w:rsidRDefault="000710B6" w:rsidP="000710B6">
      <w:r w:rsidRPr="00CB4ED1">
        <w:t>ESEOC is one of the UK’s largest modular-built elective orthopaedic centres, spanning approximately 11,000 square metres. It serves patients across Suffolk and North East Essex, with capacity to treat around 10,000 patients per year. Completed in November 2024, it is one of the largest elective arthroplasty units in Europe. The centre includes 8 operating theatres with 72 inpatient beds. The unit has a focus on planned elective orthopaedic surgery, however, there some provision for planned trauma.</w:t>
      </w:r>
    </w:p>
    <w:p w14:paraId="4D013B17" w14:textId="77777777" w:rsidR="000710B6" w:rsidRPr="00CB4ED1" w:rsidRDefault="000710B6" w:rsidP="000710B6">
      <w:r w:rsidRPr="00CB4ED1">
        <w:t>ESEOC serves a broadly similar regional population and geographical footprint to LHP, with both being designed to support elective care pathways for combined populations of multiple NHS organisations, making it directly comparable.</w:t>
      </w:r>
    </w:p>
    <w:p w14:paraId="4344BE57" w14:textId="77777777" w:rsidR="000710B6" w:rsidRPr="00CB4ED1" w:rsidRDefault="000710B6" w:rsidP="000710B6">
      <w:pPr>
        <w:rPr>
          <w:rFonts w:cs="Arial"/>
        </w:rPr>
      </w:pPr>
      <w:r w:rsidRPr="00CB4ED1">
        <w:rPr>
          <w:rFonts w:cs="Arial"/>
        </w:rPr>
        <w:t>Key learning points include:</w:t>
      </w:r>
    </w:p>
    <w:p w14:paraId="3F46F968" w14:textId="1DA5C220" w:rsidR="000710B6" w:rsidRPr="00CB4ED1" w:rsidRDefault="000710B6" w:rsidP="000710B6">
      <w:pPr>
        <w:pStyle w:val="bullets1"/>
      </w:pPr>
      <w:r w:rsidRPr="00CB4ED1">
        <w:t>The modular build enabled rapid deployment and scalability</w:t>
      </w:r>
    </w:p>
    <w:p w14:paraId="20DAD08B" w14:textId="7B150C81" w:rsidR="000710B6" w:rsidRPr="00CB4ED1" w:rsidRDefault="000710B6" w:rsidP="000710B6">
      <w:pPr>
        <w:pStyle w:val="bullets1"/>
      </w:pPr>
      <w:r w:rsidRPr="00CB4ED1">
        <w:t>Clear strategic separation of elective and emergency care (“cold” vs “hot” sites) was essential to protect capacity</w:t>
      </w:r>
    </w:p>
    <w:p w14:paraId="057F1C19" w14:textId="718DAA9E" w:rsidR="000710B6" w:rsidRPr="00CB4ED1" w:rsidRDefault="000710B6" w:rsidP="000710B6">
      <w:pPr>
        <w:pStyle w:val="bullets1"/>
      </w:pPr>
      <w:r w:rsidRPr="00CB4ED1">
        <w:t>Ringfencing elective beds with strong executive support helped maintain throughput</w:t>
      </w:r>
    </w:p>
    <w:p w14:paraId="78659603" w14:textId="62D7760B" w:rsidR="000710B6" w:rsidRPr="00CB4ED1" w:rsidRDefault="000710B6" w:rsidP="000710B6">
      <w:pPr>
        <w:pStyle w:val="bullets1"/>
      </w:pPr>
      <w:r w:rsidRPr="00CB4ED1">
        <w:t>Standardised pathways were embedded across all specialties (hip, knee, shoulder), with visual displays in public and staff areas to reinforce consistency</w:t>
      </w:r>
    </w:p>
    <w:p w14:paraId="6C38F45D" w14:textId="7ED86D91" w:rsidR="000710B6" w:rsidRPr="00CB4ED1" w:rsidRDefault="000710B6" w:rsidP="000710B6">
      <w:pPr>
        <w:pStyle w:val="bullets1"/>
      </w:pPr>
      <w:r w:rsidRPr="00CB4ED1">
        <w:lastRenderedPageBreak/>
        <w:t>Transparent use of data (e.g., dashboards on theatre utilisation and case throughput) supported performance improvement and accountability</w:t>
      </w:r>
    </w:p>
    <w:p w14:paraId="6003769D" w14:textId="4FF05141" w:rsidR="000710B6" w:rsidRPr="00CB4ED1" w:rsidRDefault="000710B6" w:rsidP="000710B6">
      <w:pPr>
        <w:pStyle w:val="bullets1"/>
      </w:pPr>
      <w:r w:rsidRPr="00CB4ED1">
        <w:t>Governance structures included system wide MDTs and robust clinical oversight</w:t>
      </w:r>
    </w:p>
    <w:p w14:paraId="7FEA5559" w14:textId="626AAFE5" w:rsidR="000710B6" w:rsidRPr="00CB4ED1" w:rsidRDefault="000710B6" w:rsidP="000710B6">
      <w:pPr>
        <w:pStyle w:val="bullets1"/>
      </w:pPr>
      <w:r w:rsidRPr="00CB4ED1">
        <w:t>ESEOC achieved low length of stay (THR – 2.0 days</w:t>
      </w:r>
      <w:r w:rsidR="00756500">
        <w:t>;</w:t>
      </w:r>
      <w:r w:rsidRPr="00CB4ED1">
        <w:t xml:space="preserve"> TKR – 1.9 days)</w:t>
      </w:r>
    </w:p>
    <w:p w14:paraId="5BD9423F" w14:textId="31EADE8D" w:rsidR="000710B6" w:rsidRPr="00CB4ED1" w:rsidRDefault="000710B6" w:rsidP="000710B6">
      <w:pPr>
        <w:pStyle w:val="bullets1"/>
      </w:pPr>
      <w:r w:rsidRPr="00CB4ED1">
        <w:t>Pre-assessment capacity was highlighted as critical, with a recommendation to operate at 115% of theatre capacity (GIRFT guidance)</w:t>
      </w:r>
    </w:p>
    <w:p w14:paraId="38CF6219" w14:textId="1A689274" w:rsidR="000710B6" w:rsidRPr="00CB4ED1" w:rsidRDefault="000710B6" w:rsidP="000710B6">
      <w:pPr>
        <w:pStyle w:val="bullets1"/>
      </w:pPr>
      <w:r w:rsidRPr="00CB4ED1">
        <w:t>Challenges included delays in opening extended recovery areas and standardising processes across trusts</w:t>
      </w:r>
    </w:p>
    <w:p w14:paraId="06F3328D" w14:textId="38C72DB4" w:rsidR="000710B6" w:rsidRPr="00CB4ED1" w:rsidRDefault="000710B6" w:rsidP="000710B6">
      <w:pPr>
        <w:pStyle w:val="bullets1"/>
      </w:pPr>
      <w:r w:rsidRPr="00CB4ED1">
        <w:t>A strong emphasis on building a unified team culture across clinical and operational staff</w:t>
      </w:r>
    </w:p>
    <w:p w14:paraId="3AE6FA0E" w14:textId="4C3129C2" w:rsidR="000710B6" w:rsidRPr="00CB4ED1" w:rsidRDefault="000710B6" w:rsidP="000710B6">
      <w:pPr>
        <w:pStyle w:val="bullets1"/>
      </w:pPr>
      <w:r w:rsidRPr="00CB4ED1">
        <w:t>High staff retention was supported by wellbeing initiatives and rest facilities</w:t>
      </w:r>
    </w:p>
    <w:p w14:paraId="4A13B2B8" w14:textId="151BC960" w:rsidR="000710B6" w:rsidRPr="00CB4ED1" w:rsidRDefault="000710B6" w:rsidP="000710B6">
      <w:pPr>
        <w:pStyle w:val="bullets1"/>
      </w:pPr>
      <w:r w:rsidRPr="00CB4ED1">
        <w:t>The centre functioned as a high-volume training hub, addressing post-COVID training gaps</w:t>
      </w:r>
    </w:p>
    <w:p w14:paraId="70BC0931" w14:textId="66092FCE" w:rsidR="000710B6" w:rsidRPr="00CB4ED1" w:rsidRDefault="000710B6" w:rsidP="000710B6">
      <w:pPr>
        <w:pStyle w:val="bullets1"/>
      </w:pPr>
      <w:r w:rsidRPr="00CB4ED1">
        <w:t>All patients were treated without exclusion, with provision for enhanced care beds to support more complex cases</w:t>
      </w:r>
    </w:p>
    <w:p w14:paraId="78B9A086" w14:textId="77777777" w:rsidR="000710B6" w:rsidRPr="00CB4ED1" w:rsidRDefault="000710B6" w:rsidP="000710B6">
      <w:pPr>
        <w:pStyle w:val="bullets1"/>
      </w:pPr>
      <w:r w:rsidRPr="00CB4ED1">
        <w:t>The model promoted equity of access and reduced variation in care delivery.</w:t>
      </w:r>
    </w:p>
    <w:p w14:paraId="04501B1C" w14:textId="77777777" w:rsidR="000710B6" w:rsidRPr="00CB4ED1" w:rsidRDefault="000710B6" w:rsidP="000710B6">
      <w:pPr>
        <w:pStyle w:val="NoSpacing"/>
      </w:pPr>
    </w:p>
    <w:p w14:paraId="102CC057" w14:textId="4FB2468E" w:rsidR="000710B6" w:rsidRPr="00CB4ED1" w:rsidRDefault="000710B6" w:rsidP="000710B6">
      <w:pPr>
        <w:rPr>
          <w:rFonts w:cs="Arial"/>
        </w:rPr>
      </w:pPr>
      <w:r w:rsidRPr="00CB4ED1">
        <w:rPr>
          <w:rFonts w:cs="Arial"/>
        </w:rPr>
        <w:t xml:space="preserve">The visit to ESEOC validated many of the principles already embedded within the LHP model. </w:t>
      </w:r>
      <w:r w:rsidR="00F66684">
        <w:rPr>
          <w:rFonts w:cs="Arial"/>
        </w:rPr>
        <w:t xml:space="preserve">From this visit the team has </w:t>
      </w:r>
      <w:r w:rsidRPr="00CB4ED1">
        <w:rPr>
          <w:rFonts w:cs="Arial"/>
        </w:rPr>
        <w:t xml:space="preserve">established peer-to-peer links, enabling frontline teams to engage directly with ESEOC to learn from their experience. The concept of an enhanced care area, as demonstrated by ESEOC, has been instrumental in shaping infrastructure planning, allowing </w:t>
      </w:r>
      <w:r w:rsidR="00F66684">
        <w:rPr>
          <w:rFonts w:cs="Arial"/>
        </w:rPr>
        <w:t>the accommodation of</w:t>
      </w:r>
      <w:r w:rsidRPr="00CB4ED1">
        <w:rPr>
          <w:rFonts w:cs="Arial"/>
        </w:rPr>
        <w:t xml:space="preserve"> a broader cohort of patients safely and efficiently.</w:t>
      </w:r>
    </w:p>
    <w:p w14:paraId="1FDB81CE" w14:textId="347E631D" w:rsidR="000710B6" w:rsidRPr="00CB4ED1" w:rsidRDefault="00F66684" w:rsidP="000710B6">
      <w:pPr>
        <w:rPr>
          <w:rFonts w:cs="Arial"/>
        </w:rPr>
      </w:pPr>
      <w:r>
        <w:rPr>
          <w:rFonts w:cs="Arial"/>
        </w:rPr>
        <w:t>The LHP team</w:t>
      </w:r>
      <w:r w:rsidR="000710B6" w:rsidRPr="00CB4ED1">
        <w:rPr>
          <w:rFonts w:cs="Arial"/>
        </w:rPr>
        <w:t xml:space="preserve"> were particularly interested in ESEOC’s approach to displaying the clinical pathway throughout both clinical and public spaces. This has now been adopted as part of the LHP model implementation at Princess of Wales Hospital, making the pathway accessible to all clinical teams and encouraging patient engagement.</w:t>
      </w:r>
    </w:p>
    <w:p w14:paraId="430F7827" w14:textId="61BD24A7" w:rsidR="000710B6" w:rsidRPr="00CB4ED1" w:rsidRDefault="000710B6" w:rsidP="000710B6">
      <w:r w:rsidRPr="00CB4ED1">
        <w:t xml:space="preserve">Together, these insights have strengthened confidence in the LHP model at the same time as validating many of the infrastructure decisions made to date. It clearly highlighted the benefits of a standardised approach to elective arthroplasty care, MDT engagement </w:t>
      </w:r>
      <w:r w:rsidR="00F66684">
        <w:t xml:space="preserve">and </w:t>
      </w:r>
      <w:r w:rsidRPr="00CB4ED1">
        <w:t>regional collaboration. Patients within a directly comparable population have demonstrated a clear willingness to travel reasonable distances to access high quality elective care, particularly when the environment is purpose-built, efficient, and designed around their needs.</w:t>
      </w:r>
    </w:p>
    <w:p w14:paraId="43815279" w14:textId="6F6964B0" w:rsidR="000710B6" w:rsidRPr="00CB4ED1" w:rsidRDefault="000710B6" w:rsidP="000710B6">
      <w:pPr>
        <w:rPr>
          <w:rFonts w:cs="Arial"/>
        </w:rPr>
      </w:pPr>
      <w:r w:rsidRPr="00CB4ED1">
        <w:rPr>
          <w:rFonts w:cs="Arial"/>
        </w:rPr>
        <w:t>The following concepts for orthopaedics development are based on the learning from the research, visits and conversations with the GIRFT assessors, in collaboration with regional clinical colleagues</w:t>
      </w:r>
      <w:r w:rsidR="00756500">
        <w:rPr>
          <w:rFonts w:cs="Arial"/>
        </w:rPr>
        <w:t>:</w:t>
      </w:r>
    </w:p>
    <w:p w14:paraId="5345D1C9" w14:textId="39489BB7" w:rsidR="000710B6" w:rsidRPr="00CB4ED1" w:rsidRDefault="000710B6" w:rsidP="000710B6">
      <w:pPr>
        <w:pStyle w:val="bullets1"/>
        <w:rPr>
          <w:rFonts w:cs="Arial"/>
        </w:rPr>
      </w:pPr>
      <w:r w:rsidRPr="00CB4ED1">
        <w:rPr>
          <w:rFonts w:cs="Arial"/>
        </w:rPr>
        <w:t>Arthroplasty moves to a day surgery model and pathway.  There will be the facility for patients stay overnight by exception</w:t>
      </w:r>
    </w:p>
    <w:p w14:paraId="388DE017" w14:textId="2A1C98A8" w:rsidR="000710B6" w:rsidRPr="00CB4ED1" w:rsidRDefault="000710B6" w:rsidP="000710B6">
      <w:pPr>
        <w:pStyle w:val="bullets1"/>
        <w:rPr>
          <w:rFonts w:cs="Arial"/>
        </w:rPr>
      </w:pPr>
      <w:r w:rsidRPr="00CB4ED1">
        <w:rPr>
          <w:rFonts w:cs="Arial"/>
        </w:rPr>
        <w:t>The design of the facility will challenge today's practice and people's traditional way of working. This will be achieved through the new unit and would be transformational for the region on changing how HVLC services are delivered</w:t>
      </w:r>
    </w:p>
    <w:p w14:paraId="35DAA48E" w14:textId="77777777" w:rsidR="000710B6" w:rsidRPr="00CB4ED1" w:rsidRDefault="000710B6" w:rsidP="000710B6">
      <w:pPr>
        <w:pStyle w:val="bullets1"/>
        <w:rPr>
          <w:rFonts w:cs="Arial"/>
        </w:rPr>
      </w:pPr>
      <w:r w:rsidRPr="00CB4ED1">
        <w:rPr>
          <w:rFonts w:cs="Arial"/>
        </w:rPr>
        <w:t xml:space="preserve">Standardised approach and agreed principles for the unit to be followed by all. </w:t>
      </w:r>
    </w:p>
    <w:p w14:paraId="1FE79908" w14:textId="77777777" w:rsidR="000710B6" w:rsidRPr="00CB4ED1" w:rsidRDefault="000710B6" w:rsidP="000710B6">
      <w:pPr>
        <w:pStyle w:val="NoSpacing"/>
        <w:rPr>
          <w:rFonts w:cs="Arial"/>
        </w:rPr>
      </w:pPr>
    </w:p>
    <w:p w14:paraId="12E67949" w14:textId="27B07AA4" w:rsidR="000710B6" w:rsidRPr="00CB4ED1" w:rsidRDefault="000710B6" w:rsidP="000710B6">
      <w:pPr>
        <w:rPr>
          <w:rFonts w:cs="Arial"/>
        </w:rPr>
      </w:pPr>
      <w:r w:rsidRPr="00CB4ED1">
        <w:rPr>
          <w:rFonts w:cs="Arial"/>
        </w:rPr>
        <w:t xml:space="preserve">Alongside this, there are </w:t>
      </w:r>
      <w:r w:rsidR="00A201B7" w:rsidRPr="00CB4ED1">
        <w:rPr>
          <w:rFonts w:cs="Arial"/>
        </w:rPr>
        <w:t>several</w:t>
      </w:r>
      <w:r w:rsidRPr="00CB4ED1">
        <w:rPr>
          <w:rFonts w:cs="Arial"/>
        </w:rPr>
        <w:t xml:space="preserve"> key supporting principles, embedded in the process around the surgical hub, to challenge performance and ensure efficiency and throughput is maximised. LHP will be different from existing models under these principles:</w:t>
      </w:r>
    </w:p>
    <w:tbl>
      <w:tblPr>
        <w:tblW w:w="5100" w:type="pct"/>
        <w:tblInd w:w="-113" w:type="dxa"/>
        <w:tblLayout w:type="fixed"/>
        <w:tblLook w:val="04A0" w:firstRow="1" w:lastRow="0" w:firstColumn="1" w:lastColumn="0" w:noHBand="0" w:noVBand="1"/>
      </w:tblPr>
      <w:tblGrid>
        <w:gridCol w:w="4915"/>
        <w:gridCol w:w="4916"/>
      </w:tblGrid>
      <w:tr w:rsidR="000710B6" w:rsidRPr="00CB4ED1" w14:paraId="6E28800F" w14:textId="77777777" w:rsidTr="00377EA9">
        <w:tc>
          <w:tcPr>
            <w:tcW w:w="4814" w:type="dxa"/>
          </w:tcPr>
          <w:p w14:paraId="2EC7B3E5" w14:textId="77777777" w:rsidR="000710B6" w:rsidRPr="00CB4ED1" w:rsidRDefault="000710B6" w:rsidP="00377EA9">
            <w:pPr>
              <w:pStyle w:val="bullets1"/>
            </w:pPr>
            <w:r w:rsidRPr="00CB4ED1">
              <w:t>Clinical pathways and supporting infrastructure will be designed to meet GIRFT Surgical Hub accreditation, including flexibility to support future innovation</w:t>
            </w:r>
          </w:p>
          <w:p w14:paraId="3E4D31E2" w14:textId="7BFEB536" w:rsidR="000710B6" w:rsidRPr="00CB4ED1" w:rsidRDefault="000710B6" w:rsidP="00377EA9">
            <w:pPr>
              <w:pStyle w:val="bullets1"/>
            </w:pPr>
            <w:r w:rsidRPr="00CB4ED1">
              <w:lastRenderedPageBreak/>
              <w:t>Planning for zero</w:t>
            </w:r>
            <w:r w:rsidR="004E6AC8">
              <w:t>-</w:t>
            </w:r>
            <w:r w:rsidRPr="00CB4ED1">
              <w:t>day length of stay as default</w:t>
            </w:r>
          </w:p>
          <w:p w14:paraId="327F6ED7" w14:textId="77777777" w:rsidR="000710B6" w:rsidRPr="00CB4ED1" w:rsidRDefault="000710B6" w:rsidP="00377EA9">
            <w:pPr>
              <w:pStyle w:val="bullets1"/>
            </w:pPr>
            <w:r w:rsidRPr="00CB4ED1">
              <w:t>All aspects of clinical pathways will be standardised</w:t>
            </w:r>
          </w:p>
          <w:p w14:paraId="5DCBE95F" w14:textId="77777777" w:rsidR="000710B6" w:rsidRPr="00CB4ED1" w:rsidRDefault="000710B6" w:rsidP="00377EA9">
            <w:pPr>
              <w:pStyle w:val="bullets1"/>
            </w:pPr>
            <w:r w:rsidRPr="00CB4ED1">
              <w:t>Productivity to meet or exceed GiRFT guidelines</w:t>
            </w:r>
          </w:p>
          <w:p w14:paraId="72C4D559" w14:textId="77777777" w:rsidR="000710B6" w:rsidRPr="00CB4ED1" w:rsidRDefault="000710B6" w:rsidP="00377EA9">
            <w:pPr>
              <w:pStyle w:val="bullets1"/>
            </w:pPr>
            <w:r w:rsidRPr="00CB4ED1">
              <w:t>Ring-fenced unit and staff.</w:t>
            </w:r>
          </w:p>
        </w:tc>
        <w:tc>
          <w:tcPr>
            <w:tcW w:w="4814" w:type="dxa"/>
          </w:tcPr>
          <w:p w14:paraId="0439B07F" w14:textId="77777777" w:rsidR="000710B6" w:rsidRPr="00CB4ED1" w:rsidRDefault="000710B6" w:rsidP="00377EA9">
            <w:pPr>
              <w:pStyle w:val="bullets1"/>
            </w:pPr>
            <w:r w:rsidRPr="00CB4ED1">
              <w:lastRenderedPageBreak/>
              <w:t>Supporting physical infrastructure is comfortable but will not encourage unnecessary overnight stays</w:t>
            </w:r>
          </w:p>
          <w:p w14:paraId="3434A0AD" w14:textId="77777777" w:rsidR="000710B6" w:rsidRPr="00CB4ED1" w:rsidRDefault="000710B6" w:rsidP="00377EA9">
            <w:pPr>
              <w:pStyle w:val="bullets1"/>
            </w:pPr>
            <w:r w:rsidRPr="00CB4ED1">
              <w:lastRenderedPageBreak/>
              <w:t>Regular, job-planned, consultant sessions delivered at LHP</w:t>
            </w:r>
          </w:p>
          <w:p w14:paraId="6204CA96" w14:textId="77777777" w:rsidR="000710B6" w:rsidRPr="00CB4ED1" w:rsidRDefault="000710B6" w:rsidP="00377EA9">
            <w:pPr>
              <w:pStyle w:val="bullets1"/>
            </w:pPr>
            <w:r w:rsidRPr="00CB4ED1">
              <w:t>Whole MDT team approach, competency frameworks to support staff working across traditional role boundaries</w:t>
            </w:r>
          </w:p>
          <w:p w14:paraId="6CDCD01B" w14:textId="77777777" w:rsidR="000710B6" w:rsidRPr="00CB4ED1" w:rsidRDefault="000710B6" w:rsidP="00377EA9">
            <w:pPr>
              <w:pStyle w:val="bullets1"/>
            </w:pPr>
            <w:r w:rsidRPr="00CB4ED1">
              <w:t>Stand-alone unit- satellite site of the Royal Glamorgan for logistics only.</w:t>
            </w:r>
          </w:p>
        </w:tc>
      </w:tr>
    </w:tbl>
    <w:p w14:paraId="22C5C127" w14:textId="77777777" w:rsidR="000710B6" w:rsidRPr="00CB4ED1" w:rsidRDefault="000710B6" w:rsidP="000710B6">
      <w:pPr>
        <w:pStyle w:val="NoSpacing"/>
        <w:rPr>
          <w:rFonts w:cs="Arial"/>
        </w:rPr>
      </w:pPr>
    </w:p>
    <w:p w14:paraId="178FB8D5" w14:textId="77777777" w:rsidR="000710B6" w:rsidRPr="00CB4ED1" w:rsidRDefault="000710B6" w:rsidP="000710B6">
      <w:r w:rsidRPr="00CB4ED1">
        <w:t xml:space="preserve">The delivery of these principles will be driven by focused clinical groups. These will be attended and led by clinical staff with a clinical project team in place to support.  The architect and design team will be embedded within this clinical team and regional engagement will also be secured on an ongoing basis.  </w:t>
      </w:r>
    </w:p>
    <w:p w14:paraId="7FB277AD" w14:textId="77777777" w:rsidR="000710B6" w:rsidRPr="00CB4ED1" w:rsidRDefault="000710B6" w:rsidP="000710B6">
      <w:r w:rsidRPr="00CB4ED1">
        <w:t>It is critical that throughout the design process the teams continue to engage with and learn from exemplar units from across the UK and further afield to support the development of forward thinking and innovative clinical pathways feeding into the physical infrastructure. The protocols developed alongside this will be clinically developed and support standardisation, innovation and patient safety with senior clinical MDT sign off throughout.</w:t>
      </w:r>
    </w:p>
    <w:p w14:paraId="7CA61FCE" w14:textId="77777777" w:rsidR="000710B6" w:rsidRPr="00CB4ED1" w:rsidRDefault="000710B6" w:rsidP="000710B6">
      <w:pPr>
        <w:pStyle w:val="NoSpacing"/>
      </w:pPr>
    </w:p>
    <w:p w14:paraId="0C1F1AB3" w14:textId="77777777" w:rsidR="000710B6" w:rsidRPr="00CB4ED1" w:rsidRDefault="000710B6" w:rsidP="00A201B7">
      <w:pPr>
        <w:pStyle w:val="Heading2"/>
      </w:pPr>
      <w:bookmarkStart w:id="37" w:name="_Toc213865218"/>
      <w:r w:rsidRPr="00CB4ED1">
        <w:t>Growing demand for services and existing arrangements</w:t>
      </w:r>
      <w:bookmarkEnd w:id="37"/>
    </w:p>
    <w:p w14:paraId="204FF80E" w14:textId="77777777" w:rsidR="000710B6" w:rsidRPr="00CB4ED1" w:rsidRDefault="000710B6" w:rsidP="000710B6">
      <w:pPr>
        <w:rPr>
          <w:rFonts w:cs="Arial"/>
        </w:rPr>
      </w:pPr>
      <w:r w:rsidRPr="00CB4ED1">
        <w:rPr>
          <w:rFonts w:cs="Arial"/>
        </w:rPr>
        <w:t>Current service provision for the region is delivered for each of the health boards’ populations within each health board’s geographic footprint. Alongside this, patients from each health board currently access services delivered by other health boards as part of agreed patient flows for specific service pathways. Additional capacity is delivered through a range of means including internal additional capacity using NHS clinicians (commonly referred to as waiting list initiatives or backfill) and in-sourcing.</w:t>
      </w:r>
    </w:p>
    <w:p w14:paraId="36EBFF50" w14:textId="5C9479AD" w:rsidR="000710B6" w:rsidRPr="00CB4ED1" w:rsidRDefault="000710B6" w:rsidP="000710B6">
      <w:pPr>
        <w:rPr>
          <w:rFonts w:cs="Arial"/>
        </w:rPr>
      </w:pPr>
      <w:r w:rsidRPr="00CB4ED1">
        <w:rPr>
          <w:rFonts w:cs="Arial"/>
        </w:rPr>
        <w:t xml:space="preserve">All regional partners are seeing shortfalls in capacity year on year with demand growth. The situation has been described as comprising </w:t>
      </w:r>
      <w:r w:rsidR="004E6AC8">
        <w:rPr>
          <w:rFonts w:cs="Arial"/>
        </w:rPr>
        <w:t>“</w:t>
      </w:r>
      <w:r w:rsidRPr="00CB4ED1">
        <w:rPr>
          <w:rFonts w:cs="Arial"/>
        </w:rPr>
        <w:t xml:space="preserve">persistent orthopaedic backlogs projected to grow by up to 300% without intervention”.  </w:t>
      </w:r>
    </w:p>
    <w:p w14:paraId="16AE6BD1" w14:textId="77777777" w:rsidR="000710B6" w:rsidRPr="00CB4ED1" w:rsidRDefault="000710B6" w:rsidP="000710B6">
      <w:pPr>
        <w:rPr>
          <w:rFonts w:cs="Arial"/>
        </w:rPr>
      </w:pPr>
      <w:r w:rsidRPr="00CB4ED1">
        <w:rPr>
          <w:rFonts w:cs="Arial"/>
        </w:rPr>
        <w:t>Considering these demand levels, the three health boards committed to developing a collaborative regional orthopaedic plan to deliver high quality and sustainable orthopaedic services for the region.  The plan will develop sub speciality wide demand and capacity modelling and specifically consider the position in relation to regional primary arthroplasty services.</w:t>
      </w:r>
    </w:p>
    <w:p w14:paraId="3C6AFCE7" w14:textId="303406B7" w:rsidR="000710B6" w:rsidRPr="00CB4ED1" w:rsidRDefault="000710B6" w:rsidP="000710B6">
      <w:pPr>
        <w:rPr>
          <w:rFonts w:cs="Arial"/>
        </w:rPr>
      </w:pPr>
      <w:r w:rsidRPr="00CB4ED1">
        <w:rPr>
          <w:rFonts w:cs="Arial"/>
        </w:rPr>
        <w:t xml:space="preserve">LHP is a key component of the long-term regional vision for orthopaedics. One of the aims of the plan is to support the planning for the LHP hub, specifically around supporting the requirement for additional capacity contained in later sections of the business case.    The full text of the plan is included as </w:t>
      </w:r>
      <w:r w:rsidRPr="00E67800">
        <w:rPr>
          <w:rFonts w:cs="Arial"/>
        </w:rPr>
        <w:t xml:space="preserve">Appendix </w:t>
      </w:r>
      <w:r w:rsidR="00EC05B5" w:rsidRPr="00E67800">
        <w:rPr>
          <w:rFonts w:cs="Arial"/>
        </w:rPr>
        <w:t>2</w:t>
      </w:r>
      <w:r w:rsidRPr="00E67800">
        <w:rPr>
          <w:rFonts w:cs="Arial"/>
        </w:rPr>
        <w:t xml:space="preserve"> to</w:t>
      </w:r>
      <w:r w:rsidRPr="00CB4ED1">
        <w:rPr>
          <w:rFonts w:cs="Arial"/>
        </w:rPr>
        <w:t xml:space="preserve"> this case. The first phase of the plan was presented to regional Boards in September 2025. </w:t>
      </w:r>
    </w:p>
    <w:p w14:paraId="6F750ACC" w14:textId="16AD8F10" w:rsidR="000710B6" w:rsidRDefault="000710B6" w:rsidP="000710B6">
      <w:pPr>
        <w:rPr>
          <w:rFonts w:cs="Arial"/>
        </w:rPr>
      </w:pPr>
      <w:r w:rsidRPr="00CB4ED1">
        <w:rPr>
          <w:rFonts w:cs="Arial"/>
        </w:rPr>
        <w:t>The plan recognises that lower limb primary arthroplasty is the most pressured orthopaedic sub speciality accounting for 50% of activity with annual demand exceeding available capacity.  The following table sets out project</w:t>
      </w:r>
      <w:r w:rsidR="004F223E">
        <w:rPr>
          <w:rFonts w:cs="Arial"/>
        </w:rPr>
        <w:t>ed</w:t>
      </w:r>
      <w:r w:rsidRPr="00CB4ED1">
        <w:rPr>
          <w:rFonts w:cs="Arial"/>
        </w:rPr>
        <w:t xml:space="preserve"> demand growth over the next few years.  This is modelled on both 1% and 4% growth which reflects the range of growth observed in the region over the past 2-3 years. </w:t>
      </w:r>
    </w:p>
    <w:p w14:paraId="5418A2B8" w14:textId="77777777" w:rsidR="0026591F" w:rsidRDefault="0026591F" w:rsidP="000710B6">
      <w:pPr>
        <w:rPr>
          <w:rFonts w:cs="Arial"/>
        </w:rPr>
      </w:pPr>
    </w:p>
    <w:p w14:paraId="100E5F62" w14:textId="77777777" w:rsidR="0026591F" w:rsidRPr="00CB4ED1" w:rsidRDefault="0026591F" w:rsidP="000710B6">
      <w:pPr>
        <w:rPr>
          <w:rFonts w:cs="Arial"/>
        </w:rPr>
      </w:pPr>
    </w:p>
    <w:p w14:paraId="782C2EFD" w14:textId="78A31B16" w:rsidR="000710B6" w:rsidRDefault="000710B6" w:rsidP="000710B6">
      <w:pPr>
        <w:pStyle w:val="Caption"/>
        <w:rPr>
          <w:noProof w:val="0"/>
        </w:rPr>
      </w:pPr>
      <w:bookmarkStart w:id="38" w:name="_Toc213865284"/>
      <w:r w:rsidRPr="00CB4ED1">
        <w:rPr>
          <w:noProof w:val="0"/>
        </w:rPr>
        <w:lastRenderedPageBreak/>
        <w:t xml:space="preserve">Table </w:t>
      </w:r>
      <w:r w:rsidRPr="00CB4ED1">
        <w:rPr>
          <w:noProof w:val="0"/>
        </w:rPr>
        <w:fldChar w:fldCharType="begin"/>
      </w:r>
      <w:r w:rsidRPr="00CB4ED1">
        <w:rPr>
          <w:noProof w:val="0"/>
        </w:rPr>
        <w:instrText xml:space="preserve"> SEQ Table \* ARABIC </w:instrText>
      </w:r>
      <w:r w:rsidRPr="00CB4ED1">
        <w:rPr>
          <w:noProof w:val="0"/>
        </w:rPr>
        <w:fldChar w:fldCharType="separate"/>
      </w:r>
      <w:r w:rsidR="004A33ED">
        <w:t>4</w:t>
      </w:r>
      <w:r w:rsidRPr="00CB4ED1">
        <w:rPr>
          <w:noProof w:val="0"/>
        </w:rPr>
        <w:fldChar w:fldCharType="end"/>
      </w:r>
      <w:r w:rsidRPr="00CB4ED1">
        <w:rPr>
          <w:noProof w:val="0"/>
        </w:rPr>
        <w:t xml:space="preserve"> </w:t>
      </w:r>
      <w:r w:rsidR="004F223E">
        <w:rPr>
          <w:noProof w:val="0"/>
        </w:rPr>
        <w:t>–</w:t>
      </w:r>
      <w:r w:rsidRPr="00CB4ED1">
        <w:rPr>
          <w:noProof w:val="0"/>
        </w:rPr>
        <w:t xml:space="preserve"> </w:t>
      </w:r>
      <w:r w:rsidR="004F223E">
        <w:rPr>
          <w:noProof w:val="0"/>
        </w:rPr>
        <w:t>P</w:t>
      </w:r>
      <w:r w:rsidR="004F223E" w:rsidRPr="004F223E">
        <w:rPr>
          <w:noProof w:val="0"/>
        </w:rPr>
        <w:t>rojected</w:t>
      </w:r>
      <w:r w:rsidR="004F223E">
        <w:rPr>
          <w:noProof w:val="0"/>
        </w:rPr>
        <w:t xml:space="preserve"> Orthopaedic</w:t>
      </w:r>
      <w:r w:rsidR="004F223E" w:rsidRPr="004F223E">
        <w:rPr>
          <w:noProof w:val="0"/>
        </w:rPr>
        <w:t xml:space="preserve"> demand growth </w:t>
      </w:r>
      <w:r w:rsidR="00880B06">
        <w:rPr>
          <w:noProof w:val="0"/>
        </w:rPr>
        <w:t>(by UHB and region)</w:t>
      </w:r>
      <w:bookmarkEnd w:id="38"/>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1935"/>
        <w:gridCol w:w="1360"/>
        <w:gridCol w:w="1361"/>
        <w:gridCol w:w="1361"/>
        <w:gridCol w:w="1360"/>
        <w:gridCol w:w="1222"/>
        <w:gridCol w:w="1222"/>
      </w:tblGrid>
      <w:tr w:rsidR="0026591F" w:rsidRPr="0026591F" w14:paraId="214FC297" w14:textId="77777777" w:rsidTr="00880B06">
        <w:tc>
          <w:tcPr>
            <w:tcW w:w="1938" w:type="dxa"/>
            <w:vMerge w:val="restart"/>
            <w:shd w:val="clear" w:color="auto" w:fill="374264"/>
            <w:vAlign w:val="center"/>
          </w:tcPr>
          <w:p w14:paraId="6E0E90D9" w14:textId="77777777" w:rsidR="0026591F" w:rsidRPr="0026591F" w:rsidRDefault="0026591F" w:rsidP="00377EA9">
            <w:pPr>
              <w:pStyle w:val="tabletext"/>
              <w:rPr>
                <w:b/>
                <w:bCs/>
                <w:color w:val="FFFFFF" w:themeColor="background1"/>
                <w:sz w:val="18"/>
                <w:szCs w:val="20"/>
              </w:rPr>
            </w:pPr>
            <w:r w:rsidRPr="0026591F">
              <w:rPr>
                <w:b/>
                <w:bCs/>
                <w:color w:val="FFFFFF" w:themeColor="background1"/>
                <w:sz w:val="18"/>
                <w:szCs w:val="20"/>
              </w:rPr>
              <w:t>Sub specs</w:t>
            </w:r>
          </w:p>
        </w:tc>
        <w:tc>
          <w:tcPr>
            <w:tcW w:w="4086" w:type="dxa"/>
            <w:gridSpan w:val="3"/>
            <w:shd w:val="clear" w:color="auto" w:fill="374264"/>
            <w:vAlign w:val="center"/>
          </w:tcPr>
          <w:p w14:paraId="3FD7B4E4"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Aneurin Bevan</w:t>
            </w:r>
          </w:p>
        </w:tc>
        <w:tc>
          <w:tcPr>
            <w:tcW w:w="3807" w:type="dxa"/>
            <w:gridSpan w:val="3"/>
            <w:shd w:val="clear" w:color="auto" w:fill="374264"/>
            <w:vAlign w:val="center"/>
          </w:tcPr>
          <w:p w14:paraId="51436392"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Cardiff and Vale</w:t>
            </w:r>
          </w:p>
        </w:tc>
      </w:tr>
      <w:tr w:rsidR="0026591F" w:rsidRPr="0026591F" w14:paraId="086103B5" w14:textId="77777777" w:rsidTr="00880B06">
        <w:tc>
          <w:tcPr>
            <w:tcW w:w="1938" w:type="dxa"/>
            <w:vMerge/>
            <w:shd w:val="clear" w:color="auto" w:fill="374264"/>
          </w:tcPr>
          <w:p w14:paraId="0BE8D993" w14:textId="77777777" w:rsidR="0026591F" w:rsidRPr="0026591F" w:rsidRDefault="0026591F" w:rsidP="00377EA9">
            <w:pPr>
              <w:pStyle w:val="tabletext"/>
              <w:rPr>
                <w:b/>
                <w:bCs/>
                <w:color w:val="FFFFFF" w:themeColor="background1"/>
                <w:sz w:val="18"/>
                <w:szCs w:val="20"/>
              </w:rPr>
            </w:pPr>
          </w:p>
        </w:tc>
        <w:tc>
          <w:tcPr>
            <w:tcW w:w="1362" w:type="dxa"/>
            <w:vMerge w:val="restart"/>
            <w:shd w:val="clear" w:color="auto" w:fill="374264"/>
            <w:vAlign w:val="center"/>
          </w:tcPr>
          <w:p w14:paraId="7EEF9126"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Recurrent demand IP24/25</w:t>
            </w:r>
          </w:p>
        </w:tc>
        <w:tc>
          <w:tcPr>
            <w:tcW w:w="2724" w:type="dxa"/>
            <w:gridSpan w:val="2"/>
            <w:shd w:val="clear" w:color="auto" w:fill="374264"/>
            <w:vAlign w:val="center"/>
          </w:tcPr>
          <w:p w14:paraId="47A05A36"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Demand in 28/29·</w:t>
            </w:r>
          </w:p>
        </w:tc>
        <w:tc>
          <w:tcPr>
            <w:tcW w:w="1361" w:type="dxa"/>
            <w:vMerge w:val="restart"/>
            <w:shd w:val="clear" w:color="auto" w:fill="374264"/>
            <w:vAlign w:val="center"/>
          </w:tcPr>
          <w:p w14:paraId="6DB1A9BF"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Recurrent demand IP24/25</w:t>
            </w:r>
          </w:p>
        </w:tc>
        <w:tc>
          <w:tcPr>
            <w:tcW w:w="2446" w:type="dxa"/>
            <w:gridSpan w:val="2"/>
            <w:shd w:val="clear" w:color="auto" w:fill="374264"/>
            <w:vAlign w:val="center"/>
          </w:tcPr>
          <w:p w14:paraId="53CA0650"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Demand in 28/29·</w:t>
            </w:r>
          </w:p>
        </w:tc>
      </w:tr>
      <w:tr w:rsidR="0026591F" w:rsidRPr="0026591F" w14:paraId="39FEB524" w14:textId="77777777" w:rsidTr="00880B06">
        <w:tc>
          <w:tcPr>
            <w:tcW w:w="1938" w:type="dxa"/>
            <w:vMerge/>
          </w:tcPr>
          <w:p w14:paraId="0CD7E5AA" w14:textId="77777777" w:rsidR="0026591F" w:rsidRPr="0026591F" w:rsidRDefault="0026591F" w:rsidP="00377EA9">
            <w:pPr>
              <w:pStyle w:val="tabletext"/>
              <w:rPr>
                <w:color w:val="FFFFFF" w:themeColor="background1"/>
                <w:sz w:val="18"/>
                <w:szCs w:val="20"/>
              </w:rPr>
            </w:pPr>
          </w:p>
        </w:tc>
        <w:tc>
          <w:tcPr>
            <w:tcW w:w="1362" w:type="dxa"/>
            <w:vMerge/>
            <w:vAlign w:val="center"/>
          </w:tcPr>
          <w:p w14:paraId="519252FE" w14:textId="77777777" w:rsidR="0026591F" w:rsidRPr="0026591F" w:rsidRDefault="0026591F" w:rsidP="00377EA9">
            <w:pPr>
              <w:pStyle w:val="tabletext"/>
              <w:jc w:val="center"/>
              <w:rPr>
                <w:color w:val="FFFFFF" w:themeColor="background1"/>
                <w:sz w:val="18"/>
                <w:szCs w:val="20"/>
              </w:rPr>
            </w:pPr>
          </w:p>
        </w:tc>
        <w:tc>
          <w:tcPr>
            <w:tcW w:w="1362" w:type="dxa"/>
            <w:shd w:val="clear" w:color="auto" w:fill="4A5886"/>
            <w:vAlign w:val="center"/>
          </w:tcPr>
          <w:p w14:paraId="7586C8DD" w14:textId="77777777" w:rsidR="0026591F" w:rsidRPr="0026591F" w:rsidRDefault="0026591F" w:rsidP="00377EA9">
            <w:pPr>
              <w:pStyle w:val="tabletext"/>
              <w:jc w:val="center"/>
              <w:rPr>
                <w:color w:val="FFFFFF" w:themeColor="background1"/>
                <w:sz w:val="18"/>
                <w:szCs w:val="20"/>
              </w:rPr>
            </w:pPr>
            <w:r w:rsidRPr="0026591F">
              <w:rPr>
                <w:color w:val="FFFFFF" w:themeColor="background1"/>
                <w:sz w:val="18"/>
                <w:szCs w:val="20"/>
              </w:rPr>
              <w:t>1% growth</w:t>
            </w:r>
          </w:p>
        </w:tc>
        <w:tc>
          <w:tcPr>
            <w:tcW w:w="1362" w:type="dxa"/>
            <w:shd w:val="clear" w:color="auto" w:fill="4A5886"/>
            <w:vAlign w:val="center"/>
          </w:tcPr>
          <w:p w14:paraId="4ED4CA62" w14:textId="77777777" w:rsidR="0026591F" w:rsidRPr="0026591F" w:rsidRDefault="0026591F" w:rsidP="00377EA9">
            <w:pPr>
              <w:pStyle w:val="tabletext"/>
              <w:jc w:val="center"/>
              <w:rPr>
                <w:color w:val="FFFFFF" w:themeColor="background1"/>
                <w:sz w:val="18"/>
                <w:szCs w:val="20"/>
              </w:rPr>
            </w:pPr>
            <w:r w:rsidRPr="0026591F">
              <w:rPr>
                <w:color w:val="FFFFFF" w:themeColor="background1"/>
                <w:sz w:val="18"/>
                <w:szCs w:val="20"/>
              </w:rPr>
              <w:t>4% growth</w:t>
            </w:r>
          </w:p>
        </w:tc>
        <w:tc>
          <w:tcPr>
            <w:tcW w:w="1361" w:type="dxa"/>
            <w:vMerge/>
            <w:vAlign w:val="center"/>
          </w:tcPr>
          <w:p w14:paraId="5464F46E" w14:textId="77777777" w:rsidR="0026591F" w:rsidRPr="0026591F" w:rsidRDefault="0026591F" w:rsidP="00377EA9">
            <w:pPr>
              <w:pStyle w:val="tabletext"/>
              <w:jc w:val="center"/>
              <w:rPr>
                <w:color w:val="FFFFFF" w:themeColor="background1"/>
                <w:sz w:val="18"/>
                <w:szCs w:val="20"/>
              </w:rPr>
            </w:pPr>
          </w:p>
        </w:tc>
        <w:tc>
          <w:tcPr>
            <w:tcW w:w="1223" w:type="dxa"/>
            <w:shd w:val="clear" w:color="auto" w:fill="4A5886"/>
            <w:vAlign w:val="center"/>
          </w:tcPr>
          <w:p w14:paraId="40021034" w14:textId="77777777" w:rsidR="0026591F" w:rsidRPr="0026591F" w:rsidRDefault="0026591F" w:rsidP="00377EA9">
            <w:pPr>
              <w:pStyle w:val="tabletext"/>
              <w:jc w:val="center"/>
              <w:rPr>
                <w:color w:val="FFFFFF" w:themeColor="background1"/>
                <w:sz w:val="18"/>
                <w:szCs w:val="20"/>
              </w:rPr>
            </w:pPr>
            <w:r w:rsidRPr="0026591F">
              <w:rPr>
                <w:color w:val="FFFFFF" w:themeColor="background1"/>
                <w:sz w:val="18"/>
                <w:szCs w:val="20"/>
              </w:rPr>
              <w:t>1% growth</w:t>
            </w:r>
          </w:p>
        </w:tc>
        <w:tc>
          <w:tcPr>
            <w:tcW w:w="1223" w:type="dxa"/>
            <w:shd w:val="clear" w:color="auto" w:fill="4A5886"/>
            <w:vAlign w:val="center"/>
          </w:tcPr>
          <w:p w14:paraId="2A34787A" w14:textId="77777777" w:rsidR="0026591F" w:rsidRPr="0026591F" w:rsidRDefault="0026591F" w:rsidP="00377EA9">
            <w:pPr>
              <w:pStyle w:val="tabletext"/>
              <w:jc w:val="center"/>
              <w:rPr>
                <w:color w:val="FFFFFF" w:themeColor="background1"/>
                <w:sz w:val="18"/>
                <w:szCs w:val="20"/>
              </w:rPr>
            </w:pPr>
            <w:r w:rsidRPr="0026591F">
              <w:rPr>
                <w:color w:val="FFFFFF" w:themeColor="background1"/>
                <w:sz w:val="18"/>
                <w:szCs w:val="20"/>
              </w:rPr>
              <w:t>4% growth</w:t>
            </w:r>
          </w:p>
        </w:tc>
      </w:tr>
      <w:tr w:rsidR="0026591F" w:rsidRPr="00A83EDA" w14:paraId="28EFBBBD" w14:textId="77777777" w:rsidTr="00880B06">
        <w:tc>
          <w:tcPr>
            <w:tcW w:w="1938" w:type="dxa"/>
          </w:tcPr>
          <w:p w14:paraId="7B77F13A" w14:textId="77777777" w:rsidR="0026591F" w:rsidRPr="00A83EDA" w:rsidRDefault="0026591F" w:rsidP="00377EA9">
            <w:pPr>
              <w:pStyle w:val="tabletext"/>
              <w:rPr>
                <w:sz w:val="18"/>
                <w:szCs w:val="20"/>
              </w:rPr>
            </w:pPr>
            <w:r w:rsidRPr="002C76A2">
              <w:t>FA</w:t>
            </w:r>
          </w:p>
        </w:tc>
        <w:tc>
          <w:tcPr>
            <w:tcW w:w="1362" w:type="dxa"/>
          </w:tcPr>
          <w:p w14:paraId="436E4564" w14:textId="77777777" w:rsidR="0026591F" w:rsidRPr="00A83EDA" w:rsidRDefault="0026591F" w:rsidP="00377EA9">
            <w:pPr>
              <w:pStyle w:val="tabletext"/>
              <w:jc w:val="center"/>
              <w:rPr>
                <w:sz w:val="18"/>
                <w:szCs w:val="20"/>
              </w:rPr>
            </w:pPr>
            <w:r w:rsidRPr="00965E09">
              <w:t>1,057</w:t>
            </w:r>
          </w:p>
        </w:tc>
        <w:tc>
          <w:tcPr>
            <w:tcW w:w="1362" w:type="dxa"/>
          </w:tcPr>
          <w:p w14:paraId="7868E8F6" w14:textId="77777777" w:rsidR="0026591F" w:rsidRDefault="0026591F" w:rsidP="00377EA9">
            <w:pPr>
              <w:pStyle w:val="tabletext"/>
              <w:jc w:val="center"/>
              <w:rPr>
                <w:sz w:val="18"/>
                <w:szCs w:val="20"/>
              </w:rPr>
            </w:pPr>
            <w:r w:rsidRPr="00965E09">
              <w:t>1,099</w:t>
            </w:r>
          </w:p>
        </w:tc>
        <w:tc>
          <w:tcPr>
            <w:tcW w:w="1362" w:type="dxa"/>
          </w:tcPr>
          <w:p w14:paraId="6BBE2B30" w14:textId="77777777" w:rsidR="0026591F" w:rsidRDefault="0026591F" w:rsidP="00377EA9">
            <w:pPr>
              <w:pStyle w:val="tabletext"/>
              <w:jc w:val="center"/>
              <w:rPr>
                <w:sz w:val="18"/>
                <w:szCs w:val="20"/>
              </w:rPr>
            </w:pPr>
            <w:r w:rsidRPr="00965E09">
              <w:t>1,226</w:t>
            </w:r>
          </w:p>
        </w:tc>
        <w:tc>
          <w:tcPr>
            <w:tcW w:w="1361" w:type="dxa"/>
          </w:tcPr>
          <w:p w14:paraId="798BBA28" w14:textId="77777777" w:rsidR="0026591F" w:rsidRPr="00A83EDA" w:rsidRDefault="0026591F" w:rsidP="00377EA9">
            <w:pPr>
              <w:pStyle w:val="tabletext"/>
              <w:jc w:val="center"/>
              <w:rPr>
                <w:sz w:val="18"/>
                <w:szCs w:val="20"/>
              </w:rPr>
            </w:pPr>
            <w:r w:rsidRPr="00965E09">
              <w:t>368</w:t>
            </w:r>
          </w:p>
        </w:tc>
        <w:tc>
          <w:tcPr>
            <w:tcW w:w="1223" w:type="dxa"/>
          </w:tcPr>
          <w:p w14:paraId="00719C20" w14:textId="77777777" w:rsidR="0026591F" w:rsidRDefault="0026591F" w:rsidP="00377EA9">
            <w:pPr>
              <w:pStyle w:val="tabletext"/>
              <w:jc w:val="center"/>
              <w:rPr>
                <w:sz w:val="18"/>
                <w:szCs w:val="20"/>
              </w:rPr>
            </w:pPr>
            <w:r w:rsidRPr="00965E09">
              <w:t>383</w:t>
            </w:r>
          </w:p>
        </w:tc>
        <w:tc>
          <w:tcPr>
            <w:tcW w:w="1223" w:type="dxa"/>
          </w:tcPr>
          <w:p w14:paraId="217F3A63" w14:textId="77777777" w:rsidR="0026591F" w:rsidRPr="00A83EDA" w:rsidRDefault="0026591F" w:rsidP="00377EA9">
            <w:pPr>
              <w:pStyle w:val="tabletext"/>
              <w:jc w:val="center"/>
              <w:rPr>
                <w:sz w:val="18"/>
                <w:szCs w:val="20"/>
              </w:rPr>
            </w:pPr>
            <w:r w:rsidRPr="00965E09">
              <w:t>427</w:t>
            </w:r>
          </w:p>
        </w:tc>
      </w:tr>
      <w:tr w:rsidR="00880B06" w:rsidRPr="00A83EDA" w14:paraId="6167BCF5" w14:textId="77777777" w:rsidTr="00880B06">
        <w:tc>
          <w:tcPr>
            <w:tcW w:w="1938" w:type="dxa"/>
          </w:tcPr>
          <w:p w14:paraId="1002037D" w14:textId="77777777" w:rsidR="0026591F" w:rsidRPr="00A83EDA" w:rsidRDefault="0026591F" w:rsidP="00377EA9">
            <w:pPr>
              <w:pStyle w:val="tabletext"/>
              <w:rPr>
                <w:sz w:val="18"/>
                <w:szCs w:val="20"/>
              </w:rPr>
            </w:pPr>
            <w:proofErr w:type="spellStart"/>
            <w:r w:rsidRPr="002C76A2">
              <w:t>Paeds</w:t>
            </w:r>
            <w:proofErr w:type="spellEnd"/>
          </w:p>
        </w:tc>
        <w:tc>
          <w:tcPr>
            <w:tcW w:w="1362" w:type="dxa"/>
          </w:tcPr>
          <w:p w14:paraId="384C889F" w14:textId="77777777" w:rsidR="0026591F" w:rsidRPr="00A83EDA" w:rsidRDefault="0026591F" w:rsidP="00377EA9">
            <w:pPr>
              <w:pStyle w:val="tabletext"/>
              <w:jc w:val="center"/>
              <w:rPr>
                <w:sz w:val="18"/>
                <w:szCs w:val="20"/>
              </w:rPr>
            </w:pPr>
          </w:p>
        </w:tc>
        <w:tc>
          <w:tcPr>
            <w:tcW w:w="1362" w:type="dxa"/>
          </w:tcPr>
          <w:p w14:paraId="6B22126A" w14:textId="77777777" w:rsidR="0026591F" w:rsidRDefault="0026591F" w:rsidP="00377EA9">
            <w:pPr>
              <w:pStyle w:val="tabletext"/>
              <w:jc w:val="center"/>
              <w:rPr>
                <w:sz w:val="18"/>
                <w:szCs w:val="20"/>
              </w:rPr>
            </w:pPr>
            <w:r w:rsidRPr="00965E09">
              <w:t>0</w:t>
            </w:r>
          </w:p>
        </w:tc>
        <w:tc>
          <w:tcPr>
            <w:tcW w:w="1362" w:type="dxa"/>
          </w:tcPr>
          <w:p w14:paraId="15295C27" w14:textId="77777777" w:rsidR="0026591F" w:rsidRDefault="0026591F" w:rsidP="00377EA9">
            <w:pPr>
              <w:pStyle w:val="tabletext"/>
              <w:jc w:val="center"/>
              <w:rPr>
                <w:sz w:val="18"/>
                <w:szCs w:val="20"/>
              </w:rPr>
            </w:pPr>
            <w:r w:rsidRPr="00965E09">
              <w:t>0</w:t>
            </w:r>
          </w:p>
        </w:tc>
        <w:tc>
          <w:tcPr>
            <w:tcW w:w="1361" w:type="dxa"/>
          </w:tcPr>
          <w:p w14:paraId="6EC11084" w14:textId="77777777" w:rsidR="0026591F" w:rsidRPr="00A83EDA" w:rsidRDefault="0026591F" w:rsidP="00377EA9">
            <w:pPr>
              <w:pStyle w:val="tabletext"/>
              <w:jc w:val="center"/>
              <w:rPr>
                <w:sz w:val="18"/>
                <w:szCs w:val="20"/>
              </w:rPr>
            </w:pPr>
            <w:r w:rsidRPr="00965E09">
              <w:t>324</w:t>
            </w:r>
          </w:p>
        </w:tc>
        <w:tc>
          <w:tcPr>
            <w:tcW w:w="1223" w:type="dxa"/>
          </w:tcPr>
          <w:p w14:paraId="7FA39BAC" w14:textId="77777777" w:rsidR="0026591F" w:rsidRDefault="0026591F" w:rsidP="00377EA9">
            <w:pPr>
              <w:pStyle w:val="tabletext"/>
              <w:jc w:val="center"/>
              <w:rPr>
                <w:sz w:val="18"/>
                <w:szCs w:val="20"/>
              </w:rPr>
            </w:pPr>
            <w:r w:rsidRPr="00965E09">
              <w:t>337</w:t>
            </w:r>
          </w:p>
        </w:tc>
        <w:tc>
          <w:tcPr>
            <w:tcW w:w="1223" w:type="dxa"/>
          </w:tcPr>
          <w:p w14:paraId="42982246" w14:textId="77777777" w:rsidR="0026591F" w:rsidRPr="00A83EDA" w:rsidRDefault="0026591F" w:rsidP="00377EA9">
            <w:pPr>
              <w:pStyle w:val="tabletext"/>
              <w:jc w:val="center"/>
              <w:rPr>
                <w:sz w:val="18"/>
                <w:szCs w:val="20"/>
              </w:rPr>
            </w:pPr>
            <w:r w:rsidRPr="00965E09">
              <w:t>376</w:t>
            </w:r>
          </w:p>
        </w:tc>
      </w:tr>
      <w:tr w:rsidR="00880B06" w:rsidRPr="00A83EDA" w14:paraId="026C8149" w14:textId="77777777" w:rsidTr="00880B06">
        <w:tc>
          <w:tcPr>
            <w:tcW w:w="1938" w:type="dxa"/>
          </w:tcPr>
          <w:p w14:paraId="63C8E190" w14:textId="77777777" w:rsidR="0026591F" w:rsidRPr="00A83EDA" w:rsidRDefault="0026591F" w:rsidP="00377EA9">
            <w:pPr>
              <w:pStyle w:val="tabletext"/>
              <w:rPr>
                <w:sz w:val="18"/>
                <w:szCs w:val="20"/>
              </w:rPr>
            </w:pPr>
            <w:r w:rsidRPr="002C76A2">
              <w:t>Upper Limb</w:t>
            </w:r>
          </w:p>
        </w:tc>
        <w:tc>
          <w:tcPr>
            <w:tcW w:w="1362" w:type="dxa"/>
          </w:tcPr>
          <w:p w14:paraId="2C8233FF" w14:textId="77777777" w:rsidR="0026591F" w:rsidRPr="00A83EDA" w:rsidRDefault="0026591F" w:rsidP="00377EA9">
            <w:pPr>
              <w:pStyle w:val="tabletext"/>
              <w:jc w:val="center"/>
              <w:rPr>
                <w:sz w:val="18"/>
                <w:szCs w:val="20"/>
              </w:rPr>
            </w:pPr>
            <w:r w:rsidRPr="00965E09">
              <w:t>700</w:t>
            </w:r>
          </w:p>
        </w:tc>
        <w:tc>
          <w:tcPr>
            <w:tcW w:w="1362" w:type="dxa"/>
          </w:tcPr>
          <w:p w14:paraId="1A117995" w14:textId="77777777" w:rsidR="0026591F" w:rsidRDefault="0026591F" w:rsidP="00377EA9">
            <w:pPr>
              <w:pStyle w:val="tabletext"/>
              <w:jc w:val="center"/>
              <w:rPr>
                <w:sz w:val="18"/>
                <w:szCs w:val="20"/>
              </w:rPr>
            </w:pPr>
            <w:r w:rsidRPr="00965E09">
              <w:t>728</w:t>
            </w:r>
          </w:p>
        </w:tc>
        <w:tc>
          <w:tcPr>
            <w:tcW w:w="1362" w:type="dxa"/>
          </w:tcPr>
          <w:p w14:paraId="2B720898" w14:textId="77777777" w:rsidR="0026591F" w:rsidRDefault="0026591F" w:rsidP="00377EA9">
            <w:pPr>
              <w:pStyle w:val="tabletext"/>
              <w:jc w:val="center"/>
              <w:rPr>
                <w:sz w:val="18"/>
                <w:szCs w:val="20"/>
              </w:rPr>
            </w:pPr>
            <w:r w:rsidRPr="00965E09">
              <w:t>812</w:t>
            </w:r>
          </w:p>
        </w:tc>
        <w:tc>
          <w:tcPr>
            <w:tcW w:w="1361" w:type="dxa"/>
          </w:tcPr>
          <w:p w14:paraId="50C0834A" w14:textId="77777777" w:rsidR="0026591F" w:rsidRPr="00A83EDA" w:rsidRDefault="0026591F" w:rsidP="00377EA9">
            <w:pPr>
              <w:pStyle w:val="tabletext"/>
              <w:jc w:val="center"/>
              <w:rPr>
                <w:sz w:val="18"/>
                <w:szCs w:val="20"/>
              </w:rPr>
            </w:pPr>
            <w:r w:rsidRPr="00965E09">
              <w:t>321</w:t>
            </w:r>
          </w:p>
        </w:tc>
        <w:tc>
          <w:tcPr>
            <w:tcW w:w="1223" w:type="dxa"/>
          </w:tcPr>
          <w:p w14:paraId="04798015" w14:textId="77777777" w:rsidR="0026591F" w:rsidRDefault="0026591F" w:rsidP="00377EA9">
            <w:pPr>
              <w:pStyle w:val="tabletext"/>
              <w:jc w:val="center"/>
              <w:rPr>
                <w:sz w:val="18"/>
                <w:szCs w:val="20"/>
              </w:rPr>
            </w:pPr>
            <w:r w:rsidRPr="00965E09">
              <w:t>334</w:t>
            </w:r>
          </w:p>
        </w:tc>
        <w:tc>
          <w:tcPr>
            <w:tcW w:w="1223" w:type="dxa"/>
          </w:tcPr>
          <w:p w14:paraId="44336312" w14:textId="77777777" w:rsidR="0026591F" w:rsidRPr="00A83EDA" w:rsidRDefault="0026591F" w:rsidP="00377EA9">
            <w:pPr>
              <w:pStyle w:val="tabletext"/>
              <w:jc w:val="center"/>
              <w:rPr>
                <w:sz w:val="18"/>
                <w:szCs w:val="20"/>
              </w:rPr>
            </w:pPr>
            <w:r w:rsidRPr="00965E09">
              <w:t>372</w:t>
            </w:r>
          </w:p>
        </w:tc>
      </w:tr>
      <w:tr w:rsidR="00880B06" w:rsidRPr="00A83EDA" w14:paraId="1755565E" w14:textId="77777777" w:rsidTr="00880B06">
        <w:tc>
          <w:tcPr>
            <w:tcW w:w="1938" w:type="dxa"/>
          </w:tcPr>
          <w:p w14:paraId="17A87589" w14:textId="77777777" w:rsidR="0026591F" w:rsidRPr="00A83EDA" w:rsidRDefault="0026591F" w:rsidP="00377EA9">
            <w:pPr>
              <w:pStyle w:val="tabletext"/>
              <w:rPr>
                <w:sz w:val="18"/>
                <w:szCs w:val="20"/>
              </w:rPr>
            </w:pPr>
            <w:r w:rsidRPr="002C76A2">
              <w:t>Hands</w:t>
            </w:r>
          </w:p>
        </w:tc>
        <w:tc>
          <w:tcPr>
            <w:tcW w:w="1362" w:type="dxa"/>
          </w:tcPr>
          <w:p w14:paraId="34B1BC19" w14:textId="77777777" w:rsidR="0026591F" w:rsidRPr="00A83EDA" w:rsidRDefault="0026591F" w:rsidP="00377EA9">
            <w:pPr>
              <w:pStyle w:val="tabletext"/>
              <w:jc w:val="center"/>
              <w:rPr>
                <w:sz w:val="18"/>
                <w:szCs w:val="20"/>
              </w:rPr>
            </w:pPr>
            <w:r w:rsidRPr="00965E09">
              <w:t>1,150</w:t>
            </w:r>
          </w:p>
        </w:tc>
        <w:tc>
          <w:tcPr>
            <w:tcW w:w="1362" w:type="dxa"/>
          </w:tcPr>
          <w:p w14:paraId="2189E5D3" w14:textId="77777777" w:rsidR="0026591F" w:rsidRDefault="0026591F" w:rsidP="00377EA9">
            <w:pPr>
              <w:pStyle w:val="tabletext"/>
              <w:jc w:val="center"/>
              <w:rPr>
                <w:sz w:val="18"/>
                <w:szCs w:val="20"/>
              </w:rPr>
            </w:pPr>
            <w:r w:rsidRPr="00965E09">
              <w:t>1,196</w:t>
            </w:r>
          </w:p>
        </w:tc>
        <w:tc>
          <w:tcPr>
            <w:tcW w:w="1362" w:type="dxa"/>
          </w:tcPr>
          <w:p w14:paraId="424281DB" w14:textId="77777777" w:rsidR="0026591F" w:rsidRPr="0041609C" w:rsidRDefault="0026591F" w:rsidP="00377EA9">
            <w:pPr>
              <w:pStyle w:val="tabletext"/>
              <w:jc w:val="center"/>
              <w:rPr>
                <w:sz w:val="18"/>
                <w:szCs w:val="20"/>
              </w:rPr>
            </w:pPr>
            <w:r w:rsidRPr="0041609C">
              <w:t>1,334</w:t>
            </w:r>
          </w:p>
        </w:tc>
        <w:tc>
          <w:tcPr>
            <w:tcW w:w="1361" w:type="dxa"/>
          </w:tcPr>
          <w:p w14:paraId="0C7C7CDD" w14:textId="77777777" w:rsidR="0026591F" w:rsidRPr="00A83EDA" w:rsidRDefault="0026591F" w:rsidP="00377EA9">
            <w:pPr>
              <w:pStyle w:val="tabletext"/>
              <w:jc w:val="center"/>
              <w:rPr>
                <w:sz w:val="18"/>
                <w:szCs w:val="20"/>
              </w:rPr>
            </w:pPr>
            <w:r w:rsidRPr="00965E09">
              <w:t>1,172</w:t>
            </w:r>
          </w:p>
        </w:tc>
        <w:tc>
          <w:tcPr>
            <w:tcW w:w="1223" w:type="dxa"/>
          </w:tcPr>
          <w:p w14:paraId="1ECED6A5" w14:textId="77777777" w:rsidR="0026591F" w:rsidRDefault="0026591F" w:rsidP="00377EA9">
            <w:pPr>
              <w:pStyle w:val="tabletext"/>
              <w:jc w:val="center"/>
              <w:rPr>
                <w:sz w:val="18"/>
                <w:szCs w:val="20"/>
              </w:rPr>
            </w:pPr>
            <w:r w:rsidRPr="00965E09">
              <w:t>1,219</w:t>
            </w:r>
          </w:p>
        </w:tc>
        <w:tc>
          <w:tcPr>
            <w:tcW w:w="1223" w:type="dxa"/>
          </w:tcPr>
          <w:p w14:paraId="000D3FCD" w14:textId="77777777" w:rsidR="0026591F" w:rsidRPr="00A83EDA" w:rsidRDefault="0026591F" w:rsidP="00377EA9">
            <w:pPr>
              <w:pStyle w:val="tabletext"/>
              <w:jc w:val="center"/>
              <w:rPr>
                <w:sz w:val="18"/>
                <w:szCs w:val="20"/>
              </w:rPr>
            </w:pPr>
            <w:r w:rsidRPr="00965E09">
              <w:t>1,360</w:t>
            </w:r>
          </w:p>
        </w:tc>
      </w:tr>
      <w:tr w:rsidR="00880B06" w:rsidRPr="00A83EDA" w14:paraId="2E228CA8" w14:textId="77777777" w:rsidTr="00880B06">
        <w:tc>
          <w:tcPr>
            <w:tcW w:w="1938" w:type="dxa"/>
          </w:tcPr>
          <w:p w14:paraId="3FDF2526" w14:textId="77777777" w:rsidR="0026591F" w:rsidRPr="00A83EDA" w:rsidRDefault="0026591F" w:rsidP="00377EA9">
            <w:pPr>
              <w:pStyle w:val="tabletext"/>
              <w:rPr>
                <w:sz w:val="18"/>
                <w:szCs w:val="20"/>
              </w:rPr>
            </w:pPr>
            <w:r w:rsidRPr="002C76A2">
              <w:t>Lower Limb</w:t>
            </w:r>
          </w:p>
        </w:tc>
        <w:tc>
          <w:tcPr>
            <w:tcW w:w="1362" w:type="dxa"/>
          </w:tcPr>
          <w:p w14:paraId="6EA0F17F" w14:textId="77777777" w:rsidR="0026591F" w:rsidRPr="00A83EDA" w:rsidRDefault="0026591F" w:rsidP="00377EA9">
            <w:pPr>
              <w:pStyle w:val="tabletext"/>
              <w:jc w:val="center"/>
              <w:rPr>
                <w:sz w:val="18"/>
                <w:szCs w:val="20"/>
              </w:rPr>
            </w:pPr>
            <w:r w:rsidRPr="00965E09">
              <w:t>1,397</w:t>
            </w:r>
          </w:p>
        </w:tc>
        <w:tc>
          <w:tcPr>
            <w:tcW w:w="1362" w:type="dxa"/>
          </w:tcPr>
          <w:p w14:paraId="2F5D82D5" w14:textId="77777777" w:rsidR="0026591F" w:rsidRDefault="0026591F" w:rsidP="00377EA9">
            <w:pPr>
              <w:pStyle w:val="tabletext"/>
              <w:jc w:val="center"/>
              <w:rPr>
                <w:sz w:val="18"/>
                <w:szCs w:val="20"/>
              </w:rPr>
            </w:pPr>
            <w:r w:rsidRPr="00965E09">
              <w:t>1,453</w:t>
            </w:r>
          </w:p>
        </w:tc>
        <w:tc>
          <w:tcPr>
            <w:tcW w:w="1362" w:type="dxa"/>
          </w:tcPr>
          <w:p w14:paraId="3170FC39" w14:textId="77777777" w:rsidR="0026591F" w:rsidRDefault="0026591F" w:rsidP="00377EA9">
            <w:pPr>
              <w:pStyle w:val="tabletext"/>
              <w:jc w:val="center"/>
              <w:rPr>
                <w:sz w:val="18"/>
                <w:szCs w:val="20"/>
              </w:rPr>
            </w:pPr>
            <w:r w:rsidRPr="00965E09">
              <w:t>1,621</w:t>
            </w:r>
          </w:p>
        </w:tc>
        <w:tc>
          <w:tcPr>
            <w:tcW w:w="1361" w:type="dxa"/>
          </w:tcPr>
          <w:p w14:paraId="5688DE30" w14:textId="77777777" w:rsidR="0026591F" w:rsidRPr="00A83EDA" w:rsidRDefault="0026591F" w:rsidP="00377EA9">
            <w:pPr>
              <w:pStyle w:val="tabletext"/>
              <w:jc w:val="center"/>
              <w:rPr>
                <w:sz w:val="18"/>
                <w:szCs w:val="20"/>
              </w:rPr>
            </w:pPr>
            <w:r w:rsidRPr="00965E09">
              <w:t>1,615</w:t>
            </w:r>
          </w:p>
        </w:tc>
        <w:tc>
          <w:tcPr>
            <w:tcW w:w="1223" w:type="dxa"/>
          </w:tcPr>
          <w:p w14:paraId="5BC0BC37" w14:textId="77777777" w:rsidR="0026591F" w:rsidRDefault="0026591F" w:rsidP="00377EA9">
            <w:pPr>
              <w:pStyle w:val="tabletext"/>
              <w:jc w:val="center"/>
              <w:rPr>
                <w:sz w:val="18"/>
                <w:szCs w:val="20"/>
              </w:rPr>
            </w:pPr>
            <w:r w:rsidRPr="00965E09">
              <w:t>1,680</w:t>
            </w:r>
          </w:p>
        </w:tc>
        <w:tc>
          <w:tcPr>
            <w:tcW w:w="1223" w:type="dxa"/>
          </w:tcPr>
          <w:p w14:paraId="0C016F96" w14:textId="77777777" w:rsidR="0026591F" w:rsidRPr="00A83EDA" w:rsidRDefault="0026591F" w:rsidP="00377EA9">
            <w:pPr>
              <w:pStyle w:val="tabletext"/>
              <w:jc w:val="center"/>
              <w:rPr>
                <w:sz w:val="18"/>
                <w:szCs w:val="20"/>
              </w:rPr>
            </w:pPr>
            <w:r w:rsidRPr="00965E09">
              <w:t>1,873</w:t>
            </w:r>
          </w:p>
        </w:tc>
      </w:tr>
      <w:tr w:rsidR="00880B06" w:rsidRPr="00A83EDA" w14:paraId="0DC96BC4" w14:textId="77777777" w:rsidTr="00880B06">
        <w:tc>
          <w:tcPr>
            <w:tcW w:w="1938" w:type="dxa"/>
          </w:tcPr>
          <w:p w14:paraId="7E7AE796" w14:textId="77777777" w:rsidR="0026591F" w:rsidRPr="00A83EDA" w:rsidRDefault="0026591F" w:rsidP="00377EA9">
            <w:pPr>
              <w:pStyle w:val="tabletext"/>
              <w:rPr>
                <w:sz w:val="18"/>
                <w:szCs w:val="20"/>
              </w:rPr>
            </w:pPr>
            <w:r w:rsidRPr="002C76A2">
              <w:t>Spine</w:t>
            </w:r>
          </w:p>
        </w:tc>
        <w:tc>
          <w:tcPr>
            <w:tcW w:w="1362" w:type="dxa"/>
          </w:tcPr>
          <w:p w14:paraId="4C136E89" w14:textId="77777777" w:rsidR="0026591F" w:rsidRPr="00A83EDA" w:rsidRDefault="0026591F" w:rsidP="00377EA9">
            <w:pPr>
              <w:pStyle w:val="tabletext"/>
              <w:jc w:val="center"/>
              <w:rPr>
                <w:sz w:val="18"/>
                <w:szCs w:val="20"/>
              </w:rPr>
            </w:pPr>
            <w:r w:rsidRPr="00965E09">
              <w:t>947</w:t>
            </w:r>
          </w:p>
        </w:tc>
        <w:tc>
          <w:tcPr>
            <w:tcW w:w="1362" w:type="dxa"/>
          </w:tcPr>
          <w:p w14:paraId="20846027" w14:textId="77777777" w:rsidR="0026591F" w:rsidRDefault="0026591F" w:rsidP="00377EA9">
            <w:pPr>
              <w:pStyle w:val="tabletext"/>
              <w:jc w:val="center"/>
              <w:rPr>
                <w:sz w:val="18"/>
                <w:szCs w:val="20"/>
              </w:rPr>
            </w:pPr>
            <w:r w:rsidRPr="00965E09">
              <w:t>985</w:t>
            </w:r>
          </w:p>
        </w:tc>
        <w:tc>
          <w:tcPr>
            <w:tcW w:w="1362" w:type="dxa"/>
          </w:tcPr>
          <w:p w14:paraId="11697E9B" w14:textId="77777777" w:rsidR="0026591F" w:rsidRDefault="0026591F" w:rsidP="00377EA9">
            <w:pPr>
              <w:pStyle w:val="tabletext"/>
              <w:jc w:val="center"/>
              <w:rPr>
                <w:sz w:val="18"/>
                <w:szCs w:val="20"/>
              </w:rPr>
            </w:pPr>
            <w:r w:rsidRPr="00965E09">
              <w:t>1,099</w:t>
            </w:r>
          </w:p>
        </w:tc>
        <w:tc>
          <w:tcPr>
            <w:tcW w:w="1361" w:type="dxa"/>
          </w:tcPr>
          <w:p w14:paraId="172AA9E6" w14:textId="77777777" w:rsidR="0026591F" w:rsidRPr="00A83EDA" w:rsidRDefault="0026591F" w:rsidP="00377EA9">
            <w:pPr>
              <w:pStyle w:val="tabletext"/>
              <w:jc w:val="center"/>
              <w:rPr>
                <w:sz w:val="18"/>
                <w:szCs w:val="20"/>
              </w:rPr>
            </w:pPr>
            <w:r w:rsidRPr="00965E09">
              <w:t>529</w:t>
            </w:r>
          </w:p>
        </w:tc>
        <w:tc>
          <w:tcPr>
            <w:tcW w:w="1223" w:type="dxa"/>
          </w:tcPr>
          <w:p w14:paraId="5AC488C3" w14:textId="77777777" w:rsidR="0026591F" w:rsidRDefault="0026591F" w:rsidP="00377EA9">
            <w:pPr>
              <w:pStyle w:val="tabletext"/>
              <w:jc w:val="center"/>
              <w:rPr>
                <w:sz w:val="18"/>
                <w:szCs w:val="20"/>
              </w:rPr>
            </w:pPr>
            <w:r w:rsidRPr="00965E09">
              <w:t>550</w:t>
            </w:r>
          </w:p>
        </w:tc>
        <w:tc>
          <w:tcPr>
            <w:tcW w:w="1223" w:type="dxa"/>
          </w:tcPr>
          <w:p w14:paraId="40BF811F" w14:textId="77777777" w:rsidR="0026591F" w:rsidRPr="00A83EDA" w:rsidRDefault="0026591F" w:rsidP="00377EA9">
            <w:pPr>
              <w:pStyle w:val="tabletext"/>
              <w:jc w:val="center"/>
              <w:rPr>
                <w:sz w:val="18"/>
                <w:szCs w:val="20"/>
              </w:rPr>
            </w:pPr>
            <w:r w:rsidRPr="00965E09">
              <w:t>614</w:t>
            </w:r>
          </w:p>
        </w:tc>
      </w:tr>
      <w:tr w:rsidR="00880B06" w:rsidRPr="00A83EDA" w14:paraId="012782CF" w14:textId="77777777" w:rsidTr="00880B06">
        <w:tc>
          <w:tcPr>
            <w:tcW w:w="1938" w:type="dxa"/>
          </w:tcPr>
          <w:p w14:paraId="0337E818" w14:textId="77777777" w:rsidR="0026591F" w:rsidRPr="00A83EDA" w:rsidRDefault="0026591F" w:rsidP="00377EA9">
            <w:pPr>
              <w:pStyle w:val="tabletext"/>
              <w:rPr>
                <w:sz w:val="18"/>
                <w:szCs w:val="20"/>
              </w:rPr>
            </w:pPr>
            <w:r w:rsidRPr="002C76A2">
              <w:t>Other</w:t>
            </w:r>
          </w:p>
        </w:tc>
        <w:tc>
          <w:tcPr>
            <w:tcW w:w="1362" w:type="dxa"/>
          </w:tcPr>
          <w:p w14:paraId="12CF8271" w14:textId="77777777" w:rsidR="0026591F" w:rsidRPr="00A83EDA" w:rsidRDefault="0026591F" w:rsidP="00377EA9">
            <w:pPr>
              <w:pStyle w:val="tabletext"/>
              <w:jc w:val="center"/>
              <w:rPr>
                <w:sz w:val="18"/>
                <w:szCs w:val="20"/>
              </w:rPr>
            </w:pPr>
          </w:p>
        </w:tc>
        <w:tc>
          <w:tcPr>
            <w:tcW w:w="1362" w:type="dxa"/>
          </w:tcPr>
          <w:p w14:paraId="3DCBD27D" w14:textId="77777777" w:rsidR="0026591F" w:rsidRDefault="0026591F" w:rsidP="00377EA9">
            <w:pPr>
              <w:pStyle w:val="tabletext"/>
              <w:jc w:val="center"/>
              <w:rPr>
                <w:sz w:val="18"/>
                <w:szCs w:val="20"/>
              </w:rPr>
            </w:pPr>
            <w:r w:rsidRPr="00965E09">
              <w:t>0</w:t>
            </w:r>
          </w:p>
        </w:tc>
        <w:tc>
          <w:tcPr>
            <w:tcW w:w="1362" w:type="dxa"/>
          </w:tcPr>
          <w:p w14:paraId="4F56E10C" w14:textId="77777777" w:rsidR="0026591F" w:rsidRDefault="0026591F" w:rsidP="00377EA9">
            <w:pPr>
              <w:pStyle w:val="tabletext"/>
              <w:jc w:val="center"/>
              <w:rPr>
                <w:sz w:val="18"/>
                <w:szCs w:val="20"/>
              </w:rPr>
            </w:pPr>
            <w:r w:rsidRPr="00965E09">
              <w:t>0</w:t>
            </w:r>
          </w:p>
        </w:tc>
        <w:tc>
          <w:tcPr>
            <w:tcW w:w="1361" w:type="dxa"/>
          </w:tcPr>
          <w:p w14:paraId="530468D1" w14:textId="77777777" w:rsidR="0026591F" w:rsidRPr="00A83EDA" w:rsidRDefault="0026591F" w:rsidP="00377EA9">
            <w:pPr>
              <w:pStyle w:val="tabletext"/>
              <w:jc w:val="center"/>
              <w:rPr>
                <w:sz w:val="18"/>
                <w:szCs w:val="20"/>
              </w:rPr>
            </w:pPr>
            <w:r w:rsidRPr="00965E09">
              <w:t>0</w:t>
            </w:r>
          </w:p>
        </w:tc>
        <w:tc>
          <w:tcPr>
            <w:tcW w:w="1223" w:type="dxa"/>
          </w:tcPr>
          <w:p w14:paraId="6B36037F" w14:textId="77777777" w:rsidR="0026591F" w:rsidRDefault="0026591F" w:rsidP="00377EA9">
            <w:pPr>
              <w:pStyle w:val="tabletext"/>
              <w:jc w:val="center"/>
              <w:rPr>
                <w:sz w:val="18"/>
                <w:szCs w:val="20"/>
              </w:rPr>
            </w:pPr>
            <w:r w:rsidRPr="00965E09">
              <w:t>0</w:t>
            </w:r>
          </w:p>
        </w:tc>
        <w:tc>
          <w:tcPr>
            <w:tcW w:w="1223" w:type="dxa"/>
          </w:tcPr>
          <w:p w14:paraId="12311CB8" w14:textId="77777777" w:rsidR="0026591F" w:rsidRPr="00A83EDA" w:rsidRDefault="0026591F" w:rsidP="00377EA9">
            <w:pPr>
              <w:pStyle w:val="tabletext"/>
              <w:jc w:val="center"/>
              <w:rPr>
                <w:sz w:val="18"/>
                <w:szCs w:val="20"/>
              </w:rPr>
            </w:pPr>
            <w:r w:rsidRPr="00965E09">
              <w:t>0</w:t>
            </w:r>
          </w:p>
        </w:tc>
      </w:tr>
      <w:tr w:rsidR="0026591F" w:rsidRPr="000F59F9" w14:paraId="51C45234" w14:textId="77777777" w:rsidTr="00880B06">
        <w:tc>
          <w:tcPr>
            <w:tcW w:w="1938" w:type="dxa"/>
            <w:shd w:val="clear" w:color="auto" w:fill="D1D6E5" w:themeFill="text2" w:themeFillTint="33"/>
          </w:tcPr>
          <w:p w14:paraId="63D1E902" w14:textId="77777777" w:rsidR="0026591F" w:rsidRPr="000F59F9" w:rsidRDefault="0026591F" w:rsidP="00377EA9">
            <w:pPr>
              <w:pStyle w:val="tabletext"/>
              <w:rPr>
                <w:b/>
                <w:bCs/>
                <w:sz w:val="18"/>
                <w:szCs w:val="20"/>
              </w:rPr>
            </w:pPr>
            <w:r w:rsidRPr="000F59F9">
              <w:rPr>
                <w:b/>
                <w:bCs/>
              </w:rPr>
              <w:t>Total</w:t>
            </w:r>
          </w:p>
        </w:tc>
        <w:tc>
          <w:tcPr>
            <w:tcW w:w="1362" w:type="dxa"/>
            <w:shd w:val="clear" w:color="auto" w:fill="D1D6E5" w:themeFill="text2" w:themeFillTint="33"/>
          </w:tcPr>
          <w:p w14:paraId="06E4D935" w14:textId="77777777" w:rsidR="0026591F" w:rsidRPr="000F59F9" w:rsidRDefault="0026591F" w:rsidP="00377EA9">
            <w:pPr>
              <w:pStyle w:val="tabletext"/>
              <w:jc w:val="center"/>
              <w:rPr>
                <w:b/>
                <w:bCs/>
                <w:sz w:val="18"/>
                <w:szCs w:val="20"/>
              </w:rPr>
            </w:pPr>
            <w:r w:rsidRPr="000F59F9">
              <w:rPr>
                <w:b/>
                <w:bCs/>
              </w:rPr>
              <w:t>5,251</w:t>
            </w:r>
          </w:p>
        </w:tc>
        <w:tc>
          <w:tcPr>
            <w:tcW w:w="1362" w:type="dxa"/>
            <w:shd w:val="clear" w:color="auto" w:fill="D1D6E5" w:themeFill="text2" w:themeFillTint="33"/>
          </w:tcPr>
          <w:p w14:paraId="146D7F47" w14:textId="77777777" w:rsidR="0026591F" w:rsidRPr="000F59F9" w:rsidRDefault="0026591F" w:rsidP="00377EA9">
            <w:pPr>
              <w:pStyle w:val="tabletext"/>
              <w:jc w:val="center"/>
              <w:rPr>
                <w:b/>
                <w:bCs/>
                <w:sz w:val="18"/>
                <w:szCs w:val="20"/>
              </w:rPr>
            </w:pPr>
            <w:r w:rsidRPr="000F59F9">
              <w:rPr>
                <w:b/>
                <w:bCs/>
              </w:rPr>
              <w:t>5,461</w:t>
            </w:r>
          </w:p>
        </w:tc>
        <w:tc>
          <w:tcPr>
            <w:tcW w:w="1362" w:type="dxa"/>
            <w:shd w:val="clear" w:color="auto" w:fill="D1D6E5" w:themeFill="text2" w:themeFillTint="33"/>
          </w:tcPr>
          <w:p w14:paraId="47B88309" w14:textId="77777777" w:rsidR="0026591F" w:rsidRPr="000F59F9" w:rsidRDefault="0026591F" w:rsidP="00377EA9">
            <w:pPr>
              <w:pStyle w:val="tabletext"/>
              <w:jc w:val="center"/>
              <w:rPr>
                <w:b/>
                <w:bCs/>
                <w:sz w:val="18"/>
                <w:szCs w:val="20"/>
              </w:rPr>
            </w:pPr>
            <w:r w:rsidRPr="000F59F9">
              <w:rPr>
                <w:b/>
                <w:bCs/>
              </w:rPr>
              <w:t>6,091</w:t>
            </w:r>
          </w:p>
        </w:tc>
        <w:tc>
          <w:tcPr>
            <w:tcW w:w="1361" w:type="dxa"/>
            <w:shd w:val="clear" w:color="auto" w:fill="D1D6E5" w:themeFill="text2" w:themeFillTint="33"/>
          </w:tcPr>
          <w:p w14:paraId="0C87CB9C" w14:textId="77777777" w:rsidR="0026591F" w:rsidRPr="000F59F9" w:rsidRDefault="0026591F" w:rsidP="00377EA9">
            <w:pPr>
              <w:pStyle w:val="tabletext"/>
              <w:jc w:val="center"/>
              <w:rPr>
                <w:b/>
                <w:bCs/>
                <w:sz w:val="18"/>
                <w:szCs w:val="20"/>
              </w:rPr>
            </w:pPr>
            <w:r w:rsidRPr="000F59F9">
              <w:rPr>
                <w:b/>
                <w:bCs/>
              </w:rPr>
              <w:t>4,329</w:t>
            </w:r>
          </w:p>
        </w:tc>
        <w:tc>
          <w:tcPr>
            <w:tcW w:w="1223" w:type="dxa"/>
            <w:shd w:val="clear" w:color="auto" w:fill="D1D6E5" w:themeFill="text2" w:themeFillTint="33"/>
          </w:tcPr>
          <w:p w14:paraId="509AE342" w14:textId="77777777" w:rsidR="0026591F" w:rsidRPr="000F59F9" w:rsidRDefault="0026591F" w:rsidP="00377EA9">
            <w:pPr>
              <w:pStyle w:val="tabletext"/>
              <w:jc w:val="center"/>
              <w:rPr>
                <w:b/>
                <w:bCs/>
                <w:sz w:val="18"/>
                <w:szCs w:val="20"/>
              </w:rPr>
            </w:pPr>
            <w:r w:rsidRPr="000F59F9">
              <w:rPr>
                <w:b/>
                <w:bCs/>
              </w:rPr>
              <w:t>4,502</w:t>
            </w:r>
          </w:p>
        </w:tc>
        <w:tc>
          <w:tcPr>
            <w:tcW w:w="1223" w:type="dxa"/>
            <w:shd w:val="clear" w:color="auto" w:fill="D1D6E5" w:themeFill="text2" w:themeFillTint="33"/>
          </w:tcPr>
          <w:p w14:paraId="610D2EAB" w14:textId="77777777" w:rsidR="0026591F" w:rsidRPr="000F59F9" w:rsidRDefault="0026591F" w:rsidP="00377EA9">
            <w:pPr>
              <w:pStyle w:val="tabletext"/>
              <w:jc w:val="center"/>
              <w:rPr>
                <w:b/>
                <w:bCs/>
                <w:sz w:val="18"/>
                <w:szCs w:val="20"/>
              </w:rPr>
            </w:pPr>
            <w:r w:rsidRPr="000F59F9">
              <w:rPr>
                <w:b/>
                <w:bCs/>
              </w:rPr>
              <w:t>5,022</w:t>
            </w:r>
          </w:p>
        </w:tc>
      </w:tr>
      <w:tr w:rsidR="00880B06" w:rsidRPr="00A83EDA" w14:paraId="680D3D8E" w14:textId="77777777" w:rsidTr="00880B06">
        <w:tc>
          <w:tcPr>
            <w:tcW w:w="1938" w:type="dxa"/>
            <w:shd w:val="clear" w:color="auto" w:fill="F4CDE3" w:themeFill="accent5" w:themeFillTint="33"/>
          </w:tcPr>
          <w:p w14:paraId="739266EF" w14:textId="77777777" w:rsidR="0026591F" w:rsidRPr="00A83EDA" w:rsidRDefault="0026591F" w:rsidP="00377EA9">
            <w:pPr>
              <w:pStyle w:val="tabletext"/>
              <w:rPr>
                <w:sz w:val="18"/>
                <w:szCs w:val="20"/>
              </w:rPr>
            </w:pPr>
            <w:r w:rsidRPr="002C76A2">
              <w:t>Arthroplasty</w:t>
            </w:r>
          </w:p>
        </w:tc>
        <w:tc>
          <w:tcPr>
            <w:tcW w:w="1362" w:type="dxa"/>
            <w:shd w:val="clear" w:color="auto" w:fill="F4CDE3" w:themeFill="accent5" w:themeFillTint="33"/>
          </w:tcPr>
          <w:p w14:paraId="5283DB0E" w14:textId="77777777" w:rsidR="0026591F" w:rsidRPr="00A83EDA" w:rsidRDefault="0026591F" w:rsidP="00377EA9">
            <w:pPr>
              <w:pStyle w:val="tabletext"/>
              <w:jc w:val="center"/>
              <w:rPr>
                <w:sz w:val="18"/>
                <w:szCs w:val="20"/>
              </w:rPr>
            </w:pPr>
            <w:r w:rsidRPr="00965E09">
              <w:rPr>
                <w:i/>
                <w:iCs/>
              </w:rPr>
              <w:t>922</w:t>
            </w:r>
          </w:p>
        </w:tc>
        <w:tc>
          <w:tcPr>
            <w:tcW w:w="1362" w:type="dxa"/>
            <w:shd w:val="clear" w:color="auto" w:fill="F4CDE3" w:themeFill="accent5" w:themeFillTint="33"/>
          </w:tcPr>
          <w:p w14:paraId="27778839" w14:textId="77777777" w:rsidR="0026591F" w:rsidRDefault="0026591F" w:rsidP="00377EA9">
            <w:pPr>
              <w:pStyle w:val="tabletext"/>
              <w:jc w:val="center"/>
              <w:rPr>
                <w:sz w:val="18"/>
                <w:szCs w:val="20"/>
              </w:rPr>
            </w:pPr>
            <w:r w:rsidRPr="00965E09">
              <w:t>959</w:t>
            </w:r>
          </w:p>
        </w:tc>
        <w:tc>
          <w:tcPr>
            <w:tcW w:w="1362" w:type="dxa"/>
            <w:shd w:val="clear" w:color="auto" w:fill="F4CDE3" w:themeFill="accent5" w:themeFillTint="33"/>
          </w:tcPr>
          <w:p w14:paraId="2FB1A7E8" w14:textId="77777777" w:rsidR="0026591F" w:rsidRDefault="0026591F" w:rsidP="00377EA9">
            <w:pPr>
              <w:pStyle w:val="tabletext"/>
              <w:jc w:val="center"/>
              <w:rPr>
                <w:sz w:val="18"/>
                <w:szCs w:val="20"/>
              </w:rPr>
            </w:pPr>
            <w:r w:rsidRPr="00965E09">
              <w:rPr>
                <w:i/>
                <w:iCs/>
              </w:rPr>
              <w:t>1,070</w:t>
            </w:r>
          </w:p>
        </w:tc>
        <w:tc>
          <w:tcPr>
            <w:tcW w:w="1361" w:type="dxa"/>
            <w:shd w:val="clear" w:color="auto" w:fill="F4CDE3" w:themeFill="accent5" w:themeFillTint="33"/>
          </w:tcPr>
          <w:p w14:paraId="4D8347C5" w14:textId="77777777" w:rsidR="0026591F" w:rsidRPr="00A83EDA" w:rsidRDefault="0026591F" w:rsidP="00377EA9">
            <w:pPr>
              <w:pStyle w:val="tabletext"/>
              <w:jc w:val="center"/>
              <w:rPr>
                <w:sz w:val="18"/>
                <w:szCs w:val="20"/>
              </w:rPr>
            </w:pPr>
            <w:r w:rsidRPr="00965E09">
              <w:rPr>
                <w:i/>
                <w:iCs/>
              </w:rPr>
              <w:t>1,244</w:t>
            </w:r>
          </w:p>
        </w:tc>
        <w:tc>
          <w:tcPr>
            <w:tcW w:w="1223" w:type="dxa"/>
            <w:shd w:val="clear" w:color="auto" w:fill="F4CDE3" w:themeFill="accent5" w:themeFillTint="33"/>
          </w:tcPr>
          <w:p w14:paraId="40653E43" w14:textId="77777777" w:rsidR="0026591F" w:rsidRDefault="0026591F" w:rsidP="00377EA9">
            <w:pPr>
              <w:pStyle w:val="tabletext"/>
              <w:jc w:val="center"/>
              <w:rPr>
                <w:sz w:val="18"/>
                <w:szCs w:val="20"/>
              </w:rPr>
            </w:pPr>
            <w:r w:rsidRPr="00965E09">
              <w:rPr>
                <w:i/>
                <w:iCs/>
              </w:rPr>
              <w:t>1,293</w:t>
            </w:r>
          </w:p>
        </w:tc>
        <w:tc>
          <w:tcPr>
            <w:tcW w:w="1223" w:type="dxa"/>
            <w:shd w:val="clear" w:color="auto" w:fill="F4CDE3" w:themeFill="accent5" w:themeFillTint="33"/>
          </w:tcPr>
          <w:p w14:paraId="0712672F" w14:textId="77777777" w:rsidR="0026591F" w:rsidRPr="00A83EDA" w:rsidRDefault="0026591F" w:rsidP="00377EA9">
            <w:pPr>
              <w:pStyle w:val="tabletext"/>
              <w:jc w:val="center"/>
              <w:rPr>
                <w:sz w:val="18"/>
                <w:szCs w:val="20"/>
              </w:rPr>
            </w:pPr>
            <w:r w:rsidRPr="00965E09">
              <w:rPr>
                <w:i/>
                <w:iCs/>
              </w:rPr>
              <w:t>1,443</w:t>
            </w:r>
          </w:p>
        </w:tc>
      </w:tr>
    </w:tbl>
    <w:p w14:paraId="5EFF555D" w14:textId="77777777" w:rsidR="0026591F" w:rsidRDefault="0026591F" w:rsidP="0026591F">
      <w:pPr>
        <w:pStyle w:val="NoSpacing"/>
      </w:pPr>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1936"/>
        <w:gridCol w:w="1361"/>
        <w:gridCol w:w="1361"/>
        <w:gridCol w:w="1361"/>
        <w:gridCol w:w="1360"/>
        <w:gridCol w:w="1221"/>
        <w:gridCol w:w="1221"/>
      </w:tblGrid>
      <w:tr w:rsidR="0026591F" w:rsidRPr="002C76A2" w14:paraId="698CC0B5" w14:textId="77777777" w:rsidTr="00880B06">
        <w:tc>
          <w:tcPr>
            <w:tcW w:w="1814" w:type="dxa"/>
            <w:vMerge w:val="restart"/>
            <w:shd w:val="clear" w:color="auto" w:fill="374264"/>
            <w:vAlign w:val="center"/>
          </w:tcPr>
          <w:p w14:paraId="047AB664" w14:textId="77777777" w:rsidR="0026591F" w:rsidRPr="0026591F" w:rsidRDefault="0026591F" w:rsidP="00377EA9">
            <w:pPr>
              <w:pStyle w:val="tabletext"/>
              <w:rPr>
                <w:b/>
                <w:bCs/>
                <w:color w:val="FFFFFF" w:themeColor="background1"/>
                <w:sz w:val="18"/>
                <w:szCs w:val="20"/>
              </w:rPr>
            </w:pPr>
            <w:r w:rsidRPr="0026591F">
              <w:rPr>
                <w:b/>
                <w:bCs/>
                <w:color w:val="FFFFFF" w:themeColor="background1"/>
                <w:sz w:val="18"/>
                <w:szCs w:val="20"/>
              </w:rPr>
              <w:t>Sub specs</w:t>
            </w:r>
          </w:p>
        </w:tc>
        <w:tc>
          <w:tcPr>
            <w:tcW w:w="3828" w:type="dxa"/>
            <w:gridSpan w:val="3"/>
            <w:shd w:val="clear" w:color="auto" w:fill="374264"/>
            <w:vAlign w:val="center"/>
          </w:tcPr>
          <w:p w14:paraId="72B3D97D"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 xml:space="preserve">Cwm Taf </w:t>
            </w:r>
            <w:proofErr w:type="spellStart"/>
            <w:r w:rsidRPr="0026591F">
              <w:rPr>
                <w:b/>
                <w:bCs/>
                <w:color w:val="FFFFFF" w:themeColor="background1"/>
                <w:sz w:val="18"/>
                <w:szCs w:val="20"/>
              </w:rPr>
              <w:t>Morganwwg</w:t>
            </w:r>
            <w:proofErr w:type="spellEnd"/>
          </w:p>
        </w:tc>
        <w:tc>
          <w:tcPr>
            <w:tcW w:w="3565" w:type="dxa"/>
            <w:gridSpan w:val="3"/>
            <w:shd w:val="clear" w:color="auto" w:fill="374264"/>
            <w:vAlign w:val="center"/>
          </w:tcPr>
          <w:p w14:paraId="78AB9554"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South-east Wales</w:t>
            </w:r>
          </w:p>
        </w:tc>
      </w:tr>
      <w:tr w:rsidR="00880B06" w:rsidRPr="002C76A2" w14:paraId="4AD5388C" w14:textId="77777777" w:rsidTr="00880B06">
        <w:tc>
          <w:tcPr>
            <w:tcW w:w="1814" w:type="dxa"/>
            <w:vMerge/>
            <w:shd w:val="clear" w:color="auto" w:fill="374264"/>
          </w:tcPr>
          <w:p w14:paraId="57C9D012" w14:textId="77777777" w:rsidR="0026591F" w:rsidRPr="0026591F" w:rsidRDefault="0026591F" w:rsidP="00377EA9">
            <w:pPr>
              <w:pStyle w:val="tabletext"/>
              <w:rPr>
                <w:b/>
                <w:bCs/>
                <w:color w:val="FFFFFF" w:themeColor="background1"/>
                <w:sz w:val="18"/>
                <w:szCs w:val="20"/>
              </w:rPr>
            </w:pPr>
          </w:p>
        </w:tc>
        <w:tc>
          <w:tcPr>
            <w:tcW w:w="1276" w:type="dxa"/>
            <w:vMerge w:val="restart"/>
            <w:shd w:val="clear" w:color="auto" w:fill="374264"/>
            <w:vAlign w:val="center"/>
          </w:tcPr>
          <w:p w14:paraId="74402717"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Recurrent demand IP24/25</w:t>
            </w:r>
          </w:p>
        </w:tc>
        <w:tc>
          <w:tcPr>
            <w:tcW w:w="2552" w:type="dxa"/>
            <w:gridSpan w:val="2"/>
            <w:shd w:val="clear" w:color="auto" w:fill="374264"/>
            <w:vAlign w:val="center"/>
          </w:tcPr>
          <w:p w14:paraId="5C28946A"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Demand in 28/29·</w:t>
            </w:r>
          </w:p>
        </w:tc>
        <w:tc>
          <w:tcPr>
            <w:tcW w:w="1275" w:type="dxa"/>
            <w:vMerge w:val="restart"/>
            <w:shd w:val="clear" w:color="auto" w:fill="374264"/>
            <w:vAlign w:val="center"/>
          </w:tcPr>
          <w:p w14:paraId="1BD2987A"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Recurrent demand IP24/25</w:t>
            </w:r>
          </w:p>
        </w:tc>
        <w:tc>
          <w:tcPr>
            <w:tcW w:w="2290" w:type="dxa"/>
            <w:gridSpan w:val="2"/>
            <w:shd w:val="clear" w:color="auto" w:fill="374264"/>
            <w:vAlign w:val="center"/>
          </w:tcPr>
          <w:p w14:paraId="79303E5C" w14:textId="77777777" w:rsidR="0026591F" w:rsidRPr="0026591F" w:rsidRDefault="0026591F" w:rsidP="00377EA9">
            <w:pPr>
              <w:pStyle w:val="tabletext"/>
              <w:jc w:val="center"/>
              <w:rPr>
                <w:b/>
                <w:bCs/>
                <w:color w:val="FFFFFF" w:themeColor="background1"/>
                <w:sz w:val="18"/>
                <w:szCs w:val="20"/>
              </w:rPr>
            </w:pPr>
            <w:r w:rsidRPr="0026591F">
              <w:rPr>
                <w:b/>
                <w:bCs/>
                <w:color w:val="FFFFFF" w:themeColor="background1"/>
                <w:sz w:val="18"/>
                <w:szCs w:val="20"/>
              </w:rPr>
              <w:t>Demand in 28/29·</w:t>
            </w:r>
          </w:p>
        </w:tc>
      </w:tr>
      <w:tr w:rsidR="0026591F" w:rsidRPr="00A83EDA" w14:paraId="1AB9686D" w14:textId="77777777" w:rsidTr="00880B06">
        <w:tc>
          <w:tcPr>
            <w:tcW w:w="1814" w:type="dxa"/>
            <w:vMerge/>
          </w:tcPr>
          <w:p w14:paraId="70E726B4" w14:textId="77777777" w:rsidR="0026591F" w:rsidRPr="00A83EDA" w:rsidRDefault="0026591F" w:rsidP="00377EA9">
            <w:pPr>
              <w:pStyle w:val="tabletext"/>
              <w:rPr>
                <w:sz w:val="18"/>
                <w:szCs w:val="20"/>
              </w:rPr>
            </w:pPr>
          </w:p>
        </w:tc>
        <w:tc>
          <w:tcPr>
            <w:tcW w:w="1276" w:type="dxa"/>
            <w:vMerge/>
            <w:vAlign w:val="center"/>
          </w:tcPr>
          <w:p w14:paraId="6EC4AB0B" w14:textId="77777777" w:rsidR="0026591F" w:rsidRPr="00A83EDA" w:rsidRDefault="0026591F" w:rsidP="00377EA9">
            <w:pPr>
              <w:pStyle w:val="tabletext"/>
              <w:jc w:val="center"/>
              <w:rPr>
                <w:sz w:val="18"/>
                <w:szCs w:val="20"/>
              </w:rPr>
            </w:pPr>
          </w:p>
        </w:tc>
        <w:tc>
          <w:tcPr>
            <w:tcW w:w="1276" w:type="dxa"/>
            <w:shd w:val="clear" w:color="auto" w:fill="4A5886"/>
            <w:vAlign w:val="center"/>
          </w:tcPr>
          <w:p w14:paraId="09E2B551" w14:textId="77777777" w:rsidR="0026591F" w:rsidRPr="00880B06" w:rsidRDefault="0026591F" w:rsidP="00377EA9">
            <w:pPr>
              <w:pStyle w:val="tabletext"/>
              <w:jc w:val="center"/>
              <w:rPr>
                <w:color w:val="FFFFFF" w:themeColor="background1"/>
                <w:sz w:val="18"/>
                <w:szCs w:val="20"/>
              </w:rPr>
            </w:pPr>
            <w:r w:rsidRPr="00880B06">
              <w:rPr>
                <w:color w:val="FFFFFF" w:themeColor="background1"/>
                <w:sz w:val="18"/>
                <w:szCs w:val="20"/>
              </w:rPr>
              <w:t>1% growth</w:t>
            </w:r>
          </w:p>
        </w:tc>
        <w:tc>
          <w:tcPr>
            <w:tcW w:w="1276" w:type="dxa"/>
            <w:shd w:val="clear" w:color="auto" w:fill="4A5886"/>
            <w:vAlign w:val="center"/>
          </w:tcPr>
          <w:p w14:paraId="5952A2B1" w14:textId="77777777" w:rsidR="0026591F" w:rsidRPr="00880B06" w:rsidRDefault="0026591F" w:rsidP="00377EA9">
            <w:pPr>
              <w:pStyle w:val="tabletext"/>
              <w:jc w:val="center"/>
              <w:rPr>
                <w:color w:val="FFFFFF" w:themeColor="background1"/>
                <w:sz w:val="18"/>
                <w:szCs w:val="20"/>
              </w:rPr>
            </w:pPr>
            <w:r w:rsidRPr="00880B06">
              <w:rPr>
                <w:color w:val="FFFFFF" w:themeColor="background1"/>
                <w:sz w:val="18"/>
                <w:szCs w:val="20"/>
              </w:rPr>
              <w:t>4% growth</w:t>
            </w:r>
          </w:p>
        </w:tc>
        <w:tc>
          <w:tcPr>
            <w:tcW w:w="1275" w:type="dxa"/>
            <w:vMerge/>
            <w:vAlign w:val="center"/>
          </w:tcPr>
          <w:p w14:paraId="523837F7" w14:textId="77777777" w:rsidR="0026591F" w:rsidRPr="00880B06" w:rsidRDefault="0026591F" w:rsidP="00377EA9">
            <w:pPr>
              <w:pStyle w:val="tabletext"/>
              <w:jc w:val="center"/>
              <w:rPr>
                <w:color w:val="FFFFFF" w:themeColor="background1"/>
                <w:sz w:val="18"/>
                <w:szCs w:val="20"/>
              </w:rPr>
            </w:pPr>
          </w:p>
        </w:tc>
        <w:tc>
          <w:tcPr>
            <w:tcW w:w="1145" w:type="dxa"/>
            <w:shd w:val="clear" w:color="auto" w:fill="4A5886"/>
            <w:vAlign w:val="center"/>
          </w:tcPr>
          <w:p w14:paraId="51C7EC80" w14:textId="77777777" w:rsidR="0026591F" w:rsidRPr="00880B06" w:rsidRDefault="0026591F" w:rsidP="00377EA9">
            <w:pPr>
              <w:pStyle w:val="tabletext"/>
              <w:jc w:val="center"/>
              <w:rPr>
                <w:color w:val="FFFFFF" w:themeColor="background1"/>
                <w:sz w:val="18"/>
                <w:szCs w:val="20"/>
              </w:rPr>
            </w:pPr>
            <w:r w:rsidRPr="00880B06">
              <w:rPr>
                <w:color w:val="FFFFFF" w:themeColor="background1"/>
                <w:sz w:val="18"/>
                <w:szCs w:val="20"/>
              </w:rPr>
              <w:t>1% growth</w:t>
            </w:r>
          </w:p>
        </w:tc>
        <w:tc>
          <w:tcPr>
            <w:tcW w:w="1145" w:type="dxa"/>
            <w:shd w:val="clear" w:color="auto" w:fill="4A5886"/>
            <w:vAlign w:val="center"/>
          </w:tcPr>
          <w:p w14:paraId="7DC8C84F" w14:textId="77777777" w:rsidR="0026591F" w:rsidRPr="00880B06" w:rsidRDefault="0026591F" w:rsidP="00377EA9">
            <w:pPr>
              <w:pStyle w:val="tabletext"/>
              <w:jc w:val="center"/>
              <w:rPr>
                <w:color w:val="FFFFFF" w:themeColor="background1"/>
                <w:sz w:val="18"/>
                <w:szCs w:val="20"/>
              </w:rPr>
            </w:pPr>
            <w:r w:rsidRPr="00880B06">
              <w:rPr>
                <w:color w:val="FFFFFF" w:themeColor="background1"/>
                <w:sz w:val="18"/>
                <w:szCs w:val="20"/>
              </w:rPr>
              <w:t>4% growth</w:t>
            </w:r>
          </w:p>
        </w:tc>
      </w:tr>
      <w:tr w:rsidR="0026591F" w:rsidRPr="00A83EDA" w14:paraId="154D9D05" w14:textId="77777777" w:rsidTr="00880B06">
        <w:tc>
          <w:tcPr>
            <w:tcW w:w="1814" w:type="dxa"/>
          </w:tcPr>
          <w:p w14:paraId="55E7DC76" w14:textId="77777777" w:rsidR="0026591F" w:rsidRPr="00A83EDA" w:rsidRDefault="0026591F" w:rsidP="00377EA9">
            <w:pPr>
              <w:pStyle w:val="tabletext"/>
              <w:rPr>
                <w:sz w:val="18"/>
                <w:szCs w:val="20"/>
              </w:rPr>
            </w:pPr>
            <w:r w:rsidRPr="002C76A2">
              <w:t>FA</w:t>
            </w:r>
          </w:p>
        </w:tc>
        <w:tc>
          <w:tcPr>
            <w:tcW w:w="1276" w:type="dxa"/>
          </w:tcPr>
          <w:p w14:paraId="3B0183EB" w14:textId="77777777" w:rsidR="0026591F" w:rsidRPr="00A83EDA" w:rsidRDefault="0026591F" w:rsidP="00377EA9">
            <w:pPr>
              <w:pStyle w:val="tabletext"/>
              <w:jc w:val="center"/>
              <w:rPr>
                <w:sz w:val="18"/>
                <w:szCs w:val="20"/>
              </w:rPr>
            </w:pPr>
            <w:r w:rsidRPr="00965E09">
              <w:t>205</w:t>
            </w:r>
          </w:p>
        </w:tc>
        <w:tc>
          <w:tcPr>
            <w:tcW w:w="1276" w:type="dxa"/>
          </w:tcPr>
          <w:p w14:paraId="442E9B2C" w14:textId="77777777" w:rsidR="0026591F" w:rsidRDefault="0026591F" w:rsidP="00377EA9">
            <w:pPr>
              <w:pStyle w:val="tabletext"/>
              <w:jc w:val="center"/>
              <w:rPr>
                <w:sz w:val="18"/>
                <w:szCs w:val="20"/>
              </w:rPr>
            </w:pPr>
            <w:r w:rsidRPr="00965E09">
              <w:t>213</w:t>
            </w:r>
          </w:p>
        </w:tc>
        <w:tc>
          <w:tcPr>
            <w:tcW w:w="1276" w:type="dxa"/>
          </w:tcPr>
          <w:p w14:paraId="4B03C7CB" w14:textId="77777777" w:rsidR="0026591F" w:rsidRDefault="0026591F" w:rsidP="00377EA9">
            <w:pPr>
              <w:pStyle w:val="tabletext"/>
              <w:jc w:val="center"/>
              <w:rPr>
                <w:sz w:val="18"/>
                <w:szCs w:val="20"/>
              </w:rPr>
            </w:pPr>
            <w:r w:rsidRPr="00965E09">
              <w:t>238</w:t>
            </w:r>
          </w:p>
        </w:tc>
        <w:tc>
          <w:tcPr>
            <w:tcW w:w="1275" w:type="dxa"/>
          </w:tcPr>
          <w:p w14:paraId="6B14844B" w14:textId="77777777" w:rsidR="0026591F" w:rsidRPr="00A83EDA" w:rsidRDefault="0026591F" w:rsidP="00377EA9">
            <w:pPr>
              <w:pStyle w:val="tabletext"/>
              <w:jc w:val="center"/>
              <w:rPr>
                <w:sz w:val="18"/>
                <w:szCs w:val="20"/>
              </w:rPr>
            </w:pPr>
            <w:r w:rsidRPr="00965E09">
              <w:t>1,630</w:t>
            </w:r>
          </w:p>
        </w:tc>
        <w:tc>
          <w:tcPr>
            <w:tcW w:w="1145" w:type="dxa"/>
          </w:tcPr>
          <w:p w14:paraId="0D243160" w14:textId="77777777" w:rsidR="0026591F" w:rsidRDefault="0026591F" w:rsidP="00377EA9">
            <w:pPr>
              <w:pStyle w:val="tabletext"/>
              <w:jc w:val="center"/>
              <w:rPr>
                <w:sz w:val="18"/>
                <w:szCs w:val="20"/>
              </w:rPr>
            </w:pPr>
            <w:r w:rsidRPr="00965E09">
              <w:t>1,695</w:t>
            </w:r>
          </w:p>
        </w:tc>
        <w:tc>
          <w:tcPr>
            <w:tcW w:w="1145" w:type="dxa"/>
          </w:tcPr>
          <w:p w14:paraId="4086FABB" w14:textId="77777777" w:rsidR="0026591F" w:rsidRPr="00A83EDA" w:rsidRDefault="0026591F" w:rsidP="00377EA9">
            <w:pPr>
              <w:pStyle w:val="tabletext"/>
              <w:jc w:val="center"/>
              <w:rPr>
                <w:sz w:val="18"/>
                <w:szCs w:val="20"/>
              </w:rPr>
            </w:pPr>
            <w:r w:rsidRPr="00965E09">
              <w:t>1,891</w:t>
            </w:r>
          </w:p>
        </w:tc>
      </w:tr>
      <w:tr w:rsidR="0026591F" w:rsidRPr="00A83EDA" w14:paraId="4D37FBF3" w14:textId="77777777" w:rsidTr="00880B06">
        <w:tc>
          <w:tcPr>
            <w:tcW w:w="1814" w:type="dxa"/>
          </w:tcPr>
          <w:p w14:paraId="5D8D8E6C" w14:textId="77777777" w:rsidR="0026591F" w:rsidRPr="00A83EDA" w:rsidRDefault="0026591F" w:rsidP="00377EA9">
            <w:pPr>
              <w:pStyle w:val="tabletext"/>
              <w:rPr>
                <w:sz w:val="18"/>
                <w:szCs w:val="20"/>
              </w:rPr>
            </w:pPr>
            <w:proofErr w:type="spellStart"/>
            <w:r w:rsidRPr="002C76A2">
              <w:t>Paeds</w:t>
            </w:r>
            <w:proofErr w:type="spellEnd"/>
          </w:p>
        </w:tc>
        <w:tc>
          <w:tcPr>
            <w:tcW w:w="1276" w:type="dxa"/>
          </w:tcPr>
          <w:p w14:paraId="1A9DBBA0" w14:textId="77777777" w:rsidR="0026591F" w:rsidRPr="00A83EDA" w:rsidRDefault="0026591F" w:rsidP="00377EA9">
            <w:pPr>
              <w:pStyle w:val="tabletext"/>
              <w:jc w:val="center"/>
              <w:rPr>
                <w:sz w:val="18"/>
                <w:szCs w:val="20"/>
              </w:rPr>
            </w:pPr>
            <w:r w:rsidRPr="00965E09">
              <w:t>34</w:t>
            </w:r>
          </w:p>
        </w:tc>
        <w:tc>
          <w:tcPr>
            <w:tcW w:w="1276" w:type="dxa"/>
          </w:tcPr>
          <w:p w14:paraId="30339C4D" w14:textId="77777777" w:rsidR="0026591F" w:rsidRDefault="0026591F" w:rsidP="00377EA9">
            <w:pPr>
              <w:pStyle w:val="tabletext"/>
              <w:jc w:val="center"/>
              <w:rPr>
                <w:sz w:val="18"/>
                <w:szCs w:val="20"/>
              </w:rPr>
            </w:pPr>
            <w:r w:rsidRPr="00965E09">
              <w:t>35</w:t>
            </w:r>
          </w:p>
        </w:tc>
        <w:tc>
          <w:tcPr>
            <w:tcW w:w="1276" w:type="dxa"/>
          </w:tcPr>
          <w:p w14:paraId="47001222" w14:textId="77777777" w:rsidR="0026591F" w:rsidRDefault="0026591F" w:rsidP="00377EA9">
            <w:pPr>
              <w:pStyle w:val="tabletext"/>
              <w:jc w:val="center"/>
              <w:rPr>
                <w:sz w:val="18"/>
                <w:szCs w:val="20"/>
              </w:rPr>
            </w:pPr>
            <w:r w:rsidRPr="00965E09">
              <w:t>39</w:t>
            </w:r>
          </w:p>
        </w:tc>
        <w:tc>
          <w:tcPr>
            <w:tcW w:w="1275" w:type="dxa"/>
          </w:tcPr>
          <w:p w14:paraId="68C48C39" w14:textId="77777777" w:rsidR="0026591F" w:rsidRPr="00A83EDA" w:rsidRDefault="0026591F" w:rsidP="00377EA9">
            <w:pPr>
              <w:pStyle w:val="tabletext"/>
              <w:jc w:val="center"/>
              <w:rPr>
                <w:sz w:val="18"/>
                <w:szCs w:val="20"/>
              </w:rPr>
            </w:pPr>
            <w:r w:rsidRPr="00965E09">
              <w:t>358</w:t>
            </w:r>
          </w:p>
        </w:tc>
        <w:tc>
          <w:tcPr>
            <w:tcW w:w="1145" w:type="dxa"/>
          </w:tcPr>
          <w:p w14:paraId="574459CC" w14:textId="77777777" w:rsidR="0026591F" w:rsidRDefault="0026591F" w:rsidP="00377EA9">
            <w:pPr>
              <w:pStyle w:val="tabletext"/>
              <w:jc w:val="center"/>
              <w:rPr>
                <w:sz w:val="18"/>
                <w:szCs w:val="20"/>
              </w:rPr>
            </w:pPr>
            <w:r w:rsidRPr="00965E09">
              <w:t>372</w:t>
            </w:r>
          </w:p>
        </w:tc>
        <w:tc>
          <w:tcPr>
            <w:tcW w:w="1145" w:type="dxa"/>
          </w:tcPr>
          <w:p w14:paraId="7435C0F2" w14:textId="77777777" w:rsidR="0026591F" w:rsidRPr="00A83EDA" w:rsidRDefault="0026591F" w:rsidP="00377EA9">
            <w:pPr>
              <w:pStyle w:val="tabletext"/>
              <w:jc w:val="center"/>
              <w:rPr>
                <w:sz w:val="18"/>
                <w:szCs w:val="20"/>
              </w:rPr>
            </w:pPr>
            <w:r w:rsidRPr="00965E09">
              <w:t>415</w:t>
            </w:r>
          </w:p>
        </w:tc>
      </w:tr>
      <w:tr w:rsidR="0026591F" w:rsidRPr="00A83EDA" w14:paraId="198AB311" w14:textId="77777777" w:rsidTr="00880B06">
        <w:tc>
          <w:tcPr>
            <w:tcW w:w="1814" w:type="dxa"/>
          </w:tcPr>
          <w:p w14:paraId="77C972D0" w14:textId="77777777" w:rsidR="0026591F" w:rsidRPr="00A83EDA" w:rsidRDefault="0026591F" w:rsidP="00377EA9">
            <w:pPr>
              <w:pStyle w:val="tabletext"/>
              <w:rPr>
                <w:sz w:val="18"/>
                <w:szCs w:val="20"/>
              </w:rPr>
            </w:pPr>
            <w:r w:rsidRPr="002C76A2">
              <w:t>Upper Limb</w:t>
            </w:r>
          </w:p>
        </w:tc>
        <w:tc>
          <w:tcPr>
            <w:tcW w:w="1276" w:type="dxa"/>
          </w:tcPr>
          <w:p w14:paraId="06469817" w14:textId="77777777" w:rsidR="0026591F" w:rsidRPr="00A83EDA" w:rsidRDefault="0026591F" w:rsidP="00377EA9">
            <w:pPr>
              <w:pStyle w:val="tabletext"/>
              <w:jc w:val="center"/>
              <w:rPr>
                <w:sz w:val="18"/>
                <w:szCs w:val="20"/>
              </w:rPr>
            </w:pPr>
            <w:r w:rsidRPr="00965E09">
              <w:t>479</w:t>
            </w:r>
          </w:p>
        </w:tc>
        <w:tc>
          <w:tcPr>
            <w:tcW w:w="1276" w:type="dxa"/>
          </w:tcPr>
          <w:p w14:paraId="5D456E04" w14:textId="77777777" w:rsidR="0026591F" w:rsidRDefault="0026591F" w:rsidP="00377EA9">
            <w:pPr>
              <w:pStyle w:val="tabletext"/>
              <w:jc w:val="center"/>
              <w:rPr>
                <w:sz w:val="18"/>
                <w:szCs w:val="20"/>
              </w:rPr>
            </w:pPr>
            <w:r w:rsidRPr="00965E09">
              <w:t>498</w:t>
            </w:r>
          </w:p>
        </w:tc>
        <w:tc>
          <w:tcPr>
            <w:tcW w:w="1276" w:type="dxa"/>
          </w:tcPr>
          <w:p w14:paraId="4B9A6A1E" w14:textId="77777777" w:rsidR="0026591F" w:rsidRDefault="0026591F" w:rsidP="00377EA9">
            <w:pPr>
              <w:pStyle w:val="tabletext"/>
              <w:jc w:val="center"/>
              <w:rPr>
                <w:sz w:val="18"/>
                <w:szCs w:val="20"/>
              </w:rPr>
            </w:pPr>
            <w:r w:rsidRPr="00965E09">
              <w:t>556</w:t>
            </w:r>
          </w:p>
        </w:tc>
        <w:tc>
          <w:tcPr>
            <w:tcW w:w="1275" w:type="dxa"/>
          </w:tcPr>
          <w:p w14:paraId="7DE5D27E" w14:textId="77777777" w:rsidR="0026591F" w:rsidRPr="00A83EDA" w:rsidRDefault="0026591F" w:rsidP="00377EA9">
            <w:pPr>
              <w:pStyle w:val="tabletext"/>
              <w:jc w:val="center"/>
              <w:rPr>
                <w:sz w:val="18"/>
                <w:szCs w:val="20"/>
              </w:rPr>
            </w:pPr>
            <w:r w:rsidRPr="00965E09">
              <w:t>1,500</w:t>
            </w:r>
          </w:p>
        </w:tc>
        <w:tc>
          <w:tcPr>
            <w:tcW w:w="1145" w:type="dxa"/>
          </w:tcPr>
          <w:p w14:paraId="74C9248E" w14:textId="77777777" w:rsidR="0026591F" w:rsidRDefault="0026591F" w:rsidP="00377EA9">
            <w:pPr>
              <w:pStyle w:val="tabletext"/>
              <w:jc w:val="center"/>
              <w:rPr>
                <w:sz w:val="18"/>
                <w:szCs w:val="20"/>
              </w:rPr>
            </w:pPr>
            <w:r w:rsidRPr="00965E09">
              <w:t>1,560</w:t>
            </w:r>
          </w:p>
        </w:tc>
        <w:tc>
          <w:tcPr>
            <w:tcW w:w="1145" w:type="dxa"/>
          </w:tcPr>
          <w:p w14:paraId="638C544B" w14:textId="77777777" w:rsidR="0026591F" w:rsidRPr="00A83EDA" w:rsidRDefault="0026591F" w:rsidP="00377EA9">
            <w:pPr>
              <w:pStyle w:val="tabletext"/>
              <w:jc w:val="center"/>
              <w:rPr>
                <w:sz w:val="18"/>
                <w:szCs w:val="20"/>
              </w:rPr>
            </w:pPr>
            <w:r w:rsidRPr="00965E09">
              <w:t>1,740</w:t>
            </w:r>
          </w:p>
        </w:tc>
      </w:tr>
      <w:tr w:rsidR="0026591F" w:rsidRPr="00A83EDA" w14:paraId="423C5F79" w14:textId="77777777" w:rsidTr="00880B06">
        <w:tc>
          <w:tcPr>
            <w:tcW w:w="1814" w:type="dxa"/>
          </w:tcPr>
          <w:p w14:paraId="79044347" w14:textId="77777777" w:rsidR="0026591F" w:rsidRPr="00A83EDA" w:rsidRDefault="0026591F" w:rsidP="00377EA9">
            <w:pPr>
              <w:pStyle w:val="tabletext"/>
              <w:rPr>
                <w:sz w:val="18"/>
                <w:szCs w:val="20"/>
              </w:rPr>
            </w:pPr>
            <w:r w:rsidRPr="002C76A2">
              <w:t>Hands</w:t>
            </w:r>
          </w:p>
        </w:tc>
        <w:tc>
          <w:tcPr>
            <w:tcW w:w="1276" w:type="dxa"/>
          </w:tcPr>
          <w:p w14:paraId="3395EC29" w14:textId="77777777" w:rsidR="0026591F" w:rsidRPr="00A83EDA" w:rsidRDefault="0026591F" w:rsidP="00377EA9">
            <w:pPr>
              <w:pStyle w:val="tabletext"/>
              <w:jc w:val="center"/>
              <w:rPr>
                <w:sz w:val="18"/>
                <w:szCs w:val="20"/>
              </w:rPr>
            </w:pPr>
            <w:r w:rsidRPr="00965E09">
              <w:t>548</w:t>
            </w:r>
          </w:p>
        </w:tc>
        <w:tc>
          <w:tcPr>
            <w:tcW w:w="1276" w:type="dxa"/>
          </w:tcPr>
          <w:p w14:paraId="1991B3FE" w14:textId="77777777" w:rsidR="0026591F" w:rsidRDefault="0026591F" w:rsidP="00377EA9">
            <w:pPr>
              <w:pStyle w:val="tabletext"/>
              <w:jc w:val="center"/>
              <w:rPr>
                <w:sz w:val="18"/>
                <w:szCs w:val="20"/>
              </w:rPr>
            </w:pPr>
            <w:r w:rsidRPr="00965E09">
              <w:t>570</w:t>
            </w:r>
          </w:p>
        </w:tc>
        <w:tc>
          <w:tcPr>
            <w:tcW w:w="1276" w:type="dxa"/>
          </w:tcPr>
          <w:p w14:paraId="05B2DB9D" w14:textId="77777777" w:rsidR="0026591F" w:rsidRDefault="0026591F" w:rsidP="00377EA9">
            <w:pPr>
              <w:pStyle w:val="tabletext"/>
              <w:jc w:val="center"/>
              <w:rPr>
                <w:sz w:val="18"/>
                <w:szCs w:val="20"/>
              </w:rPr>
            </w:pPr>
            <w:r w:rsidRPr="00965E09">
              <w:t>636</w:t>
            </w:r>
          </w:p>
        </w:tc>
        <w:tc>
          <w:tcPr>
            <w:tcW w:w="1275" w:type="dxa"/>
          </w:tcPr>
          <w:p w14:paraId="399FBC53" w14:textId="77777777" w:rsidR="0026591F" w:rsidRPr="00A83EDA" w:rsidRDefault="0026591F" w:rsidP="00377EA9">
            <w:pPr>
              <w:pStyle w:val="tabletext"/>
              <w:jc w:val="center"/>
              <w:rPr>
                <w:sz w:val="18"/>
                <w:szCs w:val="20"/>
              </w:rPr>
            </w:pPr>
            <w:r w:rsidRPr="00965E09">
              <w:t>2,870</w:t>
            </w:r>
          </w:p>
        </w:tc>
        <w:tc>
          <w:tcPr>
            <w:tcW w:w="1145" w:type="dxa"/>
          </w:tcPr>
          <w:p w14:paraId="40088F06" w14:textId="77777777" w:rsidR="0026591F" w:rsidRDefault="0026591F" w:rsidP="00377EA9">
            <w:pPr>
              <w:pStyle w:val="tabletext"/>
              <w:jc w:val="center"/>
              <w:rPr>
                <w:sz w:val="18"/>
                <w:szCs w:val="20"/>
              </w:rPr>
            </w:pPr>
            <w:r w:rsidRPr="00965E09">
              <w:t>2,985</w:t>
            </w:r>
          </w:p>
        </w:tc>
        <w:tc>
          <w:tcPr>
            <w:tcW w:w="1145" w:type="dxa"/>
          </w:tcPr>
          <w:p w14:paraId="2363AEFA" w14:textId="77777777" w:rsidR="0026591F" w:rsidRPr="00A83EDA" w:rsidRDefault="0026591F" w:rsidP="00377EA9">
            <w:pPr>
              <w:pStyle w:val="tabletext"/>
              <w:jc w:val="center"/>
              <w:rPr>
                <w:sz w:val="18"/>
                <w:szCs w:val="20"/>
              </w:rPr>
            </w:pPr>
            <w:r w:rsidRPr="00965E09">
              <w:t>3.329</w:t>
            </w:r>
          </w:p>
        </w:tc>
      </w:tr>
      <w:tr w:rsidR="0026591F" w:rsidRPr="00A83EDA" w14:paraId="1E35C2B3" w14:textId="77777777" w:rsidTr="00880B06">
        <w:tc>
          <w:tcPr>
            <w:tcW w:w="1814" w:type="dxa"/>
          </w:tcPr>
          <w:p w14:paraId="212776B5" w14:textId="77777777" w:rsidR="0026591F" w:rsidRPr="00A83EDA" w:rsidRDefault="0026591F" w:rsidP="00377EA9">
            <w:pPr>
              <w:pStyle w:val="tabletext"/>
              <w:rPr>
                <w:sz w:val="18"/>
                <w:szCs w:val="20"/>
              </w:rPr>
            </w:pPr>
            <w:r w:rsidRPr="002C76A2">
              <w:t>Lower Limb</w:t>
            </w:r>
          </w:p>
        </w:tc>
        <w:tc>
          <w:tcPr>
            <w:tcW w:w="1276" w:type="dxa"/>
          </w:tcPr>
          <w:p w14:paraId="0201B7C1" w14:textId="77777777" w:rsidR="0026591F" w:rsidRPr="00A83EDA" w:rsidRDefault="0026591F" w:rsidP="00377EA9">
            <w:pPr>
              <w:pStyle w:val="tabletext"/>
              <w:jc w:val="center"/>
              <w:rPr>
                <w:sz w:val="18"/>
                <w:szCs w:val="20"/>
              </w:rPr>
            </w:pPr>
            <w:r w:rsidRPr="00965E09">
              <w:t>1,883</w:t>
            </w:r>
          </w:p>
        </w:tc>
        <w:tc>
          <w:tcPr>
            <w:tcW w:w="1276" w:type="dxa"/>
          </w:tcPr>
          <w:p w14:paraId="16F30ADB" w14:textId="77777777" w:rsidR="0026591F" w:rsidRDefault="0026591F" w:rsidP="00377EA9">
            <w:pPr>
              <w:pStyle w:val="tabletext"/>
              <w:jc w:val="center"/>
              <w:rPr>
                <w:sz w:val="18"/>
                <w:szCs w:val="20"/>
              </w:rPr>
            </w:pPr>
            <w:r w:rsidRPr="00965E09">
              <w:t>1,958</w:t>
            </w:r>
          </w:p>
        </w:tc>
        <w:tc>
          <w:tcPr>
            <w:tcW w:w="1276" w:type="dxa"/>
          </w:tcPr>
          <w:p w14:paraId="04F43FB1" w14:textId="77777777" w:rsidR="0026591F" w:rsidRDefault="0026591F" w:rsidP="00377EA9">
            <w:pPr>
              <w:pStyle w:val="tabletext"/>
              <w:jc w:val="center"/>
              <w:rPr>
                <w:sz w:val="18"/>
                <w:szCs w:val="20"/>
              </w:rPr>
            </w:pPr>
            <w:r w:rsidRPr="00965E09">
              <w:t>2,184</w:t>
            </w:r>
          </w:p>
        </w:tc>
        <w:tc>
          <w:tcPr>
            <w:tcW w:w="1275" w:type="dxa"/>
          </w:tcPr>
          <w:p w14:paraId="293C2266" w14:textId="77777777" w:rsidR="0026591F" w:rsidRPr="00A83EDA" w:rsidRDefault="0026591F" w:rsidP="00377EA9">
            <w:pPr>
              <w:pStyle w:val="tabletext"/>
              <w:jc w:val="center"/>
              <w:rPr>
                <w:sz w:val="18"/>
                <w:szCs w:val="20"/>
              </w:rPr>
            </w:pPr>
            <w:r w:rsidRPr="00965E09">
              <w:t>4,895</w:t>
            </w:r>
          </w:p>
        </w:tc>
        <w:tc>
          <w:tcPr>
            <w:tcW w:w="1145" w:type="dxa"/>
          </w:tcPr>
          <w:p w14:paraId="03006645" w14:textId="77777777" w:rsidR="0026591F" w:rsidRDefault="0026591F" w:rsidP="00377EA9">
            <w:pPr>
              <w:pStyle w:val="tabletext"/>
              <w:jc w:val="center"/>
              <w:rPr>
                <w:sz w:val="18"/>
                <w:szCs w:val="20"/>
              </w:rPr>
            </w:pPr>
            <w:r w:rsidRPr="00965E09">
              <w:t>5,091</w:t>
            </w:r>
          </w:p>
        </w:tc>
        <w:tc>
          <w:tcPr>
            <w:tcW w:w="1145" w:type="dxa"/>
          </w:tcPr>
          <w:p w14:paraId="416015EB" w14:textId="77777777" w:rsidR="0026591F" w:rsidRPr="00A83EDA" w:rsidRDefault="0026591F" w:rsidP="00377EA9">
            <w:pPr>
              <w:pStyle w:val="tabletext"/>
              <w:jc w:val="center"/>
              <w:rPr>
                <w:sz w:val="18"/>
                <w:szCs w:val="20"/>
              </w:rPr>
            </w:pPr>
            <w:r w:rsidRPr="00965E09">
              <w:t>5,678</w:t>
            </w:r>
          </w:p>
        </w:tc>
      </w:tr>
      <w:tr w:rsidR="0026591F" w:rsidRPr="00A83EDA" w14:paraId="11C2EE74" w14:textId="77777777" w:rsidTr="00880B06">
        <w:tc>
          <w:tcPr>
            <w:tcW w:w="1814" w:type="dxa"/>
          </w:tcPr>
          <w:p w14:paraId="0F7B0DD8" w14:textId="77777777" w:rsidR="0026591F" w:rsidRPr="00A83EDA" w:rsidRDefault="0026591F" w:rsidP="00377EA9">
            <w:pPr>
              <w:pStyle w:val="tabletext"/>
              <w:rPr>
                <w:sz w:val="18"/>
                <w:szCs w:val="20"/>
              </w:rPr>
            </w:pPr>
            <w:r w:rsidRPr="002C76A2">
              <w:t>Spine</w:t>
            </w:r>
          </w:p>
        </w:tc>
        <w:tc>
          <w:tcPr>
            <w:tcW w:w="1276" w:type="dxa"/>
          </w:tcPr>
          <w:p w14:paraId="7ECECF83" w14:textId="77777777" w:rsidR="0026591F" w:rsidRPr="00A83EDA" w:rsidRDefault="0026591F" w:rsidP="00377EA9">
            <w:pPr>
              <w:pStyle w:val="tabletext"/>
              <w:jc w:val="center"/>
              <w:rPr>
                <w:sz w:val="18"/>
                <w:szCs w:val="20"/>
              </w:rPr>
            </w:pPr>
          </w:p>
        </w:tc>
        <w:tc>
          <w:tcPr>
            <w:tcW w:w="1276" w:type="dxa"/>
          </w:tcPr>
          <w:p w14:paraId="5EFBCFB2" w14:textId="77777777" w:rsidR="0026591F" w:rsidRDefault="0026591F" w:rsidP="00377EA9">
            <w:pPr>
              <w:pStyle w:val="tabletext"/>
              <w:jc w:val="center"/>
              <w:rPr>
                <w:sz w:val="18"/>
                <w:szCs w:val="20"/>
              </w:rPr>
            </w:pPr>
            <w:r w:rsidRPr="00965E09">
              <w:t>0</w:t>
            </w:r>
          </w:p>
        </w:tc>
        <w:tc>
          <w:tcPr>
            <w:tcW w:w="1276" w:type="dxa"/>
          </w:tcPr>
          <w:p w14:paraId="7D5BCA49" w14:textId="77777777" w:rsidR="0026591F" w:rsidRDefault="0026591F" w:rsidP="00377EA9">
            <w:pPr>
              <w:pStyle w:val="tabletext"/>
              <w:jc w:val="center"/>
              <w:rPr>
                <w:sz w:val="18"/>
                <w:szCs w:val="20"/>
              </w:rPr>
            </w:pPr>
            <w:r w:rsidRPr="00965E09">
              <w:t>0</w:t>
            </w:r>
          </w:p>
        </w:tc>
        <w:tc>
          <w:tcPr>
            <w:tcW w:w="1275" w:type="dxa"/>
          </w:tcPr>
          <w:p w14:paraId="456C3E91" w14:textId="77777777" w:rsidR="0026591F" w:rsidRPr="00A83EDA" w:rsidRDefault="0026591F" w:rsidP="00377EA9">
            <w:pPr>
              <w:pStyle w:val="tabletext"/>
              <w:jc w:val="center"/>
              <w:rPr>
                <w:sz w:val="18"/>
                <w:szCs w:val="20"/>
              </w:rPr>
            </w:pPr>
            <w:r w:rsidRPr="00965E09">
              <w:t>1,476</w:t>
            </w:r>
          </w:p>
        </w:tc>
        <w:tc>
          <w:tcPr>
            <w:tcW w:w="1145" w:type="dxa"/>
          </w:tcPr>
          <w:p w14:paraId="64A917D1" w14:textId="77777777" w:rsidR="0026591F" w:rsidRDefault="0026591F" w:rsidP="00377EA9">
            <w:pPr>
              <w:pStyle w:val="tabletext"/>
              <w:jc w:val="center"/>
              <w:rPr>
                <w:sz w:val="18"/>
                <w:szCs w:val="20"/>
              </w:rPr>
            </w:pPr>
            <w:r w:rsidRPr="00965E09">
              <w:t>1,535</w:t>
            </w:r>
          </w:p>
        </w:tc>
        <w:tc>
          <w:tcPr>
            <w:tcW w:w="1145" w:type="dxa"/>
          </w:tcPr>
          <w:p w14:paraId="46039048" w14:textId="77777777" w:rsidR="0026591F" w:rsidRPr="00A83EDA" w:rsidRDefault="0026591F" w:rsidP="00377EA9">
            <w:pPr>
              <w:pStyle w:val="tabletext"/>
              <w:jc w:val="center"/>
              <w:rPr>
                <w:sz w:val="18"/>
                <w:szCs w:val="20"/>
              </w:rPr>
            </w:pPr>
            <w:r w:rsidRPr="00965E09">
              <w:t>1,712</w:t>
            </w:r>
          </w:p>
        </w:tc>
      </w:tr>
      <w:tr w:rsidR="0026591F" w:rsidRPr="00A83EDA" w14:paraId="09B835AB" w14:textId="77777777" w:rsidTr="00880B06">
        <w:tc>
          <w:tcPr>
            <w:tcW w:w="1814" w:type="dxa"/>
          </w:tcPr>
          <w:p w14:paraId="7E4298E0" w14:textId="77777777" w:rsidR="0026591F" w:rsidRPr="00A83EDA" w:rsidRDefault="0026591F" w:rsidP="00377EA9">
            <w:pPr>
              <w:pStyle w:val="tabletext"/>
              <w:rPr>
                <w:sz w:val="18"/>
                <w:szCs w:val="20"/>
              </w:rPr>
            </w:pPr>
            <w:r w:rsidRPr="002C76A2">
              <w:t>Other</w:t>
            </w:r>
          </w:p>
        </w:tc>
        <w:tc>
          <w:tcPr>
            <w:tcW w:w="1276" w:type="dxa"/>
          </w:tcPr>
          <w:p w14:paraId="5BEFC72E" w14:textId="77777777" w:rsidR="0026591F" w:rsidRPr="00A83EDA" w:rsidRDefault="0026591F" w:rsidP="00377EA9">
            <w:pPr>
              <w:pStyle w:val="tabletext"/>
              <w:jc w:val="center"/>
              <w:rPr>
                <w:sz w:val="18"/>
                <w:szCs w:val="20"/>
              </w:rPr>
            </w:pPr>
            <w:r w:rsidRPr="00965E09">
              <w:t>274</w:t>
            </w:r>
          </w:p>
        </w:tc>
        <w:tc>
          <w:tcPr>
            <w:tcW w:w="1276" w:type="dxa"/>
          </w:tcPr>
          <w:p w14:paraId="18B908A7" w14:textId="77777777" w:rsidR="0026591F" w:rsidRDefault="0026591F" w:rsidP="00377EA9">
            <w:pPr>
              <w:pStyle w:val="tabletext"/>
              <w:jc w:val="center"/>
              <w:rPr>
                <w:sz w:val="18"/>
                <w:szCs w:val="20"/>
              </w:rPr>
            </w:pPr>
            <w:r w:rsidRPr="00965E09">
              <w:t>285</w:t>
            </w:r>
          </w:p>
        </w:tc>
        <w:tc>
          <w:tcPr>
            <w:tcW w:w="1276" w:type="dxa"/>
          </w:tcPr>
          <w:p w14:paraId="0D8DB973" w14:textId="77777777" w:rsidR="0026591F" w:rsidRDefault="0026591F" w:rsidP="00377EA9">
            <w:pPr>
              <w:pStyle w:val="tabletext"/>
              <w:jc w:val="center"/>
              <w:rPr>
                <w:sz w:val="18"/>
                <w:szCs w:val="20"/>
              </w:rPr>
            </w:pPr>
            <w:r w:rsidRPr="00965E09">
              <w:t>318</w:t>
            </w:r>
          </w:p>
        </w:tc>
        <w:tc>
          <w:tcPr>
            <w:tcW w:w="1275" w:type="dxa"/>
          </w:tcPr>
          <w:p w14:paraId="11102EE5" w14:textId="77777777" w:rsidR="0026591F" w:rsidRPr="00A83EDA" w:rsidRDefault="0026591F" w:rsidP="00377EA9">
            <w:pPr>
              <w:pStyle w:val="tabletext"/>
              <w:jc w:val="center"/>
              <w:rPr>
                <w:sz w:val="18"/>
                <w:szCs w:val="20"/>
              </w:rPr>
            </w:pPr>
            <w:r w:rsidRPr="00965E09">
              <w:t>274</w:t>
            </w:r>
          </w:p>
        </w:tc>
        <w:tc>
          <w:tcPr>
            <w:tcW w:w="1145" w:type="dxa"/>
          </w:tcPr>
          <w:p w14:paraId="34E3D0EC" w14:textId="77777777" w:rsidR="0026591F" w:rsidRDefault="0026591F" w:rsidP="00377EA9">
            <w:pPr>
              <w:pStyle w:val="tabletext"/>
              <w:jc w:val="center"/>
              <w:rPr>
                <w:sz w:val="18"/>
                <w:szCs w:val="20"/>
              </w:rPr>
            </w:pPr>
            <w:r w:rsidRPr="00965E09">
              <w:t>285</w:t>
            </w:r>
          </w:p>
        </w:tc>
        <w:tc>
          <w:tcPr>
            <w:tcW w:w="1145" w:type="dxa"/>
          </w:tcPr>
          <w:p w14:paraId="22D2BD63" w14:textId="77777777" w:rsidR="0026591F" w:rsidRPr="00A83EDA" w:rsidRDefault="0026591F" w:rsidP="00377EA9">
            <w:pPr>
              <w:pStyle w:val="tabletext"/>
              <w:jc w:val="center"/>
              <w:rPr>
                <w:sz w:val="18"/>
                <w:szCs w:val="20"/>
              </w:rPr>
            </w:pPr>
            <w:r w:rsidRPr="00965E09">
              <w:t>318</w:t>
            </w:r>
          </w:p>
        </w:tc>
      </w:tr>
      <w:tr w:rsidR="0026591F" w:rsidRPr="00880B06" w14:paraId="45556ECC" w14:textId="77777777" w:rsidTr="00880B06">
        <w:tc>
          <w:tcPr>
            <w:tcW w:w="1814" w:type="dxa"/>
            <w:shd w:val="clear" w:color="auto" w:fill="D1D6E5" w:themeFill="text2" w:themeFillTint="33"/>
          </w:tcPr>
          <w:p w14:paraId="7AEF8529" w14:textId="77777777" w:rsidR="0026591F" w:rsidRPr="00880B06" w:rsidRDefault="0026591F" w:rsidP="00377EA9">
            <w:pPr>
              <w:pStyle w:val="tabletext"/>
              <w:rPr>
                <w:b/>
                <w:bCs/>
                <w:sz w:val="18"/>
                <w:szCs w:val="20"/>
              </w:rPr>
            </w:pPr>
            <w:r w:rsidRPr="00880B06">
              <w:rPr>
                <w:b/>
                <w:bCs/>
              </w:rPr>
              <w:t>Total</w:t>
            </w:r>
          </w:p>
        </w:tc>
        <w:tc>
          <w:tcPr>
            <w:tcW w:w="1276" w:type="dxa"/>
            <w:shd w:val="clear" w:color="auto" w:fill="D1D6E5" w:themeFill="text2" w:themeFillTint="33"/>
          </w:tcPr>
          <w:p w14:paraId="51D45DE5" w14:textId="77777777" w:rsidR="0026591F" w:rsidRPr="00880B06" w:rsidRDefault="0026591F" w:rsidP="00377EA9">
            <w:pPr>
              <w:pStyle w:val="tabletext"/>
              <w:jc w:val="center"/>
              <w:rPr>
                <w:b/>
                <w:bCs/>
                <w:sz w:val="18"/>
                <w:szCs w:val="20"/>
              </w:rPr>
            </w:pPr>
            <w:r w:rsidRPr="00880B06">
              <w:rPr>
                <w:b/>
                <w:bCs/>
              </w:rPr>
              <w:t>3,423</w:t>
            </w:r>
          </w:p>
        </w:tc>
        <w:tc>
          <w:tcPr>
            <w:tcW w:w="1276" w:type="dxa"/>
            <w:shd w:val="clear" w:color="auto" w:fill="D1D6E5" w:themeFill="text2" w:themeFillTint="33"/>
          </w:tcPr>
          <w:p w14:paraId="5B22F886" w14:textId="77777777" w:rsidR="0026591F" w:rsidRPr="00880B06" w:rsidRDefault="0026591F" w:rsidP="00377EA9">
            <w:pPr>
              <w:pStyle w:val="tabletext"/>
              <w:jc w:val="center"/>
              <w:rPr>
                <w:b/>
                <w:bCs/>
                <w:sz w:val="18"/>
                <w:szCs w:val="20"/>
              </w:rPr>
            </w:pPr>
            <w:r w:rsidRPr="00880B06">
              <w:rPr>
                <w:b/>
                <w:bCs/>
              </w:rPr>
              <w:t>3,560</w:t>
            </w:r>
          </w:p>
        </w:tc>
        <w:tc>
          <w:tcPr>
            <w:tcW w:w="1276" w:type="dxa"/>
            <w:shd w:val="clear" w:color="auto" w:fill="D1D6E5" w:themeFill="text2" w:themeFillTint="33"/>
          </w:tcPr>
          <w:p w14:paraId="67A520D1" w14:textId="77777777" w:rsidR="0026591F" w:rsidRPr="00880B06" w:rsidRDefault="0026591F" w:rsidP="00377EA9">
            <w:pPr>
              <w:pStyle w:val="tabletext"/>
              <w:jc w:val="center"/>
              <w:rPr>
                <w:b/>
                <w:bCs/>
                <w:sz w:val="18"/>
                <w:szCs w:val="20"/>
              </w:rPr>
            </w:pPr>
            <w:r w:rsidRPr="00880B06">
              <w:rPr>
                <w:b/>
                <w:bCs/>
              </w:rPr>
              <w:t>3,971</w:t>
            </w:r>
          </w:p>
        </w:tc>
        <w:tc>
          <w:tcPr>
            <w:tcW w:w="1275" w:type="dxa"/>
            <w:shd w:val="clear" w:color="auto" w:fill="D1D6E5" w:themeFill="text2" w:themeFillTint="33"/>
          </w:tcPr>
          <w:p w14:paraId="44E8E098" w14:textId="77777777" w:rsidR="0026591F" w:rsidRPr="00880B06" w:rsidRDefault="0026591F" w:rsidP="00377EA9">
            <w:pPr>
              <w:pStyle w:val="tabletext"/>
              <w:jc w:val="center"/>
              <w:rPr>
                <w:b/>
                <w:bCs/>
                <w:sz w:val="18"/>
                <w:szCs w:val="20"/>
              </w:rPr>
            </w:pPr>
            <w:r w:rsidRPr="00880B06">
              <w:rPr>
                <w:b/>
                <w:bCs/>
              </w:rPr>
              <w:t>13,003</w:t>
            </w:r>
          </w:p>
        </w:tc>
        <w:tc>
          <w:tcPr>
            <w:tcW w:w="1145" w:type="dxa"/>
            <w:shd w:val="clear" w:color="auto" w:fill="D1D6E5" w:themeFill="text2" w:themeFillTint="33"/>
          </w:tcPr>
          <w:p w14:paraId="34FD0BEC" w14:textId="77777777" w:rsidR="0026591F" w:rsidRPr="00880B06" w:rsidRDefault="0026591F" w:rsidP="00377EA9">
            <w:pPr>
              <w:pStyle w:val="tabletext"/>
              <w:jc w:val="center"/>
              <w:rPr>
                <w:b/>
                <w:bCs/>
                <w:sz w:val="18"/>
                <w:szCs w:val="20"/>
              </w:rPr>
            </w:pPr>
            <w:r w:rsidRPr="00880B06">
              <w:rPr>
                <w:b/>
                <w:bCs/>
              </w:rPr>
              <w:t>13,523</w:t>
            </w:r>
          </w:p>
        </w:tc>
        <w:tc>
          <w:tcPr>
            <w:tcW w:w="1145" w:type="dxa"/>
            <w:shd w:val="clear" w:color="auto" w:fill="D1D6E5" w:themeFill="text2" w:themeFillTint="33"/>
          </w:tcPr>
          <w:p w14:paraId="6ABF3B5E" w14:textId="77777777" w:rsidR="0026591F" w:rsidRPr="00880B06" w:rsidRDefault="0026591F" w:rsidP="00377EA9">
            <w:pPr>
              <w:pStyle w:val="tabletext"/>
              <w:jc w:val="center"/>
              <w:rPr>
                <w:b/>
                <w:bCs/>
                <w:sz w:val="18"/>
                <w:szCs w:val="20"/>
              </w:rPr>
            </w:pPr>
            <w:r w:rsidRPr="00880B06">
              <w:rPr>
                <w:b/>
                <w:bCs/>
              </w:rPr>
              <w:t>15,083</w:t>
            </w:r>
          </w:p>
        </w:tc>
      </w:tr>
      <w:tr w:rsidR="0026591F" w:rsidRPr="00A83EDA" w14:paraId="47034FE7" w14:textId="77777777" w:rsidTr="00880B06">
        <w:tc>
          <w:tcPr>
            <w:tcW w:w="1814" w:type="dxa"/>
            <w:shd w:val="clear" w:color="auto" w:fill="F4CDE3" w:themeFill="accent5" w:themeFillTint="33"/>
          </w:tcPr>
          <w:p w14:paraId="7988664B" w14:textId="77777777" w:rsidR="0026591F" w:rsidRPr="00A83EDA" w:rsidRDefault="0026591F" w:rsidP="00377EA9">
            <w:pPr>
              <w:pStyle w:val="tabletext"/>
              <w:rPr>
                <w:sz w:val="18"/>
                <w:szCs w:val="20"/>
              </w:rPr>
            </w:pPr>
            <w:r w:rsidRPr="002C76A2">
              <w:t>Arthroplasty</w:t>
            </w:r>
          </w:p>
        </w:tc>
        <w:tc>
          <w:tcPr>
            <w:tcW w:w="1276" w:type="dxa"/>
            <w:shd w:val="clear" w:color="auto" w:fill="F4CDE3" w:themeFill="accent5" w:themeFillTint="33"/>
          </w:tcPr>
          <w:p w14:paraId="00C93174" w14:textId="77777777" w:rsidR="0026591F" w:rsidRPr="00A83EDA" w:rsidRDefault="0026591F" w:rsidP="00377EA9">
            <w:pPr>
              <w:pStyle w:val="tabletext"/>
              <w:jc w:val="center"/>
              <w:rPr>
                <w:sz w:val="18"/>
                <w:szCs w:val="20"/>
              </w:rPr>
            </w:pPr>
            <w:r w:rsidRPr="00965E09">
              <w:rPr>
                <w:i/>
                <w:iCs/>
              </w:rPr>
              <w:t>1,412</w:t>
            </w:r>
          </w:p>
        </w:tc>
        <w:tc>
          <w:tcPr>
            <w:tcW w:w="1276" w:type="dxa"/>
            <w:shd w:val="clear" w:color="auto" w:fill="F4CDE3" w:themeFill="accent5" w:themeFillTint="33"/>
          </w:tcPr>
          <w:p w14:paraId="417AD953" w14:textId="77777777" w:rsidR="0026591F" w:rsidRDefault="0026591F" w:rsidP="00377EA9">
            <w:pPr>
              <w:pStyle w:val="tabletext"/>
              <w:jc w:val="center"/>
              <w:rPr>
                <w:sz w:val="18"/>
                <w:szCs w:val="20"/>
              </w:rPr>
            </w:pPr>
            <w:r w:rsidRPr="00965E09">
              <w:rPr>
                <w:i/>
                <w:iCs/>
              </w:rPr>
              <w:t>1,469</w:t>
            </w:r>
          </w:p>
        </w:tc>
        <w:tc>
          <w:tcPr>
            <w:tcW w:w="1276" w:type="dxa"/>
            <w:shd w:val="clear" w:color="auto" w:fill="F4CDE3" w:themeFill="accent5" w:themeFillTint="33"/>
          </w:tcPr>
          <w:p w14:paraId="20F0291C" w14:textId="77777777" w:rsidR="0026591F" w:rsidRDefault="0026591F" w:rsidP="00377EA9">
            <w:pPr>
              <w:pStyle w:val="tabletext"/>
              <w:jc w:val="center"/>
              <w:rPr>
                <w:sz w:val="18"/>
                <w:szCs w:val="20"/>
              </w:rPr>
            </w:pPr>
            <w:r w:rsidRPr="00965E09">
              <w:rPr>
                <w:i/>
                <w:iCs/>
              </w:rPr>
              <w:t>1,638</w:t>
            </w:r>
          </w:p>
        </w:tc>
        <w:tc>
          <w:tcPr>
            <w:tcW w:w="1275" w:type="dxa"/>
            <w:shd w:val="clear" w:color="auto" w:fill="F4CDE3" w:themeFill="accent5" w:themeFillTint="33"/>
          </w:tcPr>
          <w:p w14:paraId="3865E1F3" w14:textId="77777777" w:rsidR="0026591F" w:rsidRPr="00A83EDA" w:rsidRDefault="0026591F" w:rsidP="00377EA9">
            <w:pPr>
              <w:pStyle w:val="tabletext"/>
              <w:jc w:val="center"/>
              <w:rPr>
                <w:sz w:val="18"/>
                <w:szCs w:val="20"/>
              </w:rPr>
            </w:pPr>
            <w:r w:rsidRPr="00965E09">
              <w:rPr>
                <w:i/>
                <w:iCs/>
              </w:rPr>
              <w:t>3,578</w:t>
            </w:r>
          </w:p>
        </w:tc>
        <w:tc>
          <w:tcPr>
            <w:tcW w:w="1145" w:type="dxa"/>
            <w:shd w:val="clear" w:color="auto" w:fill="F4CDE3" w:themeFill="accent5" w:themeFillTint="33"/>
          </w:tcPr>
          <w:p w14:paraId="379A0BC2" w14:textId="77777777" w:rsidR="0026591F" w:rsidRDefault="0026591F" w:rsidP="00377EA9">
            <w:pPr>
              <w:pStyle w:val="tabletext"/>
              <w:jc w:val="center"/>
              <w:rPr>
                <w:sz w:val="18"/>
                <w:szCs w:val="20"/>
              </w:rPr>
            </w:pPr>
            <w:r w:rsidRPr="00965E09">
              <w:rPr>
                <w:i/>
                <w:iCs/>
              </w:rPr>
              <w:t>3,721</w:t>
            </w:r>
          </w:p>
        </w:tc>
        <w:tc>
          <w:tcPr>
            <w:tcW w:w="1145" w:type="dxa"/>
            <w:shd w:val="clear" w:color="auto" w:fill="F4CDE3" w:themeFill="accent5" w:themeFillTint="33"/>
          </w:tcPr>
          <w:p w14:paraId="2BC1DB35" w14:textId="77777777" w:rsidR="0026591F" w:rsidRPr="00A83EDA" w:rsidRDefault="0026591F" w:rsidP="00377EA9">
            <w:pPr>
              <w:pStyle w:val="tabletext"/>
              <w:jc w:val="center"/>
              <w:rPr>
                <w:sz w:val="18"/>
                <w:szCs w:val="20"/>
              </w:rPr>
            </w:pPr>
            <w:r w:rsidRPr="00965E09">
              <w:rPr>
                <w:i/>
                <w:iCs/>
              </w:rPr>
              <w:t>4,150</w:t>
            </w:r>
          </w:p>
        </w:tc>
      </w:tr>
    </w:tbl>
    <w:p w14:paraId="651D2DFA" w14:textId="77777777" w:rsidR="0026591F" w:rsidRDefault="0026591F" w:rsidP="0026591F">
      <w:pPr>
        <w:pStyle w:val="NoSpacing"/>
      </w:pPr>
    </w:p>
    <w:p w14:paraId="2B79C097" w14:textId="77777777" w:rsidR="0026591F" w:rsidRPr="00965E09" w:rsidRDefault="0026591F" w:rsidP="0026591F">
      <w:pPr>
        <w:rPr>
          <w:i/>
          <w:iCs/>
        </w:rPr>
      </w:pPr>
      <w:r w:rsidRPr="00965E09">
        <w:rPr>
          <w:i/>
          <w:iCs/>
        </w:rPr>
        <w:t>Recurrent demand tor IP/DC</w:t>
      </w:r>
      <w:r>
        <w:rPr>
          <w:i/>
          <w:iCs/>
        </w:rPr>
        <w:t xml:space="preserve"> </w:t>
      </w:r>
      <w:r w:rsidRPr="00965E09">
        <w:rPr>
          <w:i/>
          <w:iCs/>
        </w:rPr>
        <w:t>without conversation from</w:t>
      </w:r>
      <w:r>
        <w:rPr>
          <w:i/>
          <w:iCs/>
        </w:rPr>
        <w:t xml:space="preserve"> </w:t>
      </w:r>
      <w:r w:rsidRPr="00965E09">
        <w:rPr>
          <w:i/>
          <w:iCs/>
        </w:rPr>
        <w:t>OP non-recurrent demand</w:t>
      </w:r>
    </w:p>
    <w:p w14:paraId="55515186" w14:textId="679F9AC8" w:rsidR="000710B6" w:rsidRPr="00CB4ED1" w:rsidRDefault="000710B6" w:rsidP="000710B6">
      <w:r w:rsidRPr="00CB4ED1">
        <w:t xml:space="preserve">The table illustrates that recurrent demand for orthopaedic treatments remains high, with lower limb arthroplasty driving demand.  The conversion of new outpatients further increases the challenge.  With additional outpatient activity being delivered in year, levels of treatment demand will also increase.  Should growth be closer to the upper limit then treatment requirements will rise sharply in lower limb which risks RTT compliance and achievement of targets without structural capacity expansion.  </w:t>
      </w:r>
    </w:p>
    <w:p w14:paraId="2BB162A3" w14:textId="77777777" w:rsidR="000710B6" w:rsidRPr="00CB4ED1" w:rsidRDefault="000710B6" w:rsidP="000710B6">
      <w:pPr>
        <w:pStyle w:val="NoSpacing"/>
      </w:pPr>
    </w:p>
    <w:p w14:paraId="4F21E2B4" w14:textId="77777777" w:rsidR="000710B6" w:rsidRPr="00B3182B" w:rsidRDefault="000710B6" w:rsidP="00B3182B">
      <w:pPr>
        <w:pStyle w:val="Heading2"/>
      </w:pPr>
      <w:bookmarkStart w:id="39" w:name="_Toc213865219"/>
      <w:bookmarkStart w:id="40" w:name="_Hlk173222714"/>
      <w:r w:rsidRPr="00B3182B">
        <w:t>Proposed patient pathways and clinical engagement</w:t>
      </w:r>
      <w:bookmarkEnd w:id="39"/>
    </w:p>
    <w:p w14:paraId="6202E4E9" w14:textId="77777777" w:rsidR="000710B6" w:rsidRPr="00B3182B" w:rsidRDefault="000710B6" w:rsidP="00B3182B">
      <w:pPr>
        <w:pStyle w:val="Heading3"/>
      </w:pPr>
      <w:r w:rsidRPr="00B3182B">
        <w:t>Inpatient Elective Orthopaedics at LHP</w:t>
      </w:r>
    </w:p>
    <w:p w14:paraId="53E10AF9" w14:textId="77777777" w:rsidR="00CE4759" w:rsidRDefault="000710B6" w:rsidP="000710B6">
      <w:pPr>
        <w:rPr>
          <w:rFonts w:eastAsia="Times New Roman"/>
        </w:rPr>
      </w:pPr>
      <w:r w:rsidRPr="00CB4ED1">
        <w:rPr>
          <w:rFonts w:eastAsia="Times New Roman"/>
        </w:rPr>
        <w:t xml:space="preserve">The South East Wales Regional Orthopaedic Programme had been leading on the development of the clinical model and clinical specification for the elective inpatient orthopaedic unit. More recently, this aspect is being taken forward by the LHP Programme with review and discussion via the regional group.  </w:t>
      </w:r>
    </w:p>
    <w:p w14:paraId="2414B076" w14:textId="2E0BA97F" w:rsidR="000710B6" w:rsidRPr="00CB4ED1" w:rsidRDefault="00F66684" w:rsidP="000710B6">
      <w:pPr>
        <w:rPr>
          <w:rFonts w:eastAsia="Times New Roman"/>
        </w:rPr>
      </w:pPr>
      <w:r>
        <w:rPr>
          <w:rFonts w:eastAsia="Times New Roman"/>
        </w:rPr>
        <w:lastRenderedPageBreak/>
        <w:t>The current plans include t</w:t>
      </w:r>
      <w:r w:rsidR="000710B6" w:rsidRPr="00CB4ED1">
        <w:rPr>
          <w:rFonts w:eastAsia="Times New Roman"/>
        </w:rPr>
        <w:t xml:space="preserve">he theatres will be on the first floor, with arthroplasty wards on the ground floor. They will be split into </w:t>
      </w:r>
      <w:r w:rsidR="00B3182B">
        <w:rPr>
          <w:rFonts w:eastAsia="Times New Roman"/>
        </w:rPr>
        <w:t>two</w:t>
      </w:r>
      <w:r w:rsidR="000710B6" w:rsidRPr="00CB4ED1">
        <w:rPr>
          <w:rFonts w:eastAsia="Times New Roman"/>
        </w:rPr>
        <w:t xml:space="preserve"> </w:t>
      </w:r>
      <w:r w:rsidR="004478EF" w:rsidRPr="00CB4ED1">
        <w:rPr>
          <w:rFonts w:eastAsia="Times New Roman"/>
        </w:rPr>
        <w:t>wards;</w:t>
      </w:r>
      <w:r w:rsidR="000710B6" w:rsidRPr="00CB4ED1">
        <w:rPr>
          <w:rFonts w:eastAsia="Times New Roman"/>
        </w:rPr>
        <w:t xml:space="preserve"> one will be recovery containing trolleys for patients to be discharged on the day of surgery or within 24 hours.  Any patient needing to stay more than one night will be transferred to the single </w:t>
      </w:r>
      <w:proofErr w:type="spellStart"/>
      <w:r w:rsidR="000710B6" w:rsidRPr="00CB4ED1">
        <w:rPr>
          <w:rFonts w:eastAsia="Times New Roman"/>
        </w:rPr>
        <w:t>ensuite</w:t>
      </w:r>
      <w:proofErr w:type="spellEnd"/>
      <w:r w:rsidR="000710B6" w:rsidRPr="00CB4ED1">
        <w:rPr>
          <w:rFonts w:eastAsia="Times New Roman"/>
        </w:rPr>
        <w:t xml:space="preserve"> rooms on </w:t>
      </w:r>
      <w:r w:rsidR="000A0FC7" w:rsidRPr="00CB4ED1">
        <w:rPr>
          <w:rFonts w:eastAsia="Times New Roman"/>
        </w:rPr>
        <w:t xml:space="preserve">Ward </w:t>
      </w:r>
      <w:r w:rsidR="000710B6" w:rsidRPr="00CB4ED1">
        <w:rPr>
          <w:rFonts w:eastAsia="Times New Roman"/>
        </w:rPr>
        <w:t>2.</w:t>
      </w:r>
    </w:p>
    <w:p w14:paraId="48C27556" w14:textId="522F5694" w:rsidR="000710B6" w:rsidRPr="00CB4ED1" w:rsidRDefault="000710B6" w:rsidP="000710B6">
      <w:pPr>
        <w:rPr>
          <w:rFonts w:eastAsia="Times New Roman"/>
        </w:rPr>
      </w:pPr>
      <w:r w:rsidRPr="00CB4ED1">
        <w:rPr>
          <w:rFonts w:eastAsia="Times New Roman"/>
        </w:rPr>
        <w:t xml:space="preserve">The bed modelling assumes 20% patients to be discharged on the day of their surgery.  For those not discharged on the day the 80% will be discharged after only one-night stay.  It is proposed that the maximum stay will be </w:t>
      </w:r>
      <w:r w:rsidR="000A0FC7">
        <w:rPr>
          <w:rFonts w:eastAsia="Times New Roman"/>
        </w:rPr>
        <w:t>three d</w:t>
      </w:r>
      <w:r w:rsidRPr="00CB4ED1">
        <w:rPr>
          <w:rFonts w:eastAsia="Times New Roman"/>
        </w:rPr>
        <w:t xml:space="preserve">ays. Through the preparatory work on the </w:t>
      </w:r>
      <w:r w:rsidR="000A0FC7" w:rsidRPr="00CB4ED1">
        <w:rPr>
          <w:rFonts w:eastAsia="Times New Roman"/>
        </w:rPr>
        <w:t>pathway,</w:t>
      </w:r>
      <w:r w:rsidRPr="00CB4ED1">
        <w:rPr>
          <w:rFonts w:eastAsia="Times New Roman"/>
        </w:rPr>
        <w:t xml:space="preserve"> it is expected that the number of patients being discharged on </w:t>
      </w:r>
      <w:r w:rsidR="000A0FC7" w:rsidRPr="000A0FC7">
        <w:rPr>
          <w:rFonts w:eastAsia="Times New Roman"/>
          <w:i/>
          <w:iCs/>
        </w:rPr>
        <w:t>d</w:t>
      </w:r>
      <w:r w:rsidRPr="000A0FC7">
        <w:rPr>
          <w:rFonts w:eastAsia="Times New Roman"/>
          <w:i/>
          <w:iCs/>
        </w:rPr>
        <w:t xml:space="preserve">ay </w:t>
      </w:r>
      <w:r w:rsidR="000A0FC7" w:rsidRPr="000A0FC7">
        <w:rPr>
          <w:rFonts w:eastAsia="Times New Roman"/>
          <w:i/>
          <w:iCs/>
        </w:rPr>
        <w:t>zero</w:t>
      </w:r>
      <w:r w:rsidRPr="00CB4ED1">
        <w:rPr>
          <w:rFonts w:eastAsia="Times New Roman"/>
        </w:rPr>
        <w:t xml:space="preserve"> will improve by the opening of LHP. As a comparator the current CTM performance is just short of </w:t>
      </w:r>
      <w:r w:rsidR="000A0FC7">
        <w:rPr>
          <w:rFonts w:eastAsia="Times New Roman"/>
        </w:rPr>
        <w:t>three</w:t>
      </w:r>
      <w:r w:rsidR="004E6AC8">
        <w:rPr>
          <w:rFonts w:eastAsia="Times New Roman"/>
        </w:rPr>
        <w:t>-</w:t>
      </w:r>
      <w:r w:rsidRPr="00CB4ED1">
        <w:rPr>
          <w:rFonts w:eastAsia="Times New Roman"/>
        </w:rPr>
        <w:t xml:space="preserve">day ALOS.  However recently the perfect month initiative was undertaken which put in place a range of support for </w:t>
      </w:r>
      <w:proofErr w:type="spellStart"/>
      <w:r w:rsidRPr="00CB4ED1">
        <w:rPr>
          <w:rFonts w:eastAsia="Times New Roman"/>
        </w:rPr>
        <w:t>post operative</w:t>
      </w:r>
      <w:proofErr w:type="spellEnd"/>
      <w:r w:rsidRPr="00CB4ED1">
        <w:rPr>
          <w:rFonts w:eastAsia="Times New Roman"/>
        </w:rPr>
        <w:t xml:space="preserve"> surgery such as co located physiotherapy, standard discharge drugs packages. This reduced the average length of stay to just 1.5 days giving confidence in this delivery model which is the same as that proposed for LHP based on learning from sites such as Exeter Nightingale Hospital. </w:t>
      </w:r>
    </w:p>
    <w:p w14:paraId="671C2F3E" w14:textId="77777777" w:rsidR="000710B6" w:rsidRPr="00CB4ED1" w:rsidRDefault="000710B6" w:rsidP="000710B6">
      <w:pPr>
        <w:rPr>
          <w:rFonts w:eastAsia="Times New Roman"/>
        </w:rPr>
      </w:pPr>
      <w:r w:rsidRPr="00CB4ED1">
        <w:rPr>
          <w:rFonts w:eastAsia="Times New Roman"/>
        </w:rPr>
        <w:t xml:space="preserve">This layout and design builds on much of the learning from both Exeter and SWELEOC (South West London elective orthopaedic Centre). CTMUHB have recently reorganised the delivery of arthroplasty to be primarily at Princess of Wales, where an arthroplasty hub on a single site has been developed as a pre cursor to the opening of LHP. The clinical model developed for LHP is being utilised at this arthroplasty hub. Three theatres will be ringfenced to provide this activity and this ringfenced activity has been incorporated into the LHP theatre modelling.  The resource and activity will transfer directly into LHP on opening. There are elements of the LHP pathway that are related to the design and infrastructure and can’t easily be achieved in existing buildings. The delivery of the clinical model is under regular review and amendments made if required. On the opening of LHP, the staff transferring will be very familiar with the LHP clinical model. </w:t>
      </w:r>
    </w:p>
    <w:p w14:paraId="3F4D56E8" w14:textId="0BCBEE7A" w:rsidR="000710B6" w:rsidRPr="00CB4ED1" w:rsidRDefault="000710B6" w:rsidP="000710B6">
      <w:pPr>
        <w:rPr>
          <w:rFonts w:eastAsia="Times New Roman"/>
          <w:highlight w:val="magenta"/>
        </w:rPr>
      </w:pPr>
      <w:r w:rsidRPr="00CB4ED1">
        <w:rPr>
          <w:rFonts w:eastAsia="Times New Roman"/>
        </w:rPr>
        <w:t xml:space="preserve">The bed base of 54 has been modelled on the expected length of stay and number of operating theatres. To ensure the facility does not have an excess of beds the exemplar sites visited have a very similar proportion of beds per theatre, this has supported the number for LHP. </w:t>
      </w:r>
    </w:p>
    <w:p w14:paraId="150BE604" w14:textId="77777777" w:rsidR="000710B6" w:rsidRPr="00CB4ED1" w:rsidRDefault="000710B6" w:rsidP="004478EF">
      <w:pPr>
        <w:pStyle w:val="NoSpacing"/>
      </w:pPr>
    </w:p>
    <w:p w14:paraId="0483D1DE" w14:textId="77777777" w:rsidR="000710B6" w:rsidRPr="004478EF" w:rsidRDefault="000710B6" w:rsidP="004478EF">
      <w:pPr>
        <w:pStyle w:val="Heading2"/>
      </w:pPr>
      <w:bookmarkStart w:id="41" w:name="_Toc213865220"/>
      <w:r w:rsidRPr="004478EF">
        <w:t>Demand and capacity modelling for SEW</w:t>
      </w:r>
      <w:bookmarkEnd w:id="41"/>
      <w:r w:rsidRPr="004478EF">
        <w:t xml:space="preserve"> </w:t>
      </w:r>
    </w:p>
    <w:p w14:paraId="5016DDC8" w14:textId="77777777" w:rsidR="000710B6" w:rsidRPr="00944FDB" w:rsidRDefault="000710B6" w:rsidP="004478EF">
      <w:pPr>
        <w:pStyle w:val="Heading3"/>
      </w:pPr>
      <w:r w:rsidRPr="00944FDB">
        <w:t>Demand and capacity background</w:t>
      </w:r>
    </w:p>
    <w:p w14:paraId="18471AF9" w14:textId="77777777" w:rsidR="000710B6" w:rsidRPr="00CB4ED1" w:rsidRDefault="000710B6" w:rsidP="000710B6">
      <w:r w:rsidRPr="00CB4ED1">
        <w:t xml:space="preserve">As mentioned in earlier sections, to support decision making around clinical capacity and delivery of operational services the regional demand and capacity modelling of orthopaedics has been analysed to support planning for future services.  Within this the planning, a focus on arthroplasty services has been prioritised to support the right sizing of LHP and ensure it can meet both current and future demand.   </w:t>
      </w:r>
    </w:p>
    <w:p w14:paraId="7AE289B6" w14:textId="07095F83" w:rsidR="000710B6" w:rsidRPr="00CB4ED1" w:rsidRDefault="000710B6" w:rsidP="000710B6">
      <w:bookmarkStart w:id="42" w:name="_Hlk173224578"/>
      <w:bookmarkEnd w:id="40"/>
      <w:r w:rsidRPr="00CB4ED1">
        <w:t xml:space="preserve">The work has been led by the Regional Orthopaedic Plan Project board working alongside Andrew Sallows from Welsh Government to produce the first phase of the regional orthopaedic plan for South East Wales. The outputs from the final plan will focus on the overall orthopaedics position in South East Wales, </w:t>
      </w:r>
      <w:proofErr w:type="gramStart"/>
      <w:r w:rsidRPr="00CB4ED1">
        <w:t>however</w:t>
      </w:r>
      <w:proofErr w:type="gramEnd"/>
      <w:r w:rsidRPr="00CB4ED1">
        <w:t xml:space="preserve"> to date the focus has been on the arthroplasty position, to support the development of the LHP business cases.  The current version of the plan is included </w:t>
      </w:r>
      <w:r w:rsidRPr="00E67800">
        <w:t xml:space="preserve">as Appendix </w:t>
      </w:r>
      <w:r w:rsidR="00EC05B5">
        <w:t>2</w:t>
      </w:r>
      <w:r w:rsidR="00E67800">
        <w:t xml:space="preserve"> </w:t>
      </w:r>
      <w:r w:rsidRPr="00CB4ED1">
        <w:t xml:space="preserve">to this business case.  </w:t>
      </w:r>
    </w:p>
    <w:p w14:paraId="5FCA015A" w14:textId="4B9E2F90" w:rsidR="000710B6" w:rsidRPr="00CB4ED1" w:rsidRDefault="000710B6" w:rsidP="000710B6">
      <w:r w:rsidRPr="00CB4ED1">
        <w:t xml:space="preserve">The current plan has been expressed as the first version only, with a further iteration to be developed in line with the FBC plan over the next six months. Further development on the detailed pathway, finance and workforce planning continues at pace.  The second iteration of the plan will be developed for production to Boards in the Spring 2026 in line with the Phase 2 FBC.  </w:t>
      </w:r>
    </w:p>
    <w:p w14:paraId="63A2CBCF" w14:textId="61FB7D88" w:rsidR="000710B6" w:rsidRPr="00CB4ED1" w:rsidRDefault="000710B6" w:rsidP="000710B6">
      <w:r w:rsidRPr="00CB4ED1">
        <w:t xml:space="preserve">For the purposes of this business case, arthroplasty will be the </w:t>
      </w:r>
      <w:proofErr w:type="gramStart"/>
      <w:r w:rsidRPr="00CB4ED1">
        <w:t>main focus</w:t>
      </w:r>
      <w:proofErr w:type="gramEnd"/>
      <w:r w:rsidR="004478EF">
        <w:t xml:space="preserve"> and s</w:t>
      </w:r>
      <w:r w:rsidRPr="00CB4ED1">
        <w:t xml:space="preserve">ome of the key findings from the D&amp;C assessment </w:t>
      </w:r>
      <w:r w:rsidR="004478EF">
        <w:t>include</w:t>
      </w:r>
      <w:r w:rsidRPr="00CB4ED1">
        <w:t>:</w:t>
      </w:r>
    </w:p>
    <w:p w14:paraId="7771B689" w14:textId="77777777" w:rsidR="000710B6" w:rsidRPr="00CB4ED1" w:rsidRDefault="000710B6" w:rsidP="000710B6">
      <w:pPr>
        <w:pStyle w:val="bullets1"/>
      </w:pPr>
      <w:r w:rsidRPr="00CB4ED1">
        <w:t>Lower limb arthroplasty is the most pressured subspecialty, accounting for ~50% of activity. Recurrent outpatient demand exceeds capacity by ~2,000 patients annually</w:t>
      </w:r>
    </w:p>
    <w:p w14:paraId="6074AD03" w14:textId="603BC53D" w:rsidR="000710B6" w:rsidRPr="00CB4ED1" w:rsidRDefault="000710B6" w:rsidP="000710B6">
      <w:pPr>
        <w:pStyle w:val="bullets1"/>
      </w:pPr>
      <w:r w:rsidRPr="00CB4ED1">
        <w:lastRenderedPageBreak/>
        <w:t>Significant gaps particularly in lower limb arthroplasty and other subspecialties, with projections showing demand growth of 1–4% annually through 2028/29</w:t>
      </w:r>
    </w:p>
    <w:p w14:paraId="771E470B" w14:textId="0E939742" w:rsidR="000710B6" w:rsidRDefault="000710B6" w:rsidP="000710B6">
      <w:pPr>
        <w:pStyle w:val="bullets1"/>
      </w:pPr>
      <w:r w:rsidRPr="00CB4ED1">
        <w:t xml:space="preserve">Efficiency improvements alone are insufficient to close these gaps without additional capacity investment. Even with efficiency gains, the region cannot meet 26-week outpatient targets by March 2026 and projected treatment gaps could reach 5,334 cases by 2029. </w:t>
      </w:r>
    </w:p>
    <w:p w14:paraId="687A44EC" w14:textId="77777777" w:rsidR="00CE4759" w:rsidRPr="00CE4759" w:rsidRDefault="00CE4759" w:rsidP="00CE4759">
      <w:pPr>
        <w:pStyle w:val="NoSpacing"/>
      </w:pPr>
    </w:p>
    <w:p w14:paraId="545262DF" w14:textId="220205ED" w:rsidR="000710B6" w:rsidRPr="00CB4ED1" w:rsidRDefault="000710B6" w:rsidP="000710B6">
      <w:r w:rsidRPr="00CB4ED1">
        <w:t xml:space="preserve">There are several key assumptions within the regional orthopaedics plan, including recognition that existing services must demonstrate efficient and effective service delivery before the submission of a full business case for additional capacity.  Benchmarking against national efficiency standards and metrics therefore forms a key element of the plan over the next four years.  </w:t>
      </w:r>
    </w:p>
    <w:p w14:paraId="77A7E13F" w14:textId="77777777" w:rsidR="000710B6" w:rsidRPr="00CB4ED1" w:rsidRDefault="000710B6" w:rsidP="000710B6">
      <w:pPr>
        <w:rPr>
          <w:highlight w:val="green"/>
        </w:rPr>
      </w:pPr>
      <w:r w:rsidRPr="00CB4ED1">
        <w:t xml:space="preserve">Health Boards were asked to identify local opportunities to increase capacity and address remaining gaps in the interim period prior to the programmed LHP operational date in late autumn 2028.  Each Health Board needed to identify their efficiency and productivity plans and ensure these are included in the modelling of future demand and capacity.  Several options have been considered which include increasing core in house capacity, outsourcing and temporary additional session.   </w:t>
      </w:r>
    </w:p>
    <w:p w14:paraId="7E791EBA" w14:textId="3CC85E2F" w:rsidR="000710B6" w:rsidRPr="00E67800" w:rsidRDefault="000710B6" w:rsidP="000710B6">
      <w:r w:rsidRPr="00CB4ED1">
        <w:t xml:space="preserve">These plans are included in the later scenario planning and represent the scale of opportunity that could be delivered by each health board against current activity delivered to achieve optimum output.  They reflect current practice and do not consider standardised utilisation of theatres i.e. 47 weeks a year across the region or an increase in clinical session allocation or additional clinicians for Orthopaedics. These plans are explored in detail for each organisation in </w:t>
      </w:r>
      <w:r w:rsidRPr="00E67800">
        <w:t xml:space="preserve">Appendix </w:t>
      </w:r>
      <w:r w:rsidR="00EC05B5" w:rsidRPr="00E67800">
        <w:t>2</w:t>
      </w:r>
      <w:r w:rsidR="00D142E0" w:rsidRPr="00E67800">
        <w:t>.</w:t>
      </w:r>
    </w:p>
    <w:p w14:paraId="079CB4B1" w14:textId="77777777" w:rsidR="000710B6" w:rsidRPr="00D142E0" w:rsidRDefault="000710B6" w:rsidP="00D142E0">
      <w:pPr>
        <w:pStyle w:val="Heading3"/>
      </w:pPr>
      <w:bookmarkStart w:id="43" w:name="_Toc1715974518"/>
      <w:bookmarkStart w:id="44" w:name="_Toc534385205"/>
      <w:bookmarkStart w:id="45" w:name="_Toc2073782642"/>
      <w:bookmarkStart w:id="46" w:name="_Toc694861221"/>
      <w:bookmarkStart w:id="47" w:name="_Toc1614724775"/>
      <w:bookmarkStart w:id="48" w:name="_Toc2086360176"/>
      <w:bookmarkStart w:id="49" w:name="_Toc1964774056"/>
      <w:bookmarkStart w:id="50" w:name="_Toc91686028"/>
      <w:bookmarkStart w:id="51" w:name="_Toc208495154"/>
      <w:r w:rsidRPr="00D142E0">
        <w:t>Capacity scenarios modelled</w:t>
      </w:r>
      <w:bookmarkEnd w:id="43"/>
      <w:bookmarkEnd w:id="44"/>
      <w:bookmarkEnd w:id="45"/>
      <w:bookmarkEnd w:id="46"/>
      <w:bookmarkEnd w:id="47"/>
      <w:bookmarkEnd w:id="48"/>
      <w:bookmarkEnd w:id="49"/>
      <w:bookmarkEnd w:id="50"/>
      <w:bookmarkEnd w:id="51"/>
    </w:p>
    <w:p w14:paraId="21CCAC2A" w14:textId="77777777" w:rsidR="000710B6" w:rsidRPr="00CB4ED1" w:rsidRDefault="000710B6" w:rsidP="000710B6">
      <w:pPr>
        <w:rPr>
          <w:rFonts w:eastAsia="Arial" w:cs="Arial"/>
        </w:rPr>
      </w:pPr>
      <w:r w:rsidRPr="00CB4ED1">
        <w:rPr>
          <w:rFonts w:eastAsia="Arial" w:cs="Arial"/>
        </w:rPr>
        <w:t xml:space="preserve">The modelling looked at both outpatient and treatment demand and capacity.   For the purposes of this case only the treatment position will be discussed, but the outpatient impact can be seen in the appendix.  Outpatient capacity plans are to be determined locally by each Health Board and are outside the scope of this case.  </w:t>
      </w:r>
    </w:p>
    <w:p w14:paraId="43F59422" w14:textId="77777777" w:rsidR="000710B6" w:rsidRPr="00CB4ED1" w:rsidRDefault="000710B6" w:rsidP="000710B6">
      <w:pPr>
        <w:rPr>
          <w:rFonts w:eastAsia="Arial" w:cs="Arial"/>
        </w:rPr>
      </w:pPr>
      <w:r w:rsidRPr="00CB4ED1">
        <w:rPr>
          <w:rFonts w:eastAsia="Arial" w:cs="Arial"/>
        </w:rPr>
        <w:t xml:space="preserve">Four capacity scenarios have been considered in the </w:t>
      </w:r>
      <w:bookmarkStart w:id="52" w:name="_Hlk208492740"/>
      <w:r w:rsidRPr="00CB4ED1">
        <w:rPr>
          <w:rFonts w:eastAsia="Arial" w:cs="Arial"/>
        </w:rPr>
        <w:t>modelling (1) current core capacity, (2a) core plus local efficiency practices, (2b) core plus local efficiency and best practice standards, and (3) including the additional Welsh Government-commissioned activity.</w:t>
      </w:r>
      <w:bookmarkEnd w:id="52"/>
      <w:r w:rsidRPr="00CB4ED1">
        <w:rPr>
          <w:rFonts w:eastAsia="Arial" w:cs="Arial"/>
        </w:rPr>
        <w:t xml:space="preserve">  All scenarios considered the activity required to meet </w:t>
      </w:r>
      <w:r w:rsidRPr="00CB4ED1">
        <w:rPr>
          <w:rFonts w:eastAsia="Arial" w:cs="Arial"/>
          <w:b/>
        </w:rPr>
        <w:t>recurrent demand</w:t>
      </w:r>
      <w:r w:rsidRPr="00CB4ED1">
        <w:rPr>
          <w:rFonts w:eastAsia="Arial" w:cs="Arial"/>
        </w:rPr>
        <w:t xml:space="preserve"> and additional data was collected to ensure the following maximum waiting time scenarios were considered: -</w:t>
      </w:r>
    </w:p>
    <w:p w14:paraId="32B0EF6B" w14:textId="77777777" w:rsidR="000710B6" w:rsidRPr="00CB4ED1" w:rsidRDefault="000710B6" w:rsidP="000710B6">
      <w:pPr>
        <w:pStyle w:val="bullets1"/>
      </w:pPr>
      <w:r w:rsidRPr="00CB4ED1">
        <w:t>Recurrent demand and backlog to 104 weeks</w:t>
      </w:r>
    </w:p>
    <w:p w14:paraId="48DDB602" w14:textId="77777777" w:rsidR="000710B6" w:rsidRPr="00CB4ED1" w:rsidRDefault="000710B6" w:rsidP="000710B6">
      <w:pPr>
        <w:pStyle w:val="bullets1"/>
      </w:pPr>
      <w:r w:rsidRPr="00CB4ED1">
        <w:t>Recurrent demand and backlog to 78 weeks</w:t>
      </w:r>
    </w:p>
    <w:p w14:paraId="7C9C5845" w14:textId="77777777" w:rsidR="000710B6" w:rsidRPr="00CB4ED1" w:rsidRDefault="000710B6" w:rsidP="000710B6">
      <w:pPr>
        <w:pStyle w:val="bullets1"/>
      </w:pPr>
      <w:r w:rsidRPr="00CB4ED1">
        <w:t>Recurrent demand and backlog to 52 weeks.</w:t>
      </w:r>
    </w:p>
    <w:p w14:paraId="14F33E56" w14:textId="77777777" w:rsidR="000710B6" w:rsidRPr="00CB4ED1" w:rsidRDefault="000710B6" w:rsidP="000710B6">
      <w:pPr>
        <w:pStyle w:val="NoSpacing"/>
      </w:pPr>
    </w:p>
    <w:p w14:paraId="52AB390A" w14:textId="77777777" w:rsidR="000710B6" w:rsidRPr="00CB4ED1" w:rsidRDefault="000710B6" w:rsidP="000710B6">
      <w:r w:rsidRPr="00CB4ED1">
        <w:t xml:space="preserve">Some of the key assumptions in modelling works are as set out below: </w:t>
      </w:r>
    </w:p>
    <w:p w14:paraId="0DB81FA2" w14:textId="77777777" w:rsidR="000710B6" w:rsidRPr="00CB4ED1" w:rsidRDefault="000710B6" w:rsidP="000710B6">
      <w:pPr>
        <w:pStyle w:val="bullets1"/>
      </w:pPr>
      <w:r w:rsidRPr="00CB4ED1">
        <w:t xml:space="preserve">Recurrent demand has been calculated using derived demand, which was agreed by all regional boards and is based on financial year to financial year (24/25 to 25/26: 1 April 24 to 31 March 26. </w:t>
      </w:r>
    </w:p>
    <w:p w14:paraId="6BA24C03" w14:textId="77777777" w:rsidR="000710B6" w:rsidRPr="00CB4ED1" w:rsidRDefault="000710B6" w:rsidP="000710B6">
      <w:pPr>
        <w:pStyle w:val="bullets1"/>
      </w:pPr>
      <w:r w:rsidRPr="00CB4ED1">
        <w:t xml:space="preserve">Each Health board has calculated the split between Lower Limb and Arthroplasty. Arthroplasty refers to Primary Arthroplasty only; revisions appear in the Lower Limb NOT arthroplasty numbers. </w:t>
      </w:r>
    </w:p>
    <w:p w14:paraId="4C4AF7D7" w14:textId="77777777" w:rsidR="000710B6" w:rsidRPr="00CB4ED1" w:rsidRDefault="000710B6" w:rsidP="000710B6">
      <w:pPr>
        <w:pStyle w:val="bullets1"/>
      </w:pPr>
      <w:r w:rsidRPr="00CB4ED1">
        <w:t>Conversion rates from New Outpatients to IPDC Treatments were modelled using local data and reflect the current position in each health board independently. Any conversions from activity within this year will not be observed in the demand on IP/DC Treatments in this Financial Year (realised in FY 26/27 and beyond).</w:t>
      </w:r>
    </w:p>
    <w:p w14:paraId="7312CA8B" w14:textId="77777777" w:rsidR="000710B6" w:rsidRPr="00CB4ED1" w:rsidRDefault="000710B6" w:rsidP="000710B6">
      <w:pPr>
        <w:pStyle w:val="bullets1"/>
      </w:pPr>
      <w:r w:rsidRPr="00CB4ED1">
        <w:lastRenderedPageBreak/>
        <w:t>Welsh Government commissioned activity in FY2025/26 has been included in scenario 3 and has been apportioned by subspecialty based on local plans.</w:t>
      </w:r>
    </w:p>
    <w:p w14:paraId="32F135BA" w14:textId="77777777" w:rsidR="000710B6" w:rsidRPr="00CB4ED1" w:rsidRDefault="000710B6" w:rsidP="000710B6">
      <w:pPr>
        <w:pStyle w:val="bullets1"/>
      </w:pPr>
      <w:r w:rsidRPr="00CB4ED1">
        <w:t>Assumptions and data consistency reflect the best possible position at the current time.</w:t>
      </w:r>
    </w:p>
    <w:p w14:paraId="6AA6E487" w14:textId="77777777" w:rsidR="000710B6" w:rsidRPr="00CB4ED1" w:rsidRDefault="000710B6" w:rsidP="000710B6"/>
    <w:p w14:paraId="1F9A0595" w14:textId="77777777" w:rsidR="000710B6" w:rsidRPr="005D6C58" w:rsidRDefault="000710B6" w:rsidP="005D6C58">
      <w:pPr>
        <w:pStyle w:val="Heading3"/>
      </w:pPr>
      <w:r w:rsidRPr="005D6C58">
        <w:t xml:space="preserve">The net capacity and demand position </w:t>
      </w:r>
    </w:p>
    <w:p w14:paraId="72D4E63D" w14:textId="77777777" w:rsidR="000710B6" w:rsidRPr="00CB4ED1" w:rsidRDefault="000710B6" w:rsidP="000710B6">
      <w:pPr>
        <w:rPr>
          <w:rFonts w:eastAsia="Arial" w:cs="Arial"/>
        </w:rPr>
      </w:pPr>
      <w:r w:rsidRPr="00CB4ED1">
        <w:rPr>
          <w:rFonts w:eastAsia="Arial" w:cs="Arial"/>
        </w:rPr>
        <w:t xml:space="preserve">The overarching orthopaedics demand and capacity position is as set out in the table below to give an overview of the total regional challenge facing orthopaedics. </w:t>
      </w:r>
    </w:p>
    <w:p w14:paraId="6C91AC71" w14:textId="186609D4" w:rsidR="000710B6" w:rsidRDefault="000710B6" w:rsidP="000710B6">
      <w:pPr>
        <w:pStyle w:val="Caption"/>
        <w:rPr>
          <w:noProof w:val="0"/>
        </w:rPr>
      </w:pPr>
      <w:bookmarkStart w:id="53" w:name="_Toc213865285"/>
      <w:r w:rsidRPr="00CB4ED1">
        <w:rPr>
          <w:noProof w:val="0"/>
        </w:rPr>
        <w:t xml:space="preserve">Table </w:t>
      </w:r>
      <w:r w:rsidRPr="00CB4ED1">
        <w:rPr>
          <w:noProof w:val="0"/>
        </w:rPr>
        <w:fldChar w:fldCharType="begin"/>
      </w:r>
      <w:r w:rsidRPr="00CB4ED1">
        <w:rPr>
          <w:noProof w:val="0"/>
        </w:rPr>
        <w:instrText xml:space="preserve"> SEQ Table \* ARABIC </w:instrText>
      </w:r>
      <w:r w:rsidRPr="00CB4ED1">
        <w:rPr>
          <w:noProof w:val="0"/>
        </w:rPr>
        <w:fldChar w:fldCharType="separate"/>
      </w:r>
      <w:r w:rsidR="004A33ED">
        <w:t>5</w:t>
      </w:r>
      <w:r w:rsidRPr="00CB4ED1">
        <w:rPr>
          <w:noProof w:val="0"/>
        </w:rPr>
        <w:fldChar w:fldCharType="end"/>
      </w:r>
      <w:r w:rsidRPr="00CB4ED1">
        <w:rPr>
          <w:noProof w:val="0"/>
        </w:rPr>
        <w:t xml:space="preserve"> - Future demand / capacity gaps for orthopaedics across the South East Wales region</w:t>
      </w:r>
      <w:bookmarkEnd w:id="53"/>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1092"/>
        <w:gridCol w:w="1091"/>
        <w:gridCol w:w="1092"/>
        <w:gridCol w:w="1091"/>
        <w:gridCol w:w="1091"/>
        <w:gridCol w:w="1091"/>
        <w:gridCol w:w="1091"/>
        <w:gridCol w:w="1091"/>
        <w:gridCol w:w="1091"/>
      </w:tblGrid>
      <w:tr w:rsidR="00876F8E" w:rsidRPr="00D20A90" w14:paraId="784AB732" w14:textId="77777777" w:rsidTr="009E5531">
        <w:tc>
          <w:tcPr>
            <w:tcW w:w="1061" w:type="dxa"/>
            <w:vMerge w:val="restart"/>
            <w:shd w:val="clear" w:color="auto" w:fill="374264"/>
            <w:vAlign w:val="center"/>
          </w:tcPr>
          <w:p w14:paraId="1EE64C8E" w14:textId="77777777" w:rsidR="00876F8E" w:rsidRPr="001D55FE" w:rsidRDefault="00876F8E" w:rsidP="00377EA9">
            <w:pPr>
              <w:pStyle w:val="tabletext"/>
              <w:jc w:val="center"/>
              <w:rPr>
                <w:b/>
                <w:bCs/>
                <w:color w:val="FFFFFF" w:themeColor="background1"/>
                <w:sz w:val="16"/>
                <w:szCs w:val="16"/>
              </w:rPr>
            </w:pPr>
            <w:r w:rsidRPr="001D55FE">
              <w:rPr>
                <w:b/>
                <w:bCs/>
                <w:color w:val="FFFFFF" w:themeColor="background1"/>
                <w:sz w:val="16"/>
                <w:szCs w:val="16"/>
              </w:rPr>
              <w:t xml:space="preserve">Type </w:t>
            </w:r>
          </w:p>
        </w:tc>
        <w:tc>
          <w:tcPr>
            <w:tcW w:w="3182" w:type="dxa"/>
            <w:gridSpan w:val="3"/>
            <w:shd w:val="clear" w:color="auto" w:fill="374264"/>
            <w:vAlign w:val="center"/>
          </w:tcPr>
          <w:p w14:paraId="0413ADD8" w14:textId="77777777" w:rsidR="00876F8E" w:rsidRPr="001D55FE" w:rsidRDefault="00876F8E" w:rsidP="00377EA9">
            <w:pPr>
              <w:pStyle w:val="tabletext"/>
              <w:jc w:val="center"/>
              <w:rPr>
                <w:b/>
                <w:bCs/>
                <w:color w:val="FFFFFF" w:themeColor="background1"/>
                <w:sz w:val="16"/>
                <w:szCs w:val="16"/>
              </w:rPr>
            </w:pPr>
            <w:r w:rsidRPr="001D55FE">
              <w:rPr>
                <w:b/>
                <w:bCs/>
                <w:color w:val="FFFFFF" w:themeColor="background1"/>
                <w:sz w:val="16"/>
                <w:szCs w:val="16"/>
              </w:rPr>
              <w:t>Current gap / surplus (2025/26)</w:t>
            </w:r>
          </w:p>
        </w:tc>
        <w:tc>
          <w:tcPr>
            <w:tcW w:w="5305" w:type="dxa"/>
            <w:gridSpan w:val="5"/>
            <w:shd w:val="clear" w:color="auto" w:fill="571239" w:themeFill="accent5" w:themeFillShade="80"/>
            <w:vAlign w:val="center"/>
          </w:tcPr>
          <w:p w14:paraId="0200EB2C" w14:textId="77777777" w:rsidR="00876F8E" w:rsidRPr="001D55FE" w:rsidRDefault="00876F8E" w:rsidP="00377EA9">
            <w:pPr>
              <w:pStyle w:val="tabletext"/>
              <w:jc w:val="center"/>
              <w:rPr>
                <w:b/>
                <w:bCs/>
                <w:color w:val="FFFFFF" w:themeColor="background1"/>
                <w:sz w:val="16"/>
                <w:szCs w:val="16"/>
              </w:rPr>
            </w:pPr>
            <w:r w:rsidRPr="001D55FE">
              <w:rPr>
                <w:b/>
                <w:bCs/>
                <w:color w:val="FFFFFF" w:themeColor="background1"/>
                <w:sz w:val="16"/>
                <w:szCs w:val="16"/>
              </w:rPr>
              <w:t>Projected 2028/29 -position</w:t>
            </w:r>
          </w:p>
        </w:tc>
      </w:tr>
      <w:tr w:rsidR="00876F8E" w:rsidRPr="00D20A90" w14:paraId="648431B5" w14:textId="77777777" w:rsidTr="009E5531">
        <w:tc>
          <w:tcPr>
            <w:tcW w:w="1061" w:type="dxa"/>
            <w:vMerge/>
          </w:tcPr>
          <w:p w14:paraId="6562EC8E" w14:textId="77777777" w:rsidR="00876F8E" w:rsidRPr="001D55FE" w:rsidRDefault="00876F8E" w:rsidP="00377EA9">
            <w:pPr>
              <w:pStyle w:val="tabletext"/>
              <w:rPr>
                <w:color w:val="FFFFFF" w:themeColor="background1"/>
                <w:sz w:val="16"/>
                <w:szCs w:val="16"/>
              </w:rPr>
            </w:pPr>
          </w:p>
        </w:tc>
        <w:tc>
          <w:tcPr>
            <w:tcW w:w="1060" w:type="dxa"/>
            <w:vMerge w:val="restart"/>
            <w:shd w:val="clear" w:color="auto" w:fill="4A5886"/>
            <w:vAlign w:val="center"/>
          </w:tcPr>
          <w:p w14:paraId="1F19EA04" w14:textId="77777777" w:rsidR="00876F8E" w:rsidRPr="001D55FE" w:rsidRDefault="00876F8E" w:rsidP="00377EA9">
            <w:pPr>
              <w:pStyle w:val="tabletext"/>
              <w:jc w:val="center"/>
              <w:rPr>
                <w:color w:val="FFFFFF" w:themeColor="background1"/>
                <w:sz w:val="16"/>
                <w:szCs w:val="16"/>
              </w:rPr>
            </w:pPr>
            <w:r w:rsidRPr="001D55FE">
              <w:rPr>
                <w:color w:val="FFFFFF" w:themeColor="background1"/>
                <w:sz w:val="16"/>
                <w:szCs w:val="16"/>
              </w:rPr>
              <w:t>New OP</w:t>
            </w:r>
          </w:p>
        </w:tc>
        <w:tc>
          <w:tcPr>
            <w:tcW w:w="1061" w:type="dxa"/>
            <w:vMerge w:val="restart"/>
            <w:shd w:val="clear" w:color="auto" w:fill="4A5886"/>
            <w:vAlign w:val="center"/>
          </w:tcPr>
          <w:p w14:paraId="40335A8B" w14:textId="77777777" w:rsidR="00876F8E" w:rsidRPr="001D55FE" w:rsidRDefault="00876F8E" w:rsidP="00377EA9">
            <w:pPr>
              <w:pStyle w:val="tabletext"/>
              <w:jc w:val="center"/>
              <w:rPr>
                <w:color w:val="FFFFFF" w:themeColor="background1"/>
                <w:sz w:val="16"/>
                <w:szCs w:val="16"/>
              </w:rPr>
            </w:pPr>
            <w:r w:rsidRPr="001D55FE">
              <w:rPr>
                <w:color w:val="FFFFFF" w:themeColor="background1"/>
                <w:sz w:val="16"/>
                <w:szCs w:val="16"/>
              </w:rPr>
              <w:t>Treatment</w:t>
            </w:r>
          </w:p>
        </w:tc>
        <w:tc>
          <w:tcPr>
            <w:tcW w:w="1061" w:type="dxa"/>
            <w:vMerge w:val="restart"/>
            <w:shd w:val="clear" w:color="auto" w:fill="4A5886"/>
            <w:vAlign w:val="center"/>
          </w:tcPr>
          <w:p w14:paraId="0D255E17" w14:textId="77777777" w:rsidR="00876F8E" w:rsidRPr="001D55FE" w:rsidRDefault="00876F8E" w:rsidP="00377EA9">
            <w:pPr>
              <w:pStyle w:val="tabletext"/>
              <w:jc w:val="center"/>
              <w:rPr>
                <w:color w:val="FFFFFF" w:themeColor="background1"/>
                <w:sz w:val="16"/>
                <w:szCs w:val="16"/>
              </w:rPr>
            </w:pPr>
            <w:r w:rsidRPr="001D55FE">
              <w:rPr>
                <w:color w:val="FFFFFF" w:themeColor="background1"/>
                <w:sz w:val="16"/>
                <w:szCs w:val="16"/>
              </w:rPr>
              <w:t xml:space="preserve">Tx w new OP conversion (40% </w:t>
            </w:r>
            <w:proofErr w:type="spellStart"/>
            <w:r w:rsidRPr="001D55FE">
              <w:rPr>
                <w:color w:val="FFFFFF" w:themeColor="background1"/>
                <w:sz w:val="16"/>
                <w:szCs w:val="16"/>
              </w:rPr>
              <w:t>assm</w:t>
            </w:r>
            <w:proofErr w:type="spellEnd"/>
            <w:r w:rsidRPr="001D55FE">
              <w:rPr>
                <w:color w:val="FFFFFF" w:themeColor="background1"/>
                <w:sz w:val="16"/>
                <w:szCs w:val="16"/>
              </w:rPr>
              <w:t>)</w:t>
            </w:r>
          </w:p>
        </w:tc>
        <w:tc>
          <w:tcPr>
            <w:tcW w:w="2122" w:type="dxa"/>
            <w:gridSpan w:val="2"/>
            <w:shd w:val="clear" w:color="auto" w:fill="571239" w:themeFill="accent5" w:themeFillShade="80"/>
            <w:vAlign w:val="center"/>
          </w:tcPr>
          <w:p w14:paraId="6D9758CB" w14:textId="77777777" w:rsidR="00876F8E" w:rsidRPr="001D55FE" w:rsidRDefault="00876F8E" w:rsidP="00377EA9">
            <w:pPr>
              <w:pStyle w:val="tabletext"/>
              <w:jc w:val="center"/>
              <w:rPr>
                <w:b/>
                <w:bCs/>
                <w:color w:val="FFFFFF" w:themeColor="background1"/>
                <w:sz w:val="16"/>
                <w:szCs w:val="16"/>
              </w:rPr>
            </w:pPr>
            <w:r w:rsidRPr="001D55FE">
              <w:rPr>
                <w:b/>
                <w:bCs/>
                <w:color w:val="FFFFFF" w:themeColor="background1"/>
                <w:sz w:val="16"/>
                <w:szCs w:val="16"/>
              </w:rPr>
              <w:t>Treatment / surplus gap if</w:t>
            </w:r>
          </w:p>
        </w:tc>
        <w:tc>
          <w:tcPr>
            <w:tcW w:w="1061" w:type="dxa"/>
            <w:vMerge w:val="restart"/>
            <w:shd w:val="clear" w:color="auto" w:fill="571239" w:themeFill="accent5" w:themeFillShade="80"/>
            <w:vAlign w:val="center"/>
          </w:tcPr>
          <w:p w14:paraId="623645AD" w14:textId="5C5EA9C9" w:rsidR="00876F8E" w:rsidRPr="001D55FE" w:rsidRDefault="00876F8E" w:rsidP="00377EA9">
            <w:pPr>
              <w:pStyle w:val="tabletext"/>
              <w:jc w:val="center"/>
              <w:rPr>
                <w:b/>
                <w:bCs/>
                <w:color w:val="FFFFFF" w:themeColor="background1"/>
                <w:sz w:val="16"/>
                <w:szCs w:val="16"/>
              </w:rPr>
            </w:pPr>
            <w:r w:rsidRPr="001D55FE">
              <w:rPr>
                <w:b/>
                <w:bCs/>
                <w:color w:val="FFFFFF" w:themeColor="background1"/>
                <w:sz w:val="16"/>
                <w:szCs w:val="16"/>
              </w:rPr>
              <w:t xml:space="preserve">Efficiency </w:t>
            </w:r>
            <w:proofErr w:type="spellStart"/>
            <w:r w:rsidRPr="001D55FE">
              <w:rPr>
                <w:b/>
                <w:bCs/>
                <w:color w:val="FFFFFF" w:themeColor="background1"/>
                <w:sz w:val="16"/>
                <w:szCs w:val="16"/>
              </w:rPr>
              <w:t>oppor</w:t>
            </w:r>
            <w:r w:rsidR="001D55FE">
              <w:rPr>
                <w:b/>
                <w:bCs/>
                <w:color w:val="FFFFFF" w:themeColor="background1"/>
                <w:sz w:val="16"/>
                <w:szCs w:val="16"/>
              </w:rPr>
              <w:t>-</w:t>
            </w:r>
            <w:r w:rsidRPr="001D55FE">
              <w:rPr>
                <w:b/>
                <w:bCs/>
                <w:color w:val="FFFFFF" w:themeColor="background1"/>
                <w:sz w:val="16"/>
                <w:szCs w:val="16"/>
              </w:rPr>
              <w:t>tunity</w:t>
            </w:r>
            <w:proofErr w:type="spellEnd"/>
          </w:p>
        </w:tc>
        <w:tc>
          <w:tcPr>
            <w:tcW w:w="2122" w:type="dxa"/>
            <w:gridSpan w:val="2"/>
            <w:shd w:val="clear" w:color="auto" w:fill="571239" w:themeFill="accent5" w:themeFillShade="80"/>
            <w:vAlign w:val="center"/>
          </w:tcPr>
          <w:p w14:paraId="571BE745" w14:textId="77777777" w:rsidR="00876F8E" w:rsidRPr="001D55FE" w:rsidRDefault="00876F8E" w:rsidP="00377EA9">
            <w:pPr>
              <w:pStyle w:val="tabletext"/>
              <w:jc w:val="center"/>
              <w:rPr>
                <w:b/>
                <w:bCs/>
                <w:color w:val="FFFFFF" w:themeColor="background1"/>
                <w:sz w:val="16"/>
                <w:szCs w:val="16"/>
              </w:rPr>
            </w:pPr>
            <w:r w:rsidRPr="001D55FE">
              <w:rPr>
                <w:b/>
                <w:bCs/>
                <w:color w:val="FFFFFF" w:themeColor="background1"/>
                <w:sz w:val="16"/>
                <w:szCs w:val="16"/>
              </w:rPr>
              <w:t>Recurrent net treatment gap / surplus (Mar 29) if</w:t>
            </w:r>
          </w:p>
        </w:tc>
      </w:tr>
      <w:tr w:rsidR="00876F8E" w:rsidRPr="00D20A90" w14:paraId="7182E1EF" w14:textId="77777777" w:rsidTr="009E5531">
        <w:tc>
          <w:tcPr>
            <w:tcW w:w="1061" w:type="dxa"/>
            <w:vMerge/>
          </w:tcPr>
          <w:p w14:paraId="3E73DF52" w14:textId="77777777" w:rsidR="00876F8E" w:rsidRPr="001D55FE" w:rsidRDefault="00876F8E" w:rsidP="00377EA9">
            <w:pPr>
              <w:pStyle w:val="tabletext"/>
              <w:rPr>
                <w:color w:val="FFFFFF" w:themeColor="background1"/>
                <w:sz w:val="16"/>
                <w:szCs w:val="16"/>
              </w:rPr>
            </w:pPr>
          </w:p>
        </w:tc>
        <w:tc>
          <w:tcPr>
            <w:tcW w:w="1060" w:type="dxa"/>
            <w:vMerge/>
            <w:shd w:val="clear" w:color="auto" w:fill="4A5886"/>
            <w:vAlign w:val="center"/>
          </w:tcPr>
          <w:p w14:paraId="7E4B1C36" w14:textId="77777777" w:rsidR="00876F8E" w:rsidRPr="001D55FE" w:rsidRDefault="00876F8E" w:rsidP="00377EA9">
            <w:pPr>
              <w:pStyle w:val="tabletext"/>
              <w:jc w:val="center"/>
              <w:rPr>
                <w:color w:val="FFFFFF" w:themeColor="background1"/>
                <w:sz w:val="16"/>
                <w:szCs w:val="16"/>
              </w:rPr>
            </w:pPr>
          </w:p>
        </w:tc>
        <w:tc>
          <w:tcPr>
            <w:tcW w:w="1061" w:type="dxa"/>
            <w:vMerge/>
            <w:shd w:val="clear" w:color="auto" w:fill="4A5886"/>
            <w:vAlign w:val="center"/>
          </w:tcPr>
          <w:p w14:paraId="22863223" w14:textId="77777777" w:rsidR="00876F8E" w:rsidRPr="001D55FE" w:rsidRDefault="00876F8E" w:rsidP="00377EA9">
            <w:pPr>
              <w:pStyle w:val="tabletext"/>
              <w:jc w:val="center"/>
              <w:rPr>
                <w:color w:val="FFFFFF" w:themeColor="background1"/>
                <w:sz w:val="16"/>
                <w:szCs w:val="16"/>
              </w:rPr>
            </w:pPr>
          </w:p>
        </w:tc>
        <w:tc>
          <w:tcPr>
            <w:tcW w:w="1061" w:type="dxa"/>
            <w:vMerge/>
            <w:shd w:val="clear" w:color="auto" w:fill="4A5886"/>
            <w:vAlign w:val="center"/>
          </w:tcPr>
          <w:p w14:paraId="113E3F8F" w14:textId="77777777" w:rsidR="00876F8E" w:rsidRPr="001D55FE" w:rsidRDefault="00876F8E" w:rsidP="00377EA9">
            <w:pPr>
              <w:pStyle w:val="tabletext"/>
              <w:jc w:val="center"/>
              <w:rPr>
                <w:color w:val="FFFFFF" w:themeColor="background1"/>
                <w:sz w:val="16"/>
                <w:szCs w:val="16"/>
              </w:rPr>
            </w:pPr>
          </w:p>
        </w:tc>
        <w:tc>
          <w:tcPr>
            <w:tcW w:w="1061" w:type="dxa"/>
            <w:shd w:val="clear" w:color="auto" w:fill="821B56" w:themeFill="accent5" w:themeFillShade="BF"/>
            <w:vAlign w:val="center"/>
          </w:tcPr>
          <w:p w14:paraId="1C19186F" w14:textId="77777777" w:rsidR="00876F8E" w:rsidRPr="001D55FE" w:rsidRDefault="00876F8E" w:rsidP="00377EA9">
            <w:pPr>
              <w:pStyle w:val="tabletext"/>
              <w:jc w:val="center"/>
              <w:rPr>
                <w:color w:val="FFFFFF" w:themeColor="background1"/>
                <w:sz w:val="16"/>
                <w:szCs w:val="16"/>
              </w:rPr>
            </w:pPr>
            <w:r w:rsidRPr="001D55FE">
              <w:rPr>
                <w:color w:val="FFFFFF" w:themeColor="background1"/>
                <w:sz w:val="16"/>
                <w:szCs w:val="16"/>
              </w:rPr>
              <w:t>Demand @ 1% to 29</w:t>
            </w:r>
          </w:p>
        </w:tc>
        <w:tc>
          <w:tcPr>
            <w:tcW w:w="1061" w:type="dxa"/>
            <w:shd w:val="clear" w:color="auto" w:fill="821B56" w:themeFill="accent5" w:themeFillShade="BF"/>
            <w:vAlign w:val="center"/>
          </w:tcPr>
          <w:p w14:paraId="09CB18BE" w14:textId="77777777" w:rsidR="00876F8E" w:rsidRPr="001D55FE" w:rsidRDefault="00876F8E" w:rsidP="00377EA9">
            <w:pPr>
              <w:pStyle w:val="tabletext"/>
              <w:jc w:val="center"/>
              <w:rPr>
                <w:color w:val="FFFFFF" w:themeColor="background1"/>
                <w:sz w:val="16"/>
                <w:szCs w:val="16"/>
              </w:rPr>
            </w:pPr>
            <w:r w:rsidRPr="001D55FE">
              <w:rPr>
                <w:color w:val="FFFFFF" w:themeColor="background1"/>
                <w:sz w:val="16"/>
                <w:szCs w:val="16"/>
              </w:rPr>
              <w:t>Demand @ 4% to 29</w:t>
            </w:r>
          </w:p>
        </w:tc>
        <w:tc>
          <w:tcPr>
            <w:tcW w:w="1061" w:type="dxa"/>
            <w:vMerge/>
            <w:shd w:val="clear" w:color="auto" w:fill="821B56" w:themeFill="accent5" w:themeFillShade="BF"/>
            <w:vAlign w:val="center"/>
          </w:tcPr>
          <w:p w14:paraId="4F80F043" w14:textId="77777777" w:rsidR="00876F8E" w:rsidRPr="001D55FE" w:rsidRDefault="00876F8E" w:rsidP="00377EA9">
            <w:pPr>
              <w:pStyle w:val="tabletext"/>
              <w:jc w:val="center"/>
              <w:rPr>
                <w:color w:val="FFFFFF" w:themeColor="background1"/>
                <w:sz w:val="16"/>
                <w:szCs w:val="16"/>
              </w:rPr>
            </w:pPr>
          </w:p>
        </w:tc>
        <w:tc>
          <w:tcPr>
            <w:tcW w:w="1061" w:type="dxa"/>
            <w:shd w:val="clear" w:color="auto" w:fill="821B56" w:themeFill="accent5" w:themeFillShade="BF"/>
            <w:vAlign w:val="center"/>
          </w:tcPr>
          <w:p w14:paraId="208E1FDF" w14:textId="77777777" w:rsidR="00876F8E" w:rsidRPr="001D55FE" w:rsidRDefault="00876F8E" w:rsidP="00377EA9">
            <w:pPr>
              <w:pStyle w:val="tabletext"/>
              <w:jc w:val="center"/>
              <w:rPr>
                <w:color w:val="FFFFFF" w:themeColor="background1"/>
                <w:sz w:val="16"/>
                <w:szCs w:val="16"/>
              </w:rPr>
            </w:pPr>
            <w:r w:rsidRPr="001D55FE">
              <w:rPr>
                <w:color w:val="FFFFFF" w:themeColor="background1"/>
                <w:sz w:val="16"/>
                <w:szCs w:val="16"/>
              </w:rPr>
              <w:t>Demand @ 1%</w:t>
            </w:r>
          </w:p>
        </w:tc>
        <w:tc>
          <w:tcPr>
            <w:tcW w:w="1061" w:type="dxa"/>
            <w:shd w:val="clear" w:color="auto" w:fill="821B56" w:themeFill="accent5" w:themeFillShade="BF"/>
            <w:vAlign w:val="center"/>
          </w:tcPr>
          <w:p w14:paraId="07696636" w14:textId="77777777" w:rsidR="00876F8E" w:rsidRPr="001D55FE" w:rsidRDefault="00876F8E" w:rsidP="00377EA9">
            <w:pPr>
              <w:pStyle w:val="tabletext"/>
              <w:jc w:val="center"/>
              <w:rPr>
                <w:color w:val="FFFFFF" w:themeColor="background1"/>
                <w:sz w:val="16"/>
                <w:szCs w:val="16"/>
              </w:rPr>
            </w:pPr>
            <w:r w:rsidRPr="001D55FE">
              <w:rPr>
                <w:color w:val="FFFFFF" w:themeColor="background1"/>
                <w:sz w:val="16"/>
                <w:szCs w:val="16"/>
              </w:rPr>
              <w:t>Demand @ 4%</w:t>
            </w:r>
          </w:p>
        </w:tc>
      </w:tr>
      <w:tr w:rsidR="00876F8E" w:rsidRPr="00D20A90" w14:paraId="3F4B2468" w14:textId="77777777" w:rsidTr="001D55FE">
        <w:tc>
          <w:tcPr>
            <w:tcW w:w="1061" w:type="dxa"/>
          </w:tcPr>
          <w:p w14:paraId="45227021" w14:textId="77777777" w:rsidR="00876F8E" w:rsidRDefault="00876F8E" w:rsidP="00377EA9">
            <w:pPr>
              <w:pStyle w:val="tabletext"/>
              <w:rPr>
                <w:sz w:val="16"/>
                <w:szCs w:val="16"/>
              </w:rPr>
            </w:pPr>
            <w:r>
              <w:rPr>
                <w:sz w:val="16"/>
                <w:szCs w:val="16"/>
              </w:rPr>
              <w:t>Foot / ankle</w:t>
            </w:r>
          </w:p>
        </w:tc>
        <w:tc>
          <w:tcPr>
            <w:tcW w:w="1060" w:type="dxa"/>
            <w:vAlign w:val="center"/>
          </w:tcPr>
          <w:p w14:paraId="553487D1" w14:textId="77777777" w:rsidR="00876F8E" w:rsidRPr="00D20A90" w:rsidRDefault="00876F8E" w:rsidP="00377EA9">
            <w:pPr>
              <w:pStyle w:val="tabletext"/>
              <w:jc w:val="center"/>
              <w:rPr>
                <w:sz w:val="16"/>
                <w:szCs w:val="16"/>
              </w:rPr>
            </w:pPr>
            <w:r>
              <w:rPr>
                <w:sz w:val="16"/>
                <w:szCs w:val="16"/>
              </w:rPr>
              <w:t>-422</w:t>
            </w:r>
          </w:p>
        </w:tc>
        <w:tc>
          <w:tcPr>
            <w:tcW w:w="1061" w:type="dxa"/>
            <w:vAlign w:val="center"/>
          </w:tcPr>
          <w:p w14:paraId="5B4B30FE" w14:textId="77777777" w:rsidR="00876F8E" w:rsidRPr="00D20A90" w:rsidRDefault="00876F8E" w:rsidP="00377EA9">
            <w:pPr>
              <w:pStyle w:val="tabletext"/>
              <w:jc w:val="center"/>
              <w:rPr>
                <w:sz w:val="16"/>
                <w:szCs w:val="16"/>
              </w:rPr>
            </w:pPr>
            <w:r>
              <w:rPr>
                <w:sz w:val="16"/>
                <w:szCs w:val="16"/>
              </w:rPr>
              <w:t>-83</w:t>
            </w:r>
          </w:p>
        </w:tc>
        <w:tc>
          <w:tcPr>
            <w:tcW w:w="1061" w:type="dxa"/>
            <w:vAlign w:val="center"/>
          </w:tcPr>
          <w:p w14:paraId="6EA378D5" w14:textId="77777777" w:rsidR="00876F8E" w:rsidRPr="00D20A90" w:rsidRDefault="00876F8E" w:rsidP="00377EA9">
            <w:pPr>
              <w:pStyle w:val="tabletext"/>
              <w:jc w:val="center"/>
              <w:rPr>
                <w:sz w:val="16"/>
                <w:szCs w:val="16"/>
              </w:rPr>
            </w:pPr>
            <w:r>
              <w:rPr>
                <w:sz w:val="16"/>
                <w:szCs w:val="16"/>
              </w:rPr>
              <w:t>-252</w:t>
            </w:r>
          </w:p>
        </w:tc>
        <w:tc>
          <w:tcPr>
            <w:tcW w:w="1061" w:type="dxa"/>
            <w:vAlign w:val="center"/>
          </w:tcPr>
          <w:p w14:paraId="105F6730" w14:textId="77777777" w:rsidR="00876F8E" w:rsidRPr="00D20A90" w:rsidRDefault="00876F8E" w:rsidP="00377EA9">
            <w:pPr>
              <w:pStyle w:val="tabletext"/>
              <w:jc w:val="center"/>
              <w:rPr>
                <w:sz w:val="16"/>
                <w:szCs w:val="16"/>
              </w:rPr>
            </w:pPr>
            <w:r>
              <w:rPr>
                <w:sz w:val="16"/>
                <w:szCs w:val="16"/>
              </w:rPr>
              <w:t>-371</w:t>
            </w:r>
          </w:p>
        </w:tc>
        <w:tc>
          <w:tcPr>
            <w:tcW w:w="1061" w:type="dxa"/>
            <w:vAlign w:val="center"/>
          </w:tcPr>
          <w:p w14:paraId="37064DD1" w14:textId="77777777" w:rsidR="00876F8E" w:rsidRPr="00D20A90" w:rsidRDefault="00876F8E" w:rsidP="00377EA9">
            <w:pPr>
              <w:pStyle w:val="tabletext"/>
              <w:jc w:val="center"/>
              <w:rPr>
                <w:sz w:val="16"/>
                <w:szCs w:val="16"/>
              </w:rPr>
            </w:pPr>
            <w:r>
              <w:rPr>
                <w:sz w:val="16"/>
                <w:szCs w:val="16"/>
              </w:rPr>
              <w:t>-728</w:t>
            </w:r>
          </w:p>
        </w:tc>
        <w:tc>
          <w:tcPr>
            <w:tcW w:w="1061" w:type="dxa"/>
            <w:vAlign w:val="center"/>
          </w:tcPr>
          <w:p w14:paraId="07E4194E" w14:textId="77777777" w:rsidR="00876F8E" w:rsidRPr="00D20A90" w:rsidRDefault="00876F8E" w:rsidP="00377EA9">
            <w:pPr>
              <w:pStyle w:val="tabletext"/>
              <w:jc w:val="center"/>
              <w:rPr>
                <w:sz w:val="16"/>
                <w:szCs w:val="16"/>
              </w:rPr>
            </w:pPr>
            <w:r>
              <w:rPr>
                <w:sz w:val="16"/>
                <w:szCs w:val="16"/>
              </w:rPr>
              <w:t>98</w:t>
            </w:r>
          </w:p>
        </w:tc>
        <w:tc>
          <w:tcPr>
            <w:tcW w:w="1061" w:type="dxa"/>
            <w:vAlign w:val="center"/>
          </w:tcPr>
          <w:p w14:paraId="54AB78A9" w14:textId="77777777" w:rsidR="00876F8E" w:rsidRPr="00D20A90" w:rsidRDefault="00876F8E" w:rsidP="00377EA9">
            <w:pPr>
              <w:pStyle w:val="tabletext"/>
              <w:jc w:val="center"/>
              <w:rPr>
                <w:sz w:val="16"/>
                <w:szCs w:val="16"/>
              </w:rPr>
            </w:pPr>
            <w:r>
              <w:rPr>
                <w:sz w:val="16"/>
                <w:szCs w:val="16"/>
              </w:rPr>
              <w:t>-273</w:t>
            </w:r>
          </w:p>
        </w:tc>
        <w:tc>
          <w:tcPr>
            <w:tcW w:w="1061" w:type="dxa"/>
            <w:vAlign w:val="center"/>
          </w:tcPr>
          <w:p w14:paraId="5140D57E" w14:textId="77777777" w:rsidR="00876F8E" w:rsidRPr="00D20A90" w:rsidRDefault="00876F8E" w:rsidP="00377EA9">
            <w:pPr>
              <w:pStyle w:val="tabletext"/>
              <w:jc w:val="center"/>
              <w:rPr>
                <w:sz w:val="16"/>
                <w:szCs w:val="16"/>
              </w:rPr>
            </w:pPr>
            <w:r>
              <w:rPr>
                <w:sz w:val="16"/>
                <w:szCs w:val="16"/>
              </w:rPr>
              <w:t>-630</w:t>
            </w:r>
          </w:p>
        </w:tc>
      </w:tr>
      <w:tr w:rsidR="00876F8E" w:rsidRPr="00D20A90" w14:paraId="43AF3705" w14:textId="77777777" w:rsidTr="001D55FE">
        <w:tc>
          <w:tcPr>
            <w:tcW w:w="1061" w:type="dxa"/>
          </w:tcPr>
          <w:p w14:paraId="40C07742" w14:textId="77777777" w:rsidR="00876F8E" w:rsidRPr="00D20A90" w:rsidRDefault="00876F8E" w:rsidP="00377EA9">
            <w:pPr>
              <w:pStyle w:val="tabletext"/>
              <w:rPr>
                <w:sz w:val="16"/>
                <w:szCs w:val="16"/>
              </w:rPr>
            </w:pPr>
            <w:proofErr w:type="spellStart"/>
            <w:r>
              <w:rPr>
                <w:sz w:val="16"/>
                <w:szCs w:val="16"/>
              </w:rPr>
              <w:t>Paeds</w:t>
            </w:r>
            <w:proofErr w:type="spellEnd"/>
          </w:p>
        </w:tc>
        <w:tc>
          <w:tcPr>
            <w:tcW w:w="1060" w:type="dxa"/>
            <w:vAlign w:val="center"/>
          </w:tcPr>
          <w:p w14:paraId="32ABF1C6" w14:textId="77777777" w:rsidR="00876F8E" w:rsidRPr="00D20A90" w:rsidRDefault="00876F8E" w:rsidP="00377EA9">
            <w:pPr>
              <w:pStyle w:val="tabletext"/>
              <w:jc w:val="center"/>
              <w:rPr>
                <w:sz w:val="16"/>
                <w:szCs w:val="16"/>
              </w:rPr>
            </w:pPr>
            <w:r>
              <w:rPr>
                <w:sz w:val="16"/>
                <w:szCs w:val="16"/>
              </w:rPr>
              <w:t>-211</w:t>
            </w:r>
          </w:p>
        </w:tc>
        <w:tc>
          <w:tcPr>
            <w:tcW w:w="1061" w:type="dxa"/>
            <w:vAlign w:val="center"/>
          </w:tcPr>
          <w:p w14:paraId="096707C2" w14:textId="77777777" w:rsidR="00876F8E" w:rsidRPr="00D20A90" w:rsidRDefault="00876F8E" w:rsidP="00377EA9">
            <w:pPr>
              <w:pStyle w:val="tabletext"/>
              <w:jc w:val="center"/>
              <w:rPr>
                <w:sz w:val="16"/>
                <w:szCs w:val="16"/>
              </w:rPr>
            </w:pPr>
            <w:r>
              <w:rPr>
                <w:sz w:val="16"/>
                <w:szCs w:val="16"/>
              </w:rPr>
              <w:t>-17</w:t>
            </w:r>
          </w:p>
        </w:tc>
        <w:tc>
          <w:tcPr>
            <w:tcW w:w="1061" w:type="dxa"/>
            <w:vAlign w:val="center"/>
          </w:tcPr>
          <w:p w14:paraId="50A15440" w14:textId="77777777" w:rsidR="00876F8E" w:rsidRPr="00D20A90" w:rsidRDefault="00876F8E" w:rsidP="00377EA9">
            <w:pPr>
              <w:pStyle w:val="tabletext"/>
              <w:jc w:val="center"/>
              <w:rPr>
                <w:sz w:val="16"/>
                <w:szCs w:val="16"/>
              </w:rPr>
            </w:pPr>
            <w:r>
              <w:rPr>
                <w:sz w:val="16"/>
                <w:szCs w:val="16"/>
              </w:rPr>
              <w:t>-101</w:t>
            </w:r>
          </w:p>
        </w:tc>
        <w:tc>
          <w:tcPr>
            <w:tcW w:w="1061" w:type="dxa"/>
            <w:vAlign w:val="center"/>
          </w:tcPr>
          <w:p w14:paraId="5829EC9F" w14:textId="77777777" w:rsidR="00876F8E" w:rsidRPr="00D20A90" w:rsidRDefault="00876F8E" w:rsidP="00377EA9">
            <w:pPr>
              <w:pStyle w:val="tabletext"/>
              <w:jc w:val="center"/>
              <w:rPr>
                <w:sz w:val="16"/>
                <w:szCs w:val="16"/>
              </w:rPr>
            </w:pPr>
            <w:r>
              <w:rPr>
                <w:sz w:val="16"/>
                <w:szCs w:val="16"/>
              </w:rPr>
              <w:t>-140</w:t>
            </w:r>
          </w:p>
        </w:tc>
        <w:tc>
          <w:tcPr>
            <w:tcW w:w="1061" w:type="dxa"/>
            <w:vAlign w:val="center"/>
          </w:tcPr>
          <w:p w14:paraId="5B6773A4" w14:textId="77777777" w:rsidR="00876F8E" w:rsidRPr="00D20A90" w:rsidRDefault="00876F8E" w:rsidP="00377EA9">
            <w:pPr>
              <w:pStyle w:val="tabletext"/>
              <w:jc w:val="center"/>
              <w:rPr>
                <w:sz w:val="16"/>
                <w:szCs w:val="16"/>
              </w:rPr>
            </w:pPr>
            <w:r>
              <w:rPr>
                <w:sz w:val="16"/>
                <w:szCs w:val="16"/>
              </w:rPr>
              <w:t>-255</w:t>
            </w:r>
          </w:p>
        </w:tc>
        <w:tc>
          <w:tcPr>
            <w:tcW w:w="1061" w:type="dxa"/>
            <w:vAlign w:val="center"/>
          </w:tcPr>
          <w:p w14:paraId="2ACC394A" w14:textId="77777777" w:rsidR="00876F8E" w:rsidRPr="00D20A90" w:rsidRDefault="00876F8E" w:rsidP="00377EA9">
            <w:pPr>
              <w:pStyle w:val="tabletext"/>
              <w:jc w:val="center"/>
              <w:rPr>
                <w:sz w:val="16"/>
                <w:szCs w:val="16"/>
              </w:rPr>
            </w:pPr>
            <w:r>
              <w:rPr>
                <w:sz w:val="16"/>
                <w:szCs w:val="16"/>
              </w:rPr>
              <w:t>16</w:t>
            </w:r>
          </w:p>
        </w:tc>
        <w:tc>
          <w:tcPr>
            <w:tcW w:w="1061" w:type="dxa"/>
            <w:vAlign w:val="center"/>
          </w:tcPr>
          <w:p w14:paraId="77BE9622" w14:textId="77777777" w:rsidR="00876F8E" w:rsidRPr="00D20A90" w:rsidRDefault="00876F8E" w:rsidP="00377EA9">
            <w:pPr>
              <w:pStyle w:val="tabletext"/>
              <w:jc w:val="center"/>
              <w:rPr>
                <w:sz w:val="16"/>
                <w:szCs w:val="16"/>
              </w:rPr>
            </w:pPr>
            <w:r>
              <w:rPr>
                <w:sz w:val="16"/>
                <w:szCs w:val="16"/>
              </w:rPr>
              <w:t>-124</w:t>
            </w:r>
          </w:p>
        </w:tc>
        <w:tc>
          <w:tcPr>
            <w:tcW w:w="1061" w:type="dxa"/>
            <w:vAlign w:val="center"/>
          </w:tcPr>
          <w:p w14:paraId="659296C7" w14:textId="77777777" w:rsidR="00876F8E" w:rsidRPr="00D20A90" w:rsidRDefault="00876F8E" w:rsidP="00377EA9">
            <w:pPr>
              <w:pStyle w:val="tabletext"/>
              <w:jc w:val="center"/>
              <w:rPr>
                <w:sz w:val="16"/>
                <w:szCs w:val="16"/>
              </w:rPr>
            </w:pPr>
            <w:r>
              <w:rPr>
                <w:sz w:val="16"/>
                <w:szCs w:val="16"/>
              </w:rPr>
              <w:t>-239</w:t>
            </w:r>
          </w:p>
        </w:tc>
      </w:tr>
      <w:tr w:rsidR="00876F8E" w:rsidRPr="00D20A90" w14:paraId="0D29A5FE" w14:textId="77777777" w:rsidTr="001D55FE">
        <w:tc>
          <w:tcPr>
            <w:tcW w:w="1061" w:type="dxa"/>
          </w:tcPr>
          <w:p w14:paraId="33DE95C8" w14:textId="77777777" w:rsidR="00876F8E" w:rsidRPr="00D20A90" w:rsidRDefault="00876F8E" w:rsidP="00377EA9">
            <w:pPr>
              <w:pStyle w:val="tabletext"/>
              <w:rPr>
                <w:sz w:val="16"/>
                <w:szCs w:val="16"/>
              </w:rPr>
            </w:pPr>
            <w:r>
              <w:rPr>
                <w:sz w:val="16"/>
                <w:szCs w:val="16"/>
              </w:rPr>
              <w:t>Upper limb</w:t>
            </w:r>
          </w:p>
        </w:tc>
        <w:tc>
          <w:tcPr>
            <w:tcW w:w="1060" w:type="dxa"/>
            <w:vAlign w:val="center"/>
          </w:tcPr>
          <w:p w14:paraId="7D24E0C3" w14:textId="77777777" w:rsidR="00876F8E" w:rsidRPr="00D20A90" w:rsidRDefault="00876F8E" w:rsidP="00377EA9">
            <w:pPr>
              <w:pStyle w:val="tabletext"/>
              <w:jc w:val="center"/>
              <w:rPr>
                <w:sz w:val="16"/>
                <w:szCs w:val="16"/>
              </w:rPr>
            </w:pPr>
            <w:r>
              <w:rPr>
                <w:sz w:val="16"/>
                <w:szCs w:val="16"/>
              </w:rPr>
              <w:t>487</w:t>
            </w:r>
          </w:p>
        </w:tc>
        <w:tc>
          <w:tcPr>
            <w:tcW w:w="1061" w:type="dxa"/>
            <w:vAlign w:val="center"/>
          </w:tcPr>
          <w:p w14:paraId="0ACF8125" w14:textId="77777777" w:rsidR="00876F8E" w:rsidRPr="00D20A90" w:rsidRDefault="00876F8E" w:rsidP="00377EA9">
            <w:pPr>
              <w:pStyle w:val="tabletext"/>
              <w:jc w:val="center"/>
              <w:rPr>
                <w:sz w:val="16"/>
                <w:szCs w:val="16"/>
              </w:rPr>
            </w:pPr>
            <w:r>
              <w:rPr>
                <w:sz w:val="16"/>
                <w:szCs w:val="16"/>
              </w:rPr>
              <w:t>81</w:t>
            </w:r>
          </w:p>
        </w:tc>
        <w:tc>
          <w:tcPr>
            <w:tcW w:w="1061" w:type="dxa"/>
            <w:vAlign w:val="center"/>
          </w:tcPr>
          <w:p w14:paraId="559A15EC" w14:textId="77777777" w:rsidR="00876F8E" w:rsidRPr="00D20A90" w:rsidRDefault="00876F8E" w:rsidP="00377EA9">
            <w:pPr>
              <w:pStyle w:val="tabletext"/>
              <w:jc w:val="center"/>
              <w:rPr>
                <w:sz w:val="16"/>
                <w:szCs w:val="16"/>
              </w:rPr>
            </w:pPr>
            <w:r>
              <w:rPr>
                <w:sz w:val="16"/>
                <w:szCs w:val="16"/>
              </w:rPr>
              <w:t>81</w:t>
            </w:r>
          </w:p>
        </w:tc>
        <w:tc>
          <w:tcPr>
            <w:tcW w:w="1061" w:type="dxa"/>
            <w:vAlign w:val="center"/>
          </w:tcPr>
          <w:p w14:paraId="1347E264" w14:textId="77777777" w:rsidR="00876F8E" w:rsidRPr="00D20A90" w:rsidRDefault="00876F8E" w:rsidP="00377EA9">
            <w:pPr>
              <w:pStyle w:val="tabletext"/>
              <w:jc w:val="center"/>
              <w:rPr>
                <w:sz w:val="16"/>
                <w:szCs w:val="16"/>
              </w:rPr>
            </w:pPr>
            <w:r>
              <w:rPr>
                <w:sz w:val="16"/>
                <w:szCs w:val="16"/>
              </w:rPr>
              <w:t>-21</w:t>
            </w:r>
          </w:p>
        </w:tc>
        <w:tc>
          <w:tcPr>
            <w:tcW w:w="1061" w:type="dxa"/>
            <w:vAlign w:val="center"/>
          </w:tcPr>
          <w:p w14:paraId="47C4E022" w14:textId="77777777" w:rsidR="00876F8E" w:rsidRPr="00D20A90" w:rsidRDefault="00876F8E" w:rsidP="00377EA9">
            <w:pPr>
              <w:pStyle w:val="tabletext"/>
              <w:jc w:val="center"/>
              <w:rPr>
                <w:sz w:val="16"/>
                <w:szCs w:val="16"/>
              </w:rPr>
            </w:pPr>
            <w:r>
              <w:rPr>
                <w:sz w:val="16"/>
                <w:szCs w:val="16"/>
              </w:rPr>
              <w:t>-326</w:t>
            </w:r>
          </w:p>
        </w:tc>
        <w:tc>
          <w:tcPr>
            <w:tcW w:w="1061" w:type="dxa"/>
            <w:vAlign w:val="center"/>
          </w:tcPr>
          <w:p w14:paraId="66D74EF7" w14:textId="77777777" w:rsidR="00876F8E" w:rsidRPr="00D20A90" w:rsidRDefault="00876F8E" w:rsidP="00377EA9">
            <w:pPr>
              <w:pStyle w:val="tabletext"/>
              <w:jc w:val="center"/>
              <w:rPr>
                <w:sz w:val="16"/>
                <w:szCs w:val="16"/>
              </w:rPr>
            </w:pPr>
            <w:r>
              <w:rPr>
                <w:sz w:val="16"/>
                <w:szCs w:val="16"/>
              </w:rPr>
              <w:t>125</w:t>
            </w:r>
          </w:p>
        </w:tc>
        <w:tc>
          <w:tcPr>
            <w:tcW w:w="1061" w:type="dxa"/>
            <w:vAlign w:val="center"/>
          </w:tcPr>
          <w:p w14:paraId="6CFD5908" w14:textId="77777777" w:rsidR="00876F8E" w:rsidRPr="00D20A90" w:rsidRDefault="00876F8E" w:rsidP="00377EA9">
            <w:pPr>
              <w:pStyle w:val="tabletext"/>
              <w:jc w:val="center"/>
              <w:rPr>
                <w:sz w:val="16"/>
                <w:szCs w:val="16"/>
              </w:rPr>
            </w:pPr>
            <w:r>
              <w:rPr>
                <w:sz w:val="16"/>
                <w:szCs w:val="16"/>
              </w:rPr>
              <w:t>104</w:t>
            </w:r>
          </w:p>
        </w:tc>
        <w:tc>
          <w:tcPr>
            <w:tcW w:w="1061" w:type="dxa"/>
            <w:vAlign w:val="center"/>
          </w:tcPr>
          <w:p w14:paraId="4E4D790C" w14:textId="77777777" w:rsidR="00876F8E" w:rsidRPr="00D20A90" w:rsidRDefault="00876F8E" w:rsidP="00377EA9">
            <w:pPr>
              <w:pStyle w:val="tabletext"/>
              <w:jc w:val="center"/>
              <w:rPr>
                <w:sz w:val="16"/>
                <w:szCs w:val="16"/>
              </w:rPr>
            </w:pPr>
            <w:r>
              <w:rPr>
                <w:sz w:val="16"/>
                <w:szCs w:val="16"/>
              </w:rPr>
              <w:t>-201</w:t>
            </w:r>
          </w:p>
        </w:tc>
      </w:tr>
      <w:tr w:rsidR="00876F8E" w:rsidRPr="00D20A90" w14:paraId="692F6CA3" w14:textId="77777777" w:rsidTr="001D55FE">
        <w:tc>
          <w:tcPr>
            <w:tcW w:w="1061" w:type="dxa"/>
          </w:tcPr>
          <w:p w14:paraId="11D1B294" w14:textId="77777777" w:rsidR="00876F8E" w:rsidRPr="00D20A90" w:rsidRDefault="00876F8E" w:rsidP="00377EA9">
            <w:pPr>
              <w:pStyle w:val="tabletext"/>
              <w:rPr>
                <w:sz w:val="16"/>
                <w:szCs w:val="16"/>
              </w:rPr>
            </w:pPr>
            <w:r>
              <w:rPr>
                <w:sz w:val="16"/>
                <w:szCs w:val="16"/>
              </w:rPr>
              <w:t>Hands</w:t>
            </w:r>
          </w:p>
        </w:tc>
        <w:tc>
          <w:tcPr>
            <w:tcW w:w="1060" w:type="dxa"/>
            <w:vAlign w:val="center"/>
          </w:tcPr>
          <w:p w14:paraId="34BC9F2C" w14:textId="77777777" w:rsidR="00876F8E" w:rsidRPr="00D20A90" w:rsidRDefault="00876F8E" w:rsidP="00377EA9">
            <w:pPr>
              <w:pStyle w:val="tabletext"/>
              <w:jc w:val="center"/>
              <w:rPr>
                <w:sz w:val="16"/>
                <w:szCs w:val="16"/>
              </w:rPr>
            </w:pPr>
            <w:r>
              <w:rPr>
                <w:sz w:val="16"/>
                <w:szCs w:val="16"/>
              </w:rPr>
              <w:t>-394</w:t>
            </w:r>
          </w:p>
        </w:tc>
        <w:tc>
          <w:tcPr>
            <w:tcW w:w="1061" w:type="dxa"/>
            <w:vAlign w:val="center"/>
          </w:tcPr>
          <w:p w14:paraId="433338CB" w14:textId="77777777" w:rsidR="00876F8E" w:rsidRPr="00D20A90" w:rsidRDefault="00876F8E" w:rsidP="00377EA9">
            <w:pPr>
              <w:pStyle w:val="tabletext"/>
              <w:jc w:val="center"/>
              <w:rPr>
                <w:sz w:val="16"/>
                <w:szCs w:val="16"/>
              </w:rPr>
            </w:pPr>
            <w:r>
              <w:rPr>
                <w:sz w:val="16"/>
                <w:szCs w:val="16"/>
              </w:rPr>
              <w:t>-616</w:t>
            </w:r>
          </w:p>
        </w:tc>
        <w:tc>
          <w:tcPr>
            <w:tcW w:w="1061" w:type="dxa"/>
            <w:vAlign w:val="center"/>
          </w:tcPr>
          <w:p w14:paraId="1F16AD79" w14:textId="77777777" w:rsidR="00876F8E" w:rsidRPr="00D20A90" w:rsidRDefault="00876F8E" w:rsidP="00377EA9">
            <w:pPr>
              <w:pStyle w:val="tabletext"/>
              <w:jc w:val="center"/>
              <w:rPr>
                <w:sz w:val="16"/>
                <w:szCs w:val="16"/>
              </w:rPr>
            </w:pPr>
            <w:r>
              <w:rPr>
                <w:sz w:val="16"/>
                <w:szCs w:val="16"/>
              </w:rPr>
              <w:t>-774</w:t>
            </w:r>
          </w:p>
        </w:tc>
        <w:tc>
          <w:tcPr>
            <w:tcW w:w="1061" w:type="dxa"/>
            <w:vAlign w:val="center"/>
          </w:tcPr>
          <w:p w14:paraId="4409B9BF" w14:textId="77777777" w:rsidR="00876F8E" w:rsidRPr="00D20A90" w:rsidRDefault="00876F8E" w:rsidP="00377EA9">
            <w:pPr>
              <w:pStyle w:val="tabletext"/>
              <w:jc w:val="center"/>
              <w:rPr>
                <w:sz w:val="16"/>
                <w:szCs w:val="16"/>
              </w:rPr>
            </w:pPr>
            <w:r>
              <w:rPr>
                <w:sz w:val="16"/>
                <w:szCs w:val="16"/>
              </w:rPr>
              <w:t>-965</w:t>
            </w:r>
          </w:p>
        </w:tc>
        <w:tc>
          <w:tcPr>
            <w:tcW w:w="1061" w:type="dxa"/>
            <w:vAlign w:val="center"/>
          </w:tcPr>
          <w:p w14:paraId="4427B678" w14:textId="77777777" w:rsidR="00876F8E" w:rsidRPr="00D20A90" w:rsidRDefault="00876F8E" w:rsidP="00377EA9">
            <w:pPr>
              <w:pStyle w:val="tabletext"/>
              <w:jc w:val="center"/>
              <w:rPr>
                <w:sz w:val="16"/>
                <w:szCs w:val="16"/>
              </w:rPr>
            </w:pPr>
            <w:r>
              <w:rPr>
                <w:sz w:val="16"/>
                <w:szCs w:val="16"/>
              </w:rPr>
              <w:t>-1,538</w:t>
            </w:r>
          </w:p>
        </w:tc>
        <w:tc>
          <w:tcPr>
            <w:tcW w:w="1061" w:type="dxa"/>
            <w:vAlign w:val="center"/>
          </w:tcPr>
          <w:p w14:paraId="428FEA84" w14:textId="77777777" w:rsidR="00876F8E" w:rsidRPr="00D20A90" w:rsidRDefault="00876F8E" w:rsidP="00377EA9">
            <w:pPr>
              <w:pStyle w:val="tabletext"/>
              <w:jc w:val="center"/>
              <w:rPr>
                <w:sz w:val="16"/>
                <w:szCs w:val="16"/>
              </w:rPr>
            </w:pPr>
            <w:r>
              <w:rPr>
                <w:sz w:val="16"/>
                <w:szCs w:val="16"/>
              </w:rPr>
              <w:t>209</w:t>
            </w:r>
          </w:p>
        </w:tc>
        <w:tc>
          <w:tcPr>
            <w:tcW w:w="1061" w:type="dxa"/>
            <w:vAlign w:val="center"/>
          </w:tcPr>
          <w:p w14:paraId="2624AA63" w14:textId="77777777" w:rsidR="00876F8E" w:rsidRPr="00D20A90" w:rsidRDefault="00876F8E" w:rsidP="00377EA9">
            <w:pPr>
              <w:pStyle w:val="tabletext"/>
              <w:jc w:val="center"/>
              <w:rPr>
                <w:sz w:val="16"/>
                <w:szCs w:val="16"/>
              </w:rPr>
            </w:pPr>
            <w:r>
              <w:rPr>
                <w:sz w:val="16"/>
                <w:szCs w:val="16"/>
              </w:rPr>
              <w:t>-756</w:t>
            </w:r>
          </w:p>
        </w:tc>
        <w:tc>
          <w:tcPr>
            <w:tcW w:w="1061" w:type="dxa"/>
            <w:vAlign w:val="center"/>
          </w:tcPr>
          <w:p w14:paraId="67A96909" w14:textId="77777777" w:rsidR="00876F8E" w:rsidRPr="00D20A90" w:rsidRDefault="00876F8E" w:rsidP="00377EA9">
            <w:pPr>
              <w:pStyle w:val="tabletext"/>
              <w:jc w:val="center"/>
              <w:rPr>
                <w:sz w:val="16"/>
                <w:szCs w:val="16"/>
              </w:rPr>
            </w:pPr>
            <w:r>
              <w:rPr>
                <w:sz w:val="16"/>
                <w:szCs w:val="16"/>
              </w:rPr>
              <w:t>1,329</w:t>
            </w:r>
          </w:p>
        </w:tc>
      </w:tr>
      <w:tr w:rsidR="001D55FE" w:rsidRPr="001D55FE" w14:paraId="3E9855F3" w14:textId="77777777" w:rsidTr="001D55FE">
        <w:tc>
          <w:tcPr>
            <w:tcW w:w="1061" w:type="dxa"/>
          </w:tcPr>
          <w:p w14:paraId="5B679868" w14:textId="77777777" w:rsidR="00876F8E" w:rsidRPr="001D55FE" w:rsidRDefault="00876F8E" w:rsidP="00377EA9">
            <w:pPr>
              <w:pStyle w:val="tabletext"/>
              <w:rPr>
                <w:color w:val="FF0000"/>
                <w:sz w:val="16"/>
                <w:szCs w:val="16"/>
              </w:rPr>
            </w:pPr>
            <w:r w:rsidRPr="001D55FE">
              <w:rPr>
                <w:color w:val="FF0000"/>
                <w:sz w:val="16"/>
                <w:szCs w:val="16"/>
              </w:rPr>
              <w:t>Lower limb</w:t>
            </w:r>
          </w:p>
        </w:tc>
        <w:tc>
          <w:tcPr>
            <w:tcW w:w="1060" w:type="dxa"/>
            <w:vAlign w:val="center"/>
          </w:tcPr>
          <w:p w14:paraId="304EBCE7" w14:textId="77777777" w:rsidR="00876F8E" w:rsidRPr="001D55FE" w:rsidRDefault="00876F8E" w:rsidP="00377EA9">
            <w:pPr>
              <w:pStyle w:val="tabletext"/>
              <w:jc w:val="center"/>
              <w:rPr>
                <w:color w:val="FF0000"/>
                <w:sz w:val="16"/>
                <w:szCs w:val="16"/>
              </w:rPr>
            </w:pPr>
            <w:r w:rsidRPr="001D55FE">
              <w:rPr>
                <w:color w:val="FF0000"/>
                <w:sz w:val="16"/>
                <w:szCs w:val="16"/>
              </w:rPr>
              <w:t>-2,278</w:t>
            </w:r>
          </w:p>
        </w:tc>
        <w:tc>
          <w:tcPr>
            <w:tcW w:w="1061" w:type="dxa"/>
            <w:vAlign w:val="center"/>
          </w:tcPr>
          <w:p w14:paraId="57B1ABB4" w14:textId="77777777" w:rsidR="00876F8E" w:rsidRPr="001D55FE" w:rsidRDefault="00876F8E" w:rsidP="00377EA9">
            <w:pPr>
              <w:pStyle w:val="tabletext"/>
              <w:jc w:val="center"/>
              <w:rPr>
                <w:color w:val="FF0000"/>
                <w:sz w:val="16"/>
                <w:szCs w:val="16"/>
              </w:rPr>
            </w:pPr>
            <w:r w:rsidRPr="001D55FE">
              <w:rPr>
                <w:color w:val="FF0000"/>
                <w:sz w:val="16"/>
                <w:szCs w:val="16"/>
              </w:rPr>
              <w:t>-250</w:t>
            </w:r>
          </w:p>
        </w:tc>
        <w:tc>
          <w:tcPr>
            <w:tcW w:w="1061" w:type="dxa"/>
            <w:vAlign w:val="center"/>
          </w:tcPr>
          <w:p w14:paraId="561504A9" w14:textId="77777777" w:rsidR="00876F8E" w:rsidRPr="001D55FE" w:rsidRDefault="00876F8E" w:rsidP="00377EA9">
            <w:pPr>
              <w:pStyle w:val="tabletext"/>
              <w:jc w:val="center"/>
              <w:rPr>
                <w:color w:val="FF0000"/>
                <w:sz w:val="16"/>
                <w:szCs w:val="16"/>
              </w:rPr>
            </w:pPr>
            <w:r w:rsidRPr="001D55FE">
              <w:rPr>
                <w:color w:val="FF0000"/>
                <w:sz w:val="16"/>
                <w:szCs w:val="16"/>
              </w:rPr>
              <w:t>-1,161</w:t>
            </w:r>
          </w:p>
        </w:tc>
        <w:tc>
          <w:tcPr>
            <w:tcW w:w="1061" w:type="dxa"/>
            <w:vAlign w:val="center"/>
          </w:tcPr>
          <w:p w14:paraId="7F60B34A" w14:textId="77777777" w:rsidR="00876F8E" w:rsidRPr="001D55FE" w:rsidRDefault="00876F8E" w:rsidP="00377EA9">
            <w:pPr>
              <w:pStyle w:val="tabletext"/>
              <w:jc w:val="center"/>
              <w:rPr>
                <w:color w:val="FF0000"/>
                <w:sz w:val="16"/>
                <w:szCs w:val="16"/>
              </w:rPr>
            </w:pPr>
            <w:r w:rsidRPr="001D55FE">
              <w:rPr>
                <w:color w:val="FF0000"/>
                <w:sz w:val="16"/>
                <w:szCs w:val="16"/>
              </w:rPr>
              <w:t>-1,544</w:t>
            </w:r>
          </w:p>
        </w:tc>
        <w:tc>
          <w:tcPr>
            <w:tcW w:w="1061" w:type="dxa"/>
            <w:vAlign w:val="center"/>
          </w:tcPr>
          <w:p w14:paraId="3BCB0D4D" w14:textId="77777777" w:rsidR="00876F8E" w:rsidRPr="001D55FE" w:rsidRDefault="00876F8E" w:rsidP="00377EA9">
            <w:pPr>
              <w:pStyle w:val="tabletext"/>
              <w:jc w:val="center"/>
              <w:rPr>
                <w:color w:val="FF0000"/>
                <w:sz w:val="16"/>
                <w:szCs w:val="16"/>
              </w:rPr>
            </w:pPr>
            <w:r w:rsidRPr="001D55FE">
              <w:rPr>
                <w:color w:val="FF0000"/>
                <w:sz w:val="16"/>
                <w:szCs w:val="16"/>
              </w:rPr>
              <w:t>-2,691</w:t>
            </w:r>
          </w:p>
        </w:tc>
        <w:tc>
          <w:tcPr>
            <w:tcW w:w="1061" w:type="dxa"/>
            <w:vAlign w:val="center"/>
          </w:tcPr>
          <w:p w14:paraId="77CA20B4" w14:textId="77777777" w:rsidR="00876F8E" w:rsidRPr="001D55FE" w:rsidRDefault="00876F8E" w:rsidP="00377EA9">
            <w:pPr>
              <w:pStyle w:val="tabletext"/>
              <w:jc w:val="center"/>
              <w:rPr>
                <w:color w:val="FF0000"/>
                <w:sz w:val="16"/>
                <w:szCs w:val="16"/>
              </w:rPr>
            </w:pPr>
            <w:r w:rsidRPr="001D55FE">
              <w:rPr>
                <w:color w:val="FF0000"/>
                <w:sz w:val="16"/>
                <w:szCs w:val="16"/>
              </w:rPr>
              <w:t>1,148</w:t>
            </w:r>
          </w:p>
        </w:tc>
        <w:tc>
          <w:tcPr>
            <w:tcW w:w="1061" w:type="dxa"/>
            <w:vAlign w:val="center"/>
          </w:tcPr>
          <w:p w14:paraId="2055A283" w14:textId="77777777" w:rsidR="00876F8E" w:rsidRPr="001D55FE" w:rsidRDefault="00876F8E" w:rsidP="00377EA9">
            <w:pPr>
              <w:pStyle w:val="tabletext"/>
              <w:jc w:val="center"/>
              <w:rPr>
                <w:color w:val="FF0000"/>
                <w:sz w:val="16"/>
                <w:szCs w:val="16"/>
              </w:rPr>
            </w:pPr>
            <w:r w:rsidRPr="001D55FE">
              <w:rPr>
                <w:color w:val="FF0000"/>
                <w:sz w:val="16"/>
                <w:szCs w:val="16"/>
              </w:rPr>
              <w:t>-396</w:t>
            </w:r>
          </w:p>
        </w:tc>
        <w:tc>
          <w:tcPr>
            <w:tcW w:w="1061" w:type="dxa"/>
            <w:vAlign w:val="center"/>
          </w:tcPr>
          <w:p w14:paraId="10483EA7" w14:textId="77777777" w:rsidR="00876F8E" w:rsidRPr="001D55FE" w:rsidRDefault="00876F8E" w:rsidP="00377EA9">
            <w:pPr>
              <w:pStyle w:val="tabletext"/>
              <w:jc w:val="center"/>
              <w:rPr>
                <w:color w:val="FF0000"/>
                <w:sz w:val="16"/>
                <w:szCs w:val="16"/>
              </w:rPr>
            </w:pPr>
            <w:r w:rsidRPr="001D55FE">
              <w:rPr>
                <w:color w:val="FF0000"/>
                <w:sz w:val="16"/>
                <w:szCs w:val="16"/>
              </w:rPr>
              <w:t>-1,543</w:t>
            </w:r>
          </w:p>
        </w:tc>
      </w:tr>
      <w:tr w:rsidR="00876F8E" w:rsidRPr="00D20A90" w14:paraId="264EE5CD" w14:textId="77777777" w:rsidTr="001D55FE">
        <w:tc>
          <w:tcPr>
            <w:tcW w:w="1061" w:type="dxa"/>
          </w:tcPr>
          <w:p w14:paraId="7526177A" w14:textId="77777777" w:rsidR="00876F8E" w:rsidRPr="00D20A90" w:rsidRDefault="00876F8E" w:rsidP="00377EA9">
            <w:pPr>
              <w:pStyle w:val="tabletext"/>
              <w:rPr>
                <w:sz w:val="16"/>
                <w:szCs w:val="16"/>
              </w:rPr>
            </w:pPr>
            <w:r>
              <w:rPr>
                <w:sz w:val="16"/>
                <w:szCs w:val="16"/>
              </w:rPr>
              <w:t>Spine</w:t>
            </w:r>
          </w:p>
        </w:tc>
        <w:tc>
          <w:tcPr>
            <w:tcW w:w="1060" w:type="dxa"/>
            <w:vAlign w:val="center"/>
          </w:tcPr>
          <w:p w14:paraId="515F991B" w14:textId="77777777" w:rsidR="00876F8E" w:rsidRPr="00D20A90" w:rsidRDefault="00876F8E" w:rsidP="00377EA9">
            <w:pPr>
              <w:pStyle w:val="tabletext"/>
              <w:jc w:val="center"/>
              <w:rPr>
                <w:sz w:val="16"/>
                <w:szCs w:val="16"/>
              </w:rPr>
            </w:pPr>
            <w:r>
              <w:rPr>
                <w:sz w:val="16"/>
                <w:szCs w:val="16"/>
              </w:rPr>
              <w:t>1,074</w:t>
            </w:r>
          </w:p>
        </w:tc>
        <w:tc>
          <w:tcPr>
            <w:tcW w:w="1061" w:type="dxa"/>
            <w:vAlign w:val="center"/>
          </w:tcPr>
          <w:p w14:paraId="5B818F54" w14:textId="77777777" w:rsidR="00876F8E" w:rsidRPr="00D20A90" w:rsidRDefault="00876F8E" w:rsidP="00377EA9">
            <w:pPr>
              <w:pStyle w:val="tabletext"/>
              <w:jc w:val="center"/>
              <w:rPr>
                <w:sz w:val="16"/>
                <w:szCs w:val="16"/>
              </w:rPr>
            </w:pPr>
            <w:r>
              <w:rPr>
                <w:sz w:val="16"/>
                <w:szCs w:val="16"/>
              </w:rPr>
              <w:t>-595</w:t>
            </w:r>
          </w:p>
        </w:tc>
        <w:tc>
          <w:tcPr>
            <w:tcW w:w="1061" w:type="dxa"/>
            <w:vAlign w:val="center"/>
          </w:tcPr>
          <w:p w14:paraId="14646049" w14:textId="77777777" w:rsidR="00876F8E" w:rsidRPr="00D20A90" w:rsidRDefault="00876F8E" w:rsidP="00377EA9">
            <w:pPr>
              <w:pStyle w:val="tabletext"/>
              <w:jc w:val="center"/>
              <w:rPr>
                <w:sz w:val="16"/>
                <w:szCs w:val="16"/>
              </w:rPr>
            </w:pPr>
            <w:r>
              <w:rPr>
                <w:sz w:val="16"/>
                <w:szCs w:val="16"/>
              </w:rPr>
              <w:t>-595</w:t>
            </w:r>
          </w:p>
        </w:tc>
        <w:tc>
          <w:tcPr>
            <w:tcW w:w="1061" w:type="dxa"/>
            <w:vAlign w:val="center"/>
          </w:tcPr>
          <w:p w14:paraId="69CE9108" w14:textId="77777777" w:rsidR="00876F8E" w:rsidRPr="00D20A90" w:rsidRDefault="00876F8E" w:rsidP="00377EA9">
            <w:pPr>
              <w:pStyle w:val="tabletext"/>
              <w:jc w:val="center"/>
              <w:rPr>
                <w:sz w:val="16"/>
                <w:szCs w:val="16"/>
              </w:rPr>
            </w:pPr>
            <w:r>
              <w:rPr>
                <w:sz w:val="16"/>
                <w:szCs w:val="16"/>
              </w:rPr>
              <w:t>-708</w:t>
            </w:r>
          </w:p>
        </w:tc>
        <w:tc>
          <w:tcPr>
            <w:tcW w:w="1061" w:type="dxa"/>
            <w:vAlign w:val="center"/>
          </w:tcPr>
          <w:p w14:paraId="349EC8CF" w14:textId="77777777" w:rsidR="00876F8E" w:rsidRPr="00D20A90" w:rsidRDefault="00876F8E" w:rsidP="00377EA9">
            <w:pPr>
              <w:pStyle w:val="tabletext"/>
              <w:jc w:val="center"/>
              <w:rPr>
                <w:sz w:val="16"/>
                <w:szCs w:val="16"/>
              </w:rPr>
            </w:pPr>
            <w:r>
              <w:rPr>
                <w:sz w:val="16"/>
                <w:szCs w:val="16"/>
              </w:rPr>
              <w:t>-1,047</w:t>
            </w:r>
          </w:p>
        </w:tc>
        <w:tc>
          <w:tcPr>
            <w:tcW w:w="1061" w:type="dxa"/>
            <w:vAlign w:val="center"/>
          </w:tcPr>
          <w:p w14:paraId="4A8A6C10" w14:textId="77777777" w:rsidR="00876F8E" w:rsidRPr="00D20A90" w:rsidRDefault="00876F8E" w:rsidP="00377EA9">
            <w:pPr>
              <w:pStyle w:val="tabletext"/>
              <w:jc w:val="center"/>
              <w:rPr>
                <w:sz w:val="16"/>
                <w:szCs w:val="16"/>
              </w:rPr>
            </w:pPr>
            <w:r>
              <w:rPr>
                <w:sz w:val="16"/>
                <w:szCs w:val="16"/>
              </w:rPr>
              <w:t>44</w:t>
            </w:r>
          </w:p>
        </w:tc>
        <w:tc>
          <w:tcPr>
            <w:tcW w:w="1061" w:type="dxa"/>
            <w:vAlign w:val="center"/>
          </w:tcPr>
          <w:p w14:paraId="3B608ADD" w14:textId="77777777" w:rsidR="00876F8E" w:rsidRPr="00D20A90" w:rsidRDefault="00876F8E" w:rsidP="00377EA9">
            <w:pPr>
              <w:pStyle w:val="tabletext"/>
              <w:jc w:val="center"/>
              <w:rPr>
                <w:sz w:val="16"/>
                <w:szCs w:val="16"/>
              </w:rPr>
            </w:pPr>
            <w:r>
              <w:rPr>
                <w:sz w:val="16"/>
                <w:szCs w:val="16"/>
              </w:rPr>
              <w:t>-664</w:t>
            </w:r>
          </w:p>
        </w:tc>
        <w:tc>
          <w:tcPr>
            <w:tcW w:w="1061" w:type="dxa"/>
            <w:vAlign w:val="center"/>
          </w:tcPr>
          <w:p w14:paraId="01BC0D17" w14:textId="77777777" w:rsidR="00876F8E" w:rsidRPr="00D20A90" w:rsidRDefault="00876F8E" w:rsidP="00377EA9">
            <w:pPr>
              <w:pStyle w:val="tabletext"/>
              <w:jc w:val="center"/>
              <w:rPr>
                <w:sz w:val="16"/>
                <w:szCs w:val="16"/>
              </w:rPr>
            </w:pPr>
            <w:r>
              <w:rPr>
                <w:sz w:val="16"/>
                <w:szCs w:val="16"/>
              </w:rPr>
              <w:t>-1,003</w:t>
            </w:r>
          </w:p>
        </w:tc>
      </w:tr>
      <w:tr w:rsidR="00876F8E" w:rsidRPr="00D20A90" w14:paraId="770AA892" w14:textId="77777777" w:rsidTr="001D55FE">
        <w:tc>
          <w:tcPr>
            <w:tcW w:w="1061" w:type="dxa"/>
          </w:tcPr>
          <w:p w14:paraId="3BD2B707" w14:textId="77777777" w:rsidR="00876F8E" w:rsidRPr="00D20A90" w:rsidRDefault="00876F8E" w:rsidP="00377EA9">
            <w:pPr>
              <w:pStyle w:val="tabletext"/>
              <w:rPr>
                <w:sz w:val="16"/>
                <w:szCs w:val="16"/>
              </w:rPr>
            </w:pPr>
            <w:r>
              <w:rPr>
                <w:sz w:val="16"/>
                <w:szCs w:val="16"/>
              </w:rPr>
              <w:t xml:space="preserve">Other </w:t>
            </w:r>
          </w:p>
        </w:tc>
        <w:tc>
          <w:tcPr>
            <w:tcW w:w="1060" w:type="dxa"/>
            <w:vAlign w:val="center"/>
          </w:tcPr>
          <w:p w14:paraId="1DC451F3" w14:textId="77777777" w:rsidR="00876F8E" w:rsidRPr="00D20A90" w:rsidRDefault="00876F8E" w:rsidP="00377EA9">
            <w:pPr>
              <w:pStyle w:val="tabletext"/>
              <w:jc w:val="center"/>
              <w:rPr>
                <w:sz w:val="16"/>
                <w:szCs w:val="16"/>
              </w:rPr>
            </w:pPr>
            <w:r>
              <w:rPr>
                <w:sz w:val="16"/>
                <w:szCs w:val="16"/>
              </w:rPr>
              <w:t>-198</w:t>
            </w:r>
          </w:p>
        </w:tc>
        <w:tc>
          <w:tcPr>
            <w:tcW w:w="1061" w:type="dxa"/>
            <w:vAlign w:val="center"/>
          </w:tcPr>
          <w:p w14:paraId="0F8898EB" w14:textId="77777777" w:rsidR="00876F8E" w:rsidRPr="00D20A90" w:rsidRDefault="00876F8E" w:rsidP="00377EA9">
            <w:pPr>
              <w:pStyle w:val="tabletext"/>
              <w:jc w:val="center"/>
              <w:rPr>
                <w:sz w:val="16"/>
                <w:szCs w:val="16"/>
              </w:rPr>
            </w:pPr>
            <w:r>
              <w:rPr>
                <w:sz w:val="16"/>
                <w:szCs w:val="16"/>
              </w:rPr>
              <w:t>-254</w:t>
            </w:r>
          </w:p>
        </w:tc>
        <w:tc>
          <w:tcPr>
            <w:tcW w:w="1061" w:type="dxa"/>
            <w:vAlign w:val="center"/>
          </w:tcPr>
          <w:p w14:paraId="065F2759" w14:textId="77777777" w:rsidR="00876F8E" w:rsidRPr="00D20A90" w:rsidRDefault="00876F8E" w:rsidP="00377EA9">
            <w:pPr>
              <w:pStyle w:val="tabletext"/>
              <w:jc w:val="center"/>
              <w:rPr>
                <w:sz w:val="16"/>
                <w:szCs w:val="16"/>
              </w:rPr>
            </w:pPr>
            <w:r>
              <w:rPr>
                <w:sz w:val="16"/>
                <w:szCs w:val="16"/>
              </w:rPr>
              <w:t>-333</w:t>
            </w:r>
          </w:p>
        </w:tc>
        <w:tc>
          <w:tcPr>
            <w:tcW w:w="1061" w:type="dxa"/>
            <w:vAlign w:val="center"/>
          </w:tcPr>
          <w:p w14:paraId="0B7528BF" w14:textId="77777777" w:rsidR="00876F8E" w:rsidRPr="00D20A90" w:rsidRDefault="00876F8E" w:rsidP="00377EA9">
            <w:pPr>
              <w:pStyle w:val="tabletext"/>
              <w:jc w:val="center"/>
              <w:rPr>
                <w:sz w:val="16"/>
                <w:szCs w:val="16"/>
              </w:rPr>
            </w:pPr>
            <w:r>
              <w:rPr>
                <w:sz w:val="16"/>
                <w:szCs w:val="16"/>
              </w:rPr>
              <w:t>-347</w:t>
            </w:r>
          </w:p>
        </w:tc>
        <w:tc>
          <w:tcPr>
            <w:tcW w:w="1061" w:type="dxa"/>
            <w:vAlign w:val="center"/>
          </w:tcPr>
          <w:p w14:paraId="28A8EFB2" w14:textId="77777777" w:rsidR="00876F8E" w:rsidRPr="00D20A90" w:rsidRDefault="00876F8E" w:rsidP="00377EA9">
            <w:pPr>
              <w:pStyle w:val="tabletext"/>
              <w:jc w:val="center"/>
              <w:rPr>
                <w:sz w:val="16"/>
                <w:szCs w:val="16"/>
              </w:rPr>
            </w:pPr>
            <w:r>
              <w:rPr>
                <w:sz w:val="16"/>
                <w:szCs w:val="16"/>
              </w:rPr>
              <w:t>-390</w:t>
            </w:r>
          </w:p>
        </w:tc>
        <w:tc>
          <w:tcPr>
            <w:tcW w:w="1061" w:type="dxa"/>
            <w:vAlign w:val="center"/>
          </w:tcPr>
          <w:p w14:paraId="74003E00" w14:textId="77777777" w:rsidR="00876F8E" w:rsidRPr="00D20A90" w:rsidRDefault="00876F8E" w:rsidP="00377EA9">
            <w:pPr>
              <w:pStyle w:val="tabletext"/>
              <w:jc w:val="center"/>
              <w:rPr>
                <w:sz w:val="16"/>
                <w:szCs w:val="16"/>
              </w:rPr>
            </w:pPr>
            <w:r>
              <w:rPr>
                <w:sz w:val="16"/>
                <w:szCs w:val="16"/>
              </w:rPr>
              <w:t>0</w:t>
            </w:r>
          </w:p>
        </w:tc>
        <w:tc>
          <w:tcPr>
            <w:tcW w:w="1061" w:type="dxa"/>
            <w:vAlign w:val="center"/>
          </w:tcPr>
          <w:p w14:paraId="48578AFF" w14:textId="77777777" w:rsidR="00876F8E" w:rsidRPr="00D20A90" w:rsidRDefault="00876F8E" w:rsidP="00377EA9">
            <w:pPr>
              <w:pStyle w:val="tabletext"/>
              <w:jc w:val="center"/>
              <w:rPr>
                <w:sz w:val="16"/>
                <w:szCs w:val="16"/>
              </w:rPr>
            </w:pPr>
            <w:r>
              <w:rPr>
                <w:sz w:val="16"/>
                <w:szCs w:val="16"/>
              </w:rPr>
              <w:t>-347</w:t>
            </w:r>
          </w:p>
        </w:tc>
        <w:tc>
          <w:tcPr>
            <w:tcW w:w="1061" w:type="dxa"/>
            <w:vAlign w:val="center"/>
          </w:tcPr>
          <w:p w14:paraId="617C425C" w14:textId="77777777" w:rsidR="00876F8E" w:rsidRPr="00D20A90" w:rsidRDefault="00876F8E" w:rsidP="00377EA9">
            <w:pPr>
              <w:pStyle w:val="tabletext"/>
              <w:jc w:val="center"/>
              <w:rPr>
                <w:sz w:val="16"/>
                <w:szCs w:val="16"/>
              </w:rPr>
            </w:pPr>
            <w:r>
              <w:rPr>
                <w:sz w:val="16"/>
                <w:szCs w:val="16"/>
              </w:rPr>
              <w:t>-390</w:t>
            </w:r>
          </w:p>
        </w:tc>
      </w:tr>
    </w:tbl>
    <w:p w14:paraId="75C197B7" w14:textId="77777777" w:rsidR="00876F8E" w:rsidRPr="00876F8E" w:rsidRDefault="00876F8E" w:rsidP="00B225FB">
      <w:pPr>
        <w:pStyle w:val="NoSpacing"/>
      </w:pPr>
    </w:p>
    <w:p w14:paraId="0190939C" w14:textId="6AE99CB9" w:rsidR="000710B6" w:rsidRPr="00F66684" w:rsidRDefault="000710B6" w:rsidP="000710B6">
      <w:r w:rsidRPr="00F66684">
        <w:t xml:space="preserve">The </w:t>
      </w:r>
      <w:r w:rsidRPr="00944FDB">
        <w:t>left-hand</w:t>
      </w:r>
      <w:r w:rsidRPr="00F66684">
        <w:t xml:space="preserve"> </w:t>
      </w:r>
      <w:r w:rsidR="009E5531" w:rsidRPr="00F66684">
        <w:t xml:space="preserve">(blue) </w:t>
      </w:r>
      <w:r w:rsidRPr="00352EFF">
        <w:t xml:space="preserve">side of the table above considers the current capacity gap position and applies a standard 40% conversion to treatment rate for the outpatient gap, to ensure the treatment position </w:t>
      </w:r>
      <w:r w:rsidRPr="00F66684">
        <w:t>reflects the recurrent requirement, not just the current demand profile</w:t>
      </w:r>
      <w:r w:rsidR="00B225FB" w:rsidRPr="00F66684">
        <w:t>.</w:t>
      </w:r>
    </w:p>
    <w:p w14:paraId="227B7F45" w14:textId="17DBEFD8" w:rsidR="000710B6" w:rsidRPr="00CB4ED1" w:rsidRDefault="000710B6" w:rsidP="000710B6">
      <w:r w:rsidRPr="00F66684">
        <w:t xml:space="preserve">The </w:t>
      </w:r>
      <w:r w:rsidRPr="00944FDB">
        <w:t>right-han</w:t>
      </w:r>
      <w:r w:rsidRPr="00F66684">
        <w:t>d</w:t>
      </w:r>
      <w:r w:rsidR="009E5531" w:rsidRPr="00F66684">
        <w:t xml:space="preserve"> (pink</w:t>
      </w:r>
      <w:r w:rsidR="009E5531">
        <w:t>)</w:t>
      </w:r>
      <w:r w:rsidRPr="00CB4ED1">
        <w:t xml:space="preserve"> side of the table factors in the projected demand growth (at both 1% </w:t>
      </w:r>
      <w:r w:rsidR="00B225FB">
        <w:t>and</w:t>
      </w:r>
      <w:r w:rsidRPr="00CB4ED1">
        <w:t xml:space="preserve"> 4%) as well as subtracting the treatment efficiency opportunity identified by Health Boards as scenario B discussed above.  The table assumes that all opportunities are delivered to provide a range in treatment gap</w:t>
      </w:r>
      <w:r w:rsidR="00781C4A">
        <w:t>,</w:t>
      </w:r>
      <w:r w:rsidRPr="00CB4ED1">
        <w:t xml:space="preserve"> as at March 2029.</w:t>
      </w:r>
    </w:p>
    <w:p w14:paraId="76CE4B5D" w14:textId="2CD8EE81" w:rsidR="000710B6" w:rsidRPr="00CB4ED1" w:rsidRDefault="000710B6" w:rsidP="000710B6">
      <w:r w:rsidRPr="00CB4ED1">
        <w:t xml:space="preserve">The table does not consider the additional backlog activity required to deliver improved waiting time targets. Therefore, this would just support the current waiting time position with an improvement in performance.  </w:t>
      </w:r>
    </w:p>
    <w:p w14:paraId="632E1732" w14:textId="748C616D" w:rsidR="000710B6" w:rsidRPr="00CB4ED1" w:rsidRDefault="000710B6" w:rsidP="000710B6">
      <w:r w:rsidRPr="00CB4ED1">
        <w:t>This table shows that all subspecialties are facing pressure with the most significant shortfall in treatment capacity within lower limb arthroplasty.  This, alongside the GiRFT guidance, Orthopaedic CIN works and evidence from practice in England provides compelling evidence for LHP to create additional capacity in regional arthroplasty to bridge these gaps and provide an opportunity for further regional orthopaedic reconfiguration for other specialities.</w:t>
      </w:r>
    </w:p>
    <w:p w14:paraId="7A3CCAAD" w14:textId="1942A634" w:rsidR="000710B6" w:rsidRPr="00CB4ED1" w:rsidRDefault="000710B6" w:rsidP="000710B6">
      <w:r w:rsidRPr="00CB4ED1">
        <w:t xml:space="preserve">The net position can be further broken down by region, the following table includes information for the orthopaedic lower limb speciality alone. This further illustrates the pressures that all organisations are or will be facing in treatment times by 2029. </w:t>
      </w:r>
    </w:p>
    <w:p w14:paraId="0938562C" w14:textId="585F0D46" w:rsidR="000710B6" w:rsidRDefault="000710B6" w:rsidP="000710B6">
      <w:pPr>
        <w:pStyle w:val="Caption"/>
        <w:rPr>
          <w:noProof w:val="0"/>
        </w:rPr>
      </w:pPr>
      <w:bookmarkStart w:id="54" w:name="_Toc213865286"/>
      <w:r w:rsidRPr="00E67800">
        <w:rPr>
          <w:noProof w:val="0"/>
        </w:rPr>
        <w:lastRenderedPageBreak/>
        <w:t xml:space="preserve">Table </w:t>
      </w:r>
      <w:r w:rsidRPr="00E67800">
        <w:rPr>
          <w:noProof w:val="0"/>
        </w:rPr>
        <w:fldChar w:fldCharType="begin"/>
      </w:r>
      <w:r w:rsidRPr="00E67800">
        <w:rPr>
          <w:noProof w:val="0"/>
        </w:rPr>
        <w:instrText xml:space="preserve"> SEQ Table \* ARABIC </w:instrText>
      </w:r>
      <w:r w:rsidRPr="00E67800">
        <w:rPr>
          <w:noProof w:val="0"/>
        </w:rPr>
        <w:fldChar w:fldCharType="separate"/>
      </w:r>
      <w:r w:rsidR="004A33ED" w:rsidRPr="00E67800">
        <w:t>6</w:t>
      </w:r>
      <w:r w:rsidRPr="00E67800">
        <w:rPr>
          <w:noProof w:val="0"/>
        </w:rPr>
        <w:fldChar w:fldCharType="end"/>
      </w:r>
      <w:r w:rsidRPr="00E67800">
        <w:rPr>
          <w:noProof w:val="0"/>
        </w:rPr>
        <w:t xml:space="preserve"> </w:t>
      </w:r>
      <w:r w:rsidR="00F66684" w:rsidRPr="00E67800">
        <w:rPr>
          <w:noProof w:val="0"/>
        </w:rPr>
        <w:t>–</w:t>
      </w:r>
      <w:r w:rsidRPr="00E67800">
        <w:rPr>
          <w:noProof w:val="0"/>
        </w:rPr>
        <w:t xml:space="preserve"> </w:t>
      </w:r>
      <w:r w:rsidR="001D39F4" w:rsidRPr="00E67800">
        <w:rPr>
          <w:noProof w:val="0"/>
        </w:rPr>
        <w:t>Regional</w:t>
      </w:r>
      <w:r w:rsidR="00F66684" w:rsidRPr="00E67800">
        <w:rPr>
          <w:noProof w:val="0"/>
        </w:rPr>
        <w:t xml:space="preserve"> </w:t>
      </w:r>
      <w:r w:rsidR="001D39F4" w:rsidRPr="00E67800">
        <w:rPr>
          <w:noProof w:val="0"/>
        </w:rPr>
        <w:t xml:space="preserve">orthopaedic </w:t>
      </w:r>
      <w:r w:rsidRPr="00E67800">
        <w:rPr>
          <w:noProof w:val="0"/>
        </w:rPr>
        <w:t>lower limb activity</w:t>
      </w:r>
      <w:bookmarkEnd w:id="54"/>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1092"/>
        <w:gridCol w:w="1092"/>
        <w:gridCol w:w="1091"/>
        <w:gridCol w:w="1091"/>
        <w:gridCol w:w="1091"/>
        <w:gridCol w:w="1091"/>
        <w:gridCol w:w="1091"/>
        <w:gridCol w:w="1091"/>
        <w:gridCol w:w="1091"/>
      </w:tblGrid>
      <w:tr w:rsidR="00E93A69" w:rsidRPr="00E93A69" w14:paraId="22AA5998" w14:textId="77777777" w:rsidTr="001D39F4">
        <w:trPr>
          <w:tblHeader/>
        </w:trPr>
        <w:tc>
          <w:tcPr>
            <w:tcW w:w="1023" w:type="dxa"/>
            <w:vMerge w:val="restart"/>
            <w:tcBorders>
              <w:right w:val="single" w:sz="8" w:space="0" w:color="A6A6A6" w:themeColor="accent6" w:themeShade="A6"/>
            </w:tcBorders>
            <w:shd w:val="clear" w:color="auto" w:fill="374264"/>
            <w:textDirection w:val="btLr"/>
            <w:vAlign w:val="center"/>
          </w:tcPr>
          <w:p w14:paraId="29A69D28" w14:textId="77777777" w:rsidR="00856DC0" w:rsidRPr="00E93A69" w:rsidRDefault="00856DC0" w:rsidP="00377EA9">
            <w:pPr>
              <w:pStyle w:val="tabletext"/>
              <w:ind w:left="113" w:right="113"/>
              <w:jc w:val="center"/>
              <w:rPr>
                <w:b/>
                <w:bCs/>
                <w:color w:val="FFFFFF" w:themeColor="background1"/>
                <w:sz w:val="16"/>
                <w:szCs w:val="16"/>
              </w:rPr>
            </w:pPr>
            <w:r w:rsidRPr="00E93A69">
              <w:rPr>
                <w:b/>
                <w:bCs/>
                <w:color w:val="FFFFFF" w:themeColor="background1"/>
                <w:sz w:val="16"/>
                <w:szCs w:val="16"/>
              </w:rPr>
              <w:t>Organisation</w:t>
            </w:r>
          </w:p>
        </w:tc>
        <w:tc>
          <w:tcPr>
            <w:tcW w:w="3069" w:type="dxa"/>
            <w:gridSpan w:val="3"/>
            <w:tcBorders>
              <w:left w:val="single" w:sz="8" w:space="0" w:color="A6A6A6" w:themeColor="accent6" w:themeShade="A6"/>
              <w:right w:val="single" w:sz="8" w:space="0" w:color="A6A6A6" w:themeColor="accent6" w:themeShade="A6"/>
            </w:tcBorders>
            <w:shd w:val="clear" w:color="auto" w:fill="374264"/>
            <w:vAlign w:val="center"/>
          </w:tcPr>
          <w:p w14:paraId="77E7DD65" w14:textId="73756E7B" w:rsidR="00856DC0" w:rsidRPr="00E93A69" w:rsidRDefault="00856DC0" w:rsidP="00377EA9">
            <w:pPr>
              <w:pStyle w:val="tabletext"/>
              <w:jc w:val="center"/>
              <w:rPr>
                <w:b/>
                <w:bCs/>
                <w:color w:val="FFFFFF" w:themeColor="background1"/>
                <w:sz w:val="16"/>
                <w:szCs w:val="16"/>
              </w:rPr>
            </w:pPr>
            <w:r w:rsidRPr="00E93A69">
              <w:rPr>
                <w:b/>
                <w:bCs/>
                <w:color w:val="FFFFFF" w:themeColor="background1"/>
                <w:sz w:val="16"/>
                <w:szCs w:val="16"/>
              </w:rPr>
              <w:t>Gap / surplus (</w:t>
            </w:r>
            <w:r w:rsidR="00AC57B8">
              <w:rPr>
                <w:b/>
                <w:bCs/>
                <w:color w:val="FFFFFF" w:themeColor="background1"/>
                <w:sz w:val="16"/>
                <w:szCs w:val="16"/>
              </w:rPr>
              <w:t>20</w:t>
            </w:r>
            <w:r w:rsidRPr="00E93A69">
              <w:rPr>
                <w:b/>
                <w:bCs/>
                <w:color w:val="FFFFFF" w:themeColor="background1"/>
                <w:sz w:val="16"/>
                <w:szCs w:val="16"/>
              </w:rPr>
              <w:t>25/26)</w:t>
            </w:r>
          </w:p>
        </w:tc>
        <w:tc>
          <w:tcPr>
            <w:tcW w:w="2046" w:type="dxa"/>
            <w:gridSpan w:val="2"/>
            <w:tcBorders>
              <w:left w:val="single" w:sz="8" w:space="0" w:color="A6A6A6" w:themeColor="accent6" w:themeShade="A6"/>
              <w:right w:val="single" w:sz="8" w:space="0" w:color="A6A6A6" w:themeColor="accent6" w:themeShade="A6"/>
            </w:tcBorders>
            <w:shd w:val="clear" w:color="auto" w:fill="374264"/>
            <w:vAlign w:val="center"/>
          </w:tcPr>
          <w:p w14:paraId="1525720A" w14:textId="77777777" w:rsidR="00856DC0" w:rsidRPr="00E93A69" w:rsidRDefault="00856DC0" w:rsidP="00377EA9">
            <w:pPr>
              <w:pStyle w:val="tabletext"/>
              <w:jc w:val="center"/>
              <w:rPr>
                <w:b/>
                <w:bCs/>
                <w:color w:val="FFFFFF" w:themeColor="background1"/>
                <w:sz w:val="16"/>
                <w:szCs w:val="16"/>
              </w:rPr>
            </w:pPr>
            <w:r w:rsidRPr="00E93A69">
              <w:rPr>
                <w:b/>
                <w:bCs/>
                <w:color w:val="FFFFFF" w:themeColor="background1"/>
                <w:sz w:val="16"/>
                <w:szCs w:val="16"/>
              </w:rPr>
              <w:t>Treatment gap / surplus if</w:t>
            </w:r>
          </w:p>
        </w:tc>
        <w:tc>
          <w:tcPr>
            <w:tcW w:w="1023" w:type="dxa"/>
            <w:vMerge w:val="restart"/>
            <w:tcBorders>
              <w:left w:val="single" w:sz="8" w:space="0" w:color="A6A6A6" w:themeColor="accent6" w:themeShade="A6"/>
              <w:right w:val="single" w:sz="8" w:space="0" w:color="A6A6A6" w:themeColor="accent6" w:themeShade="A6"/>
            </w:tcBorders>
            <w:shd w:val="clear" w:color="auto" w:fill="374264"/>
            <w:textDirection w:val="btLr"/>
            <w:vAlign w:val="center"/>
          </w:tcPr>
          <w:p w14:paraId="5894B755" w14:textId="734309C4" w:rsidR="00856DC0" w:rsidRPr="00E93A69" w:rsidRDefault="00856DC0" w:rsidP="00AC57B8">
            <w:pPr>
              <w:pStyle w:val="tabletext"/>
              <w:ind w:left="113" w:right="113"/>
              <w:jc w:val="center"/>
              <w:rPr>
                <w:b/>
                <w:bCs/>
                <w:color w:val="FFFFFF" w:themeColor="background1"/>
                <w:sz w:val="16"/>
                <w:szCs w:val="16"/>
              </w:rPr>
            </w:pPr>
            <w:r w:rsidRPr="00E93A69">
              <w:rPr>
                <w:b/>
                <w:bCs/>
                <w:color w:val="FFFFFF" w:themeColor="background1"/>
                <w:sz w:val="16"/>
                <w:szCs w:val="16"/>
              </w:rPr>
              <w:t>Efficiency opportunity</w:t>
            </w:r>
          </w:p>
        </w:tc>
        <w:tc>
          <w:tcPr>
            <w:tcW w:w="2046" w:type="dxa"/>
            <w:gridSpan w:val="2"/>
            <w:tcBorders>
              <w:left w:val="single" w:sz="8" w:space="0" w:color="A6A6A6" w:themeColor="accent6" w:themeShade="A6"/>
            </w:tcBorders>
            <w:shd w:val="clear" w:color="auto" w:fill="374264"/>
            <w:vAlign w:val="center"/>
          </w:tcPr>
          <w:p w14:paraId="5C4A1F94" w14:textId="77777777" w:rsidR="00856DC0" w:rsidRPr="00E93A69" w:rsidRDefault="00856DC0" w:rsidP="00377EA9">
            <w:pPr>
              <w:pStyle w:val="tabletext"/>
              <w:jc w:val="center"/>
              <w:rPr>
                <w:b/>
                <w:bCs/>
                <w:color w:val="FFFFFF" w:themeColor="background1"/>
                <w:sz w:val="16"/>
                <w:szCs w:val="16"/>
              </w:rPr>
            </w:pPr>
            <w:r w:rsidRPr="00E93A69">
              <w:rPr>
                <w:b/>
                <w:bCs/>
                <w:color w:val="FFFFFF" w:themeColor="background1"/>
                <w:sz w:val="16"/>
                <w:szCs w:val="16"/>
              </w:rPr>
              <w:t>Recurrent net treatment gap / surplus (Mar 29) if</w:t>
            </w:r>
          </w:p>
        </w:tc>
      </w:tr>
      <w:tr w:rsidR="00E93A69" w:rsidRPr="00E93A69" w14:paraId="3D823BA3" w14:textId="77777777" w:rsidTr="001D39F4">
        <w:trPr>
          <w:tblHeader/>
        </w:trPr>
        <w:tc>
          <w:tcPr>
            <w:tcW w:w="1023" w:type="dxa"/>
            <w:vMerge/>
            <w:tcBorders>
              <w:right w:val="single" w:sz="8" w:space="0" w:color="A6A6A6" w:themeColor="accent6" w:themeShade="A6"/>
            </w:tcBorders>
          </w:tcPr>
          <w:p w14:paraId="7C3BD41D" w14:textId="77777777" w:rsidR="00856DC0" w:rsidRPr="00E93A69" w:rsidRDefault="00856DC0" w:rsidP="00377EA9">
            <w:pPr>
              <w:pStyle w:val="tabletext"/>
              <w:rPr>
                <w:color w:val="FFFFFF" w:themeColor="background1"/>
                <w:sz w:val="16"/>
                <w:szCs w:val="16"/>
              </w:rPr>
            </w:pPr>
          </w:p>
        </w:tc>
        <w:tc>
          <w:tcPr>
            <w:tcW w:w="1023" w:type="dxa"/>
            <w:tcBorders>
              <w:left w:val="single" w:sz="8" w:space="0" w:color="A6A6A6" w:themeColor="accent6" w:themeShade="A6"/>
            </w:tcBorders>
            <w:shd w:val="clear" w:color="auto" w:fill="4A5886"/>
            <w:vAlign w:val="center"/>
          </w:tcPr>
          <w:p w14:paraId="1E4549B5" w14:textId="77777777" w:rsidR="00856DC0" w:rsidRPr="00E93A69" w:rsidRDefault="00856DC0" w:rsidP="00377EA9">
            <w:pPr>
              <w:pStyle w:val="tabletext"/>
              <w:jc w:val="center"/>
              <w:rPr>
                <w:color w:val="FFFFFF" w:themeColor="background1"/>
                <w:sz w:val="16"/>
                <w:szCs w:val="16"/>
              </w:rPr>
            </w:pPr>
            <w:r w:rsidRPr="00E93A69">
              <w:rPr>
                <w:color w:val="FFFFFF" w:themeColor="background1"/>
                <w:sz w:val="16"/>
                <w:szCs w:val="16"/>
              </w:rPr>
              <w:t>New OP</w:t>
            </w:r>
          </w:p>
        </w:tc>
        <w:tc>
          <w:tcPr>
            <w:tcW w:w="1023" w:type="dxa"/>
            <w:shd w:val="clear" w:color="auto" w:fill="4A5886"/>
            <w:vAlign w:val="center"/>
          </w:tcPr>
          <w:p w14:paraId="63297141" w14:textId="77777777" w:rsidR="00856DC0" w:rsidRPr="00E93A69" w:rsidRDefault="00856DC0" w:rsidP="00377EA9">
            <w:pPr>
              <w:pStyle w:val="tabletext"/>
              <w:jc w:val="center"/>
              <w:rPr>
                <w:color w:val="FFFFFF" w:themeColor="background1"/>
                <w:sz w:val="16"/>
                <w:szCs w:val="16"/>
              </w:rPr>
            </w:pPr>
            <w:r w:rsidRPr="00E93A69">
              <w:rPr>
                <w:color w:val="FFFFFF" w:themeColor="background1"/>
                <w:sz w:val="16"/>
                <w:szCs w:val="16"/>
              </w:rPr>
              <w:t>Treatment</w:t>
            </w:r>
          </w:p>
        </w:tc>
        <w:tc>
          <w:tcPr>
            <w:tcW w:w="1023" w:type="dxa"/>
            <w:tcBorders>
              <w:right w:val="single" w:sz="8" w:space="0" w:color="A6A6A6" w:themeColor="accent6" w:themeShade="A6"/>
            </w:tcBorders>
            <w:shd w:val="clear" w:color="auto" w:fill="4A5886"/>
            <w:vAlign w:val="center"/>
          </w:tcPr>
          <w:p w14:paraId="47EAB5E9" w14:textId="4AA0324B" w:rsidR="00856DC0" w:rsidRPr="00E93A69" w:rsidRDefault="00856DC0" w:rsidP="00377EA9">
            <w:pPr>
              <w:pStyle w:val="tabletext"/>
              <w:jc w:val="center"/>
              <w:rPr>
                <w:color w:val="FFFFFF" w:themeColor="background1"/>
                <w:sz w:val="16"/>
                <w:szCs w:val="16"/>
              </w:rPr>
            </w:pPr>
            <w:r w:rsidRPr="00E93A69">
              <w:rPr>
                <w:color w:val="FFFFFF" w:themeColor="background1"/>
                <w:sz w:val="16"/>
                <w:szCs w:val="16"/>
              </w:rPr>
              <w:t>Tx w new OP conversion</w:t>
            </w:r>
            <w:r w:rsidR="008301E5">
              <w:rPr>
                <w:color w:val="FFFFFF" w:themeColor="background1"/>
                <w:sz w:val="16"/>
                <w:szCs w:val="16"/>
              </w:rPr>
              <w:t xml:space="preserve"> (4</w:t>
            </w:r>
            <w:r w:rsidR="00D70248">
              <w:rPr>
                <w:color w:val="FFFFFF" w:themeColor="background1"/>
                <w:sz w:val="16"/>
                <w:szCs w:val="16"/>
              </w:rPr>
              <w:t>0</w:t>
            </w:r>
            <w:r w:rsidR="008301E5">
              <w:rPr>
                <w:color w:val="FFFFFF" w:themeColor="background1"/>
                <w:sz w:val="16"/>
                <w:szCs w:val="16"/>
              </w:rPr>
              <w:t xml:space="preserve">% </w:t>
            </w:r>
            <w:proofErr w:type="spellStart"/>
            <w:r w:rsidR="008301E5">
              <w:rPr>
                <w:color w:val="FFFFFF" w:themeColor="background1"/>
                <w:sz w:val="16"/>
                <w:szCs w:val="16"/>
              </w:rPr>
              <w:t>as</w:t>
            </w:r>
            <w:r w:rsidR="007B40B7">
              <w:rPr>
                <w:color w:val="FFFFFF" w:themeColor="background1"/>
                <w:sz w:val="16"/>
                <w:szCs w:val="16"/>
              </w:rPr>
              <w:t>sm</w:t>
            </w:r>
            <w:proofErr w:type="spellEnd"/>
            <w:r w:rsidR="008301E5">
              <w:rPr>
                <w:color w:val="FFFFFF" w:themeColor="background1"/>
                <w:sz w:val="16"/>
                <w:szCs w:val="16"/>
              </w:rPr>
              <w:t>)</w:t>
            </w:r>
          </w:p>
        </w:tc>
        <w:tc>
          <w:tcPr>
            <w:tcW w:w="1023" w:type="dxa"/>
            <w:tcBorders>
              <w:left w:val="single" w:sz="8" w:space="0" w:color="A6A6A6" w:themeColor="accent6" w:themeShade="A6"/>
            </w:tcBorders>
            <w:shd w:val="clear" w:color="auto" w:fill="4A5886"/>
            <w:vAlign w:val="center"/>
          </w:tcPr>
          <w:p w14:paraId="125189AF" w14:textId="77777777" w:rsidR="00856DC0" w:rsidRPr="00E93A69" w:rsidRDefault="00856DC0" w:rsidP="00377EA9">
            <w:pPr>
              <w:pStyle w:val="tabletext"/>
              <w:jc w:val="center"/>
              <w:rPr>
                <w:color w:val="FFFFFF" w:themeColor="background1"/>
                <w:sz w:val="16"/>
                <w:szCs w:val="16"/>
              </w:rPr>
            </w:pPr>
            <w:r w:rsidRPr="00E93A69">
              <w:rPr>
                <w:color w:val="FFFFFF" w:themeColor="background1"/>
                <w:sz w:val="16"/>
                <w:szCs w:val="16"/>
              </w:rPr>
              <w:t>Demand @ 1% to 29</w:t>
            </w:r>
          </w:p>
        </w:tc>
        <w:tc>
          <w:tcPr>
            <w:tcW w:w="1023" w:type="dxa"/>
            <w:tcBorders>
              <w:right w:val="single" w:sz="8" w:space="0" w:color="A6A6A6" w:themeColor="accent6" w:themeShade="A6"/>
            </w:tcBorders>
            <w:shd w:val="clear" w:color="auto" w:fill="4A5886"/>
            <w:vAlign w:val="center"/>
          </w:tcPr>
          <w:p w14:paraId="5D1BB07A" w14:textId="77777777" w:rsidR="00856DC0" w:rsidRPr="00E93A69" w:rsidRDefault="00856DC0" w:rsidP="00377EA9">
            <w:pPr>
              <w:pStyle w:val="tabletext"/>
              <w:jc w:val="center"/>
              <w:rPr>
                <w:color w:val="FFFFFF" w:themeColor="background1"/>
                <w:sz w:val="16"/>
                <w:szCs w:val="16"/>
              </w:rPr>
            </w:pPr>
            <w:r w:rsidRPr="00E93A69">
              <w:rPr>
                <w:color w:val="FFFFFF" w:themeColor="background1"/>
                <w:sz w:val="16"/>
                <w:szCs w:val="16"/>
              </w:rPr>
              <w:t>Demand @ 4% to 29</w:t>
            </w:r>
          </w:p>
        </w:tc>
        <w:tc>
          <w:tcPr>
            <w:tcW w:w="1023" w:type="dxa"/>
            <w:vMerge/>
            <w:tcBorders>
              <w:left w:val="single" w:sz="8" w:space="0" w:color="A6A6A6" w:themeColor="accent6" w:themeShade="A6"/>
              <w:right w:val="single" w:sz="8" w:space="0" w:color="A6A6A6" w:themeColor="accent6" w:themeShade="A6"/>
            </w:tcBorders>
            <w:vAlign w:val="center"/>
          </w:tcPr>
          <w:p w14:paraId="0A4E111D" w14:textId="77777777" w:rsidR="00856DC0" w:rsidRPr="00E93A69" w:rsidRDefault="00856DC0" w:rsidP="00377EA9">
            <w:pPr>
              <w:pStyle w:val="tabletext"/>
              <w:jc w:val="center"/>
              <w:rPr>
                <w:color w:val="FFFFFF" w:themeColor="background1"/>
                <w:sz w:val="16"/>
                <w:szCs w:val="16"/>
              </w:rPr>
            </w:pPr>
          </w:p>
        </w:tc>
        <w:tc>
          <w:tcPr>
            <w:tcW w:w="1023" w:type="dxa"/>
            <w:tcBorders>
              <w:left w:val="single" w:sz="8" w:space="0" w:color="A6A6A6" w:themeColor="accent6" w:themeShade="A6"/>
            </w:tcBorders>
            <w:shd w:val="clear" w:color="auto" w:fill="4A5886"/>
            <w:vAlign w:val="center"/>
          </w:tcPr>
          <w:p w14:paraId="6FF34260" w14:textId="77777777" w:rsidR="00856DC0" w:rsidRPr="00E93A69" w:rsidRDefault="00856DC0" w:rsidP="00377EA9">
            <w:pPr>
              <w:pStyle w:val="tabletext"/>
              <w:jc w:val="center"/>
              <w:rPr>
                <w:color w:val="FFFFFF" w:themeColor="background1"/>
                <w:sz w:val="16"/>
                <w:szCs w:val="16"/>
              </w:rPr>
            </w:pPr>
            <w:r w:rsidRPr="00E93A69">
              <w:rPr>
                <w:color w:val="FFFFFF" w:themeColor="background1"/>
                <w:sz w:val="16"/>
                <w:szCs w:val="16"/>
              </w:rPr>
              <w:t>Demand @ 1%</w:t>
            </w:r>
          </w:p>
        </w:tc>
        <w:tc>
          <w:tcPr>
            <w:tcW w:w="1023" w:type="dxa"/>
            <w:shd w:val="clear" w:color="auto" w:fill="4A5886"/>
            <w:vAlign w:val="center"/>
          </w:tcPr>
          <w:p w14:paraId="62464998" w14:textId="77777777" w:rsidR="00856DC0" w:rsidRPr="00E93A69" w:rsidRDefault="00856DC0" w:rsidP="00377EA9">
            <w:pPr>
              <w:pStyle w:val="tabletext"/>
              <w:jc w:val="center"/>
              <w:rPr>
                <w:color w:val="FFFFFF" w:themeColor="background1"/>
                <w:sz w:val="16"/>
                <w:szCs w:val="16"/>
              </w:rPr>
            </w:pPr>
            <w:r w:rsidRPr="00E93A69">
              <w:rPr>
                <w:color w:val="FFFFFF" w:themeColor="background1"/>
                <w:sz w:val="16"/>
                <w:szCs w:val="16"/>
              </w:rPr>
              <w:t xml:space="preserve">Demand @ 4% </w:t>
            </w:r>
          </w:p>
        </w:tc>
      </w:tr>
      <w:tr w:rsidR="00856DC0" w:rsidRPr="00D20A90" w14:paraId="13A8851A" w14:textId="77777777" w:rsidTr="00CD0D9B">
        <w:tc>
          <w:tcPr>
            <w:tcW w:w="1023" w:type="dxa"/>
            <w:tcBorders>
              <w:right w:val="single" w:sz="8" w:space="0" w:color="A6A6A6" w:themeColor="accent6" w:themeShade="A6"/>
            </w:tcBorders>
          </w:tcPr>
          <w:p w14:paraId="4836B9E0" w14:textId="77777777" w:rsidR="00856DC0" w:rsidRDefault="00856DC0" w:rsidP="00377EA9">
            <w:pPr>
              <w:pStyle w:val="tabletext"/>
              <w:rPr>
                <w:sz w:val="16"/>
                <w:szCs w:val="16"/>
              </w:rPr>
            </w:pPr>
            <w:r w:rsidRPr="00D20A90">
              <w:rPr>
                <w:sz w:val="16"/>
                <w:szCs w:val="16"/>
              </w:rPr>
              <w:t>ABUHB</w:t>
            </w:r>
          </w:p>
        </w:tc>
        <w:tc>
          <w:tcPr>
            <w:tcW w:w="1023" w:type="dxa"/>
            <w:tcBorders>
              <w:left w:val="single" w:sz="8" w:space="0" w:color="A6A6A6" w:themeColor="accent6" w:themeShade="A6"/>
            </w:tcBorders>
            <w:vAlign w:val="center"/>
          </w:tcPr>
          <w:p w14:paraId="7685A229" w14:textId="77777777" w:rsidR="00856DC0" w:rsidRPr="00D20A90" w:rsidRDefault="00856DC0" w:rsidP="00377EA9">
            <w:pPr>
              <w:pStyle w:val="tabletext"/>
              <w:jc w:val="center"/>
              <w:rPr>
                <w:sz w:val="16"/>
                <w:szCs w:val="16"/>
              </w:rPr>
            </w:pPr>
            <w:r w:rsidRPr="00112B42">
              <w:rPr>
                <w:sz w:val="16"/>
                <w:szCs w:val="18"/>
              </w:rPr>
              <w:t>-1,032</w:t>
            </w:r>
          </w:p>
        </w:tc>
        <w:tc>
          <w:tcPr>
            <w:tcW w:w="1023" w:type="dxa"/>
            <w:vAlign w:val="center"/>
          </w:tcPr>
          <w:p w14:paraId="7FAAEC49" w14:textId="77777777" w:rsidR="00856DC0" w:rsidRPr="00D20A90" w:rsidRDefault="00856DC0" w:rsidP="00377EA9">
            <w:pPr>
              <w:pStyle w:val="tabletext"/>
              <w:jc w:val="center"/>
              <w:rPr>
                <w:sz w:val="16"/>
                <w:szCs w:val="16"/>
              </w:rPr>
            </w:pPr>
            <w:r w:rsidRPr="00112B42">
              <w:rPr>
                <w:sz w:val="16"/>
                <w:szCs w:val="18"/>
              </w:rPr>
              <w:t>128</w:t>
            </w:r>
          </w:p>
        </w:tc>
        <w:tc>
          <w:tcPr>
            <w:tcW w:w="1023" w:type="dxa"/>
            <w:tcBorders>
              <w:right w:val="single" w:sz="8" w:space="0" w:color="A6A6A6" w:themeColor="accent6" w:themeShade="A6"/>
            </w:tcBorders>
            <w:vAlign w:val="center"/>
          </w:tcPr>
          <w:p w14:paraId="5B37B437" w14:textId="77777777" w:rsidR="00856DC0" w:rsidRPr="00D20A90" w:rsidRDefault="00856DC0" w:rsidP="00377EA9">
            <w:pPr>
              <w:pStyle w:val="tabletext"/>
              <w:jc w:val="center"/>
              <w:rPr>
                <w:sz w:val="16"/>
                <w:szCs w:val="16"/>
              </w:rPr>
            </w:pPr>
            <w:r w:rsidRPr="00112B42">
              <w:rPr>
                <w:sz w:val="16"/>
                <w:szCs w:val="18"/>
              </w:rPr>
              <w:t>-285</w:t>
            </w:r>
          </w:p>
        </w:tc>
        <w:tc>
          <w:tcPr>
            <w:tcW w:w="1023" w:type="dxa"/>
            <w:tcBorders>
              <w:left w:val="single" w:sz="8" w:space="0" w:color="A6A6A6" w:themeColor="accent6" w:themeShade="A6"/>
            </w:tcBorders>
            <w:vAlign w:val="center"/>
          </w:tcPr>
          <w:p w14:paraId="03097A06" w14:textId="77777777" w:rsidR="00856DC0" w:rsidRPr="00D20A90" w:rsidRDefault="00856DC0" w:rsidP="00377EA9">
            <w:pPr>
              <w:pStyle w:val="tabletext"/>
              <w:jc w:val="center"/>
              <w:rPr>
                <w:sz w:val="16"/>
                <w:szCs w:val="16"/>
              </w:rPr>
            </w:pPr>
            <w:r w:rsidRPr="00112B42">
              <w:rPr>
                <w:sz w:val="16"/>
                <w:szCs w:val="18"/>
              </w:rPr>
              <w:t>-414</w:t>
            </w:r>
          </w:p>
        </w:tc>
        <w:tc>
          <w:tcPr>
            <w:tcW w:w="1023" w:type="dxa"/>
            <w:tcBorders>
              <w:right w:val="single" w:sz="8" w:space="0" w:color="A6A6A6" w:themeColor="accent6" w:themeShade="A6"/>
            </w:tcBorders>
            <w:vAlign w:val="center"/>
          </w:tcPr>
          <w:p w14:paraId="1D9AFC11" w14:textId="77777777" w:rsidR="00856DC0" w:rsidRPr="00D20A90" w:rsidRDefault="00856DC0" w:rsidP="00377EA9">
            <w:pPr>
              <w:pStyle w:val="tabletext"/>
              <w:jc w:val="center"/>
              <w:rPr>
                <w:sz w:val="16"/>
                <w:szCs w:val="16"/>
              </w:rPr>
            </w:pPr>
            <w:r w:rsidRPr="00112B42">
              <w:rPr>
                <w:sz w:val="16"/>
                <w:szCs w:val="18"/>
              </w:rPr>
              <w:t>-800</w:t>
            </w:r>
          </w:p>
        </w:tc>
        <w:tc>
          <w:tcPr>
            <w:tcW w:w="1023" w:type="dxa"/>
            <w:tcBorders>
              <w:left w:val="single" w:sz="8" w:space="0" w:color="A6A6A6" w:themeColor="accent6" w:themeShade="A6"/>
              <w:right w:val="single" w:sz="8" w:space="0" w:color="A6A6A6" w:themeColor="accent6" w:themeShade="A6"/>
            </w:tcBorders>
            <w:vAlign w:val="center"/>
          </w:tcPr>
          <w:p w14:paraId="5DC4E162" w14:textId="77777777" w:rsidR="00856DC0" w:rsidRPr="00D20A90" w:rsidRDefault="00856DC0" w:rsidP="00377EA9">
            <w:pPr>
              <w:pStyle w:val="tabletext"/>
              <w:jc w:val="center"/>
              <w:rPr>
                <w:sz w:val="16"/>
                <w:szCs w:val="16"/>
              </w:rPr>
            </w:pPr>
            <w:r w:rsidRPr="00112B42">
              <w:rPr>
                <w:sz w:val="16"/>
                <w:szCs w:val="18"/>
              </w:rPr>
              <w:t>261</w:t>
            </w:r>
          </w:p>
        </w:tc>
        <w:tc>
          <w:tcPr>
            <w:tcW w:w="1023" w:type="dxa"/>
            <w:tcBorders>
              <w:left w:val="single" w:sz="8" w:space="0" w:color="A6A6A6" w:themeColor="accent6" w:themeShade="A6"/>
            </w:tcBorders>
            <w:vAlign w:val="center"/>
          </w:tcPr>
          <w:p w14:paraId="650748D6" w14:textId="77777777" w:rsidR="00856DC0" w:rsidRPr="00D20A90" w:rsidRDefault="00856DC0" w:rsidP="00377EA9">
            <w:pPr>
              <w:pStyle w:val="tabletext"/>
              <w:jc w:val="center"/>
              <w:rPr>
                <w:sz w:val="16"/>
                <w:szCs w:val="16"/>
              </w:rPr>
            </w:pPr>
            <w:r w:rsidRPr="00112B42">
              <w:rPr>
                <w:sz w:val="16"/>
                <w:szCs w:val="18"/>
              </w:rPr>
              <w:t>-153</w:t>
            </w:r>
          </w:p>
        </w:tc>
        <w:tc>
          <w:tcPr>
            <w:tcW w:w="1023" w:type="dxa"/>
            <w:vAlign w:val="center"/>
          </w:tcPr>
          <w:p w14:paraId="63822A95" w14:textId="77777777" w:rsidR="00856DC0" w:rsidRPr="00D20A90" w:rsidRDefault="00856DC0" w:rsidP="00377EA9">
            <w:pPr>
              <w:pStyle w:val="tabletext"/>
              <w:jc w:val="center"/>
              <w:rPr>
                <w:sz w:val="16"/>
                <w:szCs w:val="16"/>
              </w:rPr>
            </w:pPr>
            <w:r w:rsidRPr="00112B42">
              <w:rPr>
                <w:sz w:val="16"/>
                <w:szCs w:val="18"/>
              </w:rPr>
              <w:t>-539</w:t>
            </w:r>
          </w:p>
        </w:tc>
      </w:tr>
      <w:tr w:rsidR="00856DC0" w:rsidRPr="00D20A90" w14:paraId="443CDA56" w14:textId="77777777" w:rsidTr="00CD0D9B">
        <w:tc>
          <w:tcPr>
            <w:tcW w:w="1023" w:type="dxa"/>
            <w:tcBorders>
              <w:right w:val="single" w:sz="8" w:space="0" w:color="A6A6A6" w:themeColor="accent6" w:themeShade="A6"/>
            </w:tcBorders>
          </w:tcPr>
          <w:p w14:paraId="4306EA4C" w14:textId="77777777" w:rsidR="00856DC0" w:rsidRPr="00D20A90" w:rsidRDefault="00856DC0" w:rsidP="00377EA9">
            <w:pPr>
              <w:pStyle w:val="tabletext"/>
              <w:rPr>
                <w:sz w:val="16"/>
                <w:szCs w:val="16"/>
              </w:rPr>
            </w:pPr>
            <w:r w:rsidRPr="00D20A90">
              <w:rPr>
                <w:sz w:val="16"/>
                <w:szCs w:val="16"/>
              </w:rPr>
              <w:t>CAVUHB</w:t>
            </w:r>
          </w:p>
        </w:tc>
        <w:tc>
          <w:tcPr>
            <w:tcW w:w="1023" w:type="dxa"/>
            <w:tcBorders>
              <w:left w:val="single" w:sz="8" w:space="0" w:color="A6A6A6" w:themeColor="accent6" w:themeShade="A6"/>
            </w:tcBorders>
            <w:vAlign w:val="center"/>
          </w:tcPr>
          <w:p w14:paraId="7B5733C2" w14:textId="77777777" w:rsidR="00856DC0" w:rsidRPr="00D20A90" w:rsidRDefault="00856DC0" w:rsidP="00377EA9">
            <w:pPr>
              <w:pStyle w:val="tabletext"/>
              <w:jc w:val="center"/>
              <w:rPr>
                <w:sz w:val="16"/>
                <w:szCs w:val="16"/>
              </w:rPr>
            </w:pPr>
            <w:r w:rsidRPr="00112B42">
              <w:rPr>
                <w:sz w:val="16"/>
                <w:szCs w:val="18"/>
              </w:rPr>
              <w:t>-247</w:t>
            </w:r>
          </w:p>
        </w:tc>
        <w:tc>
          <w:tcPr>
            <w:tcW w:w="1023" w:type="dxa"/>
            <w:vAlign w:val="center"/>
          </w:tcPr>
          <w:p w14:paraId="5B69849F" w14:textId="77777777" w:rsidR="00856DC0" w:rsidRPr="00D20A90" w:rsidRDefault="00856DC0" w:rsidP="00377EA9">
            <w:pPr>
              <w:pStyle w:val="tabletext"/>
              <w:jc w:val="center"/>
              <w:rPr>
                <w:sz w:val="16"/>
                <w:szCs w:val="16"/>
              </w:rPr>
            </w:pPr>
            <w:r w:rsidRPr="00112B42">
              <w:rPr>
                <w:sz w:val="16"/>
                <w:szCs w:val="18"/>
              </w:rPr>
              <w:t>166</w:t>
            </w:r>
          </w:p>
        </w:tc>
        <w:tc>
          <w:tcPr>
            <w:tcW w:w="1023" w:type="dxa"/>
            <w:tcBorders>
              <w:right w:val="single" w:sz="8" w:space="0" w:color="A6A6A6" w:themeColor="accent6" w:themeShade="A6"/>
            </w:tcBorders>
            <w:vAlign w:val="center"/>
          </w:tcPr>
          <w:p w14:paraId="7A11BE5F" w14:textId="77777777" w:rsidR="00856DC0" w:rsidRPr="00D20A90" w:rsidRDefault="00856DC0" w:rsidP="00377EA9">
            <w:pPr>
              <w:pStyle w:val="tabletext"/>
              <w:jc w:val="center"/>
              <w:rPr>
                <w:sz w:val="16"/>
                <w:szCs w:val="16"/>
              </w:rPr>
            </w:pPr>
            <w:r w:rsidRPr="00112B42">
              <w:rPr>
                <w:sz w:val="16"/>
                <w:szCs w:val="18"/>
              </w:rPr>
              <w:t>67</w:t>
            </w:r>
          </w:p>
        </w:tc>
        <w:tc>
          <w:tcPr>
            <w:tcW w:w="1023" w:type="dxa"/>
            <w:tcBorders>
              <w:left w:val="single" w:sz="8" w:space="0" w:color="A6A6A6" w:themeColor="accent6" w:themeShade="A6"/>
            </w:tcBorders>
            <w:vAlign w:val="center"/>
          </w:tcPr>
          <w:p w14:paraId="15C130F5" w14:textId="77777777" w:rsidR="00856DC0" w:rsidRPr="00D20A90" w:rsidRDefault="00856DC0" w:rsidP="00377EA9">
            <w:pPr>
              <w:pStyle w:val="tabletext"/>
              <w:jc w:val="center"/>
              <w:rPr>
                <w:sz w:val="16"/>
                <w:szCs w:val="16"/>
              </w:rPr>
            </w:pPr>
            <w:r w:rsidRPr="00112B42">
              <w:rPr>
                <w:sz w:val="16"/>
                <w:szCs w:val="18"/>
              </w:rPr>
              <w:t>-52</w:t>
            </w:r>
          </w:p>
        </w:tc>
        <w:tc>
          <w:tcPr>
            <w:tcW w:w="1023" w:type="dxa"/>
            <w:tcBorders>
              <w:right w:val="single" w:sz="8" w:space="0" w:color="A6A6A6" w:themeColor="accent6" w:themeShade="A6"/>
            </w:tcBorders>
            <w:vAlign w:val="center"/>
          </w:tcPr>
          <w:p w14:paraId="2F7FF6F4" w14:textId="77777777" w:rsidR="00856DC0" w:rsidRPr="00D20A90" w:rsidRDefault="00856DC0" w:rsidP="00377EA9">
            <w:pPr>
              <w:pStyle w:val="tabletext"/>
              <w:jc w:val="center"/>
              <w:rPr>
                <w:sz w:val="16"/>
                <w:szCs w:val="16"/>
              </w:rPr>
            </w:pPr>
            <w:r w:rsidRPr="00112B42">
              <w:rPr>
                <w:sz w:val="16"/>
                <w:szCs w:val="18"/>
              </w:rPr>
              <w:t>-409</w:t>
            </w:r>
          </w:p>
        </w:tc>
        <w:tc>
          <w:tcPr>
            <w:tcW w:w="1023" w:type="dxa"/>
            <w:tcBorders>
              <w:left w:val="single" w:sz="8" w:space="0" w:color="A6A6A6" w:themeColor="accent6" w:themeShade="A6"/>
              <w:right w:val="single" w:sz="8" w:space="0" w:color="A6A6A6" w:themeColor="accent6" w:themeShade="A6"/>
            </w:tcBorders>
            <w:vAlign w:val="center"/>
          </w:tcPr>
          <w:p w14:paraId="5B31C136" w14:textId="77777777" w:rsidR="00856DC0" w:rsidRPr="00D20A90" w:rsidRDefault="00856DC0" w:rsidP="00377EA9">
            <w:pPr>
              <w:pStyle w:val="tabletext"/>
              <w:jc w:val="center"/>
              <w:rPr>
                <w:sz w:val="16"/>
                <w:szCs w:val="16"/>
              </w:rPr>
            </w:pPr>
            <w:r w:rsidRPr="00112B42">
              <w:rPr>
                <w:sz w:val="16"/>
                <w:szCs w:val="18"/>
              </w:rPr>
              <w:t>294</w:t>
            </w:r>
          </w:p>
        </w:tc>
        <w:tc>
          <w:tcPr>
            <w:tcW w:w="1023" w:type="dxa"/>
            <w:tcBorders>
              <w:left w:val="single" w:sz="8" w:space="0" w:color="A6A6A6" w:themeColor="accent6" w:themeShade="A6"/>
            </w:tcBorders>
            <w:vAlign w:val="center"/>
          </w:tcPr>
          <w:p w14:paraId="1ECE14E7" w14:textId="77777777" w:rsidR="00856DC0" w:rsidRPr="00D20A90" w:rsidRDefault="00856DC0" w:rsidP="00377EA9">
            <w:pPr>
              <w:pStyle w:val="tabletext"/>
              <w:jc w:val="center"/>
              <w:rPr>
                <w:sz w:val="16"/>
                <w:szCs w:val="16"/>
              </w:rPr>
            </w:pPr>
            <w:r w:rsidRPr="00112B42">
              <w:rPr>
                <w:sz w:val="16"/>
                <w:szCs w:val="18"/>
              </w:rPr>
              <w:t>242</w:t>
            </w:r>
          </w:p>
        </w:tc>
        <w:tc>
          <w:tcPr>
            <w:tcW w:w="1023" w:type="dxa"/>
            <w:vAlign w:val="center"/>
          </w:tcPr>
          <w:p w14:paraId="6304A50D" w14:textId="77777777" w:rsidR="00856DC0" w:rsidRPr="00D20A90" w:rsidRDefault="00856DC0" w:rsidP="00377EA9">
            <w:pPr>
              <w:pStyle w:val="tabletext"/>
              <w:jc w:val="center"/>
              <w:rPr>
                <w:sz w:val="16"/>
                <w:szCs w:val="16"/>
              </w:rPr>
            </w:pPr>
            <w:r w:rsidRPr="00112B42">
              <w:rPr>
                <w:sz w:val="16"/>
                <w:szCs w:val="18"/>
              </w:rPr>
              <w:t>-115</w:t>
            </w:r>
          </w:p>
        </w:tc>
      </w:tr>
      <w:tr w:rsidR="00856DC0" w:rsidRPr="00D20A90" w14:paraId="1711EA2F" w14:textId="77777777" w:rsidTr="00CD0D9B">
        <w:tc>
          <w:tcPr>
            <w:tcW w:w="1023" w:type="dxa"/>
            <w:tcBorders>
              <w:right w:val="single" w:sz="8" w:space="0" w:color="A6A6A6" w:themeColor="accent6" w:themeShade="A6"/>
            </w:tcBorders>
          </w:tcPr>
          <w:p w14:paraId="6D90DD52" w14:textId="77777777" w:rsidR="00856DC0" w:rsidRPr="00D20A90" w:rsidRDefault="00856DC0" w:rsidP="00377EA9">
            <w:pPr>
              <w:pStyle w:val="tabletext"/>
              <w:rPr>
                <w:sz w:val="16"/>
                <w:szCs w:val="16"/>
              </w:rPr>
            </w:pPr>
            <w:r w:rsidRPr="00D20A90">
              <w:rPr>
                <w:sz w:val="16"/>
                <w:szCs w:val="16"/>
              </w:rPr>
              <w:t>CTMUHB</w:t>
            </w:r>
          </w:p>
        </w:tc>
        <w:tc>
          <w:tcPr>
            <w:tcW w:w="1023" w:type="dxa"/>
            <w:tcBorders>
              <w:left w:val="single" w:sz="8" w:space="0" w:color="A6A6A6" w:themeColor="accent6" w:themeShade="A6"/>
            </w:tcBorders>
            <w:vAlign w:val="center"/>
          </w:tcPr>
          <w:p w14:paraId="698788F3" w14:textId="77777777" w:rsidR="00856DC0" w:rsidRPr="00D20A90" w:rsidRDefault="00856DC0" w:rsidP="00377EA9">
            <w:pPr>
              <w:pStyle w:val="tabletext"/>
              <w:jc w:val="center"/>
              <w:rPr>
                <w:sz w:val="16"/>
                <w:szCs w:val="16"/>
              </w:rPr>
            </w:pPr>
            <w:r w:rsidRPr="00112B42">
              <w:rPr>
                <w:sz w:val="16"/>
                <w:szCs w:val="18"/>
              </w:rPr>
              <w:t>-1,000</w:t>
            </w:r>
          </w:p>
        </w:tc>
        <w:tc>
          <w:tcPr>
            <w:tcW w:w="1023" w:type="dxa"/>
            <w:vAlign w:val="center"/>
          </w:tcPr>
          <w:p w14:paraId="0F9DBD5A" w14:textId="77777777" w:rsidR="00856DC0" w:rsidRPr="00D20A90" w:rsidRDefault="00856DC0" w:rsidP="00377EA9">
            <w:pPr>
              <w:pStyle w:val="tabletext"/>
              <w:jc w:val="center"/>
              <w:rPr>
                <w:sz w:val="16"/>
                <w:szCs w:val="16"/>
              </w:rPr>
            </w:pPr>
            <w:r w:rsidRPr="00112B42">
              <w:rPr>
                <w:sz w:val="16"/>
                <w:szCs w:val="18"/>
              </w:rPr>
              <w:t>-544</w:t>
            </w:r>
          </w:p>
        </w:tc>
        <w:tc>
          <w:tcPr>
            <w:tcW w:w="1023" w:type="dxa"/>
            <w:tcBorders>
              <w:right w:val="single" w:sz="8" w:space="0" w:color="A6A6A6" w:themeColor="accent6" w:themeShade="A6"/>
            </w:tcBorders>
            <w:vAlign w:val="center"/>
          </w:tcPr>
          <w:p w14:paraId="3175EED4" w14:textId="77777777" w:rsidR="00856DC0" w:rsidRPr="00D20A90" w:rsidRDefault="00856DC0" w:rsidP="00377EA9">
            <w:pPr>
              <w:pStyle w:val="tabletext"/>
              <w:jc w:val="center"/>
              <w:rPr>
                <w:sz w:val="16"/>
                <w:szCs w:val="16"/>
              </w:rPr>
            </w:pPr>
            <w:r w:rsidRPr="00112B42">
              <w:rPr>
                <w:sz w:val="16"/>
                <w:szCs w:val="18"/>
              </w:rPr>
              <w:t>-944</w:t>
            </w:r>
          </w:p>
        </w:tc>
        <w:tc>
          <w:tcPr>
            <w:tcW w:w="1023" w:type="dxa"/>
            <w:tcBorders>
              <w:left w:val="single" w:sz="8" w:space="0" w:color="A6A6A6" w:themeColor="accent6" w:themeShade="A6"/>
            </w:tcBorders>
            <w:vAlign w:val="center"/>
          </w:tcPr>
          <w:p w14:paraId="1457F949" w14:textId="77777777" w:rsidR="00856DC0" w:rsidRPr="00D20A90" w:rsidRDefault="00856DC0" w:rsidP="00377EA9">
            <w:pPr>
              <w:pStyle w:val="tabletext"/>
              <w:jc w:val="center"/>
              <w:rPr>
                <w:sz w:val="16"/>
                <w:szCs w:val="16"/>
              </w:rPr>
            </w:pPr>
            <w:r w:rsidRPr="00112B42">
              <w:rPr>
                <w:sz w:val="16"/>
                <w:szCs w:val="18"/>
              </w:rPr>
              <w:t>-1,079</w:t>
            </w:r>
          </w:p>
        </w:tc>
        <w:tc>
          <w:tcPr>
            <w:tcW w:w="1023" w:type="dxa"/>
            <w:tcBorders>
              <w:right w:val="single" w:sz="8" w:space="0" w:color="A6A6A6" w:themeColor="accent6" w:themeShade="A6"/>
            </w:tcBorders>
            <w:vAlign w:val="center"/>
          </w:tcPr>
          <w:p w14:paraId="0E0316D3" w14:textId="77777777" w:rsidR="00856DC0" w:rsidRPr="00D20A90" w:rsidRDefault="00856DC0" w:rsidP="00377EA9">
            <w:pPr>
              <w:pStyle w:val="tabletext"/>
              <w:jc w:val="center"/>
              <w:rPr>
                <w:sz w:val="16"/>
                <w:szCs w:val="16"/>
              </w:rPr>
            </w:pPr>
            <w:r w:rsidRPr="00112B42">
              <w:rPr>
                <w:sz w:val="16"/>
                <w:szCs w:val="18"/>
              </w:rPr>
              <w:t>-1,482</w:t>
            </w:r>
          </w:p>
        </w:tc>
        <w:tc>
          <w:tcPr>
            <w:tcW w:w="1023" w:type="dxa"/>
            <w:tcBorders>
              <w:left w:val="single" w:sz="8" w:space="0" w:color="A6A6A6" w:themeColor="accent6" w:themeShade="A6"/>
              <w:right w:val="single" w:sz="8" w:space="0" w:color="A6A6A6" w:themeColor="accent6" w:themeShade="A6"/>
            </w:tcBorders>
            <w:vAlign w:val="center"/>
          </w:tcPr>
          <w:p w14:paraId="278F6410" w14:textId="77777777" w:rsidR="00856DC0" w:rsidRPr="00D20A90" w:rsidRDefault="00856DC0" w:rsidP="00377EA9">
            <w:pPr>
              <w:pStyle w:val="tabletext"/>
              <w:jc w:val="center"/>
              <w:rPr>
                <w:sz w:val="16"/>
                <w:szCs w:val="16"/>
              </w:rPr>
            </w:pPr>
            <w:r w:rsidRPr="00112B42">
              <w:rPr>
                <w:sz w:val="16"/>
                <w:szCs w:val="18"/>
              </w:rPr>
              <w:t>593</w:t>
            </w:r>
          </w:p>
        </w:tc>
        <w:tc>
          <w:tcPr>
            <w:tcW w:w="1023" w:type="dxa"/>
            <w:tcBorders>
              <w:left w:val="single" w:sz="8" w:space="0" w:color="A6A6A6" w:themeColor="accent6" w:themeShade="A6"/>
            </w:tcBorders>
            <w:vAlign w:val="center"/>
          </w:tcPr>
          <w:p w14:paraId="42FE7142" w14:textId="77777777" w:rsidR="00856DC0" w:rsidRPr="00D20A90" w:rsidRDefault="00856DC0" w:rsidP="00377EA9">
            <w:pPr>
              <w:pStyle w:val="tabletext"/>
              <w:jc w:val="center"/>
              <w:rPr>
                <w:sz w:val="16"/>
                <w:szCs w:val="16"/>
              </w:rPr>
            </w:pPr>
            <w:r w:rsidRPr="00112B42">
              <w:rPr>
                <w:sz w:val="16"/>
                <w:szCs w:val="18"/>
              </w:rPr>
              <w:t>-486</w:t>
            </w:r>
          </w:p>
        </w:tc>
        <w:tc>
          <w:tcPr>
            <w:tcW w:w="1023" w:type="dxa"/>
            <w:vAlign w:val="center"/>
          </w:tcPr>
          <w:p w14:paraId="364BDAB4" w14:textId="77777777" w:rsidR="00856DC0" w:rsidRPr="00D20A90" w:rsidRDefault="00856DC0" w:rsidP="00377EA9">
            <w:pPr>
              <w:pStyle w:val="tabletext"/>
              <w:jc w:val="center"/>
              <w:rPr>
                <w:sz w:val="16"/>
                <w:szCs w:val="16"/>
              </w:rPr>
            </w:pPr>
            <w:r w:rsidRPr="00112B42">
              <w:rPr>
                <w:sz w:val="16"/>
                <w:szCs w:val="18"/>
              </w:rPr>
              <w:t>-</w:t>
            </w:r>
            <w:r>
              <w:rPr>
                <w:sz w:val="16"/>
                <w:szCs w:val="18"/>
              </w:rPr>
              <w:t>8</w:t>
            </w:r>
            <w:r w:rsidRPr="00112B42">
              <w:rPr>
                <w:sz w:val="16"/>
                <w:szCs w:val="18"/>
              </w:rPr>
              <w:t>89</w:t>
            </w:r>
          </w:p>
        </w:tc>
      </w:tr>
      <w:tr w:rsidR="00856DC0" w:rsidRPr="00D20A90" w14:paraId="6E9DEDD1" w14:textId="77777777" w:rsidTr="00CD0D9B">
        <w:tc>
          <w:tcPr>
            <w:tcW w:w="1023" w:type="dxa"/>
            <w:tcBorders>
              <w:right w:val="single" w:sz="8" w:space="0" w:color="A6A6A6" w:themeColor="accent6" w:themeShade="A6"/>
            </w:tcBorders>
          </w:tcPr>
          <w:p w14:paraId="2551C8CB" w14:textId="77777777" w:rsidR="00856DC0" w:rsidRPr="00D20A90" w:rsidRDefault="00856DC0" w:rsidP="00377EA9">
            <w:pPr>
              <w:pStyle w:val="tabletext"/>
              <w:rPr>
                <w:sz w:val="16"/>
                <w:szCs w:val="16"/>
              </w:rPr>
            </w:pPr>
            <w:r w:rsidRPr="00D20A90">
              <w:rPr>
                <w:sz w:val="16"/>
                <w:szCs w:val="16"/>
              </w:rPr>
              <w:t>SEW region</w:t>
            </w:r>
          </w:p>
        </w:tc>
        <w:tc>
          <w:tcPr>
            <w:tcW w:w="1023" w:type="dxa"/>
            <w:tcBorders>
              <w:left w:val="single" w:sz="8" w:space="0" w:color="A6A6A6" w:themeColor="accent6" w:themeShade="A6"/>
            </w:tcBorders>
            <w:vAlign w:val="center"/>
          </w:tcPr>
          <w:p w14:paraId="4D90E4AB" w14:textId="77777777" w:rsidR="00856DC0" w:rsidRPr="00D20A90" w:rsidRDefault="00856DC0" w:rsidP="00377EA9">
            <w:pPr>
              <w:pStyle w:val="tabletext"/>
              <w:jc w:val="center"/>
              <w:rPr>
                <w:sz w:val="16"/>
                <w:szCs w:val="16"/>
              </w:rPr>
            </w:pPr>
            <w:r w:rsidRPr="00112B42">
              <w:rPr>
                <w:sz w:val="16"/>
                <w:szCs w:val="18"/>
              </w:rPr>
              <w:t>-2,278</w:t>
            </w:r>
          </w:p>
        </w:tc>
        <w:tc>
          <w:tcPr>
            <w:tcW w:w="1023" w:type="dxa"/>
            <w:vAlign w:val="center"/>
          </w:tcPr>
          <w:p w14:paraId="4AA1548E" w14:textId="77777777" w:rsidR="00856DC0" w:rsidRPr="00D20A90" w:rsidRDefault="00856DC0" w:rsidP="00377EA9">
            <w:pPr>
              <w:pStyle w:val="tabletext"/>
              <w:jc w:val="center"/>
              <w:rPr>
                <w:sz w:val="16"/>
                <w:szCs w:val="16"/>
              </w:rPr>
            </w:pPr>
            <w:r w:rsidRPr="00112B42">
              <w:rPr>
                <w:sz w:val="16"/>
                <w:szCs w:val="18"/>
              </w:rPr>
              <w:t>-250</w:t>
            </w:r>
          </w:p>
        </w:tc>
        <w:tc>
          <w:tcPr>
            <w:tcW w:w="1023" w:type="dxa"/>
            <w:tcBorders>
              <w:right w:val="single" w:sz="8" w:space="0" w:color="A6A6A6" w:themeColor="accent6" w:themeShade="A6"/>
            </w:tcBorders>
            <w:vAlign w:val="center"/>
          </w:tcPr>
          <w:p w14:paraId="2A359CA9" w14:textId="77777777" w:rsidR="00856DC0" w:rsidRPr="00D20A90" w:rsidRDefault="00856DC0" w:rsidP="00377EA9">
            <w:pPr>
              <w:pStyle w:val="tabletext"/>
              <w:jc w:val="center"/>
              <w:rPr>
                <w:sz w:val="16"/>
                <w:szCs w:val="16"/>
              </w:rPr>
            </w:pPr>
            <w:r w:rsidRPr="00112B42">
              <w:rPr>
                <w:sz w:val="16"/>
                <w:szCs w:val="18"/>
              </w:rPr>
              <w:t>-1</w:t>
            </w:r>
            <w:r>
              <w:rPr>
                <w:sz w:val="16"/>
                <w:szCs w:val="18"/>
              </w:rPr>
              <w:t>,</w:t>
            </w:r>
            <w:r w:rsidRPr="00112B42">
              <w:rPr>
                <w:sz w:val="16"/>
                <w:szCs w:val="18"/>
              </w:rPr>
              <w:t>161</w:t>
            </w:r>
          </w:p>
        </w:tc>
        <w:tc>
          <w:tcPr>
            <w:tcW w:w="1023" w:type="dxa"/>
            <w:tcBorders>
              <w:left w:val="single" w:sz="8" w:space="0" w:color="A6A6A6" w:themeColor="accent6" w:themeShade="A6"/>
            </w:tcBorders>
            <w:vAlign w:val="center"/>
          </w:tcPr>
          <w:p w14:paraId="65C7C766" w14:textId="77777777" w:rsidR="00856DC0" w:rsidRPr="00D20A90" w:rsidRDefault="00856DC0" w:rsidP="00377EA9">
            <w:pPr>
              <w:pStyle w:val="tabletext"/>
              <w:jc w:val="center"/>
              <w:rPr>
                <w:sz w:val="16"/>
                <w:szCs w:val="16"/>
              </w:rPr>
            </w:pPr>
            <w:r w:rsidRPr="00112B42">
              <w:rPr>
                <w:sz w:val="16"/>
                <w:szCs w:val="18"/>
              </w:rPr>
              <w:t>-1,544</w:t>
            </w:r>
          </w:p>
        </w:tc>
        <w:tc>
          <w:tcPr>
            <w:tcW w:w="1023" w:type="dxa"/>
            <w:tcBorders>
              <w:right w:val="single" w:sz="8" w:space="0" w:color="A6A6A6" w:themeColor="accent6" w:themeShade="A6"/>
            </w:tcBorders>
            <w:vAlign w:val="center"/>
          </w:tcPr>
          <w:p w14:paraId="3C398340" w14:textId="77777777" w:rsidR="00856DC0" w:rsidRPr="00D20A90" w:rsidRDefault="00856DC0" w:rsidP="00377EA9">
            <w:pPr>
              <w:pStyle w:val="tabletext"/>
              <w:jc w:val="center"/>
              <w:rPr>
                <w:sz w:val="16"/>
                <w:szCs w:val="16"/>
              </w:rPr>
            </w:pPr>
            <w:r w:rsidRPr="00112B42">
              <w:rPr>
                <w:sz w:val="16"/>
                <w:szCs w:val="18"/>
              </w:rPr>
              <w:t>-2,691</w:t>
            </w:r>
          </w:p>
        </w:tc>
        <w:tc>
          <w:tcPr>
            <w:tcW w:w="1023" w:type="dxa"/>
            <w:tcBorders>
              <w:left w:val="single" w:sz="8" w:space="0" w:color="A6A6A6" w:themeColor="accent6" w:themeShade="A6"/>
              <w:right w:val="single" w:sz="8" w:space="0" w:color="A6A6A6" w:themeColor="accent6" w:themeShade="A6"/>
            </w:tcBorders>
            <w:vAlign w:val="center"/>
          </w:tcPr>
          <w:p w14:paraId="056CF702" w14:textId="77777777" w:rsidR="00856DC0" w:rsidRPr="00D20A90" w:rsidRDefault="00856DC0" w:rsidP="00377EA9">
            <w:pPr>
              <w:pStyle w:val="tabletext"/>
              <w:jc w:val="center"/>
              <w:rPr>
                <w:sz w:val="16"/>
                <w:szCs w:val="16"/>
              </w:rPr>
            </w:pPr>
            <w:r w:rsidRPr="00112B42">
              <w:rPr>
                <w:sz w:val="16"/>
                <w:szCs w:val="18"/>
              </w:rPr>
              <w:t>1,148</w:t>
            </w:r>
          </w:p>
        </w:tc>
        <w:tc>
          <w:tcPr>
            <w:tcW w:w="1023" w:type="dxa"/>
            <w:tcBorders>
              <w:left w:val="single" w:sz="8" w:space="0" w:color="A6A6A6" w:themeColor="accent6" w:themeShade="A6"/>
            </w:tcBorders>
            <w:vAlign w:val="center"/>
          </w:tcPr>
          <w:p w14:paraId="404CC984" w14:textId="77777777" w:rsidR="00856DC0" w:rsidRPr="00D20A90" w:rsidRDefault="00856DC0" w:rsidP="00377EA9">
            <w:pPr>
              <w:pStyle w:val="tabletext"/>
              <w:jc w:val="center"/>
              <w:rPr>
                <w:sz w:val="16"/>
                <w:szCs w:val="16"/>
              </w:rPr>
            </w:pPr>
            <w:r w:rsidRPr="00112B42">
              <w:rPr>
                <w:sz w:val="16"/>
                <w:szCs w:val="18"/>
              </w:rPr>
              <w:t>-396</w:t>
            </w:r>
          </w:p>
        </w:tc>
        <w:tc>
          <w:tcPr>
            <w:tcW w:w="1023" w:type="dxa"/>
            <w:vAlign w:val="center"/>
          </w:tcPr>
          <w:p w14:paraId="5CDB92DC" w14:textId="77777777" w:rsidR="00856DC0" w:rsidRPr="00D20A90" w:rsidRDefault="00856DC0" w:rsidP="00377EA9">
            <w:pPr>
              <w:pStyle w:val="tabletext"/>
              <w:jc w:val="center"/>
              <w:rPr>
                <w:sz w:val="16"/>
                <w:szCs w:val="16"/>
              </w:rPr>
            </w:pPr>
            <w:r w:rsidRPr="00112B42">
              <w:rPr>
                <w:sz w:val="16"/>
                <w:szCs w:val="18"/>
              </w:rPr>
              <w:t>-1</w:t>
            </w:r>
            <w:r>
              <w:rPr>
                <w:sz w:val="16"/>
                <w:szCs w:val="18"/>
              </w:rPr>
              <w:t>,</w:t>
            </w:r>
            <w:r w:rsidRPr="00112B42">
              <w:rPr>
                <w:sz w:val="16"/>
                <w:szCs w:val="18"/>
              </w:rPr>
              <w:t>543</w:t>
            </w:r>
          </w:p>
        </w:tc>
      </w:tr>
    </w:tbl>
    <w:p w14:paraId="6421A0A3" w14:textId="77777777" w:rsidR="00856DC0" w:rsidRDefault="00856DC0" w:rsidP="001D39F4">
      <w:pPr>
        <w:pStyle w:val="NoSpacing"/>
      </w:pPr>
    </w:p>
    <w:p w14:paraId="4D41426F" w14:textId="77777777" w:rsidR="000710B6" w:rsidRPr="00CB4ED1" w:rsidRDefault="000710B6" w:rsidP="000710B6">
      <w:proofErr w:type="gramStart"/>
      <w:r w:rsidRPr="00CB4ED1">
        <w:t>In essence the</w:t>
      </w:r>
      <w:proofErr w:type="gramEnd"/>
      <w:r w:rsidRPr="00CB4ED1">
        <w:t xml:space="preserve"> recurrent arthroplasty gap assuming 100% of all efficiency opportunities are released sits between 396 and 1,543 cases per year.  On a five-year trajectory, looking at the first five years of LHP operation demand could increase to the following range: </w:t>
      </w:r>
    </w:p>
    <w:p w14:paraId="5B9E85E6" w14:textId="7BA84048" w:rsidR="000710B6" w:rsidRDefault="000710B6" w:rsidP="000710B6">
      <w:pPr>
        <w:pStyle w:val="Caption"/>
        <w:rPr>
          <w:noProof w:val="0"/>
        </w:rPr>
      </w:pPr>
      <w:bookmarkStart w:id="55" w:name="_Toc213865287"/>
      <w:r w:rsidRPr="00E67800">
        <w:rPr>
          <w:noProof w:val="0"/>
        </w:rPr>
        <w:t xml:space="preserve">Table </w:t>
      </w:r>
      <w:r w:rsidRPr="00E67800">
        <w:rPr>
          <w:noProof w:val="0"/>
        </w:rPr>
        <w:fldChar w:fldCharType="begin"/>
      </w:r>
      <w:r w:rsidRPr="00E67800">
        <w:rPr>
          <w:noProof w:val="0"/>
        </w:rPr>
        <w:instrText xml:space="preserve"> SEQ Table \* ARABIC </w:instrText>
      </w:r>
      <w:r w:rsidRPr="00E67800">
        <w:rPr>
          <w:noProof w:val="0"/>
        </w:rPr>
        <w:fldChar w:fldCharType="separate"/>
      </w:r>
      <w:r w:rsidR="004A33ED" w:rsidRPr="00E67800">
        <w:t>7</w:t>
      </w:r>
      <w:r w:rsidRPr="00E67800">
        <w:rPr>
          <w:noProof w:val="0"/>
        </w:rPr>
        <w:fldChar w:fldCharType="end"/>
      </w:r>
      <w:r w:rsidRPr="00E67800">
        <w:rPr>
          <w:noProof w:val="0"/>
        </w:rPr>
        <w:t xml:space="preserve"> – </w:t>
      </w:r>
      <w:r w:rsidR="00F66684" w:rsidRPr="00E67800">
        <w:rPr>
          <w:noProof w:val="0"/>
        </w:rPr>
        <w:t xml:space="preserve">Orthopaedic </w:t>
      </w:r>
      <w:r w:rsidR="001D39F4" w:rsidRPr="00E67800">
        <w:rPr>
          <w:noProof w:val="0"/>
        </w:rPr>
        <w:t xml:space="preserve">lower limb forecast </w:t>
      </w:r>
      <w:r w:rsidRPr="00E67800">
        <w:rPr>
          <w:noProof w:val="0"/>
        </w:rPr>
        <w:t>increase in activity (to 2034)</w:t>
      </w:r>
      <w:bookmarkEnd w:id="55"/>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1106"/>
        <w:gridCol w:w="850"/>
        <w:gridCol w:w="851"/>
        <w:gridCol w:w="701"/>
        <w:gridCol w:w="701"/>
        <w:gridCol w:w="702"/>
        <w:gridCol w:w="701"/>
        <w:gridCol w:w="702"/>
        <w:gridCol w:w="701"/>
        <w:gridCol w:w="701"/>
        <w:gridCol w:w="702"/>
        <w:gridCol w:w="701"/>
        <w:gridCol w:w="702"/>
      </w:tblGrid>
      <w:tr w:rsidR="00C06957" w:rsidRPr="00785C94" w14:paraId="68C18271" w14:textId="77777777" w:rsidTr="005838A8">
        <w:tc>
          <w:tcPr>
            <w:tcW w:w="1106" w:type="dxa"/>
            <w:vMerge w:val="restart"/>
            <w:tcBorders>
              <w:right w:val="single" w:sz="8" w:space="0" w:color="A6A6A6" w:themeColor="accent6" w:themeShade="A6"/>
            </w:tcBorders>
            <w:shd w:val="clear" w:color="auto" w:fill="374264"/>
            <w:textDirection w:val="btLr"/>
            <w:vAlign w:val="center"/>
          </w:tcPr>
          <w:p w14:paraId="7E4A6FFD" w14:textId="77777777" w:rsidR="00C06957" w:rsidRPr="00C06957" w:rsidRDefault="00C06957" w:rsidP="00377EA9">
            <w:pPr>
              <w:pStyle w:val="tabletext"/>
              <w:ind w:left="113" w:right="113"/>
              <w:rPr>
                <w:b/>
                <w:bCs/>
                <w:color w:val="FFFFFF" w:themeColor="background1"/>
                <w:sz w:val="16"/>
                <w:szCs w:val="18"/>
              </w:rPr>
            </w:pPr>
            <w:r w:rsidRPr="00C06957">
              <w:rPr>
                <w:b/>
                <w:bCs/>
                <w:color w:val="FFFFFF" w:themeColor="background1"/>
                <w:sz w:val="16"/>
                <w:szCs w:val="18"/>
              </w:rPr>
              <w:t>Organisation</w:t>
            </w:r>
          </w:p>
        </w:tc>
        <w:tc>
          <w:tcPr>
            <w:tcW w:w="1701" w:type="dxa"/>
            <w:gridSpan w:val="2"/>
            <w:vMerge w:val="restart"/>
            <w:tcBorders>
              <w:left w:val="single" w:sz="8" w:space="0" w:color="A6A6A6" w:themeColor="accent6" w:themeShade="A6"/>
              <w:right w:val="single" w:sz="8" w:space="0" w:color="A6A6A6" w:themeColor="accent6" w:themeShade="A6"/>
            </w:tcBorders>
            <w:shd w:val="clear" w:color="auto" w:fill="374264"/>
            <w:vAlign w:val="center"/>
          </w:tcPr>
          <w:p w14:paraId="08B72C08" w14:textId="77777777" w:rsidR="00C06957" w:rsidRPr="00C06957" w:rsidRDefault="00C06957" w:rsidP="00377EA9">
            <w:pPr>
              <w:pStyle w:val="tabletext"/>
              <w:jc w:val="center"/>
              <w:rPr>
                <w:b/>
                <w:bCs/>
                <w:color w:val="FFFFFF" w:themeColor="background1"/>
                <w:sz w:val="16"/>
                <w:szCs w:val="18"/>
              </w:rPr>
            </w:pPr>
            <w:r w:rsidRPr="00C06957">
              <w:rPr>
                <w:b/>
                <w:bCs/>
                <w:color w:val="FFFFFF" w:themeColor="background1"/>
                <w:sz w:val="16"/>
                <w:szCs w:val="18"/>
              </w:rPr>
              <w:t>Recurrent net treatment gap / surplus @ Mar 2029</w:t>
            </w:r>
          </w:p>
        </w:tc>
        <w:tc>
          <w:tcPr>
            <w:tcW w:w="7024" w:type="dxa"/>
            <w:gridSpan w:val="10"/>
            <w:tcBorders>
              <w:left w:val="single" w:sz="8" w:space="0" w:color="A6A6A6" w:themeColor="accent6" w:themeShade="A6"/>
            </w:tcBorders>
            <w:shd w:val="clear" w:color="auto" w:fill="374264"/>
            <w:vAlign w:val="center"/>
          </w:tcPr>
          <w:p w14:paraId="7620F0C4" w14:textId="77777777" w:rsidR="00C06957" w:rsidRPr="00C06957" w:rsidRDefault="00C06957" w:rsidP="00377EA9">
            <w:pPr>
              <w:pStyle w:val="tabletext"/>
              <w:jc w:val="center"/>
              <w:rPr>
                <w:b/>
                <w:bCs/>
                <w:color w:val="FFFFFF" w:themeColor="background1"/>
                <w:sz w:val="16"/>
                <w:szCs w:val="18"/>
              </w:rPr>
            </w:pPr>
            <w:r w:rsidRPr="00C06957">
              <w:rPr>
                <w:b/>
                <w:bCs/>
                <w:color w:val="FFFFFF" w:themeColor="background1"/>
                <w:sz w:val="16"/>
                <w:szCs w:val="18"/>
              </w:rPr>
              <w:t xml:space="preserve">Recurrent net treatment gap from 2030 for five years </w:t>
            </w:r>
            <w:r w:rsidRPr="00C06957">
              <w:rPr>
                <w:b/>
                <w:bCs/>
                <w:color w:val="FFFFFF" w:themeColor="background1"/>
                <w:sz w:val="16"/>
                <w:szCs w:val="18"/>
              </w:rPr>
              <w:br/>
              <w:t>based on differing demand (%) growth</w:t>
            </w:r>
          </w:p>
        </w:tc>
      </w:tr>
      <w:tr w:rsidR="00C06957" w:rsidRPr="00785C94" w14:paraId="39E97AE5" w14:textId="77777777" w:rsidTr="005838A8">
        <w:tc>
          <w:tcPr>
            <w:tcW w:w="1106" w:type="dxa"/>
            <w:vMerge/>
            <w:tcBorders>
              <w:right w:val="single" w:sz="8" w:space="0" w:color="A6A6A6" w:themeColor="accent6" w:themeShade="A6"/>
            </w:tcBorders>
            <w:vAlign w:val="center"/>
          </w:tcPr>
          <w:p w14:paraId="62B610F9" w14:textId="77777777" w:rsidR="00C06957" w:rsidRPr="00785C94" w:rsidRDefault="00C06957" w:rsidP="00377EA9">
            <w:pPr>
              <w:pStyle w:val="tabletext"/>
              <w:rPr>
                <w:sz w:val="16"/>
                <w:szCs w:val="18"/>
              </w:rPr>
            </w:pPr>
          </w:p>
        </w:tc>
        <w:tc>
          <w:tcPr>
            <w:tcW w:w="1701" w:type="dxa"/>
            <w:gridSpan w:val="2"/>
            <w:vMerge/>
            <w:tcBorders>
              <w:left w:val="single" w:sz="8" w:space="0" w:color="A6A6A6" w:themeColor="accent6" w:themeShade="A6"/>
              <w:right w:val="single" w:sz="8" w:space="0" w:color="A6A6A6" w:themeColor="accent6" w:themeShade="A6"/>
            </w:tcBorders>
            <w:vAlign w:val="center"/>
          </w:tcPr>
          <w:p w14:paraId="7DB61E2F" w14:textId="77777777" w:rsidR="00C06957" w:rsidRPr="00785C94" w:rsidRDefault="00C06957" w:rsidP="00377EA9">
            <w:pPr>
              <w:pStyle w:val="tabletext"/>
              <w:rPr>
                <w:sz w:val="16"/>
                <w:szCs w:val="18"/>
              </w:rPr>
            </w:pPr>
          </w:p>
        </w:tc>
        <w:tc>
          <w:tcPr>
            <w:tcW w:w="1404" w:type="dxa"/>
            <w:gridSpan w:val="2"/>
            <w:tcBorders>
              <w:left w:val="single" w:sz="8" w:space="0" w:color="A6A6A6" w:themeColor="accent6" w:themeShade="A6"/>
              <w:right w:val="single" w:sz="8" w:space="0" w:color="A6A6A6" w:themeColor="accent6" w:themeShade="A6"/>
            </w:tcBorders>
            <w:shd w:val="clear" w:color="auto" w:fill="4A5886"/>
            <w:vAlign w:val="center"/>
          </w:tcPr>
          <w:p w14:paraId="4EB0E955"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2030</w:t>
            </w:r>
          </w:p>
        </w:tc>
        <w:tc>
          <w:tcPr>
            <w:tcW w:w="1405" w:type="dxa"/>
            <w:gridSpan w:val="2"/>
            <w:tcBorders>
              <w:left w:val="single" w:sz="8" w:space="0" w:color="A6A6A6" w:themeColor="accent6" w:themeShade="A6"/>
              <w:right w:val="single" w:sz="8" w:space="0" w:color="A6A6A6" w:themeColor="accent6" w:themeShade="A6"/>
            </w:tcBorders>
            <w:shd w:val="clear" w:color="auto" w:fill="4A5886"/>
            <w:vAlign w:val="center"/>
          </w:tcPr>
          <w:p w14:paraId="73F4503F"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2031</w:t>
            </w:r>
          </w:p>
        </w:tc>
        <w:tc>
          <w:tcPr>
            <w:tcW w:w="1405" w:type="dxa"/>
            <w:gridSpan w:val="2"/>
            <w:tcBorders>
              <w:left w:val="single" w:sz="8" w:space="0" w:color="A6A6A6" w:themeColor="accent6" w:themeShade="A6"/>
              <w:right w:val="single" w:sz="8" w:space="0" w:color="A6A6A6" w:themeColor="accent6" w:themeShade="A6"/>
            </w:tcBorders>
            <w:shd w:val="clear" w:color="auto" w:fill="4A5886"/>
            <w:vAlign w:val="center"/>
          </w:tcPr>
          <w:p w14:paraId="7EB77014"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2032</w:t>
            </w:r>
          </w:p>
        </w:tc>
        <w:tc>
          <w:tcPr>
            <w:tcW w:w="1405" w:type="dxa"/>
            <w:gridSpan w:val="2"/>
            <w:tcBorders>
              <w:left w:val="single" w:sz="8" w:space="0" w:color="A6A6A6" w:themeColor="accent6" w:themeShade="A6"/>
              <w:right w:val="single" w:sz="8" w:space="0" w:color="A6A6A6" w:themeColor="accent6" w:themeShade="A6"/>
            </w:tcBorders>
            <w:shd w:val="clear" w:color="auto" w:fill="4A5886"/>
            <w:vAlign w:val="center"/>
          </w:tcPr>
          <w:p w14:paraId="5E539E62"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2033</w:t>
            </w:r>
          </w:p>
        </w:tc>
        <w:tc>
          <w:tcPr>
            <w:tcW w:w="1405" w:type="dxa"/>
            <w:gridSpan w:val="2"/>
            <w:tcBorders>
              <w:left w:val="single" w:sz="8" w:space="0" w:color="A6A6A6" w:themeColor="accent6" w:themeShade="A6"/>
            </w:tcBorders>
            <w:shd w:val="clear" w:color="auto" w:fill="4A5886"/>
            <w:vAlign w:val="center"/>
          </w:tcPr>
          <w:p w14:paraId="48EFFDD4"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2034</w:t>
            </w:r>
          </w:p>
        </w:tc>
      </w:tr>
      <w:tr w:rsidR="002C5E91" w:rsidRPr="00785C94" w14:paraId="29162113" w14:textId="77777777" w:rsidTr="005838A8">
        <w:tc>
          <w:tcPr>
            <w:tcW w:w="1106" w:type="dxa"/>
            <w:vMerge/>
            <w:tcBorders>
              <w:right w:val="single" w:sz="8" w:space="0" w:color="A6A6A6" w:themeColor="accent6" w:themeShade="A6"/>
            </w:tcBorders>
            <w:vAlign w:val="center"/>
          </w:tcPr>
          <w:p w14:paraId="4D1C649A" w14:textId="77777777" w:rsidR="00C06957" w:rsidRPr="00785C94" w:rsidRDefault="00C06957" w:rsidP="00377EA9">
            <w:pPr>
              <w:pStyle w:val="tabletext"/>
              <w:rPr>
                <w:sz w:val="16"/>
                <w:szCs w:val="18"/>
              </w:rPr>
            </w:pPr>
          </w:p>
        </w:tc>
        <w:tc>
          <w:tcPr>
            <w:tcW w:w="850" w:type="dxa"/>
            <w:tcBorders>
              <w:left w:val="single" w:sz="8" w:space="0" w:color="A6A6A6" w:themeColor="accent6" w:themeShade="A6"/>
            </w:tcBorders>
            <w:shd w:val="clear" w:color="auto" w:fill="4A5886"/>
            <w:vAlign w:val="center"/>
          </w:tcPr>
          <w:p w14:paraId="554C57BD"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1% demand</w:t>
            </w:r>
          </w:p>
        </w:tc>
        <w:tc>
          <w:tcPr>
            <w:tcW w:w="851" w:type="dxa"/>
            <w:tcBorders>
              <w:right w:val="single" w:sz="8" w:space="0" w:color="A6A6A6" w:themeColor="accent6" w:themeShade="A6"/>
            </w:tcBorders>
            <w:shd w:val="clear" w:color="auto" w:fill="4A5886"/>
            <w:vAlign w:val="center"/>
          </w:tcPr>
          <w:p w14:paraId="6CCEC7CC"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4% demand</w:t>
            </w:r>
          </w:p>
        </w:tc>
        <w:tc>
          <w:tcPr>
            <w:tcW w:w="702" w:type="dxa"/>
            <w:tcBorders>
              <w:left w:val="single" w:sz="8" w:space="0" w:color="A6A6A6" w:themeColor="accent6" w:themeShade="A6"/>
            </w:tcBorders>
            <w:shd w:val="clear" w:color="auto" w:fill="4A5886"/>
            <w:vAlign w:val="center"/>
          </w:tcPr>
          <w:p w14:paraId="53D3CAA7"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xml:space="preserve">@ 1% </w:t>
            </w:r>
          </w:p>
        </w:tc>
        <w:tc>
          <w:tcPr>
            <w:tcW w:w="702" w:type="dxa"/>
            <w:tcBorders>
              <w:right w:val="single" w:sz="8" w:space="0" w:color="A6A6A6" w:themeColor="accent6" w:themeShade="A6"/>
            </w:tcBorders>
            <w:shd w:val="clear" w:color="auto" w:fill="4A5886"/>
            <w:vAlign w:val="center"/>
          </w:tcPr>
          <w:p w14:paraId="7F125815"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xml:space="preserve">@ 4% </w:t>
            </w:r>
          </w:p>
        </w:tc>
        <w:tc>
          <w:tcPr>
            <w:tcW w:w="703" w:type="dxa"/>
            <w:tcBorders>
              <w:left w:val="single" w:sz="8" w:space="0" w:color="A6A6A6" w:themeColor="accent6" w:themeShade="A6"/>
            </w:tcBorders>
            <w:shd w:val="clear" w:color="auto" w:fill="4A5886"/>
            <w:vAlign w:val="center"/>
          </w:tcPr>
          <w:p w14:paraId="7DCA21A6"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xml:space="preserve">@ 1% </w:t>
            </w:r>
          </w:p>
        </w:tc>
        <w:tc>
          <w:tcPr>
            <w:tcW w:w="702" w:type="dxa"/>
            <w:tcBorders>
              <w:right w:val="single" w:sz="8" w:space="0" w:color="A6A6A6" w:themeColor="accent6" w:themeShade="A6"/>
            </w:tcBorders>
            <w:shd w:val="clear" w:color="auto" w:fill="4A5886"/>
            <w:vAlign w:val="center"/>
          </w:tcPr>
          <w:p w14:paraId="4E79DF9B"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xml:space="preserve">@ 4% </w:t>
            </w:r>
          </w:p>
        </w:tc>
        <w:tc>
          <w:tcPr>
            <w:tcW w:w="703" w:type="dxa"/>
            <w:tcBorders>
              <w:left w:val="single" w:sz="8" w:space="0" w:color="A6A6A6" w:themeColor="accent6" w:themeShade="A6"/>
            </w:tcBorders>
            <w:shd w:val="clear" w:color="auto" w:fill="4A5886"/>
            <w:vAlign w:val="center"/>
          </w:tcPr>
          <w:p w14:paraId="3484125A"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xml:space="preserve">@ 1% </w:t>
            </w:r>
          </w:p>
        </w:tc>
        <w:tc>
          <w:tcPr>
            <w:tcW w:w="702" w:type="dxa"/>
            <w:tcBorders>
              <w:right w:val="single" w:sz="8" w:space="0" w:color="A6A6A6" w:themeColor="accent6" w:themeShade="A6"/>
            </w:tcBorders>
            <w:shd w:val="clear" w:color="auto" w:fill="4A5886"/>
            <w:vAlign w:val="center"/>
          </w:tcPr>
          <w:p w14:paraId="49C0E6C1"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xml:space="preserve">@ 4% </w:t>
            </w:r>
          </w:p>
        </w:tc>
        <w:tc>
          <w:tcPr>
            <w:tcW w:w="702" w:type="dxa"/>
            <w:tcBorders>
              <w:left w:val="single" w:sz="8" w:space="0" w:color="A6A6A6" w:themeColor="accent6" w:themeShade="A6"/>
            </w:tcBorders>
            <w:shd w:val="clear" w:color="auto" w:fill="4A5886"/>
            <w:vAlign w:val="center"/>
          </w:tcPr>
          <w:p w14:paraId="08614EB6"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xml:space="preserve">@ 1% </w:t>
            </w:r>
          </w:p>
        </w:tc>
        <w:tc>
          <w:tcPr>
            <w:tcW w:w="703" w:type="dxa"/>
            <w:tcBorders>
              <w:right w:val="single" w:sz="8" w:space="0" w:color="A6A6A6" w:themeColor="accent6" w:themeShade="A6"/>
            </w:tcBorders>
            <w:shd w:val="clear" w:color="auto" w:fill="4A5886"/>
            <w:vAlign w:val="center"/>
          </w:tcPr>
          <w:p w14:paraId="1815525E"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xml:space="preserve">@ 4% </w:t>
            </w:r>
          </w:p>
        </w:tc>
        <w:tc>
          <w:tcPr>
            <w:tcW w:w="702" w:type="dxa"/>
            <w:tcBorders>
              <w:left w:val="single" w:sz="8" w:space="0" w:color="A6A6A6" w:themeColor="accent6" w:themeShade="A6"/>
            </w:tcBorders>
            <w:shd w:val="clear" w:color="auto" w:fill="4A5886"/>
            <w:vAlign w:val="center"/>
          </w:tcPr>
          <w:p w14:paraId="0505A71C"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xml:space="preserve">@ 1% </w:t>
            </w:r>
          </w:p>
        </w:tc>
        <w:tc>
          <w:tcPr>
            <w:tcW w:w="703" w:type="dxa"/>
            <w:shd w:val="clear" w:color="auto" w:fill="4A5886"/>
            <w:vAlign w:val="center"/>
          </w:tcPr>
          <w:p w14:paraId="44E8912C" w14:textId="77777777" w:rsidR="00C06957" w:rsidRPr="002C5E91" w:rsidRDefault="00C06957" w:rsidP="00377EA9">
            <w:pPr>
              <w:pStyle w:val="tabletext"/>
              <w:jc w:val="center"/>
              <w:rPr>
                <w:color w:val="FFFFFF" w:themeColor="background1"/>
                <w:sz w:val="16"/>
                <w:szCs w:val="18"/>
              </w:rPr>
            </w:pPr>
            <w:r w:rsidRPr="002C5E91">
              <w:rPr>
                <w:color w:val="FFFFFF" w:themeColor="background1"/>
                <w:sz w:val="16"/>
                <w:szCs w:val="18"/>
              </w:rPr>
              <w:t xml:space="preserve">@ 4% </w:t>
            </w:r>
          </w:p>
        </w:tc>
      </w:tr>
      <w:tr w:rsidR="00C06957" w:rsidRPr="00785C94" w14:paraId="50E02393" w14:textId="77777777" w:rsidTr="005838A8">
        <w:tc>
          <w:tcPr>
            <w:tcW w:w="1106" w:type="dxa"/>
            <w:tcBorders>
              <w:right w:val="single" w:sz="8" w:space="0" w:color="A6A6A6" w:themeColor="accent6" w:themeShade="A6"/>
            </w:tcBorders>
            <w:vAlign w:val="center"/>
          </w:tcPr>
          <w:p w14:paraId="50FF9272" w14:textId="77777777" w:rsidR="00C06957" w:rsidRPr="00785C94" w:rsidRDefault="00C06957" w:rsidP="00377EA9">
            <w:pPr>
              <w:pStyle w:val="tabletext"/>
              <w:rPr>
                <w:sz w:val="16"/>
                <w:szCs w:val="18"/>
              </w:rPr>
            </w:pPr>
            <w:r w:rsidRPr="00BE6A5E">
              <w:rPr>
                <w:sz w:val="16"/>
                <w:szCs w:val="16"/>
              </w:rPr>
              <w:t>ABUHB</w:t>
            </w:r>
          </w:p>
        </w:tc>
        <w:tc>
          <w:tcPr>
            <w:tcW w:w="850" w:type="dxa"/>
            <w:tcBorders>
              <w:left w:val="single" w:sz="8" w:space="0" w:color="A6A6A6" w:themeColor="accent6" w:themeShade="A6"/>
            </w:tcBorders>
            <w:vAlign w:val="center"/>
          </w:tcPr>
          <w:p w14:paraId="77A1F042" w14:textId="77777777" w:rsidR="00C06957" w:rsidRDefault="00C06957" w:rsidP="00377EA9">
            <w:pPr>
              <w:pStyle w:val="tabletext"/>
              <w:jc w:val="center"/>
              <w:rPr>
                <w:sz w:val="16"/>
                <w:szCs w:val="18"/>
              </w:rPr>
            </w:pPr>
            <w:r w:rsidRPr="00BE6A5E">
              <w:rPr>
                <w:sz w:val="16"/>
                <w:szCs w:val="16"/>
              </w:rPr>
              <w:t>-153</w:t>
            </w:r>
          </w:p>
        </w:tc>
        <w:tc>
          <w:tcPr>
            <w:tcW w:w="851" w:type="dxa"/>
            <w:tcBorders>
              <w:right w:val="single" w:sz="8" w:space="0" w:color="A6A6A6" w:themeColor="accent6" w:themeShade="A6"/>
            </w:tcBorders>
            <w:vAlign w:val="center"/>
          </w:tcPr>
          <w:p w14:paraId="1A8B13CF" w14:textId="77777777" w:rsidR="00C06957" w:rsidRDefault="00C06957" w:rsidP="00377EA9">
            <w:pPr>
              <w:pStyle w:val="tabletext"/>
              <w:jc w:val="center"/>
              <w:rPr>
                <w:sz w:val="16"/>
                <w:szCs w:val="18"/>
              </w:rPr>
            </w:pPr>
            <w:r w:rsidRPr="00BE6A5E">
              <w:rPr>
                <w:sz w:val="16"/>
                <w:szCs w:val="16"/>
              </w:rPr>
              <w:t>-539</w:t>
            </w:r>
          </w:p>
        </w:tc>
        <w:tc>
          <w:tcPr>
            <w:tcW w:w="702" w:type="dxa"/>
            <w:tcBorders>
              <w:left w:val="single" w:sz="8" w:space="0" w:color="A6A6A6" w:themeColor="accent6" w:themeShade="A6"/>
            </w:tcBorders>
            <w:vAlign w:val="center"/>
          </w:tcPr>
          <w:p w14:paraId="64839B2D" w14:textId="77777777" w:rsidR="00C06957" w:rsidRPr="00785C94" w:rsidRDefault="00C06957" w:rsidP="00377EA9">
            <w:pPr>
              <w:pStyle w:val="tabletext"/>
              <w:jc w:val="center"/>
              <w:rPr>
                <w:sz w:val="16"/>
                <w:szCs w:val="18"/>
              </w:rPr>
            </w:pPr>
            <w:r w:rsidRPr="00BE6A5E">
              <w:rPr>
                <w:sz w:val="16"/>
                <w:szCs w:val="16"/>
              </w:rPr>
              <w:t>-155</w:t>
            </w:r>
          </w:p>
        </w:tc>
        <w:tc>
          <w:tcPr>
            <w:tcW w:w="702" w:type="dxa"/>
            <w:tcBorders>
              <w:right w:val="single" w:sz="8" w:space="0" w:color="A6A6A6" w:themeColor="accent6" w:themeShade="A6"/>
            </w:tcBorders>
            <w:vAlign w:val="center"/>
          </w:tcPr>
          <w:p w14:paraId="27E50948" w14:textId="77777777" w:rsidR="00C06957" w:rsidRPr="00785C94" w:rsidRDefault="00C06957" w:rsidP="00377EA9">
            <w:pPr>
              <w:pStyle w:val="tabletext"/>
              <w:jc w:val="center"/>
              <w:rPr>
                <w:sz w:val="16"/>
                <w:szCs w:val="18"/>
              </w:rPr>
            </w:pPr>
            <w:r w:rsidRPr="00BE6A5E">
              <w:rPr>
                <w:sz w:val="16"/>
                <w:szCs w:val="16"/>
              </w:rPr>
              <w:t>-561</w:t>
            </w:r>
          </w:p>
        </w:tc>
        <w:tc>
          <w:tcPr>
            <w:tcW w:w="703" w:type="dxa"/>
            <w:tcBorders>
              <w:left w:val="single" w:sz="8" w:space="0" w:color="A6A6A6" w:themeColor="accent6" w:themeShade="A6"/>
            </w:tcBorders>
            <w:vAlign w:val="center"/>
          </w:tcPr>
          <w:p w14:paraId="18A1D345" w14:textId="77777777" w:rsidR="00C06957" w:rsidRPr="00785C94" w:rsidRDefault="00C06957" w:rsidP="00377EA9">
            <w:pPr>
              <w:pStyle w:val="tabletext"/>
              <w:jc w:val="center"/>
              <w:rPr>
                <w:sz w:val="16"/>
                <w:szCs w:val="18"/>
              </w:rPr>
            </w:pPr>
            <w:r w:rsidRPr="00BE6A5E">
              <w:rPr>
                <w:sz w:val="16"/>
                <w:szCs w:val="16"/>
              </w:rPr>
              <w:t>-156</w:t>
            </w:r>
          </w:p>
        </w:tc>
        <w:tc>
          <w:tcPr>
            <w:tcW w:w="702" w:type="dxa"/>
            <w:tcBorders>
              <w:right w:val="single" w:sz="8" w:space="0" w:color="A6A6A6" w:themeColor="accent6" w:themeShade="A6"/>
            </w:tcBorders>
            <w:vAlign w:val="center"/>
          </w:tcPr>
          <w:p w14:paraId="1332B5D1" w14:textId="77777777" w:rsidR="00C06957" w:rsidRPr="00785C94" w:rsidRDefault="00C06957" w:rsidP="00377EA9">
            <w:pPr>
              <w:pStyle w:val="tabletext"/>
              <w:jc w:val="center"/>
              <w:rPr>
                <w:sz w:val="16"/>
                <w:szCs w:val="18"/>
              </w:rPr>
            </w:pPr>
            <w:r w:rsidRPr="00BE6A5E">
              <w:rPr>
                <w:sz w:val="16"/>
                <w:szCs w:val="16"/>
              </w:rPr>
              <w:t>-583</w:t>
            </w:r>
          </w:p>
        </w:tc>
        <w:tc>
          <w:tcPr>
            <w:tcW w:w="703" w:type="dxa"/>
            <w:tcBorders>
              <w:left w:val="single" w:sz="8" w:space="0" w:color="A6A6A6" w:themeColor="accent6" w:themeShade="A6"/>
            </w:tcBorders>
            <w:vAlign w:val="center"/>
          </w:tcPr>
          <w:p w14:paraId="1B75CBCD" w14:textId="77777777" w:rsidR="00C06957" w:rsidRPr="00785C94" w:rsidRDefault="00C06957" w:rsidP="00377EA9">
            <w:pPr>
              <w:pStyle w:val="tabletext"/>
              <w:jc w:val="center"/>
              <w:rPr>
                <w:sz w:val="16"/>
                <w:szCs w:val="18"/>
              </w:rPr>
            </w:pPr>
            <w:r w:rsidRPr="00BE6A5E">
              <w:rPr>
                <w:sz w:val="16"/>
                <w:szCs w:val="16"/>
              </w:rPr>
              <w:t>-158</w:t>
            </w:r>
          </w:p>
        </w:tc>
        <w:tc>
          <w:tcPr>
            <w:tcW w:w="702" w:type="dxa"/>
            <w:tcBorders>
              <w:right w:val="single" w:sz="8" w:space="0" w:color="A6A6A6" w:themeColor="accent6" w:themeShade="A6"/>
            </w:tcBorders>
            <w:vAlign w:val="center"/>
          </w:tcPr>
          <w:p w14:paraId="111825C8" w14:textId="77777777" w:rsidR="00C06957" w:rsidRPr="00785C94" w:rsidRDefault="00C06957" w:rsidP="00377EA9">
            <w:pPr>
              <w:pStyle w:val="tabletext"/>
              <w:jc w:val="center"/>
              <w:rPr>
                <w:sz w:val="16"/>
                <w:szCs w:val="18"/>
              </w:rPr>
            </w:pPr>
            <w:r w:rsidRPr="00BE6A5E">
              <w:rPr>
                <w:sz w:val="16"/>
                <w:szCs w:val="16"/>
              </w:rPr>
              <w:t>-606</w:t>
            </w:r>
          </w:p>
        </w:tc>
        <w:tc>
          <w:tcPr>
            <w:tcW w:w="702" w:type="dxa"/>
            <w:tcBorders>
              <w:left w:val="single" w:sz="8" w:space="0" w:color="A6A6A6" w:themeColor="accent6" w:themeShade="A6"/>
            </w:tcBorders>
            <w:vAlign w:val="center"/>
          </w:tcPr>
          <w:p w14:paraId="666E26DF" w14:textId="77777777" w:rsidR="00C06957" w:rsidRPr="00785C94" w:rsidRDefault="00C06957" w:rsidP="00377EA9">
            <w:pPr>
              <w:pStyle w:val="tabletext"/>
              <w:jc w:val="center"/>
              <w:rPr>
                <w:sz w:val="16"/>
                <w:szCs w:val="18"/>
              </w:rPr>
            </w:pPr>
            <w:r w:rsidRPr="00BE6A5E">
              <w:rPr>
                <w:sz w:val="16"/>
                <w:szCs w:val="16"/>
              </w:rPr>
              <w:t>-159</w:t>
            </w:r>
          </w:p>
        </w:tc>
        <w:tc>
          <w:tcPr>
            <w:tcW w:w="703" w:type="dxa"/>
            <w:tcBorders>
              <w:right w:val="single" w:sz="8" w:space="0" w:color="A6A6A6" w:themeColor="accent6" w:themeShade="A6"/>
            </w:tcBorders>
            <w:vAlign w:val="center"/>
          </w:tcPr>
          <w:p w14:paraId="2AD62236" w14:textId="77777777" w:rsidR="00C06957" w:rsidRPr="00785C94" w:rsidRDefault="00C06957" w:rsidP="00377EA9">
            <w:pPr>
              <w:pStyle w:val="tabletext"/>
              <w:jc w:val="center"/>
              <w:rPr>
                <w:sz w:val="16"/>
                <w:szCs w:val="18"/>
              </w:rPr>
            </w:pPr>
            <w:r w:rsidRPr="00BE6A5E">
              <w:rPr>
                <w:sz w:val="16"/>
                <w:szCs w:val="16"/>
              </w:rPr>
              <w:t>-631</w:t>
            </w:r>
          </w:p>
        </w:tc>
        <w:tc>
          <w:tcPr>
            <w:tcW w:w="702" w:type="dxa"/>
            <w:tcBorders>
              <w:left w:val="single" w:sz="8" w:space="0" w:color="A6A6A6" w:themeColor="accent6" w:themeShade="A6"/>
            </w:tcBorders>
            <w:vAlign w:val="center"/>
          </w:tcPr>
          <w:p w14:paraId="73EB4C5A" w14:textId="77777777" w:rsidR="00C06957" w:rsidRPr="00785C94" w:rsidRDefault="00C06957" w:rsidP="00377EA9">
            <w:pPr>
              <w:pStyle w:val="tabletext"/>
              <w:jc w:val="center"/>
              <w:rPr>
                <w:sz w:val="16"/>
                <w:szCs w:val="18"/>
              </w:rPr>
            </w:pPr>
            <w:r w:rsidRPr="00BE6A5E">
              <w:rPr>
                <w:sz w:val="16"/>
                <w:szCs w:val="16"/>
              </w:rPr>
              <w:t>-161</w:t>
            </w:r>
          </w:p>
        </w:tc>
        <w:tc>
          <w:tcPr>
            <w:tcW w:w="703" w:type="dxa"/>
            <w:vAlign w:val="center"/>
          </w:tcPr>
          <w:p w14:paraId="24DD17A0" w14:textId="77777777" w:rsidR="00C06957" w:rsidRPr="00785C94" w:rsidRDefault="00C06957" w:rsidP="00377EA9">
            <w:pPr>
              <w:pStyle w:val="tabletext"/>
              <w:jc w:val="center"/>
              <w:rPr>
                <w:sz w:val="16"/>
                <w:szCs w:val="18"/>
              </w:rPr>
            </w:pPr>
            <w:r w:rsidRPr="00BE6A5E">
              <w:rPr>
                <w:sz w:val="16"/>
                <w:szCs w:val="16"/>
              </w:rPr>
              <w:t>-656</w:t>
            </w:r>
          </w:p>
        </w:tc>
      </w:tr>
      <w:tr w:rsidR="00C06957" w:rsidRPr="00785C94" w14:paraId="55F711B7" w14:textId="77777777" w:rsidTr="005838A8">
        <w:tc>
          <w:tcPr>
            <w:tcW w:w="1106" w:type="dxa"/>
            <w:tcBorders>
              <w:right w:val="single" w:sz="8" w:space="0" w:color="A6A6A6" w:themeColor="accent6" w:themeShade="A6"/>
            </w:tcBorders>
            <w:vAlign w:val="center"/>
          </w:tcPr>
          <w:p w14:paraId="41C19F0F" w14:textId="77777777" w:rsidR="00C06957" w:rsidRPr="00BE6A5E" w:rsidRDefault="00C06957" w:rsidP="00377EA9">
            <w:pPr>
              <w:pStyle w:val="tabletext"/>
              <w:rPr>
                <w:sz w:val="16"/>
                <w:szCs w:val="16"/>
              </w:rPr>
            </w:pPr>
            <w:r w:rsidRPr="00BE6A5E">
              <w:rPr>
                <w:sz w:val="16"/>
                <w:szCs w:val="16"/>
              </w:rPr>
              <w:t>CAVUHB</w:t>
            </w:r>
          </w:p>
        </w:tc>
        <w:tc>
          <w:tcPr>
            <w:tcW w:w="850" w:type="dxa"/>
            <w:tcBorders>
              <w:left w:val="single" w:sz="8" w:space="0" w:color="A6A6A6" w:themeColor="accent6" w:themeShade="A6"/>
            </w:tcBorders>
            <w:vAlign w:val="center"/>
          </w:tcPr>
          <w:p w14:paraId="3BFFE86D" w14:textId="77777777" w:rsidR="00C06957" w:rsidRPr="00BE6A5E" w:rsidRDefault="00C06957" w:rsidP="00377EA9">
            <w:pPr>
              <w:pStyle w:val="tabletext"/>
              <w:jc w:val="center"/>
              <w:rPr>
                <w:sz w:val="16"/>
                <w:szCs w:val="16"/>
              </w:rPr>
            </w:pPr>
            <w:r w:rsidRPr="00BE6A5E">
              <w:rPr>
                <w:b/>
                <w:bCs/>
                <w:sz w:val="16"/>
                <w:szCs w:val="16"/>
              </w:rPr>
              <w:t>242</w:t>
            </w:r>
          </w:p>
        </w:tc>
        <w:tc>
          <w:tcPr>
            <w:tcW w:w="851" w:type="dxa"/>
            <w:tcBorders>
              <w:right w:val="single" w:sz="8" w:space="0" w:color="A6A6A6" w:themeColor="accent6" w:themeShade="A6"/>
            </w:tcBorders>
            <w:vAlign w:val="center"/>
          </w:tcPr>
          <w:p w14:paraId="63847F9A" w14:textId="77777777" w:rsidR="00C06957" w:rsidRPr="00BE6A5E" w:rsidRDefault="00C06957" w:rsidP="00377EA9">
            <w:pPr>
              <w:pStyle w:val="tabletext"/>
              <w:jc w:val="center"/>
              <w:rPr>
                <w:sz w:val="16"/>
                <w:szCs w:val="16"/>
              </w:rPr>
            </w:pPr>
            <w:r w:rsidRPr="00BE6A5E">
              <w:rPr>
                <w:b/>
                <w:bCs/>
                <w:sz w:val="16"/>
                <w:szCs w:val="16"/>
              </w:rPr>
              <w:t>-115</w:t>
            </w:r>
          </w:p>
        </w:tc>
        <w:tc>
          <w:tcPr>
            <w:tcW w:w="702" w:type="dxa"/>
            <w:tcBorders>
              <w:left w:val="single" w:sz="8" w:space="0" w:color="A6A6A6" w:themeColor="accent6" w:themeShade="A6"/>
            </w:tcBorders>
            <w:vAlign w:val="center"/>
          </w:tcPr>
          <w:p w14:paraId="6D202743" w14:textId="77777777" w:rsidR="00C06957" w:rsidRPr="00BE6A5E" w:rsidRDefault="00C06957" w:rsidP="00377EA9">
            <w:pPr>
              <w:pStyle w:val="tabletext"/>
              <w:jc w:val="center"/>
              <w:rPr>
                <w:sz w:val="16"/>
                <w:szCs w:val="16"/>
              </w:rPr>
            </w:pPr>
            <w:r w:rsidRPr="00BE6A5E">
              <w:rPr>
                <w:sz w:val="16"/>
                <w:szCs w:val="16"/>
              </w:rPr>
              <w:t>244</w:t>
            </w:r>
          </w:p>
        </w:tc>
        <w:tc>
          <w:tcPr>
            <w:tcW w:w="702" w:type="dxa"/>
            <w:tcBorders>
              <w:right w:val="single" w:sz="8" w:space="0" w:color="A6A6A6" w:themeColor="accent6" w:themeShade="A6"/>
            </w:tcBorders>
            <w:vAlign w:val="center"/>
          </w:tcPr>
          <w:p w14:paraId="058F19E6" w14:textId="77777777" w:rsidR="00C06957" w:rsidRPr="00BE6A5E" w:rsidRDefault="00C06957" w:rsidP="00377EA9">
            <w:pPr>
              <w:pStyle w:val="tabletext"/>
              <w:jc w:val="center"/>
              <w:rPr>
                <w:sz w:val="16"/>
                <w:szCs w:val="16"/>
              </w:rPr>
            </w:pPr>
            <w:r w:rsidRPr="00BE6A5E">
              <w:rPr>
                <w:sz w:val="16"/>
                <w:szCs w:val="16"/>
              </w:rPr>
              <w:t>-120</w:t>
            </w:r>
          </w:p>
        </w:tc>
        <w:tc>
          <w:tcPr>
            <w:tcW w:w="703" w:type="dxa"/>
            <w:tcBorders>
              <w:left w:val="single" w:sz="8" w:space="0" w:color="A6A6A6" w:themeColor="accent6" w:themeShade="A6"/>
            </w:tcBorders>
            <w:vAlign w:val="center"/>
          </w:tcPr>
          <w:p w14:paraId="5DE1370A" w14:textId="77777777" w:rsidR="00C06957" w:rsidRPr="00BE6A5E" w:rsidRDefault="00C06957" w:rsidP="00377EA9">
            <w:pPr>
              <w:pStyle w:val="tabletext"/>
              <w:jc w:val="center"/>
              <w:rPr>
                <w:sz w:val="16"/>
                <w:szCs w:val="16"/>
              </w:rPr>
            </w:pPr>
            <w:r w:rsidRPr="00BE6A5E">
              <w:rPr>
                <w:sz w:val="16"/>
                <w:szCs w:val="16"/>
              </w:rPr>
              <w:t>247</w:t>
            </w:r>
          </w:p>
        </w:tc>
        <w:tc>
          <w:tcPr>
            <w:tcW w:w="702" w:type="dxa"/>
            <w:tcBorders>
              <w:right w:val="single" w:sz="8" w:space="0" w:color="A6A6A6" w:themeColor="accent6" w:themeShade="A6"/>
            </w:tcBorders>
            <w:vAlign w:val="center"/>
          </w:tcPr>
          <w:p w14:paraId="24095419" w14:textId="77777777" w:rsidR="00C06957" w:rsidRPr="00BE6A5E" w:rsidRDefault="00C06957" w:rsidP="00377EA9">
            <w:pPr>
              <w:pStyle w:val="tabletext"/>
              <w:jc w:val="center"/>
              <w:rPr>
                <w:sz w:val="16"/>
                <w:szCs w:val="16"/>
              </w:rPr>
            </w:pPr>
            <w:r w:rsidRPr="00BE6A5E">
              <w:rPr>
                <w:sz w:val="16"/>
                <w:szCs w:val="16"/>
              </w:rPr>
              <w:t>-124</w:t>
            </w:r>
          </w:p>
        </w:tc>
        <w:tc>
          <w:tcPr>
            <w:tcW w:w="703" w:type="dxa"/>
            <w:tcBorders>
              <w:left w:val="single" w:sz="8" w:space="0" w:color="A6A6A6" w:themeColor="accent6" w:themeShade="A6"/>
            </w:tcBorders>
            <w:vAlign w:val="center"/>
          </w:tcPr>
          <w:p w14:paraId="14EC1847" w14:textId="77777777" w:rsidR="00C06957" w:rsidRPr="00BE6A5E" w:rsidRDefault="00C06957" w:rsidP="00377EA9">
            <w:pPr>
              <w:pStyle w:val="tabletext"/>
              <w:jc w:val="center"/>
              <w:rPr>
                <w:sz w:val="16"/>
                <w:szCs w:val="16"/>
              </w:rPr>
            </w:pPr>
            <w:r w:rsidRPr="00BE6A5E">
              <w:rPr>
                <w:sz w:val="16"/>
                <w:szCs w:val="16"/>
              </w:rPr>
              <w:t>249</w:t>
            </w:r>
          </w:p>
        </w:tc>
        <w:tc>
          <w:tcPr>
            <w:tcW w:w="702" w:type="dxa"/>
            <w:tcBorders>
              <w:right w:val="single" w:sz="8" w:space="0" w:color="A6A6A6" w:themeColor="accent6" w:themeShade="A6"/>
            </w:tcBorders>
            <w:vAlign w:val="center"/>
          </w:tcPr>
          <w:p w14:paraId="406C236D" w14:textId="77777777" w:rsidR="00C06957" w:rsidRPr="00BE6A5E" w:rsidRDefault="00C06957" w:rsidP="00377EA9">
            <w:pPr>
              <w:pStyle w:val="tabletext"/>
              <w:jc w:val="center"/>
              <w:rPr>
                <w:sz w:val="16"/>
                <w:szCs w:val="16"/>
              </w:rPr>
            </w:pPr>
            <w:r w:rsidRPr="00BE6A5E">
              <w:rPr>
                <w:sz w:val="16"/>
                <w:szCs w:val="16"/>
              </w:rPr>
              <w:t>-129</w:t>
            </w:r>
          </w:p>
        </w:tc>
        <w:tc>
          <w:tcPr>
            <w:tcW w:w="702" w:type="dxa"/>
            <w:tcBorders>
              <w:left w:val="single" w:sz="8" w:space="0" w:color="A6A6A6" w:themeColor="accent6" w:themeShade="A6"/>
            </w:tcBorders>
            <w:vAlign w:val="center"/>
          </w:tcPr>
          <w:p w14:paraId="0F97D8F4" w14:textId="77777777" w:rsidR="00C06957" w:rsidRPr="00BE6A5E" w:rsidRDefault="00C06957" w:rsidP="00377EA9">
            <w:pPr>
              <w:pStyle w:val="tabletext"/>
              <w:jc w:val="center"/>
              <w:rPr>
                <w:sz w:val="16"/>
                <w:szCs w:val="16"/>
              </w:rPr>
            </w:pPr>
            <w:r w:rsidRPr="00BE6A5E">
              <w:rPr>
                <w:sz w:val="16"/>
                <w:szCs w:val="16"/>
              </w:rPr>
              <w:t>252</w:t>
            </w:r>
          </w:p>
        </w:tc>
        <w:tc>
          <w:tcPr>
            <w:tcW w:w="703" w:type="dxa"/>
            <w:tcBorders>
              <w:right w:val="single" w:sz="8" w:space="0" w:color="A6A6A6" w:themeColor="accent6" w:themeShade="A6"/>
            </w:tcBorders>
            <w:vAlign w:val="center"/>
          </w:tcPr>
          <w:p w14:paraId="4F6ABFA3" w14:textId="77777777" w:rsidR="00C06957" w:rsidRPr="00BE6A5E" w:rsidRDefault="00C06957" w:rsidP="00377EA9">
            <w:pPr>
              <w:pStyle w:val="tabletext"/>
              <w:jc w:val="center"/>
              <w:rPr>
                <w:sz w:val="16"/>
                <w:szCs w:val="16"/>
              </w:rPr>
            </w:pPr>
            <w:r w:rsidRPr="00BE6A5E">
              <w:rPr>
                <w:sz w:val="16"/>
                <w:szCs w:val="16"/>
              </w:rPr>
              <w:t>-135</w:t>
            </w:r>
          </w:p>
        </w:tc>
        <w:tc>
          <w:tcPr>
            <w:tcW w:w="702" w:type="dxa"/>
            <w:tcBorders>
              <w:left w:val="single" w:sz="8" w:space="0" w:color="A6A6A6" w:themeColor="accent6" w:themeShade="A6"/>
            </w:tcBorders>
            <w:vAlign w:val="center"/>
          </w:tcPr>
          <w:p w14:paraId="4D46B67E" w14:textId="77777777" w:rsidR="00C06957" w:rsidRPr="00BE6A5E" w:rsidRDefault="00C06957" w:rsidP="00377EA9">
            <w:pPr>
              <w:pStyle w:val="tabletext"/>
              <w:jc w:val="center"/>
              <w:rPr>
                <w:sz w:val="16"/>
                <w:szCs w:val="16"/>
              </w:rPr>
            </w:pPr>
            <w:r w:rsidRPr="00BE6A5E">
              <w:rPr>
                <w:sz w:val="16"/>
                <w:szCs w:val="16"/>
              </w:rPr>
              <w:t>254</w:t>
            </w:r>
          </w:p>
        </w:tc>
        <w:tc>
          <w:tcPr>
            <w:tcW w:w="703" w:type="dxa"/>
            <w:vAlign w:val="center"/>
          </w:tcPr>
          <w:p w14:paraId="2CD3D74B" w14:textId="77777777" w:rsidR="00C06957" w:rsidRPr="00BE6A5E" w:rsidRDefault="00C06957" w:rsidP="00377EA9">
            <w:pPr>
              <w:pStyle w:val="tabletext"/>
              <w:jc w:val="center"/>
              <w:rPr>
                <w:sz w:val="16"/>
                <w:szCs w:val="16"/>
              </w:rPr>
            </w:pPr>
            <w:r w:rsidRPr="00BE6A5E">
              <w:rPr>
                <w:sz w:val="16"/>
                <w:szCs w:val="16"/>
              </w:rPr>
              <w:t>-140</w:t>
            </w:r>
          </w:p>
        </w:tc>
      </w:tr>
      <w:tr w:rsidR="00C06957" w:rsidRPr="00785C94" w14:paraId="17451234" w14:textId="77777777" w:rsidTr="005838A8">
        <w:tc>
          <w:tcPr>
            <w:tcW w:w="1106" w:type="dxa"/>
            <w:tcBorders>
              <w:right w:val="single" w:sz="8" w:space="0" w:color="A6A6A6" w:themeColor="accent6" w:themeShade="A6"/>
            </w:tcBorders>
            <w:vAlign w:val="center"/>
          </w:tcPr>
          <w:p w14:paraId="026F7F89" w14:textId="77777777" w:rsidR="00C06957" w:rsidRPr="00BE6A5E" w:rsidRDefault="00C06957" w:rsidP="00377EA9">
            <w:pPr>
              <w:pStyle w:val="tabletext"/>
              <w:rPr>
                <w:sz w:val="16"/>
                <w:szCs w:val="16"/>
              </w:rPr>
            </w:pPr>
            <w:r w:rsidRPr="00BE6A5E">
              <w:rPr>
                <w:sz w:val="16"/>
                <w:szCs w:val="16"/>
              </w:rPr>
              <w:t>CTMUHB</w:t>
            </w:r>
          </w:p>
        </w:tc>
        <w:tc>
          <w:tcPr>
            <w:tcW w:w="850" w:type="dxa"/>
            <w:tcBorders>
              <w:left w:val="single" w:sz="8" w:space="0" w:color="A6A6A6" w:themeColor="accent6" w:themeShade="A6"/>
            </w:tcBorders>
            <w:vAlign w:val="center"/>
          </w:tcPr>
          <w:p w14:paraId="0A7C6D62" w14:textId="77777777" w:rsidR="00C06957" w:rsidRPr="00BE6A5E" w:rsidRDefault="00C06957" w:rsidP="00377EA9">
            <w:pPr>
              <w:pStyle w:val="tabletext"/>
              <w:jc w:val="center"/>
              <w:rPr>
                <w:b/>
                <w:bCs/>
                <w:sz w:val="16"/>
                <w:szCs w:val="16"/>
              </w:rPr>
            </w:pPr>
            <w:r w:rsidRPr="00BE6A5E">
              <w:rPr>
                <w:sz w:val="16"/>
                <w:szCs w:val="16"/>
              </w:rPr>
              <w:t>-486</w:t>
            </w:r>
          </w:p>
        </w:tc>
        <w:tc>
          <w:tcPr>
            <w:tcW w:w="851" w:type="dxa"/>
            <w:tcBorders>
              <w:right w:val="single" w:sz="8" w:space="0" w:color="A6A6A6" w:themeColor="accent6" w:themeShade="A6"/>
            </w:tcBorders>
            <w:vAlign w:val="center"/>
          </w:tcPr>
          <w:p w14:paraId="627D0E6F" w14:textId="77777777" w:rsidR="00C06957" w:rsidRPr="00BE6A5E" w:rsidRDefault="00C06957" w:rsidP="00377EA9">
            <w:pPr>
              <w:pStyle w:val="tabletext"/>
              <w:jc w:val="center"/>
              <w:rPr>
                <w:b/>
                <w:bCs/>
                <w:sz w:val="16"/>
                <w:szCs w:val="16"/>
              </w:rPr>
            </w:pPr>
            <w:r w:rsidRPr="00BE6A5E">
              <w:rPr>
                <w:sz w:val="16"/>
                <w:szCs w:val="16"/>
              </w:rPr>
              <w:t>-889</w:t>
            </w:r>
          </w:p>
        </w:tc>
        <w:tc>
          <w:tcPr>
            <w:tcW w:w="702" w:type="dxa"/>
            <w:tcBorders>
              <w:left w:val="single" w:sz="8" w:space="0" w:color="A6A6A6" w:themeColor="accent6" w:themeShade="A6"/>
            </w:tcBorders>
            <w:vAlign w:val="center"/>
          </w:tcPr>
          <w:p w14:paraId="729FB43E" w14:textId="77777777" w:rsidR="00C06957" w:rsidRPr="00BE6A5E" w:rsidRDefault="00C06957" w:rsidP="00377EA9">
            <w:pPr>
              <w:pStyle w:val="tabletext"/>
              <w:jc w:val="center"/>
              <w:rPr>
                <w:sz w:val="16"/>
                <w:szCs w:val="16"/>
              </w:rPr>
            </w:pPr>
            <w:r w:rsidRPr="00BE6A5E">
              <w:rPr>
                <w:sz w:val="16"/>
                <w:szCs w:val="16"/>
              </w:rPr>
              <w:t>-491</w:t>
            </w:r>
          </w:p>
        </w:tc>
        <w:tc>
          <w:tcPr>
            <w:tcW w:w="702" w:type="dxa"/>
            <w:tcBorders>
              <w:right w:val="single" w:sz="8" w:space="0" w:color="A6A6A6" w:themeColor="accent6" w:themeShade="A6"/>
            </w:tcBorders>
            <w:vAlign w:val="center"/>
          </w:tcPr>
          <w:p w14:paraId="73D2B012" w14:textId="77777777" w:rsidR="00C06957" w:rsidRPr="00BE6A5E" w:rsidRDefault="00C06957" w:rsidP="00377EA9">
            <w:pPr>
              <w:pStyle w:val="tabletext"/>
              <w:jc w:val="center"/>
              <w:rPr>
                <w:sz w:val="16"/>
                <w:szCs w:val="16"/>
              </w:rPr>
            </w:pPr>
            <w:r w:rsidRPr="00BE6A5E">
              <w:rPr>
                <w:sz w:val="16"/>
                <w:szCs w:val="16"/>
              </w:rPr>
              <w:t>-925</w:t>
            </w:r>
          </w:p>
        </w:tc>
        <w:tc>
          <w:tcPr>
            <w:tcW w:w="703" w:type="dxa"/>
            <w:tcBorders>
              <w:left w:val="single" w:sz="8" w:space="0" w:color="A6A6A6" w:themeColor="accent6" w:themeShade="A6"/>
            </w:tcBorders>
            <w:vAlign w:val="center"/>
          </w:tcPr>
          <w:p w14:paraId="74B9A4FD" w14:textId="77777777" w:rsidR="00C06957" w:rsidRPr="00BE6A5E" w:rsidRDefault="00C06957" w:rsidP="00377EA9">
            <w:pPr>
              <w:pStyle w:val="tabletext"/>
              <w:jc w:val="center"/>
              <w:rPr>
                <w:sz w:val="16"/>
                <w:szCs w:val="16"/>
              </w:rPr>
            </w:pPr>
            <w:r w:rsidRPr="00BE6A5E">
              <w:rPr>
                <w:sz w:val="16"/>
                <w:szCs w:val="16"/>
              </w:rPr>
              <w:t>-496</w:t>
            </w:r>
          </w:p>
        </w:tc>
        <w:tc>
          <w:tcPr>
            <w:tcW w:w="702" w:type="dxa"/>
            <w:tcBorders>
              <w:right w:val="single" w:sz="8" w:space="0" w:color="A6A6A6" w:themeColor="accent6" w:themeShade="A6"/>
            </w:tcBorders>
            <w:vAlign w:val="center"/>
          </w:tcPr>
          <w:p w14:paraId="10FB60E5" w14:textId="77777777" w:rsidR="00C06957" w:rsidRPr="00BE6A5E" w:rsidRDefault="00C06957" w:rsidP="00377EA9">
            <w:pPr>
              <w:pStyle w:val="tabletext"/>
              <w:jc w:val="center"/>
              <w:rPr>
                <w:sz w:val="16"/>
                <w:szCs w:val="16"/>
              </w:rPr>
            </w:pPr>
            <w:r w:rsidRPr="00BE6A5E">
              <w:rPr>
                <w:sz w:val="16"/>
                <w:szCs w:val="16"/>
              </w:rPr>
              <w:t>-962</w:t>
            </w:r>
          </w:p>
        </w:tc>
        <w:tc>
          <w:tcPr>
            <w:tcW w:w="703" w:type="dxa"/>
            <w:tcBorders>
              <w:left w:val="single" w:sz="8" w:space="0" w:color="A6A6A6" w:themeColor="accent6" w:themeShade="A6"/>
            </w:tcBorders>
            <w:vAlign w:val="center"/>
          </w:tcPr>
          <w:p w14:paraId="16C0E2B9" w14:textId="77777777" w:rsidR="00C06957" w:rsidRPr="00BE6A5E" w:rsidRDefault="00C06957" w:rsidP="00377EA9">
            <w:pPr>
              <w:pStyle w:val="tabletext"/>
              <w:jc w:val="center"/>
              <w:rPr>
                <w:sz w:val="16"/>
                <w:szCs w:val="16"/>
              </w:rPr>
            </w:pPr>
            <w:r w:rsidRPr="00BE6A5E">
              <w:rPr>
                <w:sz w:val="16"/>
                <w:szCs w:val="16"/>
              </w:rPr>
              <w:t>-501</w:t>
            </w:r>
          </w:p>
        </w:tc>
        <w:tc>
          <w:tcPr>
            <w:tcW w:w="702" w:type="dxa"/>
            <w:tcBorders>
              <w:right w:val="single" w:sz="8" w:space="0" w:color="A6A6A6" w:themeColor="accent6" w:themeShade="A6"/>
            </w:tcBorders>
            <w:vAlign w:val="center"/>
          </w:tcPr>
          <w:p w14:paraId="00C68929" w14:textId="77777777" w:rsidR="00C06957" w:rsidRPr="00BE6A5E" w:rsidRDefault="00C06957" w:rsidP="00377EA9">
            <w:pPr>
              <w:pStyle w:val="tabletext"/>
              <w:jc w:val="center"/>
              <w:rPr>
                <w:sz w:val="16"/>
                <w:szCs w:val="16"/>
              </w:rPr>
            </w:pPr>
            <w:r w:rsidRPr="00BE6A5E">
              <w:rPr>
                <w:sz w:val="16"/>
                <w:szCs w:val="16"/>
              </w:rPr>
              <w:t>-1,000</w:t>
            </w:r>
          </w:p>
        </w:tc>
        <w:tc>
          <w:tcPr>
            <w:tcW w:w="702" w:type="dxa"/>
            <w:tcBorders>
              <w:left w:val="single" w:sz="8" w:space="0" w:color="A6A6A6" w:themeColor="accent6" w:themeShade="A6"/>
            </w:tcBorders>
            <w:vAlign w:val="center"/>
          </w:tcPr>
          <w:p w14:paraId="5B8894FA" w14:textId="77777777" w:rsidR="00C06957" w:rsidRPr="00BE6A5E" w:rsidRDefault="00C06957" w:rsidP="00377EA9">
            <w:pPr>
              <w:pStyle w:val="tabletext"/>
              <w:jc w:val="center"/>
              <w:rPr>
                <w:sz w:val="16"/>
                <w:szCs w:val="16"/>
              </w:rPr>
            </w:pPr>
            <w:r w:rsidRPr="00BE6A5E">
              <w:rPr>
                <w:sz w:val="16"/>
                <w:szCs w:val="16"/>
              </w:rPr>
              <w:t>-506</w:t>
            </w:r>
          </w:p>
        </w:tc>
        <w:tc>
          <w:tcPr>
            <w:tcW w:w="703" w:type="dxa"/>
            <w:tcBorders>
              <w:right w:val="single" w:sz="8" w:space="0" w:color="A6A6A6" w:themeColor="accent6" w:themeShade="A6"/>
            </w:tcBorders>
            <w:vAlign w:val="center"/>
          </w:tcPr>
          <w:p w14:paraId="21C825AC" w14:textId="77777777" w:rsidR="00C06957" w:rsidRPr="00BE6A5E" w:rsidRDefault="00C06957" w:rsidP="00377EA9">
            <w:pPr>
              <w:pStyle w:val="tabletext"/>
              <w:jc w:val="center"/>
              <w:rPr>
                <w:sz w:val="16"/>
                <w:szCs w:val="16"/>
              </w:rPr>
            </w:pPr>
            <w:r w:rsidRPr="00BE6A5E">
              <w:rPr>
                <w:sz w:val="16"/>
                <w:szCs w:val="16"/>
              </w:rPr>
              <w:t>-1,040</w:t>
            </w:r>
          </w:p>
        </w:tc>
        <w:tc>
          <w:tcPr>
            <w:tcW w:w="702" w:type="dxa"/>
            <w:tcBorders>
              <w:left w:val="single" w:sz="8" w:space="0" w:color="A6A6A6" w:themeColor="accent6" w:themeShade="A6"/>
            </w:tcBorders>
            <w:vAlign w:val="center"/>
          </w:tcPr>
          <w:p w14:paraId="1659F72D" w14:textId="77777777" w:rsidR="00C06957" w:rsidRPr="00BE6A5E" w:rsidRDefault="00C06957" w:rsidP="00377EA9">
            <w:pPr>
              <w:pStyle w:val="tabletext"/>
              <w:jc w:val="center"/>
              <w:rPr>
                <w:sz w:val="16"/>
                <w:szCs w:val="16"/>
              </w:rPr>
            </w:pPr>
            <w:r w:rsidRPr="00BE6A5E">
              <w:rPr>
                <w:sz w:val="16"/>
                <w:szCs w:val="16"/>
              </w:rPr>
              <w:t>-511</w:t>
            </w:r>
          </w:p>
        </w:tc>
        <w:tc>
          <w:tcPr>
            <w:tcW w:w="703" w:type="dxa"/>
            <w:vAlign w:val="center"/>
          </w:tcPr>
          <w:p w14:paraId="146C3BF6" w14:textId="77777777" w:rsidR="00C06957" w:rsidRPr="00BE6A5E" w:rsidRDefault="00C06957" w:rsidP="00377EA9">
            <w:pPr>
              <w:pStyle w:val="tabletext"/>
              <w:jc w:val="center"/>
              <w:rPr>
                <w:sz w:val="16"/>
                <w:szCs w:val="16"/>
              </w:rPr>
            </w:pPr>
            <w:r w:rsidRPr="00BE6A5E">
              <w:rPr>
                <w:sz w:val="16"/>
                <w:szCs w:val="16"/>
              </w:rPr>
              <w:t>-1,082</w:t>
            </w:r>
          </w:p>
        </w:tc>
      </w:tr>
      <w:tr w:rsidR="00C06957" w:rsidRPr="00785C94" w14:paraId="5DCDD5D3" w14:textId="77777777" w:rsidTr="005838A8">
        <w:tc>
          <w:tcPr>
            <w:tcW w:w="1106" w:type="dxa"/>
            <w:tcBorders>
              <w:right w:val="single" w:sz="8" w:space="0" w:color="A6A6A6" w:themeColor="accent6" w:themeShade="A6"/>
            </w:tcBorders>
            <w:vAlign w:val="center"/>
          </w:tcPr>
          <w:p w14:paraId="4FD81375" w14:textId="77777777" w:rsidR="00C06957" w:rsidRPr="00BE6A5E" w:rsidRDefault="00C06957" w:rsidP="00377EA9">
            <w:pPr>
              <w:pStyle w:val="tabletext"/>
              <w:rPr>
                <w:sz w:val="16"/>
                <w:szCs w:val="16"/>
              </w:rPr>
            </w:pPr>
            <w:r w:rsidRPr="00BE6A5E">
              <w:rPr>
                <w:sz w:val="16"/>
                <w:szCs w:val="16"/>
              </w:rPr>
              <w:t xml:space="preserve">SEW </w:t>
            </w:r>
            <w:r>
              <w:rPr>
                <w:sz w:val="16"/>
                <w:szCs w:val="16"/>
              </w:rPr>
              <w:t>r</w:t>
            </w:r>
            <w:r w:rsidRPr="00BE6A5E">
              <w:rPr>
                <w:sz w:val="16"/>
                <w:szCs w:val="16"/>
              </w:rPr>
              <w:t>egion</w:t>
            </w:r>
          </w:p>
        </w:tc>
        <w:tc>
          <w:tcPr>
            <w:tcW w:w="850" w:type="dxa"/>
            <w:tcBorders>
              <w:left w:val="single" w:sz="8" w:space="0" w:color="A6A6A6" w:themeColor="accent6" w:themeShade="A6"/>
            </w:tcBorders>
            <w:vAlign w:val="center"/>
          </w:tcPr>
          <w:p w14:paraId="2F6F3CAE" w14:textId="77777777" w:rsidR="00C06957" w:rsidRPr="00BE6A5E" w:rsidRDefault="00C06957" w:rsidP="00377EA9">
            <w:pPr>
              <w:pStyle w:val="tabletext"/>
              <w:jc w:val="center"/>
              <w:rPr>
                <w:sz w:val="16"/>
                <w:szCs w:val="16"/>
              </w:rPr>
            </w:pPr>
            <w:r w:rsidRPr="00BE6A5E">
              <w:rPr>
                <w:sz w:val="16"/>
                <w:szCs w:val="16"/>
              </w:rPr>
              <w:t>-396</w:t>
            </w:r>
          </w:p>
        </w:tc>
        <w:tc>
          <w:tcPr>
            <w:tcW w:w="851" w:type="dxa"/>
            <w:tcBorders>
              <w:right w:val="single" w:sz="8" w:space="0" w:color="A6A6A6" w:themeColor="accent6" w:themeShade="A6"/>
            </w:tcBorders>
            <w:vAlign w:val="center"/>
          </w:tcPr>
          <w:p w14:paraId="5977BC7F" w14:textId="77777777" w:rsidR="00C06957" w:rsidRPr="00BE6A5E" w:rsidRDefault="00C06957" w:rsidP="00377EA9">
            <w:pPr>
              <w:pStyle w:val="tabletext"/>
              <w:jc w:val="center"/>
              <w:rPr>
                <w:sz w:val="16"/>
                <w:szCs w:val="16"/>
              </w:rPr>
            </w:pPr>
            <w:r w:rsidRPr="00BE6A5E">
              <w:rPr>
                <w:b/>
                <w:bCs/>
                <w:sz w:val="16"/>
                <w:szCs w:val="16"/>
              </w:rPr>
              <w:t>-1</w:t>
            </w:r>
            <w:r>
              <w:rPr>
                <w:b/>
                <w:bCs/>
                <w:sz w:val="16"/>
                <w:szCs w:val="16"/>
              </w:rPr>
              <w:t>,</w:t>
            </w:r>
            <w:r w:rsidRPr="00BE6A5E">
              <w:rPr>
                <w:b/>
                <w:bCs/>
                <w:sz w:val="16"/>
                <w:szCs w:val="16"/>
              </w:rPr>
              <w:t>543</w:t>
            </w:r>
          </w:p>
        </w:tc>
        <w:tc>
          <w:tcPr>
            <w:tcW w:w="702" w:type="dxa"/>
            <w:tcBorders>
              <w:left w:val="single" w:sz="8" w:space="0" w:color="A6A6A6" w:themeColor="accent6" w:themeShade="A6"/>
            </w:tcBorders>
            <w:vAlign w:val="center"/>
          </w:tcPr>
          <w:p w14:paraId="61873372" w14:textId="77777777" w:rsidR="00C06957" w:rsidRPr="00BE6A5E" w:rsidRDefault="00C06957" w:rsidP="00377EA9">
            <w:pPr>
              <w:pStyle w:val="tabletext"/>
              <w:jc w:val="center"/>
              <w:rPr>
                <w:sz w:val="16"/>
                <w:szCs w:val="16"/>
              </w:rPr>
            </w:pPr>
            <w:r w:rsidRPr="00BE6A5E">
              <w:rPr>
                <w:sz w:val="16"/>
                <w:szCs w:val="16"/>
              </w:rPr>
              <w:t>-400</w:t>
            </w:r>
          </w:p>
        </w:tc>
        <w:tc>
          <w:tcPr>
            <w:tcW w:w="702" w:type="dxa"/>
            <w:tcBorders>
              <w:right w:val="single" w:sz="8" w:space="0" w:color="A6A6A6" w:themeColor="accent6" w:themeShade="A6"/>
            </w:tcBorders>
            <w:vAlign w:val="center"/>
          </w:tcPr>
          <w:p w14:paraId="1ACD780E" w14:textId="77777777" w:rsidR="00C06957" w:rsidRPr="00BE6A5E" w:rsidRDefault="00C06957" w:rsidP="00377EA9">
            <w:pPr>
              <w:pStyle w:val="tabletext"/>
              <w:jc w:val="center"/>
              <w:rPr>
                <w:sz w:val="16"/>
                <w:szCs w:val="16"/>
              </w:rPr>
            </w:pPr>
            <w:r w:rsidRPr="00BE6A5E">
              <w:rPr>
                <w:sz w:val="16"/>
                <w:szCs w:val="16"/>
              </w:rPr>
              <w:t>-1,605</w:t>
            </w:r>
          </w:p>
        </w:tc>
        <w:tc>
          <w:tcPr>
            <w:tcW w:w="703" w:type="dxa"/>
            <w:tcBorders>
              <w:left w:val="single" w:sz="8" w:space="0" w:color="A6A6A6" w:themeColor="accent6" w:themeShade="A6"/>
            </w:tcBorders>
            <w:vAlign w:val="center"/>
          </w:tcPr>
          <w:p w14:paraId="57836A2E" w14:textId="77777777" w:rsidR="00C06957" w:rsidRPr="00BE6A5E" w:rsidRDefault="00C06957" w:rsidP="00377EA9">
            <w:pPr>
              <w:pStyle w:val="tabletext"/>
              <w:jc w:val="center"/>
              <w:rPr>
                <w:sz w:val="16"/>
                <w:szCs w:val="16"/>
              </w:rPr>
            </w:pPr>
            <w:r w:rsidRPr="00BE6A5E">
              <w:rPr>
                <w:b/>
                <w:bCs/>
                <w:sz w:val="16"/>
                <w:szCs w:val="16"/>
              </w:rPr>
              <w:t>-404</w:t>
            </w:r>
          </w:p>
        </w:tc>
        <w:tc>
          <w:tcPr>
            <w:tcW w:w="702" w:type="dxa"/>
            <w:tcBorders>
              <w:right w:val="single" w:sz="8" w:space="0" w:color="A6A6A6" w:themeColor="accent6" w:themeShade="A6"/>
            </w:tcBorders>
            <w:vAlign w:val="center"/>
          </w:tcPr>
          <w:p w14:paraId="678D5048" w14:textId="77777777" w:rsidR="00C06957" w:rsidRPr="00BE6A5E" w:rsidRDefault="00C06957" w:rsidP="00377EA9">
            <w:pPr>
              <w:pStyle w:val="tabletext"/>
              <w:jc w:val="center"/>
              <w:rPr>
                <w:sz w:val="16"/>
                <w:szCs w:val="16"/>
              </w:rPr>
            </w:pPr>
            <w:r w:rsidRPr="00BE6A5E">
              <w:rPr>
                <w:sz w:val="16"/>
                <w:szCs w:val="16"/>
              </w:rPr>
              <w:t>-1,669</w:t>
            </w:r>
          </w:p>
        </w:tc>
        <w:tc>
          <w:tcPr>
            <w:tcW w:w="703" w:type="dxa"/>
            <w:tcBorders>
              <w:left w:val="single" w:sz="8" w:space="0" w:color="A6A6A6" w:themeColor="accent6" w:themeShade="A6"/>
            </w:tcBorders>
            <w:vAlign w:val="center"/>
          </w:tcPr>
          <w:p w14:paraId="334DD7BD" w14:textId="77777777" w:rsidR="00C06957" w:rsidRPr="00BE6A5E" w:rsidRDefault="00C06957" w:rsidP="00377EA9">
            <w:pPr>
              <w:pStyle w:val="tabletext"/>
              <w:jc w:val="center"/>
              <w:rPr>
                <w:sz w:val="16"/>
                <w:szCs w:val="16"/>
              </w:rPr>
            </w:pPr>
            <w:r w:rsidRPr="00BE6A5E">
              <w:rPr>
                <w:sz w:val="16"/>
                <w:szCs w:val="16"/>
              </w:rPr>
              <w:t>-408</w:t>
            </w:r>
          </w:p>
        </w:tc>
        <w:tc>
          <w:tcPr>
            <w:tcW w:w="702" w:type="dxa"/>
            <w:tcBorders>
              <w:right w:val="single" w:sz="8" w:space="0" w:color="A6A6A6" w:themeColor="accent6" w:themeShade="A6"/>
            </w:tcBorders>
            <w:vAlign w:val="center"/>
          </w:tcPr>
          <w:p w14:paraId="4C5A319F" w14:textId="77777777" w:rsidR="00C06957" w:rsidRPr="00BE6A5E" w:rsidRDefault="00C06957" w:rsidP="00377EA9">
            <w:pPr>
              <w:pStyle w:val="tabletext"/>
              <w:jc w:val="center"/>
              <w:rPr>
                <w:sz w:val="16"/>
                <w:szCs w:val="16"/>
              </w:rPr>
            </w:pPr>
            <w:r w:rsidRPr="00BE6A5E">
              <w:rPr>
                <w:sz w:val="16"/>
                <w:szCs w:val="16"/>
              </w:rPr>
              <w:t>-1,736</w:t>
            </w:r>
          </w:p>
        </w:tc>
        <w:tc>
          <w:tcPr>
            <w:tcW w:w="702" w:type="dxa"/>
            <w:tcBorders>
              <w:left w:val="single" w:sz="8" w:space="0" w:color="A6A6A6" w:themeColor="accent6" w:themeShade="A6"/>
            </w:tcBorders>
            <w:vAlign w:val="center"/>
          </w:tcPr>
          <w:p w14:paraId="3B2E70F0" w14:textId="77777777" w:rsidR="00C06957" w:rsidRPr="00BE6A5E" w:rsidRDefault="00C06957" w:rsidP="00377EA9">
            <w:pPr>
              <w:pStyle w:val="tabletext"/>
              <w:jc w:val="center"/>
              <w:rPr>
                <w:sz w:val="16"/>
                <w:szCs w:val="16"/>
              </w:rPr>
            </w:pPr>
            <w:r w:rsidRPr="00BE6A5E">
              <w:rPr>
                <w:b/>
                <w:bCs/>
                <w:sz w:val="16"/>
                <w:szCs w:val="16"/>
              </w:rPr>
              <w:t>-412</w:t>
            </w:r>
          </w:p>
        </w:tc>
        <w:tc>
          <w:tcPr>
            <w:tcW w:w="703" w:type="dxa"/>
            <w:tcBorders>
              <w:right w:val="single" w:sz="8" w:space="0" w:color="A6A6A6" w:themeColor="accent6" w:themeShade="A6"/>
            </w:tcBorders>
            <w:vAlign w:val="center"/>
          </w:tcPr>
          <w:p w14:paraId="7FAF684C" w14:textId="77777777" w:rsidR="00C06957" w:rsidRPr="00BE6A5E" w:rsidRDefault="00C06957" w:rsidP="00377EA9">
            <w:pPr>
              <w:pStyle w:val="tabletext"/>
              <w:jc w:val="center"/>
              <w:rPr>
                <w:sz w:val="16"/>
                <w:szCs w:val="16"/>
              </w:rPr>
            </w:pPr>
            <w:r w:rsidRPr="00BE6A5E">
              <w:rPr>
                <w:sz w:val="16"/>
                <w:szCs w:val="16"/>
              </w:rPr>
              <w:t>-1,805</w:t>
            </w:r>
          </w:p>
        </w:tc>
        <w:tc>
          <w:tcPr>
            <w:tcW w:w="702" w:type="dxa"/>
            <w:tcBorders>
              <w:left w:val="single" w:sz="8" w:space="0" w:color="A6A6A6" w:themeColor="accent6" w:themeShade="A6"/>
            </w:tcBorders>
            <w:vAlign w:val="center"/>
          </w:tcPr>
          <w:p w14:paraId="074125E5" w14:textId="77777777" w:rsidR="00C06957" w:rsidRPr="00BE6A5E" w:rsidRDefault="00C06957" w:rsidP="00377EA9">
            <w:pPr>
              <w:pStyle w:val="tabletext"/>
              <w:jc w:val="center"/>
              <w:rPr>
                <w:sz w:val="16"/>
                <w:szCs w:val="16"/>
              </w:rPr>
            </w:pPr>
            <w:r w:rsidRPr="00BE6A5E">
              <w:rPr>
                <w:b/>
                <w:bCs/>
                <w:sz w:val="16"/>
                <w:szCs w:val="16"/>
              </w:rPr>
              <w:t>-416</w:t>
            </w:r>
          </w:p>
        </w:tc>
        <w:tc>
          <w:tcPr>
            <w:tcW w:w="703" w:type="dxa"/>
            <w:vAlign w:val="center"/>
          </w:tcPr>
          <w:p w14:paraId="69578673" w14:textId="77777777" w:rsidR="00C06957" w:rsidRPr="00BE6A5E" w:rsidRDefault="00C06957" w:rsidP="00377EA9">
            <w:pPr>
              <w:pStyle w:val="tabletext"/>
              <w:jc w:val="center"/>
              <w:rPr>
                <w:sz w:val="16"/>
                <w:szCs w:val="16"/>
              </w:rPr>
            </w:pPr>
            <w:r w:rsidRPr="00BE6A5E">
              <w:rPr>
                <w:b/>
                <w:bCs/>
                <w:sz w:val="16"/>
                <w:szCs w:val="16"/>
              </w:rPr>
              <w:t>-1,877</w:t>
            </w:r>
          </w:p>
        </w:tc>
      </w:tr>
    </w:tbl>
    <w:p w14:paraId="4D83DD74" w14:textId="77777777" w:rsidR="00C12974" w:rsidRPr="00C12974" w:rsidRDefault="00C12974" w:rsidP="001D39F4">
      <w:pPr>
        <w:pStyle w:val="NoSpacing"/>
      </w:pPr>
    </w:p>
    <w:p w14:paraId="339532E4" w14:textId="77777777" w:rsidR="000710B6" w:rsidRPr="00CB4ED1" w:rsidRDefault="000710B6" w:rsidP="000710B6">
      <w:r w:rsidRPr="00CB4ED1">
        <w:t xml:space="preserve">By 2034 it is possible that capacity shortfalls could exceed 1,800 cases.  It is difficult to accurately reflect exact demand levels.  Alongside this is the assumption that delivery of all efficiency and performance improvements will be achieved.  If only 50% of these improvements are delivered this will add a further 500+ treatments to the existing gap per annum.  </w:t>
      </w:r>
    </w:p>
    <w:p w14:paraId="7DCE2513" w14:textId="77777777" w:rsidR="000710B6" w:rsidRPr="00CB4ED1" w:rsidRDefault="000710B6" w:rsidP="000710B6">
      <w:r w:rsidRPr="00CB4ED1">
        <w:t xml:space="preserve">The proposal for LHP would be the building of six theatres to support regional primary arthroplasty cases.   The plan is that three theatres would represent a transfer of activity of CTM arthroplasty into LHP. The balance of three theatres would be available capacity to meet regional demand.  </w:t>
      </w:r>
    </w:p>
    <w:p w14:paraId="68713858" w14:textId="07169DB1" w:rsidR="000710B6" w:rsidRPr="00CB4ED1" w:rsidRDefault="000710B6" w:rsidP="000710B6">
      <w:r w:rsidRPr="00CB4ED1">
        <w:t>LHP theatre productivity is based on GiRFT guidelines and utilisation, reflecting four joints per day over 5 days in a 48</w:t>
      </w:r>
      <w:r w:rsidR="004873AE">
        <w:t>-</w:t>
      </w:r>
      <w:r w:rsidRPr="00CB4ED1">
        <w:t xml:space="preserve">week year.  Initially the hub is proposed to operate five days per week giving the following additional capacity in terms of cases over a single, three and all six theatres. </w:t>
      </w:r>
    </w:p>
    <w:p w14:paraId="5A8B7E47" w14:textId="039F5057" w:rsidR="000710B6" w:rsidRDefault="000710B6" w:rsidP="000710B6">
      <w:pPr>
        <w:pStyle w:val="Caption"/>
        <w:rPr>
          <w:noProof w:val="0"/>
        </w:rPr>
      </w:pPr>
      <w:bookmarkStart w:id="56" w:name="_Toc213865288"/>
      <w:r w:rsidRPr="00CB4ED1">
        <w:rPr>
          <w:noProof w:val="0"/>
        </w:rPr>
        <w:t xml:space="preserve">Table </w:t>
      </w:r>
      <w:r w:rsidRPr="00CB4ED1">
        <w:rPr>
          <w:noProof w:val="0"/>
        </w:rPr>
        <w:fldChar w:fldCharType="begin"/>
      </w:r>
      <w:r w:rsidRPr="00CB4ED1">
        <w:rPr>
          <w:noProof w:val="0"/>
        </w:rPr>
        <w:instrText xml:space="preserve"> SEQ Table \* ARABIC </w:instrText>
      </w:r>
      <w:r w:rsidRPr="00CB4ED1">
        <w:rPr>
          <w:noProof w:val="0"/>
        </w:rPr>
        <w:fldChar w:fldCharType="separate"/>
      </w:r>
      <w:r w:rsidR="004A33ED">
        <w:t>8</w:t>
      </w:r>
      <w:r w:rsidRPr="00CB4ED1">
        <w:rPr>
          <w:noProof w:val="0"/>
        </w:rPr>
        <w:fldChar w:fldCharType="end"/>
      </w:r>
      <w:r w:rsidRPr="00CB4ED1">
        <w:rPr>
          <w:noProof w:val="0"/>
        </w:rPr>
        <w:t xml:space="preserve"> - LHP </w:t>
      </w:r>
      <w:r w:rsidR="001D39F4">
        <w:rPr>
          <w:noProof w:val="0"/>
        </w:rPr>
        <w:t>theatre capacity</w:t>
      </w:r>
      <w:bookmarkEnd w:id="56"/>
      <w:r w:rsidR="001D39F4">
        <w:rPr>
          <w:noProof w:val="0"/>
        </w:rPr>
        <w:t xml:space="preserve"> </w:t>
      </w:r>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1963"/>
        <w:gridCol w:w="1964"/>
        <w:gridCol w:w="1965"/>
        <w:gridCol w:w="1964"/>
        <w:gridCol w:w="1965"/>
      </w:tblGrid>
      <w:tr w:rsidR="008667FA" w:rsidRPr="009C0E03" w14:paraId="0E1C565F" w14:textId="77777777" w:rsidTr="008667FA">
        <w:tc>
          <w:tcPr>
            <w:tcW w:w="1841" w:type="dxa"/>
            <w:shd w:val="clear" w:color="auto" w:fill="374264"/>
            <w:vAlign w:val="center"/>
          </w:tcPr>
          <w:p w14:paraId="256E634D" w14:textId="77777777" w:rsidR="008667FA" w:rsidRPr="009C0E03" w:rsidRDefault="008667FA" w:rsidP="00377EA9">
            <w:pPr>
              <w:pStyle w:val="tabletext"/>
              <w:jc w:val="center"/>
              <w:rPr>
                <w:b/>
                <w:bCs/>
                <w:color w:val="FFFFFF" w:themeColor="background1"/>
              </w:rPr>
            </w:pPr>
            <w:r w:rsidRPr="009C0E03">
              <w:rPr>
                <w:b/>
                <w:bCs/>
                <w:color w:val="FFFFFF" w:themeColor="background1"/>
              </w:rPr>
              <w:t>No. theatres</w:t>
            </w:r>
          </w:p>
        </w:tc>
        <w:tc>
          <w:tcPr>
            <w:tcW w:w="1841" w:type="dxa"/>
            <w:shd w:val="clear" w:color="auto" w:fill="374264"/>
            <w:vAlign w:val="center"/>
          </w:tcPr>
          <w:p w14:paraId="16E4484F" w14:textId="77777777" w:rsidR="008667FA" w:rsidRPr="009C0E03" w:rsidRDefault="008667FA" w:rsidP="00377EA9">
            <w:pPr>
              <w:pStyle w:val="tabletext"/>
              <w:jc w:val="center"/>
              <w:rPr>
                <w:b/>
                <w:bCs/>
                <w:color w:val="FFFFFF" w:themeColor="background1"/>
              </w:rPr>
            </w:pPr>
            <w:r w:rsidRPr="009C0E03">
              <w:rPr>
                <w:b/>
                <w:bCs/>
                <w:color w:val="FFFFFF" w:themeColor="background1"/>
              </w:rPr>
              <w:t>Joints per day</w:t>
            </w:r>
          </w:p>
        </w:tc>
        <w:tc>
          <w:tcPr>
            <w:tcW w:w="1842" w:type="dxa"/>
            <w:shd w:val="clear" w:color="auto" w:fill="374264"/>
            <w:vAlign w:val="center"/>
          </w:tcPr>
          <w:p w14:paraId="4EB6AF2D" w14:textId="77777777" w:rsidR="008667FA" w:rsidRPr="009C0E03" w:rsidRDefault="008667FA" w:rsidP="00377EA9">
            <w:pPr>
              <w:pStyle w:val="tabletext"/>
              <w:jc w:val="center"/>
              <w:rPr>
                <w:b/>
                <w:bCs/>
                <w:color w:val="FFFFFF" w:themeColor="background1"/>
              </w:rPr>
            </w:pPr>
            <w:r w:rsidRPr="009C0E03">
              <w:rPr>
                <w:b/>
                <w:bCs/>
                <w:color w:val="FFFFFF" w:themeColor="background1"/>
              </w:rPr>
              <w:t>Days per week</w:t>
            </w:r>
          </w:p>
        </w:tc>
        <w:tc>
          <w:tcPr>
            <w:tcW w:w="1841" w:type="dxa"/>
            <w:shd w:val="clear" w:color="auto" w:fill="374264"/>
            <w:vAlign w:val="center"/>
          </w:tcPr>
          <w:p w14:paraId="516B3F31" w14:textId="77777777" w:rsidR="008667FA" w:rsidRPr="009C0E03" w:rsidRDefault="008667FA" w:rsidP="00377EA9">
            <w:pPr>
              <w:pStyle w:val="tabletext"/>
              <w:jc w:val="center"/>
              <w:rPr>
                <w:b/>
                <w:bCs/>
                <w:color w:val="FFFFFF" w:themeColor="background1"/>
              </w:rPr>
            </w:pPr>
            <w:r w:rsidRPr="009C0E03">
              <w:rPr>
                <w:b/>
                <w:bCs/>
                <w:color w:val="FFFFFF" w:themeColor="background1"/>
              </w:rPr>
              <w:t>Week per year</w:t>
            </w:r>
          </w:p>
        </w:tc>
        <w:tc>
          <w:tcPr>
            <w:tcW w:w="1842" w:type="dxa"/>
            <w:shd w:val="clear" w:color="auto" w:fill="374264"/>
            <w:vAlign w:val="center"/>
          </w:tcPr>
          <w:p w14:paraId="1A641F95" w14:textId="77777777" w:rsidR="008667FA" w:rsidRPr="009C0E03" w:rsidRDefault="008667FA" w:rsidP="00377EA9">
            <w:pPr>
              <w:pStyle w:val="tabletext"/>
              <w:jc w:val="center"/>
              <w:rPr>
                <w:b/>
                <w:bCs/>
                <w:color w:val="FFFFFF" w:themeColor="background1"/>
              </w:rPr>
            </w:pPr>
            <w:r w:rsidRPr="009C0E03">
              <w:rPr>
                <w:b/>
                <w:bCs/>
                <w:color w:val="FFFFFF" w:themeColor="background1"/>
              </w:rPr>
              <w:t>Total capacity</w:t>
            </w:r>
          </w:p>
        </w:tc>
      </w:tr>
      <w:tr w:rsidR="008667FA" w:rsidRPr="00F2076E" w14:paraId="521379C7" w14:textId="77777777" w:rsidTr="008667FA">
        <w:tc>
          <w:tcPr>
            <w:tcW w:w="1841" w:type="dxa"/>
            <w:vAlign w:val="center"/>
          </w:tcPr>
          <w:p w14:paraId="702A39AC" w14:textId="77777777" w:rsidR="008667FA" w:rsidRPr="00F2076E" w:rsidRDefault="008667FA" w:rsidP="00377EA9">
            <w:pPr>
              <w:pStyle w:val="tabletext"/>
              <w:jc w:val="center"/>
            </w:pPr>
            <w:r>
              <w:t>1</w:t>
            </w:r>
          </w:p>
        </w:tc>
        <w:tc>
          <w:tcPr>
            <w:tcW w:w="1841" w:type="dxa"/>
            <w:vAlign w:val="center"/>
          </w:tcPr>
          <w:p w14:paraId="1EF38069" w14:textId="77777777" w:rsidR="008667FA" w:rsidRPr="00F2076E" w:rsidRDefault="008667FA" w:rsidP="00377EA9">
            <w:pPr>
              <w:pStyle w:val="tabletext"/>
              <w:jc w:val="center"/>
            </w:pPr>
            <w:r>
              <w:t>4</w:t>
            </w:r>
          </w:p>
        </w:tc>
        <w:tc>
          <w:tcPr>
            <w:tcW w:w="1842" w:type="dxa"/>
            <w:vAlign w:val="center"/>
          </w:tcPr>
          <w:p w14:paraId="7E91F89C" w14:textId="77777777" w:rsidR="008667FA" w:rsidRPr="00F2076E" w:rsidRDefault="008667FA" w:rsidP="00377EA9">
            <w:pPr>
              <w:pStyle w:val="tabletext"/>
              <w:jc w:val="center"/>
            </w:pPr>
            <w:r>
              <w:t>5</w:t>
            </w:r>
          </w:p>
        </w:tc>
        <w:tc>
          <w:tcPr>
            <w:tcW w:w="1841" w:type="dxa"/>
            <w:vAlign w:val="center"/>
          </w:tcPr>
          <w:p w14:paraId="40FB68EA" w14:textId="77777777" w:rsidR="008667FA" w:rsidRPr="00F2076E" w:rsidRDefault="008667FA" w:rsidP="00377EA9">
            <w:pPr>
              <w:pStyle w:val="tabletext"/>
              <w:jc w:val="center"/>
            </w:pPr>
            <w:r>
              <w:t>48</w:t>
            </w:r>
          </w:p>
        </w:tc>
        <w:tc>
          <w:tcPr>
            <w:tcW w:w="1842" w:type="dxa"/>
            <w:vAlign w:val="center"/>
          </w:tcPr>
          <w:p w14:paraId="07F4B6BF" w14:textId="77777777" w:rsidR="008667FA" w:rsidRPr="00F03862" w:rsidRDefault="008667FA" w:rsidP="00377EA9">
            <w:pPr>
              <w:pStyle w:val="tabletext"/>
              <w:jc w:val="center"/>
              <w:rPr>
                <w:b/>
                <w:bCs/>
              </w:rPr>
            </w:pPr>
            <w:r w:rsidRPr="00F03862">
              <w:rPr>
                <w:b/>
                <w:bCs/>
              </w:rPr>
              <w:t>9,60</w:t>
            </w:r>
          </w:p>
        </w:tc>
      </w:tr>
      <w:tr w:rsidR="008667FA" w:rsidRPr="00F2076E" w14:paraId="70E2F035" w14:textId="77777777" w:rsidTr="008667FA">
        <w:tc>
          <w:tcPr>
            <w:tcW w:w="1841" w:type="dxa"/>
            <w:vAlign w:val="center"/>
          </w:tcPr>
          <w:p w14:paraId="5033B091" w14:textId="77777777" w:rsidR="008667FA" w:rsidRPr="00F2076E" w:rsidRDefault="008667FA" w:rsidP="00377EA9">
            <w:pPr>
              <w:pStyle w:val="tabletext"/>
              <w:jc w:val="center"/>
            </w:pPr>
            <w:r>
              <w:t>3</w:t>
            </w:r>
          </w:p>
        </w:tc>
        <w:tc>
          <w:tcPr>
            <w:tcW w:w="1841" w:type="dxa"/>
            <w:vAlign w:val="center"/>
          </w:tcPr>
          <w:p w14:paraId="6A098C61" w14:textId="77777777" w:rsidR="008667FA" w:rsidRPr="00F2076E" w:rsidRDefault="008667FA" w:rsidP="00377EA9">
            <w:pPr>
              <w:pStyle w:val="tabletext"/>
              <w:jc w:val="center"/>
            </w:pPr>
            <w:r>
              <w:t>12</w:t>
            </w:r>
          </w:p>
        </w:tc>
        <w:tc>
          <w:tcPr>
            <w:tcW w:w="1842" w:type="dxa"/>
            <w:vAlign w:val="center"/>
          </w:tcPr>
          <w:p w14:paraId="0B5B600D" w14:textId="77777777" w:rsidR="008667FA" w:rsidRPr="00F2076E" w:rsidRDefault="008667FA" w:rsidP="00377EA9">
            <w:pPr>
              <w:pStyle w:val="tabletext"/>
              <w:jc w:val="center"/>
            </w:pPr>
            <w:r>
              <w:t>5</w:t>
            </w:r>
          </w:p>
        </w:tc>
        <w:tc>
          <w:tcPr>
            <w:tcW w:w="1841" w:type="dxa"/>
            <w:vAlign w:val="center"/>
          </w:tcPr>
          <w:p w14:paraId="4B807B09" w14:textId="77777777" w:rsidR="008667FA" w:rsidRPr="00F2076E" w:rsidRDefault="008667FA" w:rsidP="00377EA9">
            <w:pPr>
              <w:pStyle w:val="tabletext"/>
              <w:jc w:val="center"/>
            </w:pPr>
            <w:r>
              <w:t>48</w:t>
            </w:r>
          </w:p>
        </w:tc>
        <w:tc>
          <w:tcPr>
            <w:tcW w:w="1842" w:type="dxa"/>
            <w:vAlign w:val="center"/>
          </w:tcPr>
          <w:p w14:paraId="1AFCD779" w14:textId="77777777" w:rsidR="008667FA" w:rsidRPr="00F03862" w:rsidRDefault="008667FA" w:rsidP="00377EA9">
            <w:pPr>
              <w:pStyle w:val="tabletext"/>
              <w:jc w:val="center"/>
              <w:rPr>
                <w:b/>
                <w:bCs/>
              </w:rPr>
            </w:pPr>
            <w:r w:rsidRPr="00F03862">
              <w:rPr>
                <w:b/>
                <w:bCs/>
              </w:rPr>
              <w:t>2,880</w:t>
            </w:r>
          </w:p>
        </w:tc>
      </w:tr>
      <w:tr w:rsidR="008667FA" w:rsidRPr="00F2076E" w14:paraId="086449FF" w14:textId="77777777" w:rsidTr="008667FA">
        <w:tc>
          <w:tcPr>
            <w:tcW w:w="1841" w:type="dxa"/>
            <w:vAlign w:val="center"/>
          </w:tcPr>
          <w:p w14:paraId="4D260462" w14:textId="77777777" w:rsidR="008667FA" w:rsidRPr="00F2076E" w:rsidRDefault="008667FA" w:rsidP="00377EA9">
            <w:pPr>
              <w:pStyle w:val="tabletext"/>
              <w:jc w:val="center"/>
            </w:pPr>
            <w:r>
              <w:t>6</w:t>
            </w:r>
          </w:p>
        </w:tc>
        <w:tc>
          <w:tcPr>
            <w:tcW w:w="1841" w:type="dxa"/>
            <w:vAlign w:val="center"/>
          </w:tcPr>
          <w:p w14:paraId="4683096E" w14:textId="77777777" w:rsidR="008667FA" w:rsidRPr="00F2076E" w:rsidRDefault="008667FA" w:rsidP="00377EA9">
            <w:pPr>
              <w:pStyle w:val="tabletext"/>
              <w:jc w:val="center"/>
            </w:pPr>
            <w:r>
              <w:t>24</w:t>
            </w:r>
          </w:p>
        </w:tc>
        <w:tc>
          <w:tcPr>
            <w:tcW w:w="1842" w:type="dxa"/>
            <w:vAlign w:val="center"/>
          </w:tcPr>
          <w:p w14:paraId="2C0D9508" w14:textId="77777777" w:rsidR="008667FA" w:rsidRPr="00F2076E" w:rsidRDefault="008667FA" w:rsidP="00377EA9">
            <w:pPr>
              <w:pStyle w:val="tabletext"/>
              <w:jc w:val="center"/>
            </w:pPr>
            <w:r>
              <w:t>5</w:t>
            </w:r>
          </w:p>
        </w:tc>
        <w:tc>
          <w:tcPr>
            <w:tcW w:w="1841" w:type="dxa"/>
            <w:vAlign w:val="center"/>
          </w:tcPr>
          <w:p w14:paraId="201B261B" w14:textId="77777777" w:rsidR="008667FA" w:rsidRPr="00F2076E" w:rsidRDefault="008667FA" w:rsidP="00377EA9">
            <w:pPr>
              <w:pStyle w:val="tabletext"/>
              <w:jc w:val="center"/>
            </w:pPr>
            <w:r>
              <w:t>48</w:t>
            </w:r>
          </w:p>
        </w:tc>
        <w:tc>
          <w:tcPr>
            <w:tcW w:w="1842" w:type="dxa"/>
            <w:vAlign w:val="center"/>
          </w:tcPr>
          <w:p w14:paraId="4C919740" w14:textId="77777777" w:rsidR="008667FA" w:rsidRPr="00F03862" w:rsidRDefault="008667FA" w:rsidP="00377EA9">
            <w:pPr>
              <w:pStyle w:val="tabletext"/>
              <w:jc w:val="center"/>
              <w:rPr>
                <w:b/>
                <w:bCs/>
              </w:rPr>
            </w:pPr>
            <w:r w:rsidRPr="00F03862">
              <w:rPr>
                <w:b/>
                <w:bCs/>
              </w:rPr>
              <w:t>5,760</w:t>
            </w:r>
          </w:p>
        </w:tc>
      </w:tr>
    </w:tbl>
    <w:p w14:paraId="0A7763A7" w14:textId="77777777" w:rsidR="008667FA" w:rsidRDefault="008667FA" w:rsidP="001D39F4">
      <w:pPr>
        <w:pStyle w:val="NoSpacing"/>
      </w:pPr>
    </w:p>
    <w:p w14:paraId="097059DB" w14:textId="77777777" w:rsidR="000710B6" w:rsidRPr="00CB4ED1" w:rsidRDefault="000710B6" w:rsidP="000710B6">
      <w:r w:rsidRPr="00CB4ED1">
        <w:t xml:space="preserve">Currently all the modelling is predicated on a five-days week.  Should additional capacity be required it would be possible to consider weekend working, which could offer a further annual additional 384 cases per theatre (2,304 for all six theatres).  However, length of stay improvements would need to be delivered to ensure that bed capacity could support additional weekend working.  The streamlined and efficient workflow and standardisation of practice from LHP is expected to deliver performance efficiencies, and this could be an option in future years.  </w:t>
      </w:r>
    </w:p>
    <w:p w14:paraId="3633E9B2" w14:textId="77777777" w:rsidR="000710B6" w:rsidRPr="00CB4ED1" w:rsidRDefault="000710B6" w:rsidP="000710B6">
      <w:r w:rsidRPr="00CB4ED1">
        <w:lastRenderedPageBreak/>
        <w:t xml:space="preserve">In considering how LHP will provide additional capacity to support the regional position in the future, the 4% growth position has been forecast forward in all modelling scenarios.  In addition, only an 80% efficiency opportunity is recognised, reflecting the current pressures on performance faced by all organisations across the region.  It is likely that with the standardisation and practices at LHP these efficiencies could be improved in the future.  </w:t>
      </w:r>
    </w:p>
    <w:p w14:paraId="009921EB" w14:textId="77777777" w:rsidR="000710B6" w:rsidRDefault="000710B6" w:rsidP="000710B6">
      <w:r w:rsidRPr="00CB4ED1">
        <w:t xml:space="preserve">The table below models the first five years of LHP opening, offering three theatres of additional capacity for the region based on current performance levels.  </w:t>
      </w:r>
    </w:p>
    <w:p w14:paraId="4940F969" w14:textId="5F921134" w:rsidR="001D39F4" w:rsidRDefault="001D39F4" w:rsidP="001D39F4">
      <w:pPr>
        <w:pStyle w:val="Caption"/>
      </w:pPr>
      <w:bookmarkStart w:id="57" w:name="_Toc213865289"/>
      <w:r>
        <w:t xml:space="preserve">Table </w:t>
      </w:r>
      <w:r>
        <w:fldChar w:fldCharType="begin"/>
      </w:r>
      <w:r>
        <w:instrText xml:space="preserve"> SEQ Table \* ARABIC </w:instrText>
      </w:r>
      <w:r>
        <w:fldChar w:fldCharType="separate"/>
      </w:r>
      <w:r w:rsidR="004A33ED">
        <w:t>9</w:t>
      </w:r>
      <w:r>
        <w:fldChar w:fldCharType="end"/>
      </w:r>
      <w:r>
        <w:t xml:space="preserve"> -</w:t>
      </w:r>
      <w:r w:rsidRPr="00AE216D">
        <w:t xml:space="preserve"> 5 Year demand and capacity modelling and impact of LHP capacity on net gap</w:t>
      </w:r>
      <w:bookmarkEnd w:id="57"/>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2519"/>
        <w:gridCol w:w="1459"/>
        <w:gridCol w:w="1461"/>
        <w:gridCol w:w="1460"/>
        <w:gridCol w:w="1461"/>
        <w:gridCol w:w="1461"/>
      </w:tblGrid>
      <w:tr w:rsidR="0077173D" w:rsidRPr="0077173D" w14:paraId="44D3F65F" w14:textId="77777777" w:rsidTr="0077173D">
        <w:tc>
          <w:tcPr>
            <w:tcW w:w="2523" w:type="dxa"/>
            <w:vMerge w:val="restart"/>
            <w:shd w:val="clear" w:color="auto" w:fill="374264"/>
            <w:vAlign w:val="center"/>
          </w:tcPr>
          <w:p w14:paraId="130A7E0B" w14:textId="35A60611" w:rsidR="00AD5989" w:rsidRPr="0077173D" w:rsidRDefault="0077173D" w:rsidP="0077173D">
            <w:pPr>
              <w:pStyle w:val="tabletext"/>
              <w:rPr>
                <w:b/>
                <w:bCs/>
                <w:color w:val="FFFFFF" w:themeColor="background1"/>
              </w:rPr>
            </w:pPr>
            <w:r w:rsidRPr="0077173D">
              <w:rPr>
                <w:b/>
                <w:bCs/>
                <w:color w:val="FFFFFF" w:themeColor="background1"/>
              </w:rPr>
              <w:t>Organisation</w:t>
            </w:r>
          </w:p>
        </w:tc>
        <w:tc>
          <w:tcPr>
            <w:tcW w:w="7308" w:type="dxa"/>
            <w:gridSpan w:val="5"/>
            <w:shd w:val="clear" w:color="auto" w:fill="374264"/>
          </w:tcPr>
          <w:p w14:paraId="14921FA0" w14:textId="53AA5CCC" w:rsidR="00AD5989" w:rsidRPr="0077173D" w:rsidRDefault="0077173D" w:rsidP="00AD5989">
            <w:pPr>
              <w:pStyle w:val="tabletext"/>
              <w:jc w:val="center"/>
              <w:rPr>
                <w:b/>
                <w:bCs/>
                <w:color w:val="FFFFFF" w:themeColor="background1"/>
              </w:rPr>
            </w:pPr>
            <w:r w:rsidRPr="00CB4ED1">
              <w:rPr>
                <w:rFonts w:eastAsia="Arial" w:cs="Arial"/>
                <w:b/>
                <w:bCs/>
                <w:color w:val="FFFFFF" w:themeColor="background1"/>
                <w:szCs w:val="20"/>
              </w:rPr>
              <w:t>Recurrent net gap based on ave</w:t>
            </w:r>
            <w:r>
              <w:rPr>
                <w:rFonts w:eastAsia="Arial" w:cs="Arial"/>
                <w:b/>
                <w:bCs/>
                <w:color w:val="FFFFFF" w:themeColor="background1"/>
                <w:szCs w:val="20"/>
              </w:rPr>
              <w:t>rage</w:t>
            </w:r>
            <w:r w:rsidRPr="00CB4ED1">
              <w:rPr>
                <w:rFonts w:eastAsia="Arial" w:cs="Arial"/>
                <w:b/>
                <w:bCs/>
                <w:color w:val="FFFFFF" w:themeColor="background1"/>
                <w:szCs w:val="20"/>
              </w:rPr>
              <w:t xml:space="preserve"> demand growth at</w:t>
            </w:r>
            <w:r w:rsidR="00352EFF">
              <w:rPr>
                <w:rFonts w:eastAsia="Arial" w:cs="Arial"/>
                <w:b/>
                <w:bCs/>
                <w:color w:val="FFFFFF" w:themeColor="background1"/>
                <w:szCs w:val="20"/>
              </w:rPr>
              <w:t xml:space="preserve"> 4%</w:t>
            </w:r>
          </w:p>
        </w:tc>
      </w:tr>
      <w:tr w:rsidR="0077173D" w:rsidRPr="0077173D" w14:paraId="4F9FAC73" w14:textId="77777777" w:rsidTr="0077173D">
        <w:tc>
          <w:tcPr>
            <w:tcW w:w="2523" w:type="dxa"/>
            <w:vMerge/>
            <w:shd w:val="clear" w:color="auto" w:fill="374264"/>
          </w:tcPr>
          <w:p w14:paraId="0806CD84" w14:textId="77777777" w:rsidR="0077173D" w:rsidRPr="0077173D" w:rsidRDefault="0077173D" w:rsidP="0077173D">
            <w:pPr>
              <w:pStyle w:val="tabletext"/>
              <w:rPr>
                <w:b/>
                <w:bCs/>
                <w:color w:val="FFFFFF" w:themeColor="background1"/>
              </w:rPr>
            </w:pPr>
          </w:p>
        </w:tc>
        <w:tc>
          <w:tcPr>
            <w:tcW w:w="1461" w:type="dxa"/>
            <w:shd w:val="clear" w:color="auto" w:fill="374264"/>
            <w:vAlign w:val="center"/>
          </w:tcPr>
          <w:p w14:paraId="0806FA5A" w14:textId="6B15EE79" w:rsidR="0077173D" w:rsidRPr="0077173D" w:rsidRDefault="0077173D" w:rsidP="0077173D">
            <w:pPr>
              <w:pStyle w:val="tabletext"/>
              <w:jc w:val="right"/>
              <w:rPr>
                <w:b/>
                <w:bCs/>
                <w:color w:val="FFFFFF" w:themeColor="background1"/>
              </w:rPr>
            </w:pPr>
            <w:r w:rsidRPr="00CB4ED1">
              <w:rPr>
                <w:rFonts w:eastAsia="Arial" w:cs="Arial"/>
                <w:b/>
                <w:bCs/>
                <w:color w:val="FFFFFF" w:themeColor="background1"/>
                <w:szCs w:val="20"/>
              </w:rPr>
              <w:t xml:space="preserve">March </w:t>
            </w:r>
            <w:r>
              <w:rPr>
                <w:rFonts w:eastAsia="Arial" w:cs="Arial"/>
                <w:b/>
                <w:bCs/>
                <w:color w:val="FFFFFF" w:themeColor="background1"/>
                <w:szCs w:val="20"/>
              </w:rPr>
              <w:t>20</w:t>
            </w:r>
            <w:r w:rsidRPr="00CB4ED1">
              <w:rPr>
                <w:rFonts w:eastAsia="Arial" w:cs="Arial"/>
                <w:b/>
                <w:bCs/>
                <w:color w:val="FFFFFF" w:themeColor="background1"/>
                <w:szCs w:val="20"/>
              </w:rPr>
              <w:t>29</w:t>
            </w:r>
          </w:p>
        </w:tc>
        <w:tc>
          <w:tcPr>
            <w:tcW w:w="1462" w:type="dxa"/>
            <w:shd w:val="clear" w:color="auto" w:fill="374264"/>
            <w:vAlign w:val="center"/>
          </w:tcPr>
          <w:p w14:paraId="0EBF076B" w14:textId="436A9769" w:rsidR="0077173D" w:rsidRPr="0077173D" w:rsidRDefault="0077173D" w:rsidP="0077173D">
            <w:pPr>
              <w:pStyle w:val="tabletext"/>
              <w:jc w:val="right"/>
              <w:rPr>
                <w:b/>
                <w:bCs/>
                <w:color w:val="FFFFFF" w:themeColor="background1"/>
              </w:rPr>
            </w:pPr>
            <w:r w:rsidRPr="00CB4ED1">
              <w:rPr>
                <w:rFonts w:eastAsia="Arial" w:cs="Arial"/>
                <w:b/>
                <w:bCs/>
                <w:color w:val="FFFFFF" w:themeColor="background1"/>
                <w:szCs w:val="20"/>
              </w:rPr>
              <w:t>March</w:t>
            </w:r>
            <w:r>
              <w:rPr>
                <w:rFonts w:eastAsia="Arial" w:cs="Arial"/>
                <w:b/>
                <w:bCs/>
                <w:color w:val="FFFFFF" w:themeColor="background1"/>
                <w:szCs w:val="20"/>
              </w:rPr>
              <w:t xml:space="preserve"> 20</w:t>
            </w:r>
            <w:r w:rsidRPr="00CB4ED1">
              <w:rPr>
                <w:rFonts w:eastAsia="Arial" w:cs="Arial"/>
                <w:b/>
                <w:bCs/>
                <w:color w:val="FFFFFF" w:themeColor="background1"/>
                <w:szCs w:val="20"/>
              </w:rPr>
              <w:t>30</w:t>
            </w:r>
          </w:p>
        </w:tc>
        <w:tc>
          <w:tcPr>
            <w:tcW w:w="1461" w:type="dxa"/>
            <w:shd w:val="clear" w:color="auto" w:fill="374264"/>
            <w:vAlign w:val="center"/>
          </w:tcPr>
          <w:p w14:paraId="518C5A9A" w14:textId="6B3F6FEF" w:rsidR="0077173D" w:rsidRPr="0077173D" w:rsidRDefault="0077173D" w:rsidP="0077173D">
            <w:pPr>
              <w:pStyle w:val="tabletext"/>
              <w:jc w:val="right"/>
              <w:rPr>
                <w:b/>
                <w:bCs/>
                <w:color w:val="FFFFFF" w:themeColor="background1"/>
              </w:rPr>
            </w:pPr>
            <w:r w:rsidRPr="00CB4ED1">
              <w:rPr>
                <w:rFonts w:eastAsia="Arial" w:cs="Arial"/>
                <w:b/>
                <w:bCs/>
                <w:color w:val="FFFFFF" w:themeColor="background1"/>
                <w:szCs w:val="20"/>
              </w:rPr>
              <w:t xml:space="preserve">March </w:t>
            </w:r>
            <w:r>
              <w:rPr>
                <w:rFonts w:eastAsia="Arial" w:cs="Arial"/>
                <w:b/>
                <w:bCs/>
                <w:color w:val="FFFFFF" w:themeColor="background1"/>
                <w:szCs w:val="20"/>
              </w:rPr>
              <w:t>20</w:t>
            </w:r>
            <w:r w:rsidRPr="00CB4ED1">
              <w:rPr>
                <w:rFonts w:eastAsia="Arial" w:cs="Arial"/>
                <w:b/>
                <w:bCs/>
                <w:color w:val="FFFFFF" w:themeColor="background1"/>
                <w:szCs w:val="20"/>
              </w:rPr>
              <w:t>31</w:t>
            </w:r>
          </w:p>
        </w:tc>
        <w:tc>
          <w:tcPr>
            <w:tcW w:w="1462" w:type="dxa"/>
            <w:shd w:val="clear" w:color="auto" w:fill="374264"/>
            <w:vAlign w:val="center"/>
          </w:tcPr>
          <w:p w14:paraId="107CB1C5" w14:textId="7BB60707" w:rsidR="0077173D" w:rsidRPr="0077173D" w:rsidRDefault="0077173D" w:rsidP="0077173D">
            <w:pPr>
              <w:pStyle w:val="tabletext"/>
              <w:jc w:val="right"/>
              <w:rPr>
                <w:b/>
                <w:bCs/>
                <w:color w:val="FFFFFF" w:themeColor="background1"/>
              </w:rPr>
            </w:pPr>
            <w:r w:rsidRPr="00CB4ED1">
              <w:rPr>
                <w:rFonts w:eastAsia="Arial" w:cs="Arial"/>
                <w:b/>
                <w:bCs/>
                <w:color w:val="FFFFFF" w:themeColor="background1"/>
                <w:szCs w:val="20"/>
              </w:rPr>
              <w:t xml:space="preserve">March </w:t>
            </w:r>
            <w:r>
              <w:rPr>
                <w:rFonts w:eastAsia="Arial" w:cs="Arial"/>
                <w:b/>
                <w:bCs/>
                <w:color w:val="FFFFFF" w:themeColor="background1"/>
                <w:szCs w:val="20"/>
              </w:rPr>
              <w:t>20</w:t>
            </w:r>
            <w:r w:rsidRPr="00CB4ED1">
              <w:rPr>
                <w:rFonts w:eastAsia="Arial" w:cs="Arial"/>
                <w:b/>
                <w:bCs/>
                <w:color w:val="FFFFFF" w:themeColor="background1"/>
                <w:szCs w:val="20"/>
              </w:rPr>
              <w:t>32</w:t>
            </w:r>
          </w:p>
        </w:tc>
        <w:tc>
          <w:tcPr>
            <w:tcW w:w="1462" w:type="dxa"/>
            <w:shd w:val="clear" w:color="auto" w:fill="374264"/>
            <w:vAlign w:val="center"/>
          </w:tcPr>
          <w:p w14:paraId="1ABC94A8" w14:textId="11388444" w:rsidR="0077173D" w:rsidRPr="0077173D" w:rsidRDefault="0077173D" w:rsidP="0077173D">
            <w:pPr>
              <w:pStyle w:val="tabletext"/>
              <w:jc w:val="right"/>
              <w:rPr>
                <w:b/>
                <w:bCs/>
                <w:color w:val="FFFFFF" w:themeColor="background1"/>
              </w:rPr>
            </w:pPr>
            <w:r w:rsidRPr="00CB4ED1">
              <w:rPr>
                <w:rFonts w:eastAsia="Arial" w:cs="Arial"/>
                <w:b/>
                <w:bCs/>
                <w:color w:val="FFFFFF" w:themeColor="background1"/>
                <w:szCs w:val="20"/>
              </w:rPr>
              <w:t xml:space="preserve">March </w:t>
            </w:r>
            <w:r>
              <w:rPr>
                <w:rFonts w:eastAsia="Arial" w:cs="Arial"/>
                <w:b/>
                <w:bCs/>
                <w:color w:val="FFFFFF" w:themeColor="background1"/>
                <w:szCs w:val="20"/>
              </w:rPr>
              <w:t>20</w:t>
            </w:r>
            <w:r w:rsidRPr="00CB4ED1">
              <w:rPr>
                <w:rFonts w:eastAsia="Arial" w:cs="Arial"/>
                <w:b/>
                <w:bCs/>
                <w:color w:val="FFFFFF" w:themeColor="background1"/>
                <w:szCs w:val="20"/>
              </w:rPr>
              <w:t>33</w:t>
            </w:r>
          </w:p>
        </w:tc>
      </w:tr>
      <w:tr w:rsidR="0077173D" w:rsidRPr="00F2076E" w14:paraId="2E84835C" w14:textId="77777777" w:rsidTr="0077173D">
        <w:tc>
          <w:tcPr>
            <w:tcW w:w="2523" w:type="dxa"/>
            <w:vAlign w:val="center"/>
          </w:tcPr>
          <w:p w14:paraId="029D4BC6" w14:textId="663BADBF" w:rsidR="0077173D" w:rsidRPr="0077173D" w:rsidRDefault="0077173D" w:rsidP="0077173D">
            <w:pPr>
              <w:pStyle w:val="tabletext"/>
            </w:pPr>
            <w:r w:rsidRPr="0077173D">
              <w:rPr>
                <w:rFonts w:eastAsia="Arial" w:cs="Arial"/>
                <w:szCs w:val="20"/>
              </w:rPr>
              <w:t>ABUHB</w:t>
            </w:r>
          </w:p>
        </w:tc>
        <w:tc>
          <w:tcPr>
            <w:tcW w:w="1461" w:type="dxa"/>
            <w:vAlign w:val="center"/>
          </w:tcPr>
          <w:p w14:paraId="6770A4D9" w14:textId="1A856569" w:rsidR="0077173D" w:rsidRPr="00F2076E" w:rsidRDefault="0077173D" w:rsidP="0077173D">
            <w:pPr>
              <w:pStyle w:val="tabletext"/>
              <w:jc w:val="right"/>
            </w:pPr>
            <w:r w:rsidRPr="00CB4ED1">
              <w:rPr>
                <w:rFonts w:eastAsia="Arial" w:cs="Arial"/>
                <w:szCs w:val="20"/>
              </w:rPr>
              <w:t>-346</w:t>
            </w:r>
          </w:p>
        </w:tc>
        <w:tc>
          <w:tcPr>
            <w:tcW w:w="1462" w:type="dxa"/>
            <w:vAlign w:val="center"/>
          </w:tcPr>
          <w:p w14:paraId="67710255" w14:textId="0A902BA3" w:rsidR="0077173D" w:rsidRPr="00F2076E" w:rsidRDefault="0077173D" w:rsidP="0077173D">
            <w:pPr>
              <w:pStyle w:val="tabletext"/>
              <w:jc w:val="right"/>
            </w:pPr>
            <w:r w:rsidRPr="00CB4ED1">
              <w:rPr>
                <w:rFonts w:eastAsia="Arial" w:cs="Arial"/>
                <w:szCs w:val="20"/>
              </w:rPr>
              <w:t>-355</w:t>
            </w:r>
          </w:p>
        </w:tc>
        <w:tc>
          <w:tcPr>
            <w:tcW w:w="1461" w:type="dxa"/>
            <w:vAlign w:val="center"/>
          </w:tcPr>
          <w:p w14:paraId="75735E21" w14:textId="57E6D26C" w:rsidR="0077173D" w:rsidRPr="00F2076E" w:rsidRDefault="0077173D" w:rsidP="0077173D">
            <w:pPr>
              <w:pStyle w:val="tabletext"/>
              <w:jc w:val="right"/>
            </w:pPr>
            <w:r w:rsidRPr="00CB4ED1">
              <w:rPr>
                <w:rFonts w:eastAsia="Arial" w:cs="Arial"/>
                <w:szCs w:val="20"/>
              </w:rPr>
              <w:t>-364</w:t>
            </w:r>
          </w:p>
        </w:tc>
        <w:tc>
          <w:tcPr>
            <w:tcW w:w="1462" w:type="dxa"/>
            <w:vAlign w:val="center"/>
          </w:tcPr>
          <w:p w14:paraId="65EEFD5D" w14:textId="4D235AA4" w:rsidR="0077173D" w:rsidRPr="00F2076E" w:rsidRDefault="0077173D" w:rsidP="0077173D">
            <w:pPr>
              <w:pStyle w:val="tabletext"/>
              <w:jc w:val="right"/>
            </w:pPr>
            <w:r w:rsidRPr="00CB4ED1">
              <w:rPr>
                <w:rFonts w:eastAsia="Arial" w:cs="Arial"/>
                <w:szCs w:val="20"/>
              </w:rPr>
              <w:t>-373</w:t>
            </w:r>
          </w:p>
        </w:tc>
        <w:tc>
          <w:tcPr>
            <w:tcW w:w="1462" w:type="dxa"/>
            <w:vAlign w:val="center"/>
          </w:tcPr>
          <w:p w14:paraId="1C7ACFD9" w14:textId="60592483" w:rsidR="0077173D" w:rsidRPr="00F2076E" w:rsidRDefault="0077173D" w:rsidP="0077173D">
            <w:pPr>
              <w:pStyle w:val="tabletext"/>
              <w:jc w:val="right"/>
            </w:pPr>
            <w:r w:rsidRPr="00CB4ED1">
              <w:rPr>
                <w:rFonts w:eastAsia="Arial" w:cs="Arial"/>
                <w:szCs w:val="20"/>
              </w:rPr>
              <w:t>-382</w:t>
            </w:r>
          </w:p>
        </w:tc>
      </w:tr>
      <w:tr w:rsidR="0077173D" w:rsidRPr="00F2076E" w14:paraId="164907C8" w14:textId="77777777" w:rsidTr="0077173D">
        <w:tc>
          <w:tcPr>
            <w:tcW w:w="2523" w:type="dxa"/>
            <w:vAlign w:val="center"/>
          </w:tcPr>
          <w:p w14:paraId="0A9BB4F5" w14:textId="0ABC3809" w:rsidR="0077173D" w:rsidRPr="0077173D" w:rsidRDefault="0077173D" w:rsidP="0077173D">
            <w:pPr>
              <w:pStyle w:val="tabletext"/>
              <w:rPr>
                <w:rFonts w:eastAsia="Arial" w:cs="Arial"/>
                <w:szCs w:val="20"/>
              </w:rPr>
            </w:pPr>
            <w:r w:rsidRPr="0077173D">
              <w:rPr>
                <w:rFonts w:eastAsia="Arial" w:cs="Arial"/>
                <w:szCs w:val="20"/>
              </w:rPr>
              <w:t>CAVUHB</w:t>
            </w:r>
          </w:p>
        </w:tc>
        <w:tc>
          <w:tcPr>
            <w:tcW w:w="1461" w:type="dxa"/>
            <w:vAlign w:val="center"/>
          </w:tcPr>
          <w:p w14:paraId="1279D8F9" w14:textId="71BE6378" w:rsidR="0077173D" w:rsidRPr="00CB4ED1" w:rsidRDefault="0077173D" w:rsidP="0077173D">
            <w:pPr>
              <w:pStyle w:val="tabletext"/>
              <w:jc w:val="right"/>
              <w:rPr>
                <w:rFonts w:eastAsia="Arial" w:cs="Arial"/>
                <w:szCs w:val="20"/>
              </w:rPr>
            </w:pPr>
            <w:r w:rsidRPr="00CB4ED1">
              <w:rPr>
                <w:rFonts w:eastAsia="Arial" w:cs="Arial"/>
                <w:szCs w:val="20"/>
              </w:rPr>
              <w:t>64</w:t>
            </w:r>
          </w:p>
        </w:tc>
        <w:tc>
          <w:tcPr>
            <w:tcW w:w="1462" w:type="dxa"/>
            <w:vAlign w:val="center"/>
          </w:tcPr>
          <w:p w14:paraId="6785843F" w14:textId="2FFAE742" w:rsidR="0077173D" w:rsidRPr="00CB4ED1" w:rsidRDefault="0077173D" w:rsidP="0077173D">
            <w:pPr>
              <w:pStyle w:val="tabletext"/>
              <w:jc w:val="right"/>
              <w:rPr>
                <w:rFonts w:eastAsia="Arial" w:cs="Arial"/>
                <w:szCs w:val="20"/>
              </w:rPr>
            </w:pPr>
            <w:r w:rsidRPr="00CB4ED1">
              <w:rPr>
                <w:rFonts w:eastAsia="Arial" w:cs="Arial"/>
                <w:szCs w:val="20"/>
              </w:rPr>
              <w:t>65</w:t>
            </w:r>
          </w:p>
        </w:tc>
        <w:tc>
          <w:tcPr>
            <w:tcW w:w="1461" w:type="dxa"/>
            <w:vAlign w:val="center"/>
          </w:tcPr>
          <w:p w14:paraId="082F6325" w14:textId="4786A1C6" w:rsidR="0077173D" w:rsidRPr="00CB4ED1" w:rsidRDefault="0077173D" w:rsidP="0077173D">
            <w:pPr>
              <w:pStyle w:val="tabletext"/>
              <w:jc w:val="right"/>
              <w:rPr>
                <w:rFonts w:eastAsia="Arial" w:cs="Arial"/>
                <w:szCs w:val="20"/>
              </w:rPr>
            </w:pPr>
            <w:r w:rsidRPr="00CB4ED1">
              <w:rPr>
                <w:rFonts w:eastAsia="Arial" w:cs="Arial"/>
                <w:szCs w:val="20"/>
              </w:rPr>
              <w:t>67</w:t>
            </w:r>
          </w:p>
        </w:tc>
        <w:tc>
          <w:tcPr>
            <w:tcW w:w="1462" w:type="dxa"/>
            <w:vAlign w:val="center"/>
          </w:tcPr>
          <w:p w14:paraId="1CFB3864" w14:textId="12F8F7C2" w:rsidR="0077173D" w:rsidRPr="00CB4ED1" w:rsidRDefault="0077173D" w:rsidP="0077173D">
            <w:pPr>
              <w:pStyle w:val="tabletext"/>
              <w:jc w:val="right"/>
              <w:rPr>
                <w:rFonts w:eastAsia="Arial" w:cs="Arial"/>
                <w:szCs w:val="20"/>
              </w:rPr>
            </w:pPr>
            <w:r w:rsidRPr="00CB4ED1">
              <w:rPr>
                <w:rFonts w:eastAsia="Arial" w:cs="Arial"/>
                <w:szCs w:val="20"/>
              </w:rPr>
              <w:t>68</w:t>
            </w:r>
          </w:p>
        </w:tc>
        <w:tc>
          <w:tcPr>
            <w:tcW w:w="1462" w:type="dxa"/>
            <w:vAlign w:val="center"/>
          </w:tcPr>
          <w:p w14:paraId="6CAF25C6" w14:textId="7445843F" w:rsidR="0077173D" w:rsidRPr="00CB4ED1" w:rsidRDefault="0077173D" w:rsidP="0077173D">
            <w:pPr>
              <w:pStyle w:val="tabletext"/>
              <w:jc w:val="right"/>
              <w:rPr>
                <w:rFonts w:eastAsia="Arial" w:cs="Arial"/>
                <w:szCs w:val="20"/>
              </w:rPr>
            </w:pPr>
            <w:r w:rsidRPr="00CB4ED1">
              <w:rPr>
                <w:rFonts w:eastAsia="Arial" w:cs="Arial"/>
                <w:szCs w:val="20"/>
              </w:rPr>
              <w:t>70</w:t>
            </w:r>
          </w:p>
        </w:tc>
      </w:tr>
      <w:tr w:rsidR="0077173D" w:rsidRPr="00F2076E" w14:paraId="737F477F" w14:textId="77777777" w:rsidTr="0077173D">
        <w:tc>
          <w:tcPr>
            <w:tcW w:w="2523" w:type="dxa"/>
            <w:vAlign w:val="center"/>
          </w:tcPr>
          <w:p w14:paraId="5BED4BD9" w14:textId="74E6C300" w:rsidR="0077173D" w:rsidRPr="0077173D" w:rsidRDefault="0077173D" w:rsidP="0077173D">
            <w:pPr>
              <w:pStyle w:val="tabletext"/>
              <w:rPr>
                <w:rFonts w:eastAsia="Arial" w:cs="Arial"/>
                <w:szCs w:val="20"/>
              </w:rPr>
            </w:pPr>
            <w:r w:rsidRPr="0077173D">
              <w:rPr>
                <w:rFonts w:eastAsia="Arial" w:cs="Arial"/>
                <w:szCs w:val="20"/>
              </w:rPr>
              <w:t>CTMUHB</w:t>
            </w:r>
          </w:p>
        </w:tc>
        <w:tc>
          <w:tcPr>
            <w:tcW w:w="1461" w:type="dxa"/>
            <w:vAlign w:val="center"/>
          </w:tcPr>
          <w:p w14:paraId="3983BD4B" w14:textId="53D3DE8B" w:rsidR="0077173D" w:rsidRPr="00CB4ED1" w:rsidRDefault="0077173D" w:rsidP="0077173D">
            <w:pPr>
              <w:pStyle w:val="tabletext"/>
              <w:jc w:val="right"/>
              <w:rPr>
                <w:rFonts w:eastAsia="Arial" w:cs="Arial"/>
                <w:szCs w:val="20"/>
              </w:rPr>
            </w:pPr>
            <w:r w:rsidRPr="00CB4ED1">
              <w:rPr>
                <w:rFonts w:eastAsia="Arial" w:cs="Arial"/>
                <w:szCs w:val="20"/>
              </w:rPr>
              <w:t>-688</w:t>
            </w:r>
          </w:p>
        </w:tc>
        <w:tc>
          <w:tcPr>
            <w:tcW w:w="1462" w:type="dxa"/>
            <w:vAlign w:val="center"/>
          </w:tcPr>
          <w:p w14:paraId="0E01AA96" w14:textId="020D6AF8" w:rsidR="0077173D" w:rsidRPr="00CB4ED1" w:rsidRDefault="0077173D" w:rsidP="0077173D">
            <w:pPr>
              <w:pStyle w:val="tabletext"/>
              <w:jc w:val="right"/>
              <w:rPr>
                <w:rFonts w:eastAsia="Arial" w:cs="Arial"/>
                <w:szCs w:val="20"/>
              </w:rPr>
            </w:pPr>
            <w:r w:rsidRPr="00CB4ED1">
              <w:rPr>
                <w:rFonts w:eastAsia="Arial" w:cs="Arial"/>
                <w:szCs w:val="20"/>
              </w:rPr>
              <w:t>-705</w:t>
            </w:r>
          </w:p>
        </w:tc>
        <w:tc>
          <w:tcPr>
            <w:tcW w:w="1461" w:type="dxa"/>
            <w:vAlign w:val="center"/>
          </w:tcPr>
          <w:p w14:paraId="70F9E2C7" w14:textId="57CD51DB" w:rsidR="0077173D" w:rsidRPr="00CB4ED1" w:rsidRDefault="0077173D" w:rsidP="0077173D">
            <w:pPr>
              <w:pStyle w:val="tabletext"/>
              <w:jc w:val="right"/>
              <w:rPr>
                <w:rFonts w:eastAsia="Arial" w:cs="Arial"/>
                <w:szCs w:val="20"/>
              </w:rPr>
            </w:pPr>
            <w:r w:rsidRPr="00CB4ED1">
              <w:rPr>
                <w:rFonts w:eastAsia="Arial" w:cs="Arial"/>
                <w:szCs w:val="20"/>
              </w:rPr>
              <w:t>-722</w:t>
            </w:r>
          </w:p>
        </w:tc>
        <w:tc>
          <w:tcPr>
            <w:tcW w:w="1462" w:type="dxa"/>
            <w:vAlign w:val="center"/>
          </w:tcPr>
          <w:p w14:paraId="3D7DE587" w14:textId="7ACA2D60" w:rsidR="0077173D" w:rsidRPr="00CB4ED1" w:rsidRDefault="0077173D" w:rsidP="0077173D">
            <w:pPr>
              <w:pStyle w:val="tabletext"/>
              <w:jc w:val="right"/>
              <w:rPr>
                <w:rFonts w:eastAsia="Arial" w:cs="Arial"/>
                <w:szCs w:val="20"/>
              </w:rPr>
            </w:pPr>
            <w:r w:rsidRPr="00CB4ED1">
              <w:rPr>
                <w:rFonts w:eastAsia="Arial" w:cs="Arial"/>
                <w:szCs w:val="20"/>
              </w:rPr>
              <w:t>-740</w:t>
            </w:r>
          </w:p>
        </w:tc>
        <w:tc>
          <w:tcPr>
            <w:tcW w:w="1462" w:type="dxa"/>
            <w:vAlign w:val="center"/>
          </w:tcPr>
          <w:p w14:paraId="21DB41FD" w14:textId="393BC585" w:rsidR="0077173D" w:rsidRPr="00CB4ED1" w:rsidRDefault="0077173D" w:rsidP="0077173D">
            <w:pPr>
              <w:pStyle w:val="tabletext"/>
              <w:jc w:val="right"/>
              <w:rPr>
                <w:rFonts w:eastAsia="Arial" w:cs="Arial"/>
                <w:szCs w:val="20"/>
              </w:rPr>
            </w:pPr>
            <w:r w:rsidRPr="00CB4ED1">
              <w:rPr>
                <w:rFonts w:eastAsia="Arial" w:cs="Arial"/>
                <w:szCs w:val="20"/>
              </w:rPr>
              <w:t>-759</w:t>
            </w:r>
          </w:p>
        </w:tc>
      </w:tr>
      <w:tr w:rsidR="0077173D" w:rsidRPr="00F2076E" w14:paraId="5D819547" w14:textId="77777777" w:rsidTr="0077173D">
        <w:tc>
          <w:tcPr>
            <w:tcW w:w="2523" w:type="dxa"/>
            <w:vAlign w:val="center"/>
          </w:tcPr>
          <w:p w14:paraId="25ACA384" w14:textId="4F48AA9F" w:rsidR="0077173D" w:rsidRPr="0077173D" w:rsidRDefault="0077173D" w:rsidP="0077173D">
            <w:pPr>
              <w:pStyle w:val="tabletext"/>
              <w:rPr>
                <w:rFonts w:eastAsia="Arial" w:cs="Arial"/>
                <w:szCs w:val="20"/>
              </w:rPr>
            </w:pPr>
            <w:r w:rsidRPr="0077173D">
              <w:rPr>
                <w:rFonts w:eastAsia="Arial" w:cs="Arial"/>
                <w:b/>
                <w:bCs/>
                <w:szCs w:val="20"/>
              </w:rPr>
              <w:t xml:space="preserve">SEW Region </w:t>
            </w:r>
          </w:p>
        </w:tc>
        <w:tc>
          <w:tcPr>
            <w:tcW w:w="1461" w:type="dxa"/>
            <w:vAlign w:val="center"/>
          </w:tcPr>
          <w:p w14:paraId="6B09B473" w14:textId="31C669D5" w:rsidR="0077173D" w:rsidRPr="00CB4ED1" w:rsidRDefault="0077173D" w:rsidP="0077173D">
            <w:pPr>
              <w:pStyle w:val="tabletext"/>
              <w:jc w:val="right"/>
              <w:rPr>
                <w:rFonts w:eastAsia="Arial" w:cs="Arial"/>
                <w:szCs w:val="20"/>
              </w:rPr>
            </w:pPr>
            <w:r w:rsidRPr="00CB4ED1">
              <w:rPr>
                <w:rFonts w:eastAsia="Arial" w:cs="Arial"/>
                <w:b/>
                <w:bCs/>
                <w:szCs w:val="20"/>
              </w:rPr>
              <w:t>-970</w:t>
            </w:r>
          </w:p>
        </w:tc>
        <w:tc>
          <w:tcPr>
            <w:tcW w:w="1462" w:type="dxa"/>
            <w:vAlign w:val="center"/>
          </w:tcPr>
          <w:p w14:paraId="6E5C9423" w14:textId="23D6E294" w:rsidR="0077173D" w:rsidRPr="00CB4ED1" w:rsidRDefault="0077173D" w:rsidP="0077173D">
            <w:pPr>
              <w:pStyle w:val="tabletext"/>
              <w:jc w:val="right"/>
              <w:rPr>
                <w:rFonts w:eastAsia="Arial" w:cs="Arial"/>
                <w:szCs w:val="20"/>
              </w:rPr>
            </w:pPr>
            <w:r w:rsidRPr="00CB4ED1">
              <w:rPr>
                <w:rFonts w:eastAsia="Arial" w:cs="Arial"/>
                <w:b/>
                <w:bCs/>
                <w:szCs w:val="20"/>
              </w:rPr>
              <w:t>-994</w:t>
            </w:r>
          </w:p>
        </w:tc>
        <w:tc>
          <w:tcPr>
            <w:tcW w:w="1461" w:type="dxa"/>
            <w:vAlign w:val="center"/>
          </w:tcPr>
          <w:p w14:paraId="70AC065C" w14:textId="05BF0536" w:rsidR="0077173D" w:rsidRPr="00CB4ED1" w:rsidRDefault="0077173D" w:rsidP="0077173D">
            <w:pPr>
              <w:pStyle w:val="tabletext"/>
              <w:jc w:val="right"/>
              <w:rPr>
                <w:rFonts w:eastAsia="Arial" w:cs="Arial"/>
                <w:szCs w:val="20"/>
              </w:rPr>
            </w:pPr>
            <w:r w:rsidRPr="00CB4ED1">
              <w:rPr>
                <w:rFonts w:eastAsia="Arial" w:cs="Arial"/>
                <w:b/>
                <w:bCs/>
                <w:szCs w:val="20"/>
              </w:rPr>
              <w:t>-1,019</w:t>
            </w:r>
          </w:p>
        </w:tc>
        <w:tc>
          <w:tcPr>
            <w:tcW w:w="1462" w:type="dxa"/>
            <w:vAlign w:val="center"/>
          </w:tcPr>
          <w:p w14:paraId="127CFD2C" w14:textId="0C379A00" w:rsidR="0077173D" w:rsidRPr="00CB4ED1" w:rsidRDefault="0077173D" w:rsidP="0077173D">
            <w:pPr>
              <w:pStyle w:val="tabletext"/>
              <w:jc w:val="right"/>
              <w:rPr>
                <w:rFonts w:eastAsia="Arial" w:cs="Arial"/>
                <w:szCs w:val="20"/>
              </w:rPr>
            </w:pPr>
            <w:r w:rsidRPr="00CB4ED1">
              <w:rPr>
                <w:rFonts w:eastAsia="Arial" w:cs="Arial"/>
                <w:b/>
                <w:bCs/>
                <w:szCs w:val="20"/>
              </w:rPr>
              <w:t>-1,044</w:t>
            </w:r>
          </w:p>
        </w:tc>
        <w:tc>
          <w:tcPr>
            <w:tcW w:w="1462" w:type="dxa"/>
            <w:vAlign w:val="center"/>
          </w:tcPr>
          <w:p w14:paraId="60093D4D" w14:textId="4C1B9A03" w:rsidR="0077173D" w:rsidRPr="00CB4ED1" w:rsidRDefault="0077173D" w:rsidP="0077173D">
            <w:pPr>
              <w:pStyle w:val="tabletext"/>
              <w:jc w:val="right"/>
              <w:rPr>
                <w:rFonts w:eastAsia="Arial" w:cs="Arial"/>
                <w:szCs w:val="20"/>
              </w:rPr>
            </w:pPr>
            <w:r w:rsidRPr="00CB4ED1">
              <w:rPr>
                <w:rFonts w:eastAsia="Arial" w:cs="Arial"/>
                <w:b/>
                <w:bCs/>
                <w:szCs w:val="20"/>
              </w:rPr>
              <w:t>-1,070</w:t>
            </w:r>
          </w:p>
        </w:tc>
      </w:tr>
      <w:tr w:rsidR="0077173D" w:rsidRPr="00F2076E" w14:paraId="6887DC7A" w14:textId="77777777" w:rsidTr="0077173D">
        <w:tc>
          <w:tcPr>
            <w:tcW w:w="2523" w:type="dxa"/>
            <w:vAlign w:val="center"/>
          </w:tcPr>
          <w:p w14:paraId="0E335D63" w14:textId="3F221CC5" w:rsidR="0077173D" w:rsidRPr="0077173D" w:rsidRDefault="0077173D" w:rsidP="0077173D">
            <w:pPr>
              <w:pStyle w:val="tabletext"/>
              <w:rPr>
                <w:rFonts w:eastAsia="Arial" w:cs="Arial"/>
                <w:b/>
                <w:bCs/>
                <w:szCs w:val="20"/>
              </w:rPr>
            </w:pPr>
            <w:r w:rsidRPr="0077173D">
              <w:rPr>
                <w:rFonts w:eastAsia="Arial" w:cs="Arial"/>
                <w:szCs w:val="20"/>
              </w:rPr>
              <w:t>20% efficiency gap</w:t>
            </w:r>
          </w:p>
        </w:tc>
        <w:tc>
          <w:tcPr>
            <w:tcW w:w="1461" w:type="dxa"/>
            <w:vAlign w:val="center"/>
          </w:tcPr>
          <w:p w14:paraId="63924673" w14:textId="1AB6935A" w:rsidR="0077173D" w:rsidRPr="00CB4ED1" w:rsidRDefault="0077173D" w:rsidP="0077173D">
            <w:pPr>
              <w:pStyle w:val="tabletext"/>
              <w:jc w:val="right"/>
              <w:rPr>
                <w:rFonts w:eastAsia="Arial" w:cs="Arial"/>
                <w:b/>
                <w:bCs/>
                <w:szCs w:val="20"/>
              </w:rPr>
            </w:pPr>
            <w:r w:rsidRPr="00CB4ED1">
              <w:rPr>
                <w:rFonts w:eastAsia="Arial" w:cs="Arial"/>
                <w:szCs w:val="20"/>
              </w:rPr>
              <w:t>-230</w:t>
            </w:r>
          </w:p>
        </w:tc>
        <w:tc>
          <w:tcPr>
            <w:tcW w:w="1462" w:type="dxa"/>
            <w:vAlign w:val="center"/>
          </w:tcPr>
          <w:p w14:paraId="7DA59F69" w14:textId="693F98BE" w:rsidR="0077173D" w:rsidRPr="00CB4ED1" w:rsidRDefault="0077173D" w:rsidP="0077173D">
            <w:pPr>
              <w:pStyle w:val="tabletext"/>
              <w:jc w:val="right"/>
              <w:rPr>
                <w:rFonts w:eastAsia="Arial" w:cs="Arial"/>
                <w:b/>
                <w:bCs/>
                <w:szCs w:val="20"/>
              </w:rPr>
            </w:pPr>
            <w:r w:rsidRPr="00CB4ED1">
              <w:rPr>
                <w:rFonts w:eastAsia="Arial" w:cs="Arial"/>
                <w:szCs w:val="20"/>
              </w:rPr>
              <w:t>-230</w:t>
            </w:r>
          </w:p>
        </w:tc>
        <w:tc>
          <w:tcPr>
            <w:tcW w:w="1461" w:type="dxa"/>
            <w:vAlign w:val="center"/>
          </w:tcPr>
          <w:p w14:paraId="55E18617" w14:textId="47D3A1F1" w:rsidR="0077173D" w:rsidRPr="00CB4ED1" w:rsidRDefault="0077173D" w:rsidP="0077173D">
            <w:pPr>
              <w:pStyle w:val="tabletext"/>
              <w:jc w:val="right"/>
              <w:rPr>
                <w:rFonts w:eastAsia="Arial" w:cs="Arial"/>
                <w:b/>
                <w:bCs/>
                <w:szCs w:val="20"/>
              </w:rPr>
            </w:pPr>
            <w:r w:rsidRPr="00CB4ED1">
              <w:rPr>
                <w:rFonts w:eastAsia="Arial" w:cs="Arial"/>
                <w:szCs w:val="20"/>
              </w:rPr>
              <w:t>-230</w:t>
            </w:r>
          </w:p>
        </w:tc>
        <w:tc>
          <w:tcPr>
            <w:tcW w:w="1462" w:type="dxa"/>
            <w:vAlign w:val="center"/>
          </w:tcPr>
          <w:p w14:paraId="47E1FF70" w14:textId="1CF86A21" w:rsidR="0077173D" w:rsidRPr="00CB4ED1" w:rsidRDefault="0077173D" w:rsidP="0077173D">
            <w:pPr>
              <w:pStyle w:val="tabletext"/>
              <w:jc w:val="right"/>
              <w:rPr>
                <w:rFonts w:eastAsia="Arial" w:cs="Arial"/>
                <w:b/>
                <w:bCs/>
                <w:szCs w:val="20"/>
              </w:rPr>
            </w:pPr>
            <w:r w:rsidRPr="00CB4ED1">
              <w:rPr>
                <w:rFonts w:eastAsia="Arial" w:cs="Arial"/>
                <w:szCs w:val="20"/>
              </w:rPr>
              <w:t>-230</w:t>
            </w:r>
          </w:p>
        </w:tc>
        <w:tc>
          <w:tcPr>
            <w:tcW w:w="1462" w:type="dxa"/>
            <w:vAlign w:val="center"/>
          </w:tcPr>
          <w:p w14:paraId="441158C8" w14:textId="010C23B9" w:rsidR="0077173D" w:rsidRPr="00CB4ED1" w:rsidRDefault="0077173D" w:rsidP="0077173D">
            <w:pPr>
              <w:pStyle w:val="tabletext"/>
              <w:jc w:val="right"/>
              <w:rPr>
                <w:rFonts w:eastAsia="Arial" w:cs="Arial"/>
                <w:b/>
                <w:bCs/>
                <w:szCs w:val="20"/>
              </w:rPr>
            </w:pPr>
            <w:r w:rsidRPr="00CB4ED1">
              <w:rPr>
                <w:rFonts w:eastAsia="Arial" w:cs="Arial"/>
                <w:szCs w:val="20"/>
              </w:rPr>
              <w:t>-230</w:t>
            </w:r>
          </w:p>
        </w:tc>
      </w:tr>
      <w:tr w:rsidR="0077173D" w:rsidRPr="00F2076E" w14:paraId="4BA40670" w14:textId="77777777" w:rsidTr="0077173D">
        <w:tc>
          <w:tcPr>
            <w:tcW w:w="2523" w:type="dxa"/>
            <w:vAlign w:val="center"/>
          </w:tcPr>
          <w:p w14:paraId="47AE1478" w14:textId="6E97CAAE" w:rsidR="0077173D" w:rsidRPr="0077173D" w:rsidRDefault="0077173D" w:rsidP="0077173D">
            <w:pPr>
              <w:pStyle w:val="tabletext"/>
              <w:rPr>
                <w:rFonts w:eastAsia="Arial" w:cs="Arial"/>
                <w:szCs w:val="20"/>
              </w:rPr>
            </w:pPr>
            <w:r w:rsidRPr="0077173D">
              <w:rPr>
                <w:rFonts w:eastAsia="Arial" w:cs="Arial"/>
                <w:b/>
                <w:bCs/>
                <w:szCs w:val="20"/>
              </w:rPr>
              <w:t>Forecast Capacity Gap</w:t>
            </w:r>
          </w:p>
        </w:tc>
        <w:tc>
          <w:tcPr>
            <w:tcW w:w="1461" w:type="dxa"/>
            <w:vAlign w:val="center"/>
          </w:tcPr>
          <w:p w14:paraId="7C54190E" w14:textId="504766CD" w:rsidR="0077173D" w:rsidRPr="00CB4ED1" w:rsidRDefault="0077173D" w:rsidP="0077173D">
            <w:pPr>
              <w:pStyle w:val="tabletext"/>
              <w:jc w:val="right"/>
              <w:rPr>
                <w:rFonts w:eastAsia="Arial" w:cs="Arial"/>
                <w:szCs w:val="20"/>
              </w:rPr>
            </w:pPr>
            <w:r w:rsidRPr="00CB4ED1">
              <w:rPr>
                <w:rFonts w:eastAsia="Arial" w:cs="Arial"/>
                <w:b/>
                <w:bCs/>
                <w:szCs w:val="20"/>
              </w:rPr>
              <w:t>-1,199</w:t>
            </w:r>
          </w:p>
        </w:tc>
        <w:tc>
          <w:tcPr>
            <w:tcW w:w="1462" w:type="dxa"/>
            <w:vAlign w:val="center"/>
          </w:tcPr>
          <w:p w14:paraId="415229A5" w14:textId="5E3FAE66" w:rsidR="0077173D" w:rsidRPr="00CB4ED1" w:rsidRDefault="0077173D" w:rsidP="0077173D">
            <w:pPr>
              <w:pStyle w:val="tabletext"/>
              <w:jc w:val="right"/>
              <w:rPr>
                <w:rFonts w:eastAsia="Arial" w:cs="Arial"/>
                <w:szCs w:val="20"/>
              </w:rPr>
            </w:pPr>
            <w:r w:rsidRPr="00CB4ED1">
              <w:rPr>
                <w:rFonts w:eastAsia="Arial" w:cs="Arial"/>
                <w:b/>
                <w:bCs/>
                <w:szCs w:val="20"/>
              </w:rPr>
              <w:t>-1,223</w:t>
            </w:r>
          </w:p>
        </w:tc>
        <w:tc>
          <w:tcPr>
            <w:tcW w:w="1461" w:type="dxa"/>
            <w:vAlign w:val="center"/>
          </w:tcPr>
          <w:p w14:paraId="081466A7" w14:textId="4C12566C" w:rsidR="0077173D" w:rsidRPr="00CB4ED1" w:rsidRDefault="0077173D" w:rsidP="0077173D">
            <w:pPr>
              <w:pStyle w:val="tabletext"/>
              <w:jc w:val="right"/>
              <w:rPr>
                <w:rFonts w:eastAsia="Arial" w:cs="Arial"/>
                <w:szCs w:val="20"/>
              </w:rPr>
            </w:pPr>
            <w:r w:rsidRPr="00CB4ED1">
              <w:rPr>
                <w:rFonts w:eastAsia="Arial" w:cs="Arial"/>
                <w:b/>
                <w:bCs/>
                <w:szCs w:val="20"/>
              </w:rPr>
              <w:t>-1,248</w:t>
            </w:r>
          </w:p>
        </w:tc>
        <w:tc>
          <w:tcPr>
            <w:tcW w:w="1462" w:type="dxa"/>
            <w:vAlign w:val="center"/>
          </w:tcPr>
          <w:p w14:paraId="11B2C1A1" w14:textId="768A3F21" w:rsidR="0077173D" w:rsidRPr="00CB4ED1" w:rsidRDefault="0077173D" w:rsidP="0077173D">
            <w:pPr>
              <w:pStyle w:val="tabletext"/>
              <w:jc w:val="right"/>
              <w:rPr>
                <w:rFonts w:eastAsia="Arial" w:cs="Arial"/>
                <w:szCs w:val="20"/>
              </w:rPr>
            </w:pPr>
            <w:r w:rsidRPr="00CB4ED1">
              <w:rPr>
                <w:rFonts w:eastAsia="Arial" w:cs="Arial"/>
                <w:b/>
                <w:bCs/>
                <w:szCs w:val="20"/>
              </w:rPr>
              <w:t>-1,274</w:t>
            </w:r>
          </w:p>
        </w:tc>
        <w:tc>
          <w:tcPr>
            <w:tcW w:w="1462" w:type="dxa"/>
            <w:vAlign w:val="center"/>
          </w:tcPr>
          <w:p w14:paraId="11BAF05E" w14:textId="30A4C349" w:rsidR="0077173D" w:rsidRPr="00CB4ED1" w:rsidRDefault="0077173D" w:rsidP="0077173D">
            <w:pPr>
              <w:pStyle w:val="tabletext"/>
              <w:jc w:val="right"/>
              <w:rPr>
                <w:rFonts w:eastAsia="Arial" w:cs="Arial"/>
                <w:szCs w:val="20"/>
              </w:rPr>
            </w:pPr>
            <w:r w:rsidRPr="00CB4ED1">
              <w:rPr>
                <w:rFonts w:eastAsia="Arial" w:cs="Arial"/>
                <w:b/>
                <w:bCs/>
                <w:szCs w:val="20"/>
              </w:rPr>
              <w:t>-1,300</w:t>
            </w:r>
          </w:p>
        </w:tc>
      </w:tr>
      <w:tr w:rsidR="0077173D" w:rsidRPr="00F2076E" w14:paraId="527B48CB" w14:textId="77777777" w:rsidTr="0077173D">
        <w:tc>
          <w:tcPr>
            <w:tcW w:w="2523" w:type="dxa"/>
            <w:vAlign w:val="center"/>
          </w:tcPr>
          <w:p w14:paraId="131D58CF" w14:textId="5EA48449" w:rsidR="0077173D" w:rsidRPr="0077173D" w:rsidRDefault="0077173D" w:rsidP="0077173D">
            <w:pPr>
              <w:pStyle w:val="tabletext"/>
              <w:rPr>
                <w:rFonts w:eastAsia="Arial" w:cs="Arial"/>
                <w:b/>
                <w:bCs/>
                <w:szCs w:val="20"/>
              </w:rPr>
            </w:pPr>
            <w:r w:rsidRPr="0077173D">
              <w:rPr>
                <w:rFonts w:eastAsia="Arial" w:cs="Arial"/>
                <w:szCs w:val="20"/>
              </w:rPr>
              <w:t xml:space="preserve">LHP Capacity </w:t>
            </w:r>
          </w:p>
        </w:tc>
        <w:tc>
          <w:tcPr>
            <w:tcW w:w="1461" w:type="dxa"/>
            <w:vAlign w:val="center"/>
          </w:tcPr>
          <w:p w14:paraId="67E4A68F" w14:textId="6873DDFA" w:rsidR="0077173D" w:rsidRPr="00CB4ED1" w:rsidRDefault="0077173D" w:rsidP="0077173D">
            <w:pPr>
              <w:pStyle w:val="tabletext"/>
              <w:jc w:val="right"/>
              <w:rPr>
                <w:rFonts w:eastAsia="Arial" w:cs="Arial"/>
                <w:b/>
                <w:bCs/>
                <w:szCs w:val="20"/>
              </w:rPr>
            </w:pPr>
            <w:r w:rsidRPr="00CB4ED1">
              <w:rPr>
                <w:rFonts w:eastAsia="Arial" w:cs="Arial"/>
                <w:szCs w:val="20"/>
              </w:rPr>
              <w:t>2,880</w:t>
            </w:r>
          </w:p>
        </w:tc>
        <w:tc>
          <w:tcPr>
            <w:tcW w:w="1462" w:type="dxa"/>
            <w:vAlign w:val="center"/>
          </w:tcPr>
          <w:p w14:paraId="49D69FFA" w14:textId="4017AA85" w:rsidR="0077173D" w:rsidRPr="00CB4ED1" w:rsidRDefault="0077173D" w:rsidP="0077173D">
            <w:pPr>
              <w:pStyle w:val="tabletext"/>
              <w:jc w:val="right"/>
              <w:rPr>
                <w:rFonts w:eastAsia="Arial" w:cs="Arial"/>
                <w:b/>
                <w:bCs/>
                <w:szCs w:val="20"/>
              </w:rPr>
            </w:pPr>
            <w:r w:rsidRPr="00CB4ED1">
              <w:rPr>
                <w:rFonts w:eastAsia="Arial" w:cs="Arial"/>
                <w:szCs w:val="20"/>
              </w:rPr>
              <w:t>2,880</w:t>
            </w:r>
          </w:p>
        </w:tc>
        <w:tc>
          <w:tcPr>
            <w:tcW w:w="1461" w:type="dxa"/>
            <w:vAlign w:val="center"/>
          </w:tcPr>
          <w:p w14:paraId="49C42677" w14:textId="66F57CF7" w:rsidR="0077173D" w:rsidRPr="00CB4ED1" w:rsidRDefault="0077173D" w:rsidP="0077173D">
            <w:pPr>
              <w:pStyle w:val="tabletext"/>
              <w:jc w:val="right"/>
              <w:rPr>
                <w:rFonts w:eastAsia="Arial" w:cs="Arial"/>
                <w:b/>
                <w:bCs/>
                <w:szCs w:val="20"/>
              </w:rPr>
            </w:pPr>
            <w:r w:rsidRPr="00CB4ED1">
              <w:rPr>
                <w:rFonts w:eastAsia="Arial" w:cs="Arial"/>
                <w:szCs w:val="20"/>
              </w:rPr>
              <w:t>2,880</w:t>
            </w:r>
          </w:p>
        </w:tc>
        <w:tc>
          <w:tcPr>
            <w:tcW w:w="1462" w:type="dxa"/>
            <w:vAlign w:val="center"/>
          </w:tcPr>
          <w:p w14:paraId="05048B9C" w14:textId="72C808F6" w:rsidR="0077173D" w:rsidRPr="00CB4ED1" w:rsidRDefault="0077173D" w:rsidP="0077173D">
            <w:pPr>
              <w:pStyle w:val="tabletext"/>
              <w:jc w:val="right"/>
              <w:rPr>
                <w:rFonts w:eastAsia="Arial" w:cs="Arial"/>
                <w:b/>
                <w:bCs/>
                <w:szCs w:val="20"/>
              </w:rPr>
            </w:pPr>
            <w:r w:rsidRPr="00CB4ED1">
              <w:rPr>
                <w:rFonts w:eastAsia="Arial" w:cs="Arial"/>
                <w:szCs w:val="20"/>
              </w:rPr>
              <w:t>2,880</w:t>
            </w:r>
          </w:p>
        </w:tc>
        <w:tc>
          <w:tcPr>
            <w:tcW w:w="1462" w:type="dxa"/>
            <w:vAlign w:val="center"/>
          </w:tcPr>
          <w:p w14:paraId="1A6C9420" w14:textId="7F0CC185" w:rsidR="0077173D" w:rsidRPr="00CB4ED1" w:rsidRDefault="0077173D" w:rsidP="0077173D">
            <w:pPr>
              <w:pStyle w:val="tabletext"/>
              <w:jc w:val="right"/>
              <w:rPr>
                <w:rFonts w:eastAsia="Arial" w:cs="Arial"/>
                <w:b/>
                <w:bCs/>
                <w:szCs w:val="20"/>
              </w:rPr>
            </w:pPr>
            <w:r w:rsidRPr="00CB4ED1">
              <w:rPr>
                <w:rFonts w:eastAsia="Arial" w:cs="Arial"/>
                <w:szCs w:val="20"/>
              </w:rPr>
              <w:t>2,880</w:t>
            </w:r>
          </w:p>
        </w:tc>
      </w:tr>
      <w:tr w:rsidR="0077173D" w:rsidRPr="00F2076E" w14:paraId="4AB10D18" w14:textId="77777777" w:rsidTr="0077173D">
        <w:tc>
          <w:tcPr>
            <w:tcW w:w="2523" w:type="dxa"/>
            <w:vAlign w:val="center"/>
          </w:tcPr>
          <w:p w14:paraId="5020F9AC" w14:textId="0550342E" w:rsidR="0077173D" w:rsidRPr="0077173D" w:rsidRDefault="0077173D" w:rsidP="0077173D">
            <w:pPr>
              <w:pStyle w:val="tabletext"/>
              <w:rPr>
                <w:rFonts w:eastAsia="Arial" w:cs="Arial"/>
                <w:szCs w:val="20"/>
              </w:rPr>
            </w:pPr>
            <w:r w:rsidRPr="0077173D">
              <w:rPr>
                <w:rFonts w:eastAsia="Arial" w:cs="Arial"/>
                <w:b/>
                <w:bCs/>
                <w:szCs w:val="20"/>
              </w:rPr>
              <w:t>Net Capacity Gain</w:t>
            </w:r>
          </w:p>
        </w:tc>
        <w:tc>
          <w:tcPr>
            <w:tcW w:w="1461" w:type="dxa"/>
            <w:vAlign w:val="center"/>
          </w:tcPr>
          <w:p w14:paraId="1C17091D" w14:textId="70EE6FBF" w:rsidR="0077173D" w:rsidRPr="00CB4ED1" w:rsidRDefault="0077173D" w:rsidP="0077173D">
            <w:pPr>
              <w:pStyle w:val="tabletext"/>
              <w:jc w:val="right"/>
              <w:rPr>
                <w:rFonts w:eastAsia="Arial" w:cs="Arial"/>
                <w:szCs w:val="20"/>
              </w:rPr>
            </w:pPr>
            <w:r w:rsidRPr="00CB4ED1">
              <w:rPr>
                <w:rFonts w:eastAsia="Arial" w:cs="Arial"/>
                <w:b/>
                <w:bCs/>
                <w:szCs w:val="20"/>
              </w:rPr>
              <w:t>1,681</w:t>
            </w:r>
          </w:p>
        </w:tc>
        <w:tc>
          <w:tcPr>
            <w:tcW w:w="1462" w:type="dxa"/>
            <w:vAlign w:val="center"/>
          </w:tcPr>
          <w:p w14:paraId="3AC557E8" w14:textId="0641E495" w:rsidR="0077173D" w:rsidRPr="00CB4ED1" w:rsidRDefault="0077173D" w:rsidP="0077173D">
            <w:pPr>
              <w:pStyle w:val="tabletext"/>
              <w:jc w:val="right"/>
              <w:rPr>
                <w:rFonts w:eastAsia="Arial" w:cs="Arial"/>
                <w:szCs w:val="20"/>
              </w:rPr>
            </w:pPr>
            <w:r w:rsidRPr="00CB4ED1">
              <w:rPr>
                <w:rFonts w:eastAsia="Arial" w:cs="Arial"/>
                <w:b/>
                <w:bCs/>
                <w:szCs w:val="20"/>
              </w:rPr>
              <w:t>1,657</w:t>
            </w:r>
          </w:p>
        </w:tc>
        <w:tc>
          <w:tcPr>
            <w:tcW w:w="1461" w:type="dxa"/>
            <w:vAlign w:val="center"/>
          </w:tcPr>
          <w:p w14:paraId="3FCA25DD" w14:textId="28EAD4B7" w:rsidR="0077173D" w:rsidRPr="00CB4ED1" w:rsidRDefault="0077173D" w:rsidP="0077173D">
            <w:pPr>
              <w:pStyle w:val="tabletext"/>
              <w:jc w:val="right"/>
              <w:rPr>
                <w:rFonts w:eastAsia="Arial" w:cs="Arial"/>
                <w:szCs w:val="20"/>
              </w:rPr>
            </w:pPr>
            <w:r w:rsidRPr="00CB4ED1">
              <w:rPr>
                <w:rFonts w:eastAsia="Arial" w:cs="Arial"/>
                <w:b/>
                <w:bCs/>
                <w:szCs w:val="20"/>
              </w:rPr>
              <w:t>1,632</w:t>
            </w:r>
          </w:p>
        </w:tc>
        <w:tc>
          <w:tcPr>
            <w:tcW w:w="1462" w:type="dxa"/>
            <w:vAlign w:val="center"/>
          </w:tcPr>
          <w:p w14:paraId="491B6D2C" w14:textId="53EF26E1" w:rsidR="0077173D" w:rsidRPr="00CB4ED1" w:rsidRDefault="0077173D" w:rsidP="0077173D">
            <w:pPr>
              <w:pStyle w:val="tabletext"/>
              <w:jc w:val="right"/>
              <w:rPr>
                <w:rFonts w:eastAsia="Arial" w:cs="Arial"/>
                <w:szCs w:val="20"/>
              </w:rPr>
            </w:pPr>
            <w:r w:rsidRPr="00CB4ED1">
              <w:rPr>
                <w:rFonts w:eastAsia="Arial" w:cs="Arial"/>
                <w:b/>
                <w:bCs/>
                <w:szCs w:val="20"/>
              </w:rPr>
              <w:t>1,606</w:t>
            </w:r>
          </w:p>
        </w:tc>
        <w:tc>
          <w:tcPr>
            <w:tcW w:w="1462" w:type="dxa"/>
            <w:vAlign w:val="center"/>
          </w:tcPr>
          <w:p w14:paraId="3C37FB50" w14:textId="18B35AA2" w:rsidR="0077173D" w:rsidRPr="00CB4ED1" w:rsidRDefault="0077173D" w:rsidP="0077173D">
            <w:pPr>
              <w:pStyle w:val="tabletext"/>
              <w:jc w:val="right"/>
              <w:rPr>
                <w:rFonts w:eastAsia="Arial" w:cs="Arial"/>
                <w:szCs w:val="20"/>
              </w:rPr>
            </w:pPr>
            <w:r w:rsidRPr="00CB4ED1">
              <w:rPr>
                <w:rFonts w:eastAsia="Arial" w:cs="Arial"/>
                <w:b/>
                <w:bCs/>
                <w:szCs w:val="20"/>
              </w:rPr>
              <w:t>1,580</w:t>
            </w:r>
          </w:p>
        </w:tc>
      </w:tr>
    </w:tbl>
    <w:p w14:paraId="26F96508" w14:textId="45BD9AAD" w:rsidR="000710B6" w:rsidRPr="00CB4ED1" w:rsidRDefault="000710B6" w:rsidP="001D39F4">
      <w:pPr>
        <w:pStyle w:val="NoSpacing"/>
      </w:pPr>
    </w:p>
    <w:p w14:paraId="48A5A398" w14:textId="77777777" w:rsidR="000710B6" w:rsidRPr="00CB4ED1" w:rsidRDefault="000710B6" w:rsidP="000710B6">
      <w:r w:rsidRPr="00CB4ED1">
        <w:t xml:space="preserve">As modelled above, the LHP capacity will provide the additional capacity to support the region to bridge the recurrent treatment gap for primary arthroplasty and offer additional capacity of over 1000 cases in the first five years.  This additional capacity can be directed to address any residual waiting patients and offer an opportunity to begin to improve performance over and above the current baseline levels.  </w:t>
      </w:r>
    </w:p>
    <w:p w14:paraId="1581E732" w14:textId="77777777" w:rsidR="000710B6" w:rsidRPr="00CB4ED1" w:rsidRDefault="000710B6" w:rsidP="000710B6">
      <w:r w:rsidRPr="00CB4ED1">
        <w:t xml:space="preserve">Should growth be less than the 4% modelled additional capacity could offer further performance improvements and likewise should all performance efficiencies be realised this could provide additional primary arthroplasty capacity to the region to improve the performance position further. </w:t>
      </w:r>
    </w:p>
    <w:p w14:paraId="338F2F00" w14:textId="77777777" w:rsidR="000710B6" w:rsidRPr="00CB4ED1" w:rsidRDefault="000710B6" w:rsidP="000710B6">
      <w:r w:rsidRPr="00CB4ED1">
        <w:t xml:space="preserve">Alongside the additional capacity created by LHP, the transfer of primary arthroplasty activity from CTM theatres to LHP will enable the further development of sustainable orthopaedic services within the South East Wales Region.  As mentioned in previous sections, since the roof works completed at POWH, CTM arthroplasty activity has transferred to POWH where it is being used as an early implementer site for the LHP pathway.  The transfer of this activity to LHP will not only support the delivery of improved efficiencies within the service but will also offer up three theatres capacity to the overarching orthopaedic programme.  </w:t>
      </w:r>
    </w:p>
    <w:p w14:paraId="170AD191" w14:textId="367765B4" w:rsidR="000710B6" w:rsidRPr="00CB4ED1" w:rsidRDefault="000710B6" w:rsidP="000710B6">
      <w:pPr>
        <w:rPr>
          <w:rFonts w:cs="Arial"/>
        </w:rPr>
      </w:pPr>
      <w:r w:rsidRPr="00CB4ED1">
        <w:rPr>
          <w:rFonts w:cs="Arial"/>
        </w:rPr>
        <w:t xml:space="preserve">The focus on this OBC has been the development of additional capacity for the arthroplasty pathway through the creation of infrastructure to support HVLC primary arthroplasty surgery at LHP.  However, the regional orthopaedic plan identifies additional orthopaedic specialities that are also under pressure.  In looking at the numbers in table </w:t>
      </w:r>
      <w:r w:rsidR="00352EFF">
        <w:rPr>
          <w:rFonts w:cs="Arial"/>
        </w:rPr>
        <w:t>5 above</w:t>
      </w:r>
      <w:r w:rsidRPr="00CB4ED1">
        <w:rPr>
          <w:rFonts w:cs="Arial"/>
        </w:rPr>
        <w:t xml:space="preserve"> </w:t>
      </w:r>
      <w:proofErr w:type="gramStart"/>
      <w:r w:rsidRPr="00CB4ED1">
        <w:rPr>
          <w:rFonts w:cs="Arial"/>
        </w:rPr>
        <w:t>it is clear that further</w:t>
      </w:r>
      <w:proofErr w:type="gramEnd"/>
      <w:r w:rsidRPr="00CB4ED1">
        <w:rPr>
          <w:rFonts w:cs="Arial"/>
        </w:rPr>
        <w:t xml:space="preserve"> capacity is required to support treatment pathways for arthroplasty revisions, upper limb, hand and foot and ankle surgery.  </w:t>
      </w:r>
    </w:p>
    <w:p w14:paraId="151674DB" w14:textId="77777777" w:rsidR="000710B6" w:rsidRPr="00CB4ED1" w:rsidRDefault="000710B6" w:rsidP="000710B6">
      <w:pPr>
        <w:rPr>
          <w:rFonts w:cs="Arial"/>
        </w:rPr>
      </w:pPr>
      <w:r w:rsidRPr="00CB4ED1">
        <w:rPr>
          <w:rFonts w:cs="Arial"/>
        </w:rPr>
        <w:t xml:space="preserve">From an overall systems viewpoint the capacity released at POWH has the ability to meet this, however it is recognised that a whole systems approach will need to be adopted as to how capacity should be </w:t>
      </w:r>
      <w:proofErr w:type="gramStart"/>
      <w:r w:rsidRPr="00CB4ED1">
        <w:rPr>
          <w:rFonts w:cs="Arial"/>
        </w:rPr>
        <w:t>managed</w:t>
      </w:r>
      <w:proofErr w:type="gramEnd"/>
      <w:r w:rsidRPr="00CB4ED1">
        <w:rPr>
          <w:rFonts w:cs="Arial"/>
        </w:rPr>
        <w:t xml:space="preserve"> and services provided across the region.  </w:t>
      </w:r>
    </w:p>
    <w:p w14:paraId="05F6EBD2" w14:textId="77777777" w:rsidR="001D39F4" w:rsidRDefault="000710B6" w:rsidP="000710B6">
      <w:pPr>
        <w:rPr>
          <w:rFonts w:cs="Arial"/>
        </w:rPr>
      </w:pPr>
      <w:r w:rsidRPr="00CB4ED1">
        <w:rPr>
          <w:rFonts w:cs="Arial"/>
        </w:rPr>
        <w:t xml:space="preserve">How the CTM capacity released through the transfer of arthroplasty to LHP can support further regional reconfiguration for other orthopaedic specialities will be explored in the second phase of the regional orthopaedic plan.  </w:t>
      </w:r>
    </w:p>
    <w:p w14:paraId="198DAC7C" w14:textId="65659AF7" w:rsidR="000710B6" w:rsidRPr="00CB4ED1" w:rsidRDefault="000710B6" w:rsidP="000710B6">
      <w:pPr>
        <w:rPr>
          <w:rFonts w:cs="Arial"/>
        </w:rPr>
      </w:pPr>
      <w:r w:rsidRPr="00CB4ED1">
        <w:rPr>
          <w:rFonts w:cs="Arial"/>
        </w:rPr>
        <w:lastRenderedPageBreak/>
        <w:t xml:space="preserve">However, </w:t>
      </w:r>
      <w:proofErr w:type="gramStart"/>
      <w:r w:rsidRPr="00CB4ED1">
        <w:rPr>
          <w:rFonts w:cs="Arial"/>
        </w:rPr>
        <w:t>it is clear that this</w:t>
      </w:r>
      <w:proofErr w:type="gramEnd"/>
      <w:r w:rsidRPr="00CB4ED1">
        <w:rPr>
          <w:rFonts w:cs="Arial"/>
        </w:rPr>
        <w:t xml:space="preserve"> is a further beneficial opportunity from the LHP Hub and the centralisation of primary arthroplasty at LHP.  The outputs and resources associated with the use of this capacity sit outside the scope of this OBC but will be part of the regional orthopaedics plan. </w:t>
      </w:r>
    </w:p>
    <w:p w14:paraId="6B1EC9FD" w14:textId="77777777" w:rsidR="000710B6" w:rsidRPr="00CB0C8A" w:rsidRDefault="000710B6" w:rsidP="00CB0C8A">
      <w:pPr>
        <w:pStyle w:val="Heading3"/>
      </w:pPr>
      <w:bookmarkStart w:id="58" w:name="_Toc1255263315"/>
      <w:bookmarkStart w:id="59" w:name="_Toc1302648499"/>
      <w:bookmarkStart w:id="60" w:name="_Toc26991997"/>
      <w:bookmarkStart w:id="61" w:name="_Toc625713348"/>
      <w:bookmarkStart w:id="62" w:name="_Toc1763121676"/>
      <w:bookmarkStart w:id="63" w:name="_Toc886386549"/>
      <w:bookmarkStart w:id="64" w:name="_Toc1673433259"/>
      <w:bookmarkStart w:id="65" w:name="_Toc256061168"/>
      <w:bookmarkStart w:id="66" w:name="_Toc208495162"/>
      <w:r w:rsidRPr="00CB0C8A">
        <w:t>Lower limb / arthroplasty</w:t>
      </w:r>
      <w:bookmarkEnd w:id="58"/>
      <w:bookmarkEnd w:id="59"/>
      <w:bookmarkEnd w:id="60"/>
      <w:bookmarkEnd w:id="61"/>
      <w:bookmarkEnd w:id="62"/>
      <w:bookmarkEnd w:id="63"/>
      <w:bookmarkEnd w:id="64"/>
      <w:bookmarkEnd w:id="65"/>
      <w:r w:rsidRPr="00CB0C8A">
        <w:t xml:space="preserve"> </w:t>
      </w:r>
      <w:bookmarkEnd w:id="66"/>
      <w:r w:rsidRPr="00CB0C8A">
        <w:t xml:space="preserve">demand and capacity required to deliver performance improvements </w:t>
      </w:r>
    </w:p>
    <w:p w14:paraId="1737F0EA" w14:textId="77777777" w:rsidR="000710B6" w:rsidRPr="00CB4ED1" w:rsidRDefault="000710B6" w:rsidP="000710B6">
      <w:pPr>
        <w:jc w:val="both"/>
        <w:rPr>
          <w:rFonts w:cs="Arial"/>
        </w:rPr>
      </w:pPr>
      <w:r w:rsidRPr="00CB4ED1">
        <w:rPr>
          <w:rFonts w:cs="Arial"/>
        </w:rPr>
        <w:t xml:space="preserve">The orthopaedic plan workings have considered the level of capacity required to deliver reduced backlog scenarios (52-week, 36-week, 26-week) which further increase the challenge.  </w:t>
      </w:r>
    </w:p>
    <w:p w14:paraId="5821FA2D" w14:textId="77777777" w:rsidR="000710B6" w:rsidRPr="00CB4ED1" w:rsidRDefault="000710B6" w:rsidP="000710B6">
      <w:pPr>
        <w:jc w:val="both"/>
        <w:rPr>
          <w:rFonts w:cs="Arial"/>
        </w:rPr>
      </w:pPr>
      <w:r w:rsidRPr="00CB4ED1">
        <w:rPr>
          <w:rFonts w:cs="Arial"/>
        </w:rPr>
        <w:t>The following charts illustrate the additional demand and capacity required to meet further reduced backlog scenarios. Arthroplasty activity is seen using the darker shading on the chart below</w:t>
      </w:r>
    </w:p>
    <w:p w14:paraId="2A8780E4" w14:textId="670F2109" w:rsidR="000710B6" w:rsidRPr="00CB4ED1" w:rsidRDefault="000710B6" w:rsidP="000710B6">
      <w:pPr>
        <w:pStyle w:val="Caption"/>
        <w:rPr>
          <w:noProof w:val="0"/>
        </w:rPr>
      </w:pPr>
      <w:bookmarkStart w:id="67" w:name="_Toc213865315"/>
      <w:r w:rsidRPr="00CB4ED1">
        <w:rPr>
          <w:noProof w:val="0"/>
        </w:rPr>
        <w:t xml:space="preserve">Figure </w:t>
      </w:r>
      <w:r w:rsidR="009C05F7">
        <w:rPr>
          <w:noProof w:val="0"/>
        </w:rPr>
        <w:fldChar w:fldCharType="begin"/>
      </w:r>
      <w:r w:rsidR="009C05F7">
        <w:rPr>
          <w:noProof w:val="0"/>
        </w:rPr>
        <w:instrText xml:space="preserve"> SEQ Figure \* ARABIC </w:instrText>
      </w:r>
      <w:r w:rsidR="009C05F7">
        <w:rPr>
          <w:noProof w:val="0"/>
        </w:rPr>
        <w:fldChar w:fldCharType="separate"/>
      </w:r>
      <w:r w:rsidR="00376786">
        <w:t>2</w:t>
      </w:r>
      <w:r w:rsidR="009C05F7">
        <w:rPr>
          <w:noProof w:val="0"/>
        </w:rPr>
        <w:fldChar w:fldCharType="end"/>
      </w:r>
      <w:r w:rsidRPr="00CB4ED1">
        <w:rPr>
          <w:noProof w:val="0"/>
        </w:rPr>
        <w:t xml:space="preserve"> - SEW lower limb IPDC treatment, demand v capacity</w:t>
      </w:r>
      <w:bookmarkEnd w:id="67"/>
    </w:p>
    <w:p w14:paraId="2B687DED" w14:textId="77777777" w:rsidR="000710B6" w:rsidRPr="00CB4ED1" w:rsidRDefault="000710B6" w:rsidP="000710B6">
      <w:r w:rsidRPr="00CB4ED1">
        <w:rPr>
          <w:noProof/>
        </w:rPr>
        <w:drawing>
          <wp:inline distT="0" distB="0" distL="0" distR="0" wp14:anchorId="44155214" wp14:editId="00FA9360">
            <wp:extent cx="6119878" cy="3315950"/>
            <wp:effectExtent l="0" t="0" r="0" b="0"/>
            <wp:docPr id="2059913664" name="Picture 1" descr="A graph of a number of different colored ba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9913664" name="Picture 1" descr="A graph of a number of different colored bars&#10;&#10;AI-generated content may be incorrect."/>
                    <pic:cNvPicPr/>
                  </pic:nvPicPr>
                  <pic:blipFill>
                    <a:blip r:embed="rId37">
                      <a:extLst>
                        <a:ext uri="{28A0092B-C50C-407E-A947-70E740481C1C}">
                          <a14:useLocalDpi xmlns:a14="http://schemas.microsoft.com/office/drawing/2010/main" val="0"/>
                        </a:ext>
                      </a:extLst>
                    </a:blip>
                    <a:stretch>
                      <a:fillRect/>
                    </a:stretch>
                  </pic:blipFill>
                  <pic:spPr>
                    <a:xfrm>
                      <a:off x="0" y="0"/>
                      <a:ext cx="6119878" cy="3315950"/>
                    </a:xfrm>
                    <a:prstGeom prst="rect">
                      <a:avLst/>
                    </a:prstGeom>
                  </pic:spPr>
                </pic:pic>
              </a:graphicData>
            </a:graphic>
          </wp:inline>
        </w:drawing>
      </w:r>
    </w:p>
    <w:p w14:paraId="62B3B16E" w14:textId="2C22BAF3" w:rsidR="000710B6" w:rsidRPr="00CB4ED1" w:rsidRDefault="000710B6" w:rsidP="000710B6">
      <w:bookmarkStart w:id="68" w:name="_Toc208495163"/>
      <w:r w:rsidRPr="00CB4ED1">
        <w:t>Baseline treatment demand for lower limb arthroplasty 5,593 cases (1,523 non</w:t>
      </w:r>
      <w:r w:rsidR="004873AE">
        <w:t>-</w:t>
      </w:r>
      <w:r w:rsidRPr="00CB4ED1">
        <w:t>arthroplasty and 4,070 arthroplasty).</w:t>
      </w:r>
      <w:bookmarkEnd w:id="68"/>
      <w:r w:rsidRPr="00CB4ED1">
        <w:t xml:space="preserve"> This shows that to improve performance to deliver 52 weeks would increase annual demand to 8,929 cases per annum.  Assuming organisations can deliver all efficiency improvements within existing infrastructure this still gives a 4,110</w:t>
      </w:r>
      <w:r w:rsidR="004873AE">
        <w:t>-</w:t>
      </w:r>
      <w:r w:rsidRPr="00CB4ED1">
        <w:t>case shortfall.  LHP can support in addressing that shortfall</w:t>
      </w:r>
      <w:r w:rsidR="004873AE">
        <w:t>,</w:t>
      </w:r>
      <w:r w:rsidRPr="00CB4ED1">
        <w:t xml:space="preserve"> but more than 3 theatres would be required to fully meet unless weekend working is employed.  Factoring in growth could see this increasing further</w:t>
      </w:r>
      <w:bookmarkStart w:id="69" w:name="_Toc208495164"/>
      <w:r w:rsidRPr="00CB4ED1">
        <w:t xml:space="preserve">. </w:t>
      </w:r>
      <w:bookmarkEnd w:id="69"/>
    </w:p>
    <w:p w14:paraId="22AABBFA" w14:textId="77777777" w:rsidR="000710B6" w:rsidRPr="00CB4ED1" w:rsidRDefault="000710B6" w:rsidP="000710B6">
      <w:bookmarkStart w:id="70" w:name="_Toc208495165"/>
      <w:r w:rsidRPr="00CB4ED1">
        <w:t>LHP core capacity as outlined above will increase capacity further to meet enable the delivery of improvement performance.  At 2029 demand levels LHP capacity could see backlog reductions to close to 78 weeks</w:t>
      </w:r>
    </w:p>
    <w:p w14:paraId="0AFA38B2" w14:textId="77777777" w:rsidR="000710B6" w:rsidRPr="00CB4ED1" w:rsidRDefault="000710B6" w:rsidP="000710B6">
      <w:r w:rsidRPr="00CB4ED1">
        <w:t xml:space="preserve">Further capacity realised through increased efficiency gains at LHP and weekend working could further improve the backlog position by enabling more realisation of capacity for arthroplasty procedures. </w:t>
      </w:r>
      <w:bookmarkEnd w:id="70"/>
      <w:r w:rsidRPr="00CB4ED1">
        <w:t xml:space="preserve"> </w:t>
      </w:r>
      <w:bookmarkEnd w:id="42"/>
    </w:p>
    <w:p w14:paraId="3C5DB418" w14:textId="77777777" w:rsidR="000710B6" w:rsidRPr="00CB0C8A" w:rsidRDefault="000710B6" w:rsidP="00CB0C8A">
      <w:pPr>
        <w:pStyle w:val="Heading3"/>
      </w:pPr>
      <w:r w:rsidRPr="00CB0C8A">
        <w:t xml:space="preserve">Summary </w:t>
      </w:r>
    </w:p>
    <w:p w14:paraId="71D2D5BB" w14:textId="77777777" w:rsidR="000710B6" w:rsidRPr="00CB4ED1" w:rsidRDefault="000710B6" w:rsidP="000710B6">
      <w:r w:rsidRPr="00CB4ED1">
        <w:t xml:space="preserve">The demand and capacity analysis clearly demonstrate shortfalls in capacity across the region. In order to address capacity challenges, it is essential that existing facilities are maximised before consideration of investment in additional assets. </w:t>
      </w:r>
    </w:p>
    <w:p w14:paraId="405E5F0B" w14:textId="77777777" w:rsidR="000710B6" w:rsidRPr="00CB4ED1" w:rsidRDefault="000710B6" w:rsidP="000710B6">
      <w:r w:rsidRPr="00CB4ED1">
        <w:lastRenderedPageBreak/>
        <w:t>The regional demand and capacity modelling identify capacity shortfalls across the region with lower limb primary arthroplasty demonstrating the most pressure and the highest contributor to the overall numbers.  Once growth is factored in this gap intensifies despite plans to introduce local performance increases and improvements.</w:t>
      </w:r>
    </w:p>
    <w:p w14:paraId="7F71096D" w14:textId="0B02FE7A" w:rsidR="000710B6" w:rsidRPr="00CB4ED1" w:rsidRDefault="000710B6" w:rsidP="000710B6">
      <w:r w:rsidRPr="00CB4ED1">
        <w:t>There is a net capacity gap that requires additional infrastructure to support the creation of a 6</w:t>
      </w:r>
      <w:r w:rsidR="000A598B">
        <w:t>-</w:t>
      </w:r>
      <w:r w:rsidRPr="00CB4ED1">
        <w:t xml:space="preserve">theatre unit at LHP. This will provide a sustainable response to the pressures facing arthroplasty in the South East Wales Region, enabling the capacity gap to begin to be closed and deliver performance improvements and increased backlog reduction.   </w:t>
      </w:r>
    </w:p>
    <w:p w14:paraId="2E839209" w14:textId="77777777" w:rsidR="000710B6" w:rsidRPr="00CB4ED1" w:rsidRDefault="000710B6" w:rsidP="000710B6">
      <w:r w:rsidRPr="00CB4ED1">
        <w:t xml:space="preserve">The demand and capacity modelling </w:t>
      </w:r>
      <w:proofErr w:type="gramStart"/>
      <w:r w:rsidRPr="00CB4ED1">
        <w:t>supports</w:t>
      </w:r>
      <w:proofErr w:type="gramEnd"/>
      <w:r w:rsidRPr="00CB4ED1">
        <w:t xml:space="preserve"> the proposal for a 6-theatre unit at LHP offering both an opportunity to create a unit which can fully deliver on efficiencies to offer improved performance and throughputs.  The combination of transferred CTM capacity and wider regional additionality gives a chance for a fully established unit to deliver primary arthroplasty in line with accepted best practice and evidenced good practice in other units. </w:t>
      </w:r>
    </w:p>
    <w:p w14:paraId="08862B6E" w14:textId="77777777" w:rsidR="000710B6" w:rsidRPr="00CB4ED1" w:rsidRDefault="000710B6" w:rsidP="000710B6">
      <w:r w:rsidRPr="00CB4ED1">
        <w:t xml:space="preserve">The infrastructure offers the opportunity of further increased capacity through extended days and working weekends to address further future growth.  </w:t>
      </w:r>
    </w:p>
    <w:p w14:paraId="1E3CCB5E" w14:textId="77777777" w:rsidR="000710B6" w:rsidRDefault="000710B6" w:rsidP="000710B6">
      <w:r w:rsidRPr="00CB4ED1">
        <w:t xml:space="preserve">Whilst LHP is designed to address regional primary arthroplasty activity only, the move of activity from CTM theatres can facilitate and support further orthopaedic speciality reconfiguration and offer increased capacity to enable improved delivery across the region.  The resource implications of these further regional reconfigurations and moves are not covered in this OBC but will be addressed in the second phase of the orthopaedic plan. </w:t>
      </w:r>
    </w:p>
    <w:p w14:paraId="34BB9ACA" w14:textId="77777777" w:rsidR="00CB0C8A" w:rsidRPr="00CB4ED1" w:rsidRDefault="00CB0C8A" w:rsidP="000710B6"/>
    <w:p w14:paraId="1D5295AA" w14:textId="77777777" w:rsidR="000710B6" w:rsidRPr="00CB4ED1" w:rsidRDefault="000710B6" w:rsidP="000710B6">
      <w:pPr>
        <w:pStyle w:val="Heading1"/>
      </w:pPr>
      <w:bookmarkStart w:id="71" w:name="_Toc213865221"/>
      <w:r w:rsidRPr="00CB4ED1">
        <w:lastRenderedPageBreak/>
        <w:t>Potential scope of services</w:t>
      </w:r>
      <w:bookmarkEnd w:id="71"/>
    </w:p>
    <w:p w14:paraId="4DBBEB79" w14:textId="77777777" w:rsidR="000710B6" w:rsidRPr="00CB4ED1" w:rsidRDefault="000710B6" w:rsidP="000710B6">
      <w:r w:rsidRPr="00CB4ED1">
        <w:t xml:space="preserve">This section of the business case identifies the potential scope of the project in terms of the key service requirements that should be considered in designing the future service model and developing options. </w:t>
      </w:r>
    </w:p>
    <w:p w14:paraId="3D456A02" w14:textId="77777777" w:rsidR="000710B6" w:rsidRPr="00CB4ED1" w:rsidRDefault="000710B6" w:rsidP="000710B6">
      <w:pPr>
        <w:pStyle w:val="NoSpacing"/>
      </w:pPr>
    </w:p>
    <w:p w14:paraId="2B009B88" w14:textId="77777777" w:rsidR="000710B6" w:rsidRPr="00CB4ED1" w:rsidRDefault="000710B6" w:rsidP="00B225FB">
      <w:pPr>
        <w:pStyle w:val="Heading2"/>
      </w:pPr>
      <w:bookmarkStart w:id="72" w:name="_Toc213865222"/>
      <w:r w:rsidRPr="00CB4ED1">
        <w:t>Key principles of the clinical model</w:t>
      </w:r>
      <w:bookmarkEnd w:id="72"/>
      <w:r w:rsidRPr="00CB4ED1">
        <w:t xml:space="preserve"> </w:t>
      </w:r>
    </w:p>
    <w:p w14:paraId="515B6AD9" w14:textId="2725D1FC" w:rsidR="000710B6" w:rsidRPr="00E67800" w:rsidRDefault="000710B6" w:rsidP="000710B6">
      <w:r w:rsidRPr="00E67800">
        <w:t xml:space="preserve">(See Appendix </w:t>
      </w:r>
      <w:r w:rsidR="00352EFF" w:rsidRPr="00E67800">
        <w:t>3</w:t>
      </w:r>
      <w:r w:rsidRPr="00E67800">
        <w:t xml:space="preserve"> for Arthroplasty pathway and Appendix </w:t>
      </w:r>
      <w:r w:rsidR="00352EFF" w:rsidRPr="00E67800">
        <w:t>4</w:t>
      </w:r>
      <w:r w:rsidRPr="00E67800">
        <w:t xml:space="preserve"> for the LHP Operational and Clinical Model)</w:t>
      </w:r>
    </w:p>
    <w:p w14:paraId="3B1EFABF" w14:textId="77777777" w:rsidR="000710B6" w:rsidRPr="00CB4ED1" w:rsidRDefault="00AE5329" w:rsidP="000710B6">
      <w:r>
        <w:pict w14:anchorId="3E17BA39">
          <v:rect id="_x0000_i1026" style="width:0;height:1.5pt" o:hralign="center" o:hrstd="t" o:hr="t" fillcolor="#a0a0a0" stroked="f"/>
        </w:pict>
      </w:r>
    </w:p>
    <w:p w14:paraId="2E864B27" w14:textId="77777777" w:rsidR="000710B6" w:rsidRPr="00CB4ED1" w:rsidRDefault="000710B6" w:rsidP="000710B6">
      <w:pPr>
        <w:pStyle w:val="Heading4ALT"/>
      </w:pPr>
      <w:bookmarkStart w:id="73" w:name="_Toc2000384294"/>
      <w:bookmarkStart w:id="74" w:name="_Toc648653775"/>
      <w:bookmarkStart w:id="75" w:name="_Toc1208301487"/>
      <w:bookmarkStart w:id="76" w:name="_Toc1677179761"/>
      <w:bookmarkStart w:id="77" w:name="_Toc1483964889"/>
      <w:bookmarkStart w:id="78" w:name="_Toc1485677066"/>
      <w:bookmarkStart w:id="79" w:name="_Toc371510632"/>
      <w:bookmarkStart w:id="80" w:name="_Toc2138824528"/>
      <w:bookmarkStart w:id="81" w:name="_Toc208495218"/>
      <w:r w:rsidRPr="00CB4ED1">
        <w:t>Patient pathways and length of stay</w:t>
      </w:r>
      <w:bookmarkEnd w:id="73"/>
      <w:bookmarkEnd w:id="74"/>
      <w:bookmarkEnd w:id="75"/>
      <w:bookmarkEnd w:id="76"/>
      <w:bookmarkEnd w:id="77"/>
      <w:bookmarkEnd w:id="78"/>
      <w:bookmarkEnd w:id="79"/>
      <w:bookmarkEnd w:id="80"/>
      <w:bookmarkEnd w:id="81"/>
    </w:p>
    <w:p w14:paraId="70FDE1DE" w14:textId="77777777" w:rsidR="000710B6" w:rsidRPr="00CB4ED1" w:rsidRDefault="000710B6" w:rsidP="000710B6">
      <w:pPr>
        <w:pStyle w:val="bullets1"/>
      </w:pPr>
      <w:r w:rsidRPr="00CB4ED1">
        <w:t>Target day-case arthroplasty where clinically appropriate, with a maximum expected stay of three nights.</w:t>
      </w:r>
    </w:p>
    <w:p w14:paraId="56CF0585" w14:textId="77777777" w:rsidR="000710B6" w:rsidRPr="00CB4ED1" w:rsidRDefault="000710B6" w:rsidP="000710B6">
      <w:pPr>
        <w:pStyle w:val="bullets1"/>
      </w:pPr>
      <w:r w:rsidRPr="00CB4ED1">
        <w:t>Initial planning assumes a modest 20% day-case rate, with ongoing efforts to increase this in line with GIRFT standards.</w:t>
      </w:r>
    </w:p>
    <w:p w14:paraId="5F13B387" w14:textId="77777777" w:rsidR="000710B6" w:rsidRPr="00CB4ED1" w:rsidRDefault="000710B6" w:rsidP="000710B6">
      <w:pPr>
        <w:pStyle w:val="bullets1"/>
      </w:pPr>
      <w:r w:rsidRPr="00CB4ED1">
        <w:t>Clear inclusion criteria to guide patient selection, including plans for patient with a higher acuity through the provision enhanced care.</w:t>
      </w:r>
    </w:p>
    <w:p w14:paraId="11DB37AF" w14:textId="77777777" w:rsidR="000710B6" w:rsidRPr="00CB4ED1" w:rsidRDefault="000710B6" w:rsidP="000710B6">
      <w:pPr>
        <w:pStyle w:val="bullets1"/>
      </w:pPr>
      <w:r w:rsidRPr="00CB4ED1">
        <w:t>Patient education embedded pre-operatively to set expectations, including digital “Joint School” programmes.</w:t>
      </w:r>
    </w:p>
    <w:p w14:paraId="21F3EECC" w14:textId="77777777" w:rsidR="000710B6" w:rsidRPr="00CB4ED1" w:rsidRDefault="000710B6" w:rsidP="000710B6">
      <w:pPr>
        <w:pStyle w:val="bullets1"/>
      </w:pPr>
      <w:r w:rsidRPr="00CB4ED1">
        <w:t xml:space="preserve">Ring fenced elective capacity with dedicated theatres and beds </w:t>
      </w:r>
    </w:p>
    <w:p w14:paraId="261CC0C2" w14:textId="77777777" w:rsidR="000710B6" w:rsidRPr="00CB4ED1" w:rsidRDefault="000710B6" w:rsidP="000710B6">
      <w:pPr>
        <w:pStyle w:val="NoSpacing"/>
      </w:pPr>
    </w:p>
    <w:p w14:paraId="381B923E" w14:textId="77777777" w:rsidR="000710B6" w:rsidRPr="00CB4ED1" w:rsidRDefault="000710B6" w:rsidP="000710B6">
      <w:pPr>
        <w:pStyle w:val="Heading4ALT"/>
      </w:pPr>
      <w:bookmarkStart w:id="82" w:name="_Toc1125344649"/>
      <w:bookmarkStart w:id="83" w:name="_Toc825055324"/>
      <w:bookmarkStart w:id="84" w:name="_Toc900408796"/>
      <w:bookmarkStart w:id="85" w:name="_Toc898282586"/>
      <w:bookmarkStart w:id="86" w:name="_Toc303662181"/>
      <w:bookmarkStart w:id="87" w:name="_Toc86998202"/>
      <w:bookmarkStart w:id="88" w:name="_Toc1454225297"/>
      <w:bookmarkStart w:id="89" w:name="_Toc423463571"/>
      <w:bookmarkStart w:id="90" w:name="_Toc208495219"/>
      <w:r w:rsidRPr="00CB4ED1">
        <w:t>Staffing and workforce model</w:t>
      </w:r>
      <w:bookmarkEnd w:id="82"/>
      <w:bookmarkEnd w:id="83"/>
      <w:bookmarkEnd w:id="84"/>
      <w:bookmarkEnd w:id="85"/>
      <w:bookmarkEnd w:id="86"/>
      <w:bookmarkEnd w:id="87"/>
      <w:bookmarkEnd w:id="88"/>
      <w:bookmarkEnd w:id="89"/>
      <w:bookmarkEnd w:id="90"/>
    </w:p>
    <w:p w14:paraId="14C61E1B" w14:textId="77777777" w:rsidR="000710B6" w:rsidRPr="00CB4ED1" w:rsidRDefault="000710B6" w:rsidP="000710B6">
      <w:r w:rsidRPr="00CB4ED1">
        <w:t>Staff operating at the top of their license, including side-skilling and blended roles (e.g., Band 4 staff supporting ward and recovery functions).</w:t>
      </w:r>
    </w:p>
    <w:p w14:paraId="0F7DB386" w14:textId="77777777" w:rsidR="000710B6" w:rsidRPr="00CB4ED1" w:rsidRDefault="000710B6" w:rsidP="000710B6">
      <w:pPr>
        <w:pStyle w:val="bullets1"/>
      </w:pPr>
      <w:r w:rsidRPr="00CB4ED1">
        <w:t>Multi-professional team approach incorporating nursing, physiotherapy, and allied health professionals (AHPs) in clinical care.</w:t>
      </w:r>
    </w:p>
    <w:p w14:paraId="645CDA9E" w14:textId="77777777" w:rsidR="000710B6" w:rsidRPr="00CB4ED1" w:rsidRDefault="000710B6" w:rsidP="000710B6">
      <w:pPr>
        <w:pStyle w:val="bullets1"/>
      </w:pPr>
      <w:r w:rsidRPr="00CB4ED1">
        <w:t>Consultants sharing care responsibilities to avoid extended on-site presence, with structured review of X-rays and post-operative follow-up by colleagues.</w:t>
      </w:r>
    </w:p>
    <w:p w14:paraId="593BCF6A" w14:textId="77777777" w:rsidR="000710B6" w:rsidRPr="00CB4ED1" w:rsidRDefault="000710B6" w:rsidP="000710B6">
      <w:pPr>
        <w:pStyle w:val="bullets1"/>
      </w:pPr>
      <w:r w:rsidRPr="00CB4ED1">
        <w:t xml:space="preserve"> Out of hours cover provision will require a medical model if enhanced care is provided.</w:t>
      </w:r>
      <w:bookmarkStart w:id="91" w:name="_Toc1117439576"/>
      <w:bookmarkStart w:id="92" w:name="_Toc2095204542"/>
      <w:bookmarkStart w:id="93" w:name="_Toc1739427853"/>
      <w:bookmarkStart w:id="94" w:name="_Toc740756831"/>
      <w:bookmarkStart w:id="95" w:name="_Toc989193761"/>
      <w:bookmarkStart w:id="96" w:name="_Toc1397602122"/>
      <w:bookmarkStart w:id="97" w:name="_Toc2030660583"/>
      <w:bookmarkStart w:id="98" w:name="_Toc1537101829"/>
      <w:bookmarkStart w:id="99" w:name="_Toc208495220"/>
    </w:p>
    <w:p w14:paraId="6691048D" w14:textId="77777777" w:rsidR="000710B6" w:rsidRPr="00CB4ED1" w:rsidRDefault="000710B6" w:rsidP="000710B6">
      <w:pPr>
        <w:pStyle w:val="NoSpacing"/>
      </w:pPr>
    </w:p>
    <w:p w14:paraId="64687667" w14:textId="77777777" w:rsidR="000710B6" w:rsidRPr="00CB4ED1" w:rsidRDefault="000710B6" w:rsidP="000710B6">
      <w:pPr>
        <w:pStyle w:val="Heading4ALT"/>
      </w:pPr>
      <w:r w:rsidRPr="00CB4ED1">
        <w:t>Pre-operative and admission processes</w:t>
      </w:r>
      <w:bookmarkEnd w:id="91"/>
      <w:bookmarkEnd w:id="92"/>
      <w:bookmarkEnd w:id="93"/>
      <w:bookmarkEnd w:id="94"/>
      <w:bookmarkEnd w:id="95"/>
      <w:bookmarkEnd w:id="96"/>
      <w:bookmarkEnd w:id="97"/>
      <w:bookmarkEnd w:id="98"/>
      <w:bookmarkEnd w:id="99"/>
    </w:p>
    <w:p w14:paraId="16933DD0" w14:textId="77777777" w:rsidR="000710B6" w:rsidRPr="00CB4ED1" w:rsidRDefault="000710B6" w:rsidP="000710B6">
      <w:pPr>
        <w:pStyle w:val="bullets1"/>
      </w:pPr>
      <w:r w:rsidRPr="00CB4ED1">
        <w:t xml:space="preserve">National standardisation of </w:t>
      </w:r>
      <w:proofErr w:type="spellStart"/>
      <w:r w:rsidRPr="00CB4ED1">
        <w:t>pre-assessment</w:t>
      </w:r>
      <w:proofErr w:type="spellEnd"/>
      <w:r w:rsidRPr="00CB4ED1">
        <w:t xml:space="preserve"> processes, including health questionnaires and virtual reviews.</w:t>
      </w:r>
    </w:p>
    <w:p w14:paraId="29B719B9" w14:textId="77777777" w:rsidR="000710B6" w:rsidRPr="00CB4ED1" w:rsidRDefault="000710B6" w:rsidP="000710B6">
      <w:pPr>
        <w:pStyle w:val="bullets1"/>
      </w:pPr>
      <w:r w:rsidRPr="00CB4ED1">
        <w:t>Staggered admission times to manage patient flow within the six admission rooms.</w:t>
      </w:r>
    </w:p>
    <w:p w14:paraId="70629AC8" w14:textId="77777777" w:rsidR="000710B6" w:rsidRPr="00CB4ED1" w:rsidRDefault="000710B6" w:rsidP="000710B6">
      <w:pPr>
        <w:pStyle w:val="bullets1"/>
      </w:pPr>
      <w:r w:rsidRPr="00CB4ED1">
        <w:t>Digital check-in supported by administrative staff for patient registration and discharge coordination.</w:t>
      </w:r>
    </w:p>
    <w:p w14:paraId="11D8DCED" w14:textId="77777777" w:rsidR="000710B6" w:rsidRPr="00CB4ED1" w:rsidRDefault="000710B6" w:rsidP="000710B6">
      <w:pPr>
        <w:pStyle w:val="bullets1"/>
      </w:pPr>
      <w:r w:rsidRPr="00CB4ED1">
        <w:t>Consent clinics scheduled at least two weeks pre-operatively, ideally with digital consent solutions.</w:t>
      </w:r>
    </w:p>
    <w:p w14:paraId="47A023B9" w14:textId="77777777" w:rsidR="000710B6" w:rsidRPr="00CB4ED1" w:rsidRDefault="000710B6" w:rsidP="000710B6">
      <w:pPr>
        <w:pStyle w:val="NoSpacing"/>
      </w:pPr>
      <w:bookmarkStart w:id="100" w:name="_Toc1282224967"/>
      <w:bookmarkStart w:id="101" w:name="_Toc684607108"/>
      <w:bookmarkStart w:id="102" w:name="_Toc2082625212"/>
      <w:bookmarkStart w:id="103" w:name="_Toc1386592198"/>
      <w:bookmarkStart w:id="104" w:name="_Toc1259070006"/>
      <w:bookmarkStart w:id="105" w:name="_Toc290917896"/>
      <w:bookmarkStart w:id="106" w:name="_Toc672665025"/>
      <w:bookmarkStart w:id="107" w:name="_Toc775129323"/>
      <w:bookmarkStart w:id="108" w:name="_Toc208495221"/>
    </w:p>
    <w:p w14:paraId="65874FD0" w14:textId="77777777" w:rsidR="000710B6" w:rsidRPr="00CB4ED1" w:rsidRDefault="000710B6" w:rsidP="000710B6">
      <w:pPr>
        <w:pStyle w:val="Heading4ALT"/>
      </w:pPr>
      <w:r w:rsidRPr="00CB4ED1">
        <w:t>Theatre and recovery model</w:t>
      </w:r>
      <w:bookmarkEnd w:id="100"/>
      <w:bookmarkEnd w:id="101"/>
      <w:bookmarkEnd w:id="102"/>
      <w:bookmarkEnd w:id="103"/>
      <w:bookmarkEnd w:id="104"/>
      <w:bookmarkEnd w:id="105"/>
      <w:bookmarkEnd w:id="106"/>
      <w:bookmarkEnd w:id="107"/>
      <w:bookmarkEnd w:id="108"/>
    </w:p>
    <w:p w14:paraId="130DD614" w14:textId="77777777" w:rsidR="000710B6" w:rsidRPr="00CB4ED1" w:rsidRDefault="000710B6" w:rsidP="000710B6">
      <w:pPr>
        <w:pStyle w:val="bullets1"/>
      </w:pPr>
      <w:r w:rsidRPr="00CB4ED1">
        <w:t xml:space="preserve">Theatre scheduling in line with GIRFT case numbers, four joints per theatre per day, based on two hours per procedure. The theatres will operate Monday to Friday (Future capacity is available through extended days and weekend working) </w:t>
      </w:r>
    </w:p>
    <w:p w14:paraId="14DA65E1" w14:textId="69495AE7" w:rsidR="000710B6" w:rsidRPr="00CB4ED1" w:rsidRDefault="000710B6" w:rsidP="000710B6">
      <w:pPr>
        <w:pStyle w:val="bullets1"/>
      </w:pPr>
      <w:r w:rsidRPr="00CB4ED1">
        <w:lastRenderedPageBreak/>
        <w:t>Assumption: three of the theatres will be CTM activity moved from Princess of Wales</w:t>
      </w:r>
      <w:r w:rsidR="000A598B">
        <w:t>,</w:t>
      </w:r>
      <w:r w:rsidRPr="00CB4ED1">
        <w:t xml:space="preserve"> and th</w:t>
      </w:r>
      <w:r w:rsidR="000A598B">
        <w:t>r</w:t>
      </w:r>
      <w:r w:rsidRPr="00CB4ED1">
        <w:t xml:space="preserve">ee theatres will be additional activity </w:t>
      </w:r>
    </w:p>
    <w:p w14:paraId="19832D73" w14:textId="77777777" w:rsidR="000710B6" w:rsidRPr="00CB4ED1" w:rsidRDefault="000710B6" w:rsidP="000710B6">
      <w:pPr>
        <w:pStyle w:val="bullets1"/>
      </w:pPr>
      <w:r w:rsidRPr="00CB4ED1">
        <w:t>Six laminar-flow theatres with supporting infrastructure.</w:t>
      </w:r>
    </w:p>
    <w:p w14:paraId="58735DE8" w14:textId="77777777" w:rsidR="000710B6" w:rsidRPr="00CB4ED1" w:rsidRDefault="000710B6" w:rsidP="000710B6">
      <w:pPr>
        <w:pStyle w:val="bullets1"/>
      </w:pPr>
      <w:r w:rsidRPr="00CB4ED1">
        <w:t>Recovery staffing designed for efficiency: Stage 1 (post-anaesthesia monitoring) and Stage 2 (patients ready for ward transfer).</w:t>
      </w:r>
    </w:p>
    <w:p w14:paraId="5CE671E9" w14:textId="77777777" w:rsidR="000710B6" w:rsidRPr="00CB4ED1" w:rsidRDefault="000710B6" w:rsidP="000710B6">
      <w:pPr>
        <w:pStyle w:val="bullets1"/>
      </w:pPr>
      <w:r w:rsidRPr="00CB4ED1">
        <w:t>Upskilled Band 4 staff in theatre to facilitate rapid turnover and first assistant roles.</w:t>
      </w:r>
    </w:p>
    <w:p w14:paraId="0FACCF50" w14:textId="77777777" w:rsidR="000710B6" w:rsidRPr="00CB4ED1" w:rsidRDefault="000710B6" w:rsidP="000710B6">
      <w:pPr>
        <w:pStyle w:val="bullets1"/>
      </w:pPr>
      <w:r w:rsidRPr="00CB4ED1">
        <w:t xml:space="preserve">Senior anaesthetists providing list cover, utilising standardised protocols. </w:t>
      </w:r>
    </w:p>
    <w:p w14:paraId="7399F777" w14:textId="77777777" w:rsidR="000710B6" w:rsidRPr="00CB4ED1" w:rsidRDefault="000710B6" w:rsidP="000710B6">
      <w:pPr>
        <w:pStyle w:val="bullets1"/>
      </w:pPr>
      <w:r w:rsidRPr="00CB4ED1">
        <w:t xml:space="preserve">Duty anaesthetist providing cross cover for breaks, relieving anaesthetists to review next patients, and supporting post-operative care. </w:t>
      </w:r>
    </w:p>
    <w:p w14:paraId="74B79467" w14:textId="77777777" w:rsidR="000710B6" w:rsidRPr="00CB4ED1" w:rsidRDefault="000710B6" w:rsidP="000710B6">
      <w:pPr>
        <w:pStyle w:val="NoSpacing"/>
      </w:pPr>
    </w:p>
    <w:p w14:paraId="41C51D24" w14:textId="77777777" w:rsidR="000710B6" w:rsidRPr="00CB4ED1" w:rsidRDefault="000710B6" w:rsidP="000710B6">
      <w:pPr>
        <w:pStyle w:val="Heading4ALT"/>
      </w:pPr>
      <w:bookmarkStart w:id="109" w:name="_Toc971165767"/>
      <w:bookmarkStart w:id="110" w:name="_Toc1515968651"/>
      <w:bookmarkStart w:id="111" w:name="_Toc1429395494"/>
      <w:bookmarkStart w:id="112" w:name="_Toc255377373"/>
      <w:bookmarkStart w:id="113" w:name="_Toc1016070384"/>
      <w:bookmarkStart w:id="114" w:name="_Toc2076399"/>
      <w:bookmarkStart w:id="115" w:name="_Toc1373021417"/>
      <w:bookmarkStart w:id="116" w:name="_Toc31171030"/>
      <w:bookmarkStart w:id="117" w:name="_Toc208495222"/>
      <w:r w:rsidRPr="00CB4ED1">
        <w:t>Ward and post-operative care</w:t>
      </w:r>
      <w:bookmarkEnd w:id="109"/>
      <w:bookmarkEnd w:id="110"/>
      <w:bookmarkEnd w:id="111"/>
      <w:bookmarkEnd w:id="112"/>
      <w:bookmarkEnd w:id="113"/>
      <w:bookmarkEnd w:id="114"/>
      <w:bookmarkEnd w:id="115"/>
      <w:bookmarkEnd w:id="116"/>
      <w:bookmarkEnd w:id="117"/>
    </w:p>
    <w:p w14:paraId="41FBD34E" w14:textId="77777777" w:rsidR="000710B6" w:rsidRPr="00CB4ED1" w:rsidRDefault="000710B6" w:rsidP="000710B6">
      <w:pPr>
        <w:pStyle w:val="bullets1"/>
      </w:pPr>
      <w:r w:rsidRPr="00CB4ED1">
        <w:t>Two ward areas.</w:t>
      </w:r>
    </w:p>
    <w:p w14:paraId="74E64062" w14:textId="77777777" w:rsidR="000710B6" w:rsidRPr="00CB4ED1" w:rsidRDefault="000710B6" w:rsidP="000710B6">
      <w:pPr>
        <w:pStyle w:val="bullets1"/>
      </w:pPr>
      <w:r w:rsidRPr="00CB4ED1">
        <w:t>Integrated plain film X-ray room adjacent to recovery for immediate post-operative imaging.</w:t>
      </w:r>
    </w:p>
    <w:p w14:paraId="4040E2C4" w14:textId="77777777" w:rsidR="000710B6" w:rsidRPr="00CB4ED1" w:rsidRDefault="000710B6" w:rsidP="000710B6">
      <w:pPr>
        <w:pStyle w:val="bullets1"/>
      </w:pPr>
      <w:r w:rsidRPr="00CB4ED1">
        <w:t>Standardised discharge protocols including medications, Venous thromboembolism (VTE) prophylaxis, follow-up pathways, and 24-hour helpline support.</w:t>
      </w:r>
    </w:p>
    <w:p w14:paraId="14485A17" w14:textId="77777777" w:rsidR="000710B6" w:rsidRPr="00CB4ED1" w:rsidRDefault="000710B6" w:rsidP="000710B6">
      <w:pPr>
        <w:pStyle w:val="bullets1"/>
      </w:pPr>
      <w:r w:rsidRPr="00CB4ED1">
        <w:t xml:space="preserve">Planned operating hours: Monday–Friday, 08:00–17:00, with scope to extend as required. </w:t>
      </w:r>
    </w:p>
    <w:p w14:paraId="36B4D283" w14:textId="77777777" w:rsidR="000710B6" w:rsidRPr="00CB4ED1" w:rsidRDefault="000710B6" w:rsidP="000710B6">
      <w:pPr>
        <w:pStyle w:val="bullets1"/>
      </w:pPr>
      <w:r w:rsidRPr="00CB4ED1">
        <w:t xml:space="preserve">Staff working across wards and admission areas and recovery, building in flexibility to meet operational requirements. </w:t>
      </w:r>
    </w:p>
    <w:p w14:paraId="51FCC13B" w14:textId="77777777" w:rsidR="000710B6" w:rsidRPr="00CB4ED1" w:rsidRDefault="000710B6" w:rsidP="000710B6">
      <w:pPr>
        <w:pStyle w:val="bullets1"/>
      </w:pPr>
      <w:r w:rsidRPr="00CB4ED1">
        <w:t>Workflow optimised for throughput and minimal delays, ensuring separation from unplanned acute care.</w:t>
      </w:r>
    </w:p>
    <w:p w14:paraId="688DE5DF" w14:textId="77777777" w:rsidR="000710B6" w:rsidRPr="00CB4ED1" w:rsidRDefault="000710B6" w:rsidP="000710B6">
      <w:pPr>
        <w:pStyle w:val="bullets1"/>
      </w:pPr>
      <w:r w:rsidRPr="00CB4ED1">
        <w:t>Enhanced competency framework to support early mobilisation outside of therapies working hours.</w:t>
      </w:r>
    </w:p>
    <w:p w14:paraId="26B89C5E" w14:textId="77777777" w:rsidR="000710B6" w:rsidRPr="00CB4ED1" w:rsidRDefault="000710B6" w:rsidP="000710B6">
      <w:pPr>
        <w:pStyle w:val="NoSpacing"/>
      </w:pPr>
    </w:p>
    <w:p w14:paraId="13537B66" w14:textId="77777777" w:rsidR="000710B6" w:rsidRPr="00CB4ED1" w:rsidRDefault="000710B6" w:rsidP="000710B6">
      <w:r w:rsidRPr="00CB4ED1">
        <w:t xml:space="preserve">Future flexibility has been built in, having taken the lessons from other centres, where to fulfil capacity in the longer term, pathways for patients with a higher acuity have been incorporated into the facility. For LHP, the infrastructure of the 30 bedded ward has 8 beds that can manage those patients needing a higher level of care and can facilitate a post-operative care unit (POCU). Acceptance criteria will be enhanced to allow several the higher acuity patients to be treated at LHP in the future as required. The ward staff being skilled in all aspects of post-operative care and management will ensure there are the skills through a competency framework to deliver this </w:t>
      </w:r>
    </w:p>
    <w:p w14:paraId="04B1A2D8" w14:textId="77777777" w:rsidR="000710B6" w:rsidRPr="00CB4ED1" w:rsidRDefault="000710B6" w:rsidP="000710B6">
      <w:pPr>
        <w:pStyle w:val="Heading4ALT"/>
      </w:pPr>
      <w:bookmarkStart w:id="118" w:name="_Toc1024877996"/>
      <w:bookmarkStart w:id="119" w:name="_Toc67745672"/>
      <w:bookmarkStart w:id="120" w:name="_Toc112590429"/>
      <w:bookmarkStart w:id="121" w:name="_Toc152951864"/>
      <w:bookmarkStart w:id="122" w:name="_Toc1816946517"/>
      <w:bookmarkStart w:id="123" w:name="_Toc1087622263"/>
      <w:bookmarkStart w:id="124" w:name="_Toc980112547"/>
      <w:bookmarkStart w:id="125" w:name="_Toc1516330618"/>
      <w:bookmarkStart w:id="126" w:name="_Toc208495224"/>
      <w:r w:rsidRPr="00CB4ED1">
        <w:t>Standardisation and quality</w:t>
      </w:r>
      <w:bookmarkEnd w:id="118"/>
      <w:bookmarkEnd w:id="119"/>
      <w:bookmarkEnd w:id="120"/>
      <w:bookmarkEnd w:id="121"/>
      <w:bookmarkEnd w:id="122"/>
      <w:bookmarkEnd w:id="123"/>
      <w:bookmarkEnd w:id="124"/>
      <w:bookmarkEnd w:id="125"/>
      <w:bookmarkEnd w:id="126"/>
    </w:p>
    <w:p w14:paraId="2DC0E115" w14:textId="77777777" w:rsidR="000710B6" w:rsidRPr="00CB4ED1" w:rsidRDefault="000710B6" w:rsidP="000710B6">
      <w:pPr>
        <w:pStyle w:val="bullets1"/>
      </w:pPr>
      <w:r w:rsidRPr="00CB4ED1">
        <w:t>Alignment with GIRFT recommendations for case numbers per list, throughput, and enhanced recovery protocols.</w:t>
      </w:r>
    </w:p>
    <w:p w14:paraId="5B87A756" w14:textId="77777777" w:rsidR="000710B6" w:rsidRPr="00CB4ED1" w:rsidRDefault="000710B6" w:rsidP="000710B6">
      <w:pPr>
        <w:pStyle w:val="bullets1"/>
      </w:pPr>
      <w:r w:rsidRPr="00CB4ED1">
        <w:t>Standardised protocols for post-operative care, including early mobilisation and therapy-led discharge.</w:t>
      </w:r>
    </w:p>
    <w:p w14:paraId="7E2B7DBB" w14:textId="77777777" w:rsidR="000710B6" w:rsidRPr="00CB4ED1" w:rsidRDefault="000710B6" w:rsidP="000710B6">
      <w:pPr>
        <w:pStyle w:val="bullets1"/>
      </w:pPr>
      <w:r w:rsidRPr="00CB4ED1">
        <w:t>Regional engagement ensures consistency of care pathways, patient education, and data collection (e.g., National Joint Registry compliance).</w:t>
      </w:r>
    </w:p>
    <w:p w14:paraId="658379EC" w14:textId="77777777" w:rsidR="000710B6" w:rsidRPr="00CB4ED1" w:rsidRDefault="000710B6" w:rsidP="000710B6">
      <w:pPr>
        <w:pStyle w:val="bullets1"/>
      </w:pPr>
      <w:r w:rsidRPr="00CB4ED1">
        <w:t>Continuous learning from exemplar units incorporated into staffing models, patient flow, and operational efficiency.</w:t>
      </w:r>
    </w:p>
    <w:p w14:paraId="7FE950D6" w14:textId="77777777" w:rsidR="000710B6" w:rsidRPr="00CB4ED1" w:rsidRDefault="000710B6" w:rsidP="000710B6">
      <w:pPr>
        <w:pStyle w:val="NoSpacing"/>
      </w:pPr>
    </w:p>
    <w:p w14:paraId="34CF167B" w14:textId="70F580CB" w:rsidR="000710B6" w:rsidRPr="00CB4ED1" w:rsidRDefault="000710B6" w:rsidP="000710B6">
      <w:r w:rsidRPr="00CB4ED1">
        <w:t xml:space="preserve">As detailed </w:t>
      </w:r>
      <w:r w:rsidRPr="00352EFF">
        <w:t xml:space="preserve">in </w:t>
      </w:r>
      <w:r w:rsidRPr="00944FDB">
        <w:t>section 3.7</w:t>
      </w:r>
      <w:r w:rsidRPr="00352EFF">
        <w:t>, the arthroplasty</w:t>
      </w:r>
      <w:r w:rsidRPr="00CB4ED1">
        <w:t xml:space="preserve"> unit at LHP will be utilised to undertake both core and additional capacity for CTMUHB and additional capacity for CAVUHB and ABUHB.   This reconfiguration is not just about capacity however, but the opportunity to introduce greater standardisation and efficiency into clinical practices and develop a centre of excellence in Wales.  </w:t>
      </w:r>
    </w:p>
    <w:p w14:paraId="079E4687" w14:textId="77777777" w:rsidR="000710B6" w:rsidRPr="00CB4ED1" w:rsidRDefault="000710B6" w:rsidP="000710B6">
      <w:pPr>
        <w:pStyle w:val="NoSpacing"/>
      </w:pPr>
    </w:p>
    <w:p w14:paraId="5E04545A" w14:textId="77777777" w:rsidR="000710B6" w:rsidRPr="00CB4ED1" w:rsidRDefault="000710B6" w:rsidP="000710B6">
      <w:pPr>
        <w:pStyle w:val="Heading2"/>
      </w:pPr>
      <w:bookmarkStart w:id="127" w:name="_Toc213865223"/>
      <w:r w:rsidRPr="00CB4ED1">
        <w:lastRenderedPageBreak/>
        <w:t xml:space="preserve">The </w:t>
      </w:r>
      <w:proofErr w:type="gramStart"/>
      <w:r w:rsidRPr="00CB4ED1">
        <w:t>Non Clinical</w:t>
      </w:r>
      <w:proofErr w:type="gramEnd"/>
      <w:r w:rsidRPr="00CB4ED1">
        <w:t xml:space="preserve"> and Clinical support models</w:t>
      </w:r>
      <w:bookmarkEnd w:id="127"/>
      <w:r w:rsidRPr="00CB4ED1">
        <w:t xml:space="preserve"> </w:t>
      </w:r>
    </w:p>
    <w:p w14:paraId="6724DA15" w14:textId="0D71F82C" w:rsidR="000710B6" w:rsidRPr="00CB4ED1" w:rsidRDefault="000710B6" w:rsidP="00B225FB">
      <w:pPr>
        <w:pStyle w:val="Heading3"/>
      </w:pPr>
      <w:r w:rsidRPr="00CB4ED1">
        <w:t xml:space="preserve">Therapies </w:t>
      </w:r>
      <w:r w:rsidR="00B225FB" w:rsidRPr="00CB4ED1">
        <w:t xml:space="preserve">support </w:t>
      </w:r>
      <w:r w:rsidRPr="00CB4ED1">
        <w:t>at LHP</w:t>
      </w:r>
    </w:p>
    <w:p w14:paraId="0BCF4C39" w14:textId="77777777" w:rsidR="000710B6" w:rsidRPr="00B225FB" w:rsidRDefault="000710B6" w:rsidP="00B225FB">
      <w:r w:rsidRPr="00B225FB">
        <w:t xml:space="preserve">Therapy services will play a pivotal role in supporting the regional arthroplasty surgical hub. The intention is to ensure those patients requiring occupational therapy input, receive this prior to admission to LHP.  Early engagement enables timely provision of equipment, education on post-surgical expectations, and </w:t>
      </w:r>
      <w:proofErr w:type="gramStart"/>
      <w:r w:rsidRPr="00B225FB">
        <w:t>goal-setting</w:t>
      </w:r>
      <w:proofErr w:type="gramEnd"/>
      <w:r w:rsidRPr="00B225FB">
        <w:t xml:space="preserve"> that supports enhanced recovery pathways, reducing length of stay and minimising readmission risk. </w:t>
      </w:r>
    </w:p>
    <w:p w14:paraId="2AABCC19" w14:textId="77777777" w:rsidR="000710B6" w:rsidRPr="00B225FB" w:rsidRDefault="000710B6" w:rsidP="00B225FB">
      <w:r w:rsidRPr="00B225FB">
        <w:t>This pre-admission discharge planning enables early action, optimisation, equipment provision and highlights the potential need for post-discharge social care input and multidisciplinary problem solving to minimise any potential barrier or delay in discharge.  This ensures the patient is admitted to the right facility as not all patients will be suitable to have their treatment at.  This service will aim to deliver a modernised approach to elective orthopaedic recovery and evidence-based care, with service provision being individualised based on patient need</w:t>
      </w:r>
    </w:p>
    <w:p w14:paraId="1BC1A710" w14:textId="155ADA31" w:rsidR="000710B6" w:rsidRPr="00B225FB" w:rsidRDefault="000710B6" w:rsidP="00B225FB">
      <w:r w:rsidRPr="00B225FB">
        <w:t xml:space="preserve">Physiotherapy will be an integral component of the ward team within the orthopaedic surgical hub. The service will be delivered through a structured, patient-centred model.   Post-operatively, physiotherapists will be embedded within the ward team to provide early mobilisation, functional assessments, and discharge planning, ensuring patients meet recovery milestones efficiently. Being integrated with surgical and nursing teams has proven benefits and supports enhanced recovery pathways, reduced length of stay, and minimises variation in outcomes, thereby contributing to improved patient experience and operational efficiency across the region. </w:t>
      </w:r>
    </w:p>
    <w:p w14:paraId="6F32CB54" w14:textId="77777777" w:rsidR="000710B6" w:rsidRPr="00B225FB" w:rsidRDefault="000710B6" w:rsidP="00B225FB">
      <w:r w:rsidRPr="00B225FB">
        <w:t>The rostered hours for Physiotherapy will be aligned with the ward nursing team This enables a joint multidisciplinary handover in the morning and maximises the ability to discharge patients who are ready to go home, in the evening. Another benefit is that it promotes integrated, multi-professional team working. the hours staff members spend on tasks varies based on service need and non-clinical time which will be built within their role.</w:t>
      </w:r>
    </w:p>
    <w:p w14:paraId="0AAF5067" w14:textId="77777777" w:rsidR="000710B6" w:rsidRPr="00B225FB" w:rsidRDefault="000710B6" w:rsidP="00B225FB">
      <w:pPr>
        <w:pStyle w:val="Heading3"/>
      </w:pPr>
      <w:r w:rsidRPr="00B225FB">
        <w:t>HSDU</w:t>
      </w:r>
    </w:p>
    <w:p w14:paraId="02AC2EB4" w14:textId="77777777" w:rsidR="000710B6" w:rsidRPr="00B225FB" w:rsidRDefault="000710B6" w:rsidP="00B225FB">
      <w:r w:rsidRPr="00B225FB">
        <w:t xml:space="preserve">To accommodate the proposed increase in surgical activity, a review of current HSDU infrastructure and capacity has been undertaken. The RGH site presents limitations due to spatial constraints, with no scope to install additional washers or sterilisers under the current configuration. Furthermore, the existing washer units are scheduled for replacement in March 2028. PCH will be non-operational until approximately Q1 2028 due to major capital works, placing additional pressure on RGH, which will be required to absorb PCH’s workload during this period. </w:t>
      </w:r>
    </w:p>
    <w:p w14:paraId="2288541C" w14:textId="77777777" w:rsidR="000710B6" w:rsidRPr="00B225FB" w:rsidRDefault="000710B6" w:rsidP="00B225FB">
      <w:r w:rsidRPr="00B225FB">
        <w:t>In contrast, the POW site is undergoing an AHU upgrade and will soon operate with seven washers and four steam sterilisers—significantly more than the three sterilisers currently available at both RGH and PCH. This enhanced capacity at POW presents a viable opportunity to support the increased demand, subject to appropriate transport logistics and the deployment of delegated drivers. Collaborative working with POW staff is already in place, as evidenced by the AHU relocation project at RGH, and has proven effective. From a service resilience perspective, preliminary work has commenced on an Operational Continuity Plan (OCP), making this expansion both timely and strategically aligned.</w:t>
      </w:r>
    </w:p>
    <w:p w14:paraId="630F69CC" w14:textId="77777777" w:rsidR="000710B6" w:rsidRPr="00B225FB" w:rsidRDefault="000710B6" w:rsidP="00B225FB">
      <w:r w:rsidRPr="00B225FB">
        <w:t>In terms of workforce requirements, to support 12 arthroplasty procedures per day across three theatres, the HSDU would require a minimum of three full-time equivalent (FTE) Technical Assistants to manage end-to-end processing, with an additional supervisory FTE to cover out-of-hours activity. A more detailed staffing model would be developed in line with theatre scheduling, including consideration of twilight shifts to support evening operating lists.</w:t>
      </w:r>
    </w:p>
    <w:p w14:paraId="615AADB8" w14:textId="3E314422" w:rsidR="000710B6" w:rsidRPr="00B225FB" w:rsidRDefault="000710B6" w:rsidP="00B225FB">
      <w:r w:rsidRPr="00B225FB">
        <w:t xml:space="preserve">Outsourcing options have been explored with ABUHB to mitigate the overlap between PCH and POW, but they are unable to provide a thorough assessment of risks relating to equipment damage, turnaround times, traceability, decontamination standards, and accreditation implications, </w:t>
      </w:r>
      <w:r w:rsidRPr="00B225FB">
        <w:lastRenderedPageBreak/>
        <w:t>as well as financial impact. At this point this has been excluded as the HSDU within CTMUHB with the planned improvements will have the capacity, subject to investment in workforce and surgical trays /instruments to provide the requirements for the additional three operating theatres These projections are based on the current service delivery model and remain flexible to accommodate any future changes in theatre planning.</w:t>
      </w:r>
    </w:p>
    <w:p w14:paraId="6EC75A49" w14:textId="77777777" w:rsidR="000710B6" w:rsidRPr="00B225FB" w:rsidRDefault="000710B6" w:rsidP="00B225FB">
      <w:pPr>
        <w:pStyle w:val="Heading3"/>
      </w:pPr>
      <w:r w:rsidRPr="00B225FB">
        <w:t>Pharmacy</w:t>
      </w:r>
    </w:p>
    <w:p w14:paraId="70DF98AE" w14:textId="77777777" w:rsidR="000710B6" w:rsidRPr="00CB4ED1" w:rsidRDefault="000710B6" w:rsidP="000710B6">
      <w:r w:rsidRPr="00CB4ED1">
        <w:t>Pharmacy services at CTMUHB are undergoing a series of targeted developments to ensure readiness for the elective arthroplasty unit opening in late 2028. A hub and spoke model will be adopted for medication supply, with a DGH site (yet to be decided) acting as the central supply point for wards, theatre, and recovery areas. This is part of a wider transformation piece already underway for pharmacy services across CTMUHB, and as such, will be tried and tested prior to commissioning of LHP. LHP will</w:t>
      </w:r>
      <w:proofErr w:type="gramStart"/>
      <w:r w:rsidRPr="00CB4ED1">
        <w:t>, in essence, become</w:t>
      </w:r>
      <w:proofErr w:type="gramEnd"/>
      <w:r w:rsidRPr="00CB4ED1">
        <w:t xml:space="preserve"> an additional spoke site of the CTMUHB hub and spoke model.</w:t>
      </w:r>
    </w:p>
    <w:p w14:paraId="4CF13648" w14:textId="619F2802" w:rsidR="000710B6" w:rsidRPr="00CB4ED1" w:rsidRDefault="000710B6" w:rsidP="000710B6">
      <w:r w:rsidRPr="00CB4ED1">
        <w:t>The introduction of a new robotic dispensing system at RGH will streamline stock distribution to LHP, while automated dispensing cabinets (ADCs) linked to the pharmacy system will support automatic top-up ordering, reduc</w:t>
      </w:r>
      <w:r w:rsidR="00F70DCD">
        <w:t>e</w:t>
      </w:r>
      <w:r w:rsidRPr="00CB4ED1">
        <w:t xml:space="preserve"> manual workload and improv</w:t>
      </w:r>
      <w:r w:rsidR="00F70DCD">
        <w:t>e</w:t>
      </w:r>
      <w:r w:rsidRPr="00CB4ED1">
        <w:t xml:space="preserve"> stock availability. The procurement of the new robotic dispensing unit is well underway and will be installed and operational ahead of the commissioning of LHP.</w:t>
      </w:r>
    </w:p>
    <w:p w14:paraId="5CBC57B9" w14:textId="77777777" w:rsidR="000710B6" w:rsidRPr="00CB4ED1" w:rsidRDefault="000710B6" w:rsidP="000710B6">
      <w:r w:rsidRPr="00CB4ED1">
        <w:t>To support efficient patient flow and safe medicines management, a Pharmacy Hub will be established at LHP for near patient dispensing of discharge medications. This will enable pre-dispensing of standardised discharge regimens using pre-packed medicines and controlled drugs, ensuring timely availability postoperatively. The implementation of electronic prescribing and medicines administration (</w:t>
      </w:r>
      <w:proofErr w:type="spellStart"/>
      <w:r w:rsidRPr="00CB4ED1">
        <w:t>ePMA</w:t>
      </w:r>
      <w:proofErr w:type="spellEnd"/>
      <w:r w:rsidRPr="00CB4ED1">
        <w:t xml:space="preserve">) will allow for regular and discharge medications to be prescribed in advance of admission, facilitating early discharge planning and reducing delays. Again, the </w:t>
      </w:r>
      <w:proofErr w:type="spellStart"/>
      <w:r w:rsidRPr="00CB4ED1">
        <w:t>ePMA</w:t>
      </w:r>
      <w:proofErr w:type="spellEnd"/>
      <w:r w:rsidRPr="00CB4ED1">
        <w:t xml:space="preserve"> programme within CTMUHB is underway and will have matured by LHP go-live.</w:t>
      </w:r>
    </w:p>
    <w:p w14:paraId="407E3FCE" w14:textId="77777777" w:rsidR="000710B6" w:rsidRPr="00CB4ED1" w:rsidRDefault="000710B6" w:rsidP="000710B6">
      <w:r w:rsidRPr="00CB4ED1">
        <w:t>Clinical service enhancements will further support seamless care. Pharmacy technicians will conduct pre-operative reviews for patients with complex medication needs, such as compliance aids or care packages, reducing the risk of cancellations and or delayed discharges. Pharmacist prescribers will review patients in pre-operative assessment and pre-authorise medication regimens, including discharge prescriptions. A business case (CTMUHB) is also in development for a pharmacist-led anticoagulation bridging service for complex patients, ensuring continuity of care and reducing reliance on acute services.</w:t>
      </w:r>
    </w:p>
    <w:p w14:paraId="769FEDFC" w14:textId="77777777" w:rsidR="000710B6" w:rsidRPr="00CB4ED1" w:rsidRDefault="000710B6" w:rsidP="000710B6">
      <w:pPr>
        <w:pStyle w:val="NoSpacing"/>
      </w:pPr>
    </w:p>
    <w:p w14:paraId="7079C0CC" w14:textId="77777777" w:rsidR="000710B6" w:rsidRPr="00A906CA" w:rsidRDefault="000710B6" w:rsidP="00A906CA">
      <w:pPr>
        <w:pStyle w:val="Heading2"/>
      </w:pPr>
      <w:bookmarkStart w:id="128" w:name="_Toc213865224"/>
      <w:r w:rsidRPr="00A906CA">
        <w:t>Infrastructure design influenced by clinical model</w:t>
      </w:r>
      <w:bookmarkEnd w:id="128"/>
      <w:r w:rsidRPr="00A906CA">
        <w:t xml:space="preserve"> </w:t>
      </w:r>
    </w:p>
    <w:p w14:paraId="09E653D0" w14:textId="7967C37B" w:rsidR="000710B6" w:rsidRPr="00A906CA" w:rsidRDefault="000710B6" w:rsidP="00A906CA">
      <w:r w:rsidRPr="00A906CA">
        <w:t>The development of the clinical model for the new elective orthopaedic unit at LHP builds upon national best practice, including GIRFT standards, exemplar UK orthopaedic units, and Enhanced Recovery After Surgery (ERAS) protocols. The approach has focused on learning from leading units such as Essex and Suffolk Elective Orthopaedic Centre (ESEOC), Exeter South West Elective Orthopaedic Centre (SWEOC), One</w:t>
      </w:r>
      <w:r w:rsidR="00991F1B">
        <w:t xml:space="preserve"> </w:t>
      </w:r>
      <w:r w:rsidRPr="00A906CA">
        <w:t xml:space="preserve">Welbeck, South West London Elective Orthopaedic Centre (SWLEOC), and others. Taking the best elements and adapting their proven models to the to meet the operational requirements of LHP and the regional population needs.  The infrastructure has then been developed to deliver the clinical model ensuring compliance with National standards. </w:t>
      </w:r>
    </w:p>
    <w:p w14:paraId="322C56E5" w14:textId="77777777" w:rsidR="001D39F4" w:rsidRDefault="000710B6" w:rsidP="00A906CA">
      <w:r w:rsidRPr="00A906CA">
        <w:t xml:space="preserve">The infrastructure development for LHP has been purposefully designed to support the clinical model for HVLC elective orthopaedic surgery, ensuring alignment with GIRFT productivity benchmarks and delivering a safe, efficient, and patient-centred experience. A dedicated entrance for the surgical hub enables streamlined patient flow and ring-fenced nature of the service. </w:t>
      </w:r>
    </w:p>
    <w:p w14:paraId="642A1639" w14:textId="6BFBB3C4" w:rsidR="000710B6" w:rsidRPr="00A906CA" w:rsidRDefault="000710B6" w:rsidP="00A906CA">
      <w:r w:rsidRPr="00A906CA">
        <w:lastRenderedPageBreak/>
        <w:t>Upon arrival, patients use a digital self-check-in system, which reduces administrative delays and provides real-time updates to the admissions team, enhancing operational efficiency and patient experience.</w:t>
      </w:r>
    </w:p>
    <w:p w14:paraId="3DA3635F" w14:textId="77777777" w:rsidR="000710B6" w:rsidRPr="00A906CA" w:rsidRDefault="000710B6" w:rsidP="00A906CA">
      <w:r w:rsidRPr="00A906CA">
        <w:t>Patient preparation rooms are located directly adjacent to six ultra-clean air theatres, each equipped with dedicated anaesthetic and prep rooms. This proximity supports continuous forward movement through the pathway, minimises inter-case times, and enables parallel processing of patients. The first stage recovery area has been innovatively designed to accommodate the initial wave of morning admissions, increasing capacity without expanding the estate footprint and improving turnaround times. A dedicated plain film X-ray suite positioned between recovery and the ward facilitates timely postoperative imaging, streamlining the pathway.</w:t>
      </w:r>
    </w:p>
    <w:p w14:paraId="4028051C" w14:textId="1CC32F43" w:rsidR="000710B6" w:rsidRPr="00A906CA" w:rsidRDefault="000710B6" w:rsidP="00A906CA">
      <w:r w:rsidRPr="00A906CA">
        <w:t xml:space="preserve">The ward infrastructure is designed for flexibility and infection control. Ward 1 includes 30 patient spaces split across male and female wings, with six individual rooms to support gender segregation in line with NHS England guidance and to accommodate patients requiring privacy or isolation. Ward 2 comprises 24 individual rooms, offering maximum protection in the event of a patient becoming infective. Both wards include dedicated physiotherapy spaces to maximise therapy input and support early mobilisation, a key enabler of same day discharge and a core component of the HVLC model. </w:t>
      </w:r>
    </w:p>
    <w:p w14:paraId="5A58D597" w14:textId="77777777" w:rsidR="000710B6" w:rsidRPr="00A906CA" w:rsidRDefault="000710B6" w:rsidP="00A906CA">
      <w:r w:rsidRPr="00A906CA">
        <w:t xml:space="preserve">Break-out and discharge areas encourage patients to mobilise and provide transitional space for those awaiting discharge, improving patient flow and creating capacity for incoming admissions. Interview rooms have been incorporated to ensure privacy for sensitive clinical conversations with patients and relatives, and double as staff training and development spaces when not in clinical use. Learning from site visits to exemplar centres, the team recognised the critical importance of adequate storage. Many high performing hubs reported challenges due to insufficient storage, resulting in equipment being stored in corridors, creating health, safety, fire, and infection control risks. </w:t>
      </w:r>
    </w:p>
    <w:p w14:paraId="1D06FA91" w14:textId="77777777" w:rsidR="000710B6" w:rsidRPr="00A906CA" w:rsidRDefault="000710B6" w:rsidP="00A906CA">
      <w:r w:rsidRPr="00A906CA">
        <w:t>Anticipating future developments in orthopaedic practice, including the introduction of robotic surgery and other advanced technologies, LHP has incorporated HBN compliant storage capacity with an additional 20% buffer. This ensures that equipment can be safely and efficiently stored, supporting both current operations and future service expansion. In line with national guidance, separate left and right prosthesis stores have also been included to reduce the risk of error, improve inventory management, and support safe surgical practice.</w:t>
      </w:r>
    </w:p>
    <w:p w14:paraId="2FC7580E" w14:textId="77777777" w:rsidR="000710B6" w:rsidRPr="00A906CA" w:rsidRDefault="000710B6" w:rsidP="00A906CA">
      <w:r w:rsidRPr="00A906CA">
        <w:t xml:space="preserve">Staff experience has been a central priority in the design of the unit at LHP, recognising that a well-supported workforce is essential to delivering high quality, efficient patient care. As part of a site wide strategy, infrastructure includes male, female, and individual changing rooms to offer staff choice, privacy, and dignity. This approach supports inclusivity and ensures that all staff feel comfortable and respected in their working environment, which is particularly important in a multidisciplinary and diverse workforce. To support infection control and operational efficiency, scrub suit dispensing machines have been installed. These machines ensure staff have access to the correct size garments, reduce waste, and improve stock control through automated inventory tracking. They also enhance hygiene by securely storing scrubs and preventing cross contamination. </w:t>
      </w:r>
    </w:p>
    <w:p w14:paraId="0D89E097" w14:textId="77777777" w:rsidR="000710B6" w:rsidRPr="00A906CA" w:rsidRDefault="000710B6" w:rsidP="00A906CA">
      <w:r w:rsidRPr="00A906CA">
        <w:t>Clog washers have also been included to support infection prevention. These specialist machines allow for the automated cleaning and thermal disinfection of surgical footwear, ensuring that clogs do not become a vector for hospital acquired infections. Autoclavable clogs processed through these washers meet the highest hygiene standards, reducing the risk of cross-contamination.</w:t>
      </w:r>
    </w:p>
    <w:p w14:paraId="7D79A99D" w14:textId="77777777" w:rsidR="000710B6" w:rsidRPr="00A906CA" w:rsidRDefault="000710B6" w:rsidP="00A906CA">
      <w:r w:rsidRPr="00205BFC">
        <w:t>The unit features a dedicated staf</w:t>
      </w:r>
      <w:r w:rsidRPr="000F6658">
        <w:t>f entrance, which improves flow and security, allowing staff to access the facility efficiently without crossing patient pathways. This sep</w:t>
      </w:r>
      <w:r w:rsidRPr="00205BFC">
        <w:t>aration supports infection control and reinforces the ring-fenced nature of the elective hub. Staff rest areas have been designed with natural light, which has been shown to improve wellbeing.</w:t>
      </w:r>
    </w:p>
    <w:p w14:paraId="3F6CE50B" w14:textId="77777777" w:rsidR="000710B6" w:rsidRPr="00A906CA" w:rsidRDefault="000710B6" w:rsidP="00A906CA">
      <w:r w:rsidRPr="00A906CA">
        <w:lastRenderedPageBreak/>
        <w:t>To enable staff to focus fully on clinical work during operating sessions, meeting spaces have been intentionally excluded from the clinical zone. Instead, two-person work pods are available for completing mandatory training, confidential conversations, or supervision discussions. These pods offer quiet, private environments without disrupting clinical flow. Additional hot desking space is provided to support flexible working and documentation needs, and a dedicated office is available for the department manager to coordinate operations and support the team.</w:t>
      </w:r>
    </w:p>
    <w:p w14:paraId="4F9BBE52" w14:textId="77777777" w:rsidR="000710B6" w:rsidRPr="00A906CA" w:rsidRDefault="000710B6" w:rsidP="00A906CA">
      <w:r w:rsidRPr="00A906CA">
        <w:t>A surgeon’s touchdown space is located between theatres, offering a quiet area for debriefing trainees or completing operation notes without needing to leave the immediate theatre area. This design choice improves efficiency, supports education, and ensures that clinical documentation is completed promptly and without distraction.</w:t>
      </w:r>
    </w:p>
    <w:p w14:paraId="24E13C23" w14:textId="77777777" w:rsidR="000710B6" w:rsidRDefault="000710B6" w:rsidP="00A906CA">
      <w:r w:rsidRPr="00A906CA">
        <w:t>Overall, the staff support infrastructure has been designed to promote wellbeing, efficiency, and safety.</w:t>
      </w:r>
    </w:p>
    <w:p w14:paraId="37AA0272" w14:textId="77777777" w:rsidR="00A906CA" w:rsidRPr="00A906CA" w:rsidRDefault="00A906CA" w:rsidP="00A906CA">
      <w:pPr>
        <w:pStyle w:val="NoSpacing"/>
      </w:pPr>
    </w:p>
    <w:p w14:paraId="6FCCD737" w14:textId="77777777" w:rsidR="000710B6" w:rsidRPr="00CB4ED1" w:rsidRDefault="000710B6" w:rsidP="00A906CA">
      <w:pPr>
        <w:pStyle w:val="Heading2"/>
      </w:pPr>
      <w:bookmarkStart w:id="129" w:name="_Toc213865225"/>
      <w:r w:rsidRPr="00CB4ED1">
        <w:t>Digital Strategy</w:t>
      </w:r>
      <w:bookmarkEnd w:id="129"/>
      <w:r w:rsidRPr="00CB4ED1">
        <w:t xml:space="preserve"> </w:t>
      </w:r>
    </w:p>
    <w:p w14:paraId="20694448" w14:textId="756E0459" w:rsidR="000710B6" w:rsidRPr="00CB4ED1" w:rsidRDefault="000710B6" w:rsidP="00A906CA">
      <w:pPr>
        <w:pStyle w:val="Heading3"/>
      </w:pPr>
      <w:r w:rsidRPr="00CB4ED1">
        <w:t xml:space="preserve">Digital by Design: A </w:t>
      </w:r>
      <w:r w:rsidR="00A906CA" w:rsidRPr="00CB4ED1">
        <w:t>digital</w:t>
      </w:r>
      <w:r w:rsidR="00A906CA">
        <w:t>-</w:t>
      </w:r>
      <w:r w:rsidR="00A906CA" w:rsidRPr="00CB4ED1">
        <w:t xml:space="preserve">first approach </w:t>
      </w:r>
    </w:p>
    <w:p w14:paraId="016D35D5" w14:textId="169F287B" w:rsidR="000710B6" w:rsidRPr="00CB4ED1" w:rsidRDefault="000710B6" w:rsidP="000710B6">
      <w:pPr>
        <w:rPr>
          <w:rFonts w:cs="Arial"/>
        </w:rPr>
      </w:pPr>
      <w:r w:rsidRPr="00CB4ED1">
        <w:rPr>
          <w:rFonts w:cs="Arial"/>
        </w:rPr>
        <w:t xml:space="preserve">Llantrisant Health Park will adopt a technology-enabled, Digital-First approach to the design, delivery, and operation of both clinical and non-clinical services and environment. This </w:t>
      </w:r>
      <w:r w:rsidR="00700AB6" w:rsidRPr="00CB4ED1">
        <w:rPr>
          <w:rFonts w:cs="Arial"/>
        </w:rPr>
        <w:t>princip</w:t>
      </w:r>
      <w:r w:rsidR="00700AB6">
        <w:rPr>
          <w:rFonts w:cs="Arial"/>
        </w:rPr>
        <w:t>le</w:t>
      </w:r>
      <w:r w:rsidRPr="00CB4ED1">
        <w:rPr>
          <w:rFonts w:cs="Arial"/>
        </w:rPr>
        <w:t xml:space="preserve"> positions digital capability at the centre of service delivery, viewing technology as a core enabler of clinical excellence, operational efficiency, and patient experience, and a means to unlock the transformational potential of the Llantrisant Health Park development. The approach seeks to:</w:t>
      </w:r>
    </w:p>
    <w:p w14:paraId="55B6DE48" w14:textId="77777777" w:rsidR="000710B6" w:rsidRPr="00CB4ED1" w:rsidRDefault="000710B6" w:rsidP="00A906CA">
      <w:pPr>
        <w:pStyle w:val="bullets1"/>
      </w:pPr>
      <w:r w:rsidRPr="00CB4ED1">
        <w:rPr>
          <w:b/>
          <w:bCs/>
        </w:rPr>
        <w:t xml:space="preserve">Optimise clinical safety </w:t>
      </w:r>
      <w:r w:rsidRPr="00CB4ED1">
        <w:t>through consistent and repeatable hygiene standards, automated kit carts and smart rostering</w:t>
      </w:r>
    </w:p>
    <w:p w14:paraId="637A48F2" w14:textId="77777777" w:rsidR="000710B6" w:rsidRPr="00CB4ED1" w:rsidRDefault="000710B6" w:rsidP="00A906CA">
      <w:pPr>
        <w:pStyle w:val="bullets1"/>
      </w:pPr>
      <w:r w:rsidRPr="00CB4ED1">
        <w:rPr>
          <w:b/>
          <w:bCs/>
        </w:rPr>
        <w:t xml:space="preserve">Promote productivity and efficiency </w:t>
      </w:r>
      <w:r w:rsidRPr="00CB4ED1">
        <w:t>by using analytical and smart systems and reducing manual and paper-based processes</w:t>
      </w:r>
    </w:p>
    <w:p w14:paraId="654D5A95" w14:textId="77777777" w:rsidR="000710B6" w:rsidRPr="00CB4ED1" w:rsidRDefault="000710B6" w:rsidP="00A906CA">
      <w:pPr>
        <w:pStyle w:val="bullets1"/>
      </w:pPr>
      <w:r w:rsidRPr="00CB4ED1">
        <w:rPr>
          <w:b/>
          <w:bCs/>
        </w:rPr>
        <w:t xml:space="preserve">Enhance patient experience </w:t>
      </w:r>
      <w:r w:rsidRPr="00CB4ED1">
        <w:t>through improved access, digital communication channels, self-service tools, and data-driven scheduling</w:t>
      </w:r>
    </w:p>
    <w:p w14:paraId="6398EAD5" w14:textId="77777777" w:rsidR="000710B6" w:rsidRPr="00CB4ED1" w:rsidRDefault="000710B6" w:rsidP="00A906CA">
      <w:pPr>
        <w:pStyle w:val="bullets1"/>
      </w:pPr>
      <w:r w:rsidRPr="00CB4ED1">
        <w:rPr>
          <w:b/>
          <w:bCs/>
        </w:rPr>
        <w:t>Enabling staff digitally</w:t>
      </w:r>
      <w:r w:rsidRPr="00CB4ED1">
        <w:t>, in more appropriate working environments, with smarter tools to improve performance and outcomes</w:t>
      </w:r>
    </w:p>
    <w:p w14:paraId="7C75CC03" w14:textId="77777777" w:rsidR="000710B6" w:rsidRPr="00CB4ED1" w:rsidRDefault="000710B6" w:rsidP="00A906CA">
      <w:pPr>
        <w:pStyle w:val="bullets1"/>
      </w:pPr>
      <w:r w:rsidRPr="00CB4ED1">
        <w:rPr>
          <w:b/>
          <w:bCs/>
        </w:rPr>
        <w:t>Support information flow</w:t>
      </w:r>
      <w:r w:rsidRPr="00CB4ED1">
        <w:t xml:space="preserve"> for patients and staff through interoperable systems and integrated data flows, improving data quality and integration to support decision-making and enabling remote access, flexible working, staff mobility, and multi-site collaboration</w:t>
      </w:r>
    </w:p>
    <w:p w14:paraId="4E2078BD" w14:textId="69E4EB07" w:rsidR="000710B6" w:rsidRDefault="000710B6" w:rsidP="00A906CA">
      <w:pPr>
        <w:pStyle w:val="bullets1"/>
      </w:pPr>
      <w:r w:rsidRPr="00CB4ED1">
        <w:rPr>
          <w:b/>
          <w:bCs/>
        </w:rPr>
        <w:t>A smarter, safer healthcare environment managed to meet clinical needs and adapt to</w:t>
      </w:r>
      <w:r w:rsidRPr="00CB4ED1">
        <w:t xml:space="preserve"> service demands and occupant needs</w:t>
      </w:r>
      <w:r w:rsidR="00A906CA">
        <w:t>.</w:t>
      </w:r>
    </w:p>
    <w:p w14:paraId="7F24FD1E" w14:textId="77777777" w:rsidR="00A906CA" w:rsidRPr="00A906CA" w:rsidRDefault="00A906CA" w:rsidP="00A906CA">
      <w:pPr>
        <w:pStyle w:val="NoSpacing"/>
      </w:pPr>
    </w:p>
    <w:p w14:paraId="4EC4C8FF" w14:textId="77777777" w:rsidR="000710B6" w:rsidRPr="00CB4ED1" w:rsidRDefault="000710B6" w:rsidP="000710B6">
      <w:pPr>
        <w:rPr>
          <w:rFonts w:cs="Arial"/>
        </w:rPr>
      </w:pPr>
      <w:r w:rsidRPr="00CB4ED1">
        <w:rPr>
          <w:rFonts w:cs="Arial"/>
        </w:rPr>
        <w:t>In practice, Digital First means that wherever a process can be effectively supported or automated by technology, it should be considered as the default method of delivery.</w:t>
      </w:r>
      <w:r w:rsidRPr="00CB4ED1">
        <w:rPr>
          <w:rFonts w:cs="Arial"/>
        </w:rPr>
        <w:br/>
        <w:t>This includes areas such as diagnostic reporting, surgical planning and imaging review, clinical documentation, workforce coordination, patient engagement, remote monitoring and environmental management</w:t>
      </w:r>
    </w:p>
    <w:p w14:paraId="6E5FAC69" w14:textId="77777777" w:rsidR="000710B6" w:rsidRPr="00CB4ED1" w:rsidRDefault="000710B6" w:rsidP="000710B6">
      <w:pPr>
        <w:rPr>
          <w:rFonts w:cs="Arial"/>
        </w:rPr>
      </w:pPr>
      <w:r w:rsidRPr="00CB4ED1">
        <w:rPr>
          <w:rFonts w:cs="Arial"/>
        </w:rPr>
        <w:t>The objective is to ensure that digital solutions enhance efficiency, accuracy, and care quality without introducing additional complexity or administrative burden.</w:t>
      </w:r>
    </w:p>
    <w:p w14:paraId="676626D0" w14:textId="64CAE8DA" w:rsidR="000710B6" w:rsidRPr="00CB4ED1" w:rsidRDefault="000710B6" w:rsidP="00A906CA">
      <w:pPr>
        <w:pStyle w:val="Heading3"/>
      </w:pPr>
      <w:r w:rsidRPr="00CB4ED1">
        <w:t xml:space="preserve">Digital by Design: Building </w:t>
      </w:r>
      <w:r w:rsidR="00A906CA" w:rsidRPr="00CB4ED1">
        <w:t>technology into the infrastructure</w:t>
      </w:r>
    </w:p>
    <w:p w14:paraId="45F0584D" w14:textId="6956B9D5" w:rsidR="00A906CA" w:rsidRDefault="000710B6" w:rsidP="000710B6">
      <w:pPr>
        <w:rPr>
          <w:rFonts w:cs="Arial"/>
        </w:rPr>
      </w:pPr>
      <w:r w:rsidRPr="00CB4ED1">
        <w:rPr>
          <w:rFonts w:cs="Arial"/>
        </w:rPr>
        <w:t xml:space="preserve">To operationalise a Digital First model, Llantrisant Health Park needs to be developed on Digital by Design principles thus ensuring that technology is embedded within the physical, technical, and operational fabric of the facility from the outset. This approach allows the building to function as an </w:t>
      </w:r>
      <w:r w:rsidRPr="00CB4ED1">
        <w:rPr>
          <w:rFonts w:cs="Arial"/>
        </w:rPr>
        <w:lastRenderedPageBreak/>
        <w:t>interoperable, adaptive, and future-ready environment, capable of integrating emerging technologies throughout its lifecycle.</w:t>
      </w:r>
    </w:p>
    <w:tbl>
      <w:tblPr>
        <w:tblW w:w="5100" w:type="pct"/>
        <w:tblInd w:w="-113" w:type="dxa"/>
        <w:tblLayout w:type="fixed"/>
        <w:tblLook w:val="04A0" w:firstRow="1" w:lastRow="0" w:firstColumn="1" w:lastColumn="0" w:noHBand="0" w:noVBand="1"/>
      </w:tblPr>
      <w:tblGrid>
        <w:gridCol w:w="4915"/>
        <w:gridCol w:w="4916"/>
      </w:tblGrid>
      <w:tr w:rsidR="00A906CA" w:rsidRPr="00F2076E" w14:paraId="612D6DB5" w14:textId="77777777" w:rsidTr="00377EA9">
        <w:tc>
          <w:tcPr>
            <w:tcW w:w="4814" w:type="dxa"/>
          </w:tcPr>
          <w:p w14:paraId="6C1C5587" w14:textId="77777777" w:rsidR="00A906CA" w:rsidRPr="00CB4ED1" w:rsidRDefault="00A906CA" w:rsidP="00A906CA">
            <w:pPr>
              <w:rPr>
                <w:rFonts w:cs="Arial"/>
              </w:rPr>
            </w:pPr>
            <w:r w:rsidRPr="00CB4ED1">
              <w:rPr>
                <w:rFonts w:cs="Arial"/>
              </w:rPr>
              <w:t>This must consider the three core aspects of digital enablement:</w:t>
            </w:r>
          </w:p>
          <w:p w14:paraId="160A1CD9" w14:textId="77777777" w:rsidR="00A906CA" w:rsidRPr="00CB4ED1" w:rsidRDefault="00A906CA" w:rsidP="00A906CA">
            <w:pPr>
              <w:pStyle w:val="bullets1"/>
            </w:pPr>
            <w:r w:rsidRPr="00CB4ED1">
              <w:t>Digital infrastructure</w:t>
            </w:r>
          </w:p>
          <w:p w14:paraId="1D016D9A" w14:textId="77777777" w:rsidR="00A906CA" w:rsidRPr="00CB4ED1" w:rsidRDefault="00A906CA" w:rsidP="00A906CA">
            <w:pPr>
              <w:pStyle w:val="bullets1"/>
            </w:pPr>
            <w:r w:rsidRPr="00CB4ED1">
              <w:t>Data flowing through the digital infrastructure</w:t>
            </w:r>
          </w:p>
          <w:p w14:paraId="5AD66C55" w14:textId="77777777" w:rsidR="00A906CA" w:rsidRPr="00CB4ED1" w:rsidRDefault="00A906CA" w:rsidP="00A906CA">
            <w:pPr>
              <w:pStyle w:val="bullets1"/>
            </w:pPr>
            <w:r w:rsidRPr="00CB4ED1">
              <w:t xml:space="preserve">Smart technologies utilising the infrastructure and data </w:t>
            </w:r>
          </w:p>
          <w:p w14:paraId="6F06EC57" w14:textId="77777777" w:rsidR="00A906CA" w:rsidRPr="00CB4ED1" w:rsidRDefault="00A906CA" w:rsidP="00A906CA">
            <w:pPr>
              <w:pStyle w:val="NoSpacing"/>
            </w:pPr>
          </w:p>
          <w:p w14:paraId="6983A1AD" w14:textId="582250F1" w:rsidR="00A906CA" w:rsidRPr="00B92758" w:rsidRDefault="00B92758" w:rsidP="00B92758">
            <w:pPr>
              <w:jc w:val="center"/>
              <w:rPr>
                <w:rFonts w:cs="Arial"/>
                <w:b/>
                <w:bCs/>
                <w:i/>
                <w:iCs/>
              </w:rPr>
            </w:pPr>
            <w:r w:rsidRPr="00CB4ED1">
              <w:rPr>
                <w:rFonts w:cs="Arial"/>
                <w:b/>
                <w:bCs/>
                <w:i/>
                <w:iCs/>
                <w:color w:val="56679D" w:themeColor="text2" w:themeTint="BF"/>
              </w:rPr>
              <w:t>“Adopting a ‘digital first’ and ‘digital by design’ philosophy in the design and delivery of new services, to promote mobile, flexible, patient and centred services &amp; workforce models”</w:t>
            </w:r>
          </w:p>
        </w:tc>
        <w:tc>
          <w:tcPr>
            <w:tcW w:w="4814" w:type="dxa"/>
          </w:tcPr>
          <w:p w14:paraId="79DE5345" w14:textId="2B188C6F" w:rsidR="00A906CA" w:rsidRPr="00B92758" w:rsidRDefault="00A906CA" w:rsidP="00B92758">
            <w:r w:rsidRPr="00B92758">
              <w:rPr>
                <w:noProof/>
              </w:rPr>
              <w:drawing>
                <wp:inline distT="0" distB="0" distL="0" distR="0" wp14:anchorId="67D04248" wp14:editId="3B8BBAB2">
                  <wp:extent cx="2842895" cy="1899285"/>
                  <wp:effectExtent l="0" t="0" r="0" b="5715"/>
                  <wp:docPr id="5" name="Picture 4" descr="A diagram of a hospital&#10;&#10;Description automatically generated">
                    <a:extLst xmlns:a="http://schemas.openxmlformats.org/drawingml/2006/main">
                      <a:ext uri="{FF2B5EF4-FFF2-40B4-BE49-F238E27FC236}">
                        <a16:creationId xmlns:a16="http://schemas.microsoft.com/office/drawing/2014/main" id="{4D5D0D8D-D44B-D3F5-FC7C-098CA5F1BD8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diagram of a hospital&#10;&#10;Description automatically generated">
                            <a:extLst>
                              <a:ext uri="{FF2B5EF4-FFF2-40B4-BE49-F238E27FC236}">
                                <a16:creationId xmlns:a16="http://schemas.microsoft.com/office/drawing/2014/main" id="{4D5D0D8D-D44B-D3F5-FC7C-098CA5F1BD8C}"/>
                              </a:ext>
                            </a:extLst>
                          </pic:cNvPr>
                          <pic:cNvPicPr>
                            <a:picLocks noChangeAspect="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842895" cy="1899285"/>
                          </a:xfrm>
                          <a:prstGeom prst="rect">
                            <a:avLst/>
                          </a:prstGeom>
                          <a:noFill/>
                          <a:ln>
                            <a:noFill/>
                          </a:ln>
                        </pic:spPr>
                      </pic:pic>
                    </a:graphicData>
                  </a:graphic>
                </wp:inline>
              </w:drawing>
            </w:r>
          </w:p>
        </w:tc>
      </w:tr>
    </w:tbl>
    <w:p w14:paraId="11224CA1" w14:textId="77777777" w:rsidR="00A906CA" w:rsidRDefault="00A906CA" w:rsidP="00B92758">
      <w:pPr>
        <w:pStyle w:val="NoSpacing"/>
      </w:pPr>
    </w:p>
    <w:p w14:paraId="3043440F" w14:textId="193A8CF8" w:rsidR="000710B6" w:rsidRPr="00CB4ED1" w:rsidRDefault="000710B6" w:rsidP="00B92758">
      <w:pPr>
        <w:pStyle w:val="Heading3"/>
      </w:pPr>
      <w:r w:rsidRPr="00CB4ED1">
        <w:t xml:space="preserve">Digital by Design: Digital </w:t>
      </w:r>
      <w:r w:rsidR="00B92758" w:rsidRPr="00CB4ED1">
        <w:t>interplay with care delivery</w:t>
      </w:r>
    </w:p>
    <w:p w14:paraId="1F96C400" w14:textId="77777777" w:rsidR="000710B6" w:rsidRPr="00CB4ED1" w:rsidRDefault="000710B6" w:rsidP="000710B6">
      <w:pPr>
        <w:rPr>
          <w:rFonts w:cs="Arial"/>
        </w:rPr>
      </w:pPr>
      <w:r w:rsidRPr="00CB4ED1">
        <w:rPr>
          <w:rFonts w:cs="Arial"/>
        </w:rPr>
        <w:t>Digital innovation, data-enabled decision-making, and new ways of accessing and delivering care are reshaping healthcare delivery. As systems move toward more proactive, coordinated, and patient-centred models, digital capability is a fundamental enabler of performance, experience, and sustainability.</w:t>
      </w:r>
    </w:p>
    <w:p w14:paraId="75E9F197" w14:textId="77777777" w:rsidR="000710B6" w:rsidRDefault="000710B6" w:rsidP="000710B6">
      <w:pPr>
        <w:rPr>
          <w:rFonts w:cs="Arial"/>
        </w:rPr>
      </w:pPr>
      <w:r w:rsidRPr="00CB4ED1">
        <w:rPr>
          <w:rFonts w:cs="Arial"/>
        </w:rPr>
        <w:t>At Llantrisant Health Park, digital is treated as a core design principle that underpins clinical operations, workforce models, patient pathways, and the built environment. It is important that the digital vision should be considered across three layers: Flow, Footprint and Fabric, which will ensure that information moves efficiently across pathways, that services are connected across organisations, and that smart-hospital capability is embedded into the estate from the outset.</w:t>
      </w:r>
    </w:p>
    <w:p w14:paraId="2AE61389" w14:textId="15DDD7F2" w:rsidR="000710B6" w:rsidRPr="001B288C" w:rsidRDefault="000710B6" w:rsidP="001B288C">
      <w:r w:rsidRPr="001B288C">
        <w:t>These three layers form a coherent framework for how digital capability will operate:</w:t>
      </w:r>
    </w:p>
    <w:p w14:paraId="45FE0D3D" w14:textId="09FB9794" w:rsidR="001B288C" w:rsidRDefault="001B288C" w:rsidP="001B288C">
      <w:pPr>
        <w:pStyle w:val="Caption"/>
      </w:pPr>
      <w:bookmarkStart w:id="130" w:name="_Toc213865316"/>
      <w:r>
        <w:t xml:space="preserve">Figure </w:t>
      </w:r>
      <w:r w:rsidR="009C05F7">
        <w:fldChar w:fldCharType="begin"/>
      </w:r>
      <w:r w:rsidR="009C05F7">
        <w:instrText xml:space="preserve"> SEQ Figure \* ARABIC </w:instrText>
      </w:r>
      <w:r w:rsidR="009C05F7">
        <w:fldChar w:fldCharType="separate"/>
      </w:r>
      <w:r w:rsidR="00376786">
        <w:t>3</w:t>
      </w:r>
      <w:r w:rsidR="009C05F7">
        <w:fldChar w:fldCharType="end"/>
      </w:r>
      <w:r>
        <w:t xml:space="preserve"> - Digital framework</w:t>
      </w:r>
      <w:bookmarkEnd w:id="130"/>
    </w:p>
    <w:p w14:paraId="578834FA" w14:textId="77777777" w:rsidR="000710B6" w:rsidRPr="00CB4ED1" w:rsidRDefault="001B288C" w:rsidP="000710B6">
      <w:pPr>
        <w:rPr>
          <w:rFonts w:cs="Arial"/>
        </w:rPr>
      </w:pPr>
      <w:r w:rsidRPr="00CB4ED1">
        <w:rPr>
          <w:rFonts w:cs="Arial"/>
          <w:noProof/>
        </w:rPr>
        <w:drawing>
          <wp:inline distT="0" distB="0" distL="0" distR="0" wp14:anchorId="3E34AA2B" wp14:editId="0571164E">
            <wp:extent cx="5482716" cy="2448000"/>
            <wp:effectExtent l="0" t="0" r="3810" b="9525"/>
            <wp:docPr id="2" name="table" descr="A black background with colorful stripes&#10;&#10;Description automatically generated with medium confidence">
              <a:extLst xmlns:a="http://schemas.openxmlformats.org/drawingml/2006/main">
                <a:ext uri="{FF2B5EF4-FFF2-40B4-BE49-F238E27FC236}">
                  <a16:creationId xmlns:a16="http://schemas.microsoft.com/office/drawing/2014/main" id="{ACA1E030-CE0B-FA93-D8EB-A768D5B904E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descr="A black background with colorful stripes&#10;&#10;Description automatically generated with medium confidence">
                      <a:extLst>
                        <a:ext uri="{FF2B5EF4-FFF2-40B4-BE49-F238E27FC236}">
                          <a16:creationId xmlns:a16="http://schemas.microsoft.com/office/drawing/2014/main" id="{ACA1E030-CE0B-FA93-D8EB-A768D5B904EC}"/>
                        </a:ext>
                      </a:extLst>
                    </pic:cNvPr>
                    <pic:cNvPicPr>
                      <a:picLocks noChangeAspect="1"/>
                    </pic:cNvPicPr>
                  </pic:nvPicPr>
                  <pic:blipFill>
                    <a:blip r:embed="rId39">
                      <a:extLst>
                        <a:ext uri="{28A0092B-C50C-407E-A947-70E740481C1C}">
                          <a14:useLocalDpi xmlns:a14="http://schemas.microsoft.com/office/drawing/2010/main" val="0"/>
                        </a:ext>
                      </a:extLst>
                    </a:blip>
                    <a:stretch>
                      <a:fillRect/>
                    </a:stretch>
                  </pic:blipFill>
                  <pic:spPr>
                    <a:xfrm>
                      <a:off x="0" y="0"/>
                      <a:ext cx="5482716" cy="2448000"/>
                    </a:xfrm>
                    <a:prstGeom prst="rect">
                      <a:avLst/>
                    </a:prstGeom>
                  </pic:spPr>
                </pic:pic>
              </a:graphicData>
            </a:graphic>
          </wp:inline>
        </w:drawing>
      </w:r>
    </w:p>
    <w:p w14:paraId="1F653C3B" w14:textId="523BB528" w:rsidR="000710B6" w:rsidRPr="00CB4ED1" w:rsidRDefault="001B288C" w:rsidP="000710B6">
      <w:pPr>
        <w:rPr>
          <w:rFonts w:cs="Arial"/>
        </w:rPr>
      </w:pPr>
      <w:r w:rsidRPr="00CB4ED1">
        <w:rPr>
          <w:rFonts w:cs="Arial"/>
          <w:noProof/>
        </w:rPr>
        <mc:AlternateContent>
          <mc:Choice Requires="wps">
            <w:drawing>
              <wp:inline distT="0" distB="0" distL="0" distR="0" wp14:anchorId="57A1A030" wp14:editId="6E8B376A">
                <wp:extent cx="243196" cy="5482716"/>
                <wp:effectExtent l="8890" t="0" r="13970" b="13970"/>
                <wp:docPr id="62" name="Right Brace 61">
                  <a:extLst xmlns:a="http://schemas.openxmlformats.org/drawingml/2006/main">
                    <a:ext uri="{FF2B5EF4-FFF2-40B4-BE49-F238E27FC236}">
                      <a16:creationId xmlns:a16="http://schemas.microsoft.com/office/drawing/2014/main" id="{B0C8A290-AA97-8D23-8FFD-5CA60F0B7E52}"/>
                    </a:ext>
                  </a:extLst>
                </wp:docPr>
                <wp:cNvGraphicFramePr/>
                <a:graphic xmlns:a="http://schemas.openxmlformats.org/drawingml/2006/main">
                  <a:graphicData uri="http://schemas.microsoft.com/office/word/2010/wordprocessingShape">
                    <wps:wsp>
                      <wps:cNvSpPr/>
                      <wps:spPr>
                        <a:xfrm rot="5400000">
                          <a:off x="0" y="0"/>
                          <a:ext cx="243196" cy="5482716"/>
                        </a:xfrm>
                        <a:prstGeom prst="rightBrace">
                          <a:avLst>
                            <a:gd name="adj1" fmla="val 155202"/>
                            <a:gd name="adj2" fmla="val 50000"/>
                          </a:avLst>
                        </a:prstGeom>
                        <a:ln>
                          <a:solidFill>
                            <a:srgbClr val="2C4195"/>
                          </a:solidFill>
                        </a:ln>
                      </wps:spPr>
                      <wps:style>
                        <a:lnRef idx="2">
                          <a:schemeClr val="accent1"/>
                        </a:lnRef>
                        <a:fillRef idx="0">
                          <a:schemeClr val="accent1"/>
                        </a:fillRef>
                        <a:effectRef idx="1">
                          <a:schemeClr val="accent1"/>
                        </a:effectRef>
                        <a:fontRef idx="minor">
                          <a:schemeClr val="tx1"/>
                        </a:fontRef>
                      </wps:style>
                      <wps:bodyPr rtlCol="0" anchor="ctr"/>
                    </wps:ws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2259A876"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Right Brace 61" o:spid="_x0000_s1026" type="#_x0000_t88" style="width:19.15pt;height:431.7pt;rotation:90;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" adj="1487" strokecolor="#2c4195" strokeweight="1pt">
                <v:stroke joinstyle="miter"/>
                <w10:anchorlock/>
              </v:shape>
            </w:pict>
          </mc:Fallback>
        </mc:AlternateContent>
      </w:r>
    </w:p>
    <w:p w14:paraId="22880F37" w14:textId="77777777" w:rsidR="000710B6" w:rsidRPr="001B288C" w:rsidRDefault="000710B6" w:rsidP="001B288C">
      <w:r w:rsidRPr="001B288C">
        <w:t>Llantrisant Health Park’s digital architecture should bring together clinical systems, smart-hospital capabilities, and regional care connections, guided by underlying key principles:</w:t>
      </w:r>
    </w:p>
    <w:p w14:paraId="6FCFBAEE" w14:textId="1E030B19" w:rsidR="001B288C" w:rsidRDefault="001B288C" w:rsidP="001B288C">
      <w:pPr>
        <w:pStyle w:val="Caption"/>
      </w:pPr>
      <w:bookmarkStart w:id="131" w:name="_Toc213865317"/>
      <w:r>
        <w:lastRenderedPageBreak/>
        <w:t xml:space="preserve">Figure </w:t>
      </w:r>
      <w:r w:rsidR="009C05F7">
        <w:fldChar w:fldCharType="begin"/>
      </w:r>
      <w:r w:rsidR="009C05F7">
        <w:instrText xml:space="preserve"> SEQ Figure \* ARABIC </w:instrText>
      </w:r>
      <w:r w:rsidR="009C05F7">
        <w:fldChar w:fldCharType="separate"/>
      </w:r>
      <w:r w:rsidR="00376786">
        <w:t>4</w:t>
      </w:r>
      <w:r w:rsidR="009C05F7">
        <w:fldChar w:fldCharType="end"/>
      </w:r>
      <w:r>
        <w:t xml:space="preserve"> - Digital architecture framework</w:t>
      </w:r>
      <w:bookmarkEnd w:id="131"/>
    </w:p>
    <w:p w14:paraId="58BC6CD9" w14:textId="77777777" w:rsidR="000710B6" w:rsidRDefault="000710B6" w:rsidP="001B288C">
      <w:r w:rsidRPr="001B288C">
        <w:rPr>
          <w:noProof/>
        </w:rPr>
        <w:drawing>
          <wp:inline distT="0" distB="0" distL="0" distR="0" wp14:anchorId="4C4404CF" wp14:editId="68795150">
            <wp:extent cx="5551891" cy="2428724"/>
            <wp:effectExtent l="0" t="0" r="0" b="0"/>
            <wp:docPr id="13586190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612169" cy="2455093"/>
                    </a:xfrm>
                    <a:prstGeom prst="rect">
                      <a:avLst/>
                    </a:prstGeom>
                    <a:noFill/>
                  </pic:spPr>
                </pic:pic>
              </a:graphicData>
            </a:graphic>
          </wp:inline>
        </w:drawing>
      </w:r>
    </w:p>
    <w:p w14:paraId="3623A18F" w14:textId="77777777" w:rsidR="001B288C" w:rsidRPr="001B288C" w:rsidRDefault="001B288C" w:rsidP="001B288C"/>
    <w:p w14:paraId="4FA89FB1" w14:textId="7E0F7BF3" w:rsidR="000710B6" w:rsidRPr="00CB4ED1" w:rsidRDefault="001B288C" w:rsidP="001B288C">
      <w:pPr>
        <w:pStyle w:val="Heading4"/>
      </w:pPr>
      <w:r w:rsidRPr="00CB4ED1">
        <w:t>Benefits for patients, staff and system</w:t>
      </w:r>
    </w:p>
    <w:p w14:paraId="1303217F" w14:textId="77777777" w:rsidR="000710B6" w:rsidRDefault="000710B6" w:rsidP="000710B6">
      <w:pPr>
        <w:rPr>
          <w:rFonts w:cs="Arial"/>
        </w:rPr>
      </w:pPr>
      <w:r w:rsidRPr="00CB4ED1">
        <w:rPr>
          <w:rFonts w:cs="Arial"/>
          <w:noProof/>
        </w:rPr>
        <w:drawing>
          <wp:inline distT="0" distB="0" distL="0" distR="0" wp14:anchorId="11315B48" wp14:editId="08798DF1">
            <wp:extent cx="5838825" cy="5734050"/>
            <wp:effectExtent l="0" t="0" r="9525" b="0"/>
            <wp:docPr id="125749937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1">
                      <a:extLst>
                        <a:ext uri="{28A0092B-C50C-407E-A947-70E740481C1C}">
                          <a14:useLocalDpi xmlns:a14="http://schemas.microsoft.com/office/drawing/2010/main" val="0"/>
                        </a:ext>
                      </a:extLst>
                    </a:blip>
                    <a:srcRect t="-1" b="28061"/>
                    <a:stretch>
                      <a:fillRect/>
                    </a:stretch>
                  </pic:blipFill>
                  <pic:spPr bwMode="auto">
                    <a:xfrm>
                      <a:off x="0" y="0"/>
                      <a:ext cx="5872158" cy="5766785"/>
                    </a:xfrm>
                    <a:prstGeom prst="rect">
                      <a:avLst/>
                    </a:prstGeom>
                    <a:noFill/>
                    <a:ln>
                      <a:noFill/>
                    </a:ln>
                    <a:extLst>
                      <a:ext uri="{53640926-AAD7-44D8-BBD7-CCE9431645EC}">
                        <a14:shadowObscured xmlns:a14="http://schemas.microsoft.com/office/drawing/2010/main"/>
                      </a:ext>
                    </a:extLst>
                  </pic:spPr>
                </pic:pic>
              </a:graphicData>
            </a:graphic>
          </wp:inline>
        </w:drawing>
      </w:r>
    </w:p>
    <w:p w14:paraId="273DB7CC" w14:textId="05C0CB14" w:rsidR="001D39F4" w:rsidRPr="00CB4ED1" w:rsidRDefault="001D39F4" w:rsidP="000710B6">
      <w:pPr>
        <w:rPr>
          <w:rFonts w:cs="Arial"/>
        </w:rPr>
      </w:pPr>
      <w:r w:rsidRPr="00CB4ED1">
        <w:rPr>
          <w:rFonts w:cs="Arial"/>
          <w:noProof/>
        </w:rPr>
        <w:lastRenderedPageBreak/>
        <w:drawing>
          <wp:inline distT="0" distB="0" distL="0" distR="0" wp14:anchorId="503B7A0F" wp14:editId="02E69C0D">
            <wp:extent cx="5839176" cy="2218055"/>
            <wp:effectExtent l="0" t="0" r="9525" b="0"/>
            <wp:docPr id="371512413" name="Picture 2" descr="A grid of black squar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1512413" name="Picture 2" descr="A grid of black squares&#10;&#10;AI-generated content may be incorrect."/>
                    <pic:cNvPicPr>
                      <a:picLocks noChangeAspect="1" noChangeArrowheads="1"/>
                    </pic:cNvPicPr>
                  </pic:nvPicPr>
                  <pic:blipFill rotWithShape="1">
                    <a:blip r:embed="rId41">
                      <a:extLst>
                        <a:ext uri="{28A0092B-C50C-407E-A947-70E740481C1C}">
                          <a14:useLocalDpi xmlns:a14="http://schemas.microsoft.com/office/drawing/2010/main" val="0"/>
                        </a:ext>
                      </a:extLst>
                    </a:blip>
                    <a:srcRect t="72174"/>
                    <a:stretch>
                      <a:fillRect/>
                    </a:stretch>
                  </pic:blipFill>
                  <pic:spPr bwMode="auto">
                    <a:xfrm>
                      <a:off x="0" y="0"/>
                      <a:ext cx="5872158" cy="2230583"/>
                    </a:xfrm>
                    <a:prstGeom prst="rect">
                      <a:avLst/>
                    </a:prstGeom>
                    <a:noFill/>
                    <a:ln>
                      <a:noFill/>
                    </a:ln>
                    <a:extLst>
                      <a:ext uri="{53640926-AAD7-44D8-BBD7-CCE9431645EC}">
                        <a14:shadowObscured xmlns:a14="http://schemas.microsoft.com/office/drawing/2010/main"/>
                      </a:ext>
                    </a:extLst>
                  </pic:spPr>
                </pic:pic>
              </a:graphicData>
            </a:graphic>
          </wp:inline>
        </w:drawing>
      </w:r>
    </w:p>
    <w:p w14:paraId="3B14FA15" w14:textId="77777777" w:rsidR="00ED7A5C" w:rsidRPr="00CB4ED1" w:rsidRDefault="00ED7A5C" w:rsidP="00447E2A"/>
    <w:p w14:paraId="1FB909E3" w14:textId="11D268D7" w:rsidR="0095079A" w:rsidRPr="00CB4ED1" w:rsidRDefault="0095079A" w:rsidP="00CB4F57">
      <w:pPr>
        <w:pStyle w:val="Heading1"/>
      </w:pPr>
      <w:bookmarkStart w:id="132" w:name="_Toc213865226"/>
      <w:bookmarkEnd w:id="16"/>
      <w:r w:rsidRPr="00CB4ED1">
        <w:lastRenderedPageBreak/>
        <w:t xml:space="preserve">Benefits </w:t>
      </w:r>
      <w:r w:rsidR="00255D9F" w:rsidRPr="00CB4ED1">
        <w:t>a</w:t>
      </w:r>
      <w:r w:rsidRPr="00CB4ED1">
        <w:t>nd Risks</w:t>
      </w:r>
      <w:bookmarkEnd w:id="132"/>
    </w:p>
    <w:p w14:paraId="18BD0616" w14:textId="4D446129" w:rsidR="0095079A" w:rsidRPr="00CB4ED1" w:rsidRDefault="0095079A" w:rsidP="0095079A">
      <w:pPr>
        <w:pStyle w:val="Heading2"/>
      </w:pPr>
      <w:bookmarkStart w:id="133" w:name="_Toc213865227"/>
      <w:r w:rsidRPr="00CB4ED1">
        <w:t>Introduction</w:t>
      </w:r>
      <w:bookmarkEnd w:id="133"/>
    </w:p>
    <w:p w14:paraId="269F2B72" w14:textId="0EF9AC3E" w:rsidR="0095079A" w:rsidRPr="00CB4ED1" w:rsidRDefault="0095079A" w:rsidP="00FD47B2">
      <w:r w:rsidRPr="00CB4ED1">
        <w:t xml:space="preserve">This section of the business case identifies the benefits, risks, constraints and dependencies in that have been considered when developing and assessing the options for the development of </w:t>
      </w:r>
      <w:r w:rsidR="008D7BB6" w:rsidRPr="00CB4ED1">
        <w:t>Llantrisant Health Park</w:t>
      </w:r>
      <w:r w:rsidRPr="00CB4ED1">
        <w:t xml:space="preserve">. </w:t>
      </w:r>
    </w:p>
    <w:p w14:paraId="43D84AF4" w14:textId="77777777" w:rsidR="00C9567C" w:rsidRPr="00CB4ED1" w:rsidRDefault="00C9567C" w:rsidP="00C9567C">
      <w:pPr>
        <w:pStyle w:val="NoSpacing"/>
      </w:pPr>
    </w:p>
    <w:p w14:paraId="4970AE6D" w14:textId="53FFB5E8" w:rsidR="00963765" w:rsidRPr="00CB4ED1" w:rsidRDefault="00854050" w:rsidP="00963765">
      <w:pPr>
        <w:pStyle w:val="Heading2"/>
      </w:pPr>
      <w:bookmarkStart w:id="134" w:name="_Toc197093427"/>
      <w:bookmarkStart w:id="135" w:name="_Toc213865228"/>
      <w:r w:rsidRPr="00CB4ED1">
        <w:t xml:space="preserve">Benefits </w:t>
      </w:r>
      <w:r w:rsidR="00DF1FA7" w:rsidRPr="00CB4ED1">
        <w:t>case</w:t>
      </w:r>
      <w:bookmarkEnd w:id="134"/>
      <w:bookmarkEnd w:id="135"/>
    </w:p>
    <w:p w14:paraId="5E132162" w14:textId="77777777" w:rsidR="00771393" w:rsidRPr="00CB4ED1" w:rsidRDefault="00771393" w:rsidP="00771393">
      <w:pPr>
        <w:rPr>
          <w:rFonts w:cs="Arial"/>
        </w:rPr>
      </w:pPr>
      <w:r w:rsidRPr="00CB4ED1">
        <w:rPr>
          <w:rFonts w:cs="Arial"/>
        </w:rPr>
        <w:t>A systematic approach was undertaken to develop the benefits analysis as outlined in the diagram below.</w:t>
      </w:r>
    </w:p>
    <w:p w14:paraId="1EF48432" w14:textId="2926052A" w:rsidR="00771393" w:rsidRPr="00CB4ED1" w:rsidRDefault="00771393" w:rsidP="002A4D92">
      <w:pPr>
        <w:pStyle w:val="Caption"/>
        <w:rPr>
          <w:rFonts w:cs="Arial"/>
          <w:noProof w:val="0"/>
        </w:rPr>
      </w:pPr>
      <w:bookmarkStart w:id="136" w:name="_Toc213865318"/>
      <w:r w:rsidRPr="00CB4ED1">
        <w:rPr>
          <w:noProof w:val="0"/>
        </w:rPr>
        <w:t xml:space="preserve">Figure </w:t>
      </w:r>
      <w:r w:rsidR="009C05F7">
        <w:rPr>
          <w:noProof w:val="0"/>
        </w:rPr>
        <w:fldChar w:fldCharType="begin"/>
      </w:r>
      <w:r w:rsidR="009C05F7">
        <w:rPr>
          <w:noProof w:val="0"/>
        </w:rPr>
        <w:instrText xml:space="preserve"> SEQ Figure \* ARABIC </w:instrText>
      </w:r>
      <w:r w:rsidR="009C05F7">
        <w:rPr>
          <w:noProof w:val="0"/>
        </w:rPr>
        <w:fldChar w:fldCharType="separate"/>
      </w:r>
      <w:r w:rsidR="00376786">
        <w:t>5</w:t>
      </w:r>
      <w:r w:rsidR="009C05F7">
        <w:rPr>
          <w:noProof w:val="0"/>
        </w:rPr>
        <w:fldChar w:fldCharType="end"/>
      </w:r>
      <w:r w:rsidRPr="00CB4ED1">
        <w:rPr>
          <w:noProof w:val="0"/>
        </w:rPr>
        <w:t xml:space="preserve"> - </w:t>
      </w:r>
      <w:r w:rsidRPr="00CB4ED1">
        <w:rPr>
          <w:rFonts w:cs="Arial"/>
          <w:noProof w:val="0"/>
        </w:rPr>
        <w:t>Benefit analysis process</w:t>
      </w:r>
      <w:bookmarkEnd w:id="136"/>
    </w:p>
    <w:p w14:paraId="2580329B" w14:textId="1A953E0D" w:rsidR="00771393" w:rsidRPr="00CB4ED1" w:rsidRDefault="00DF11C6" w:rsidP="00771393">
      <w:r w:rsidRPr="00CB4ED1">
        <w:rPr>
          <w:noProof/>
        </w:rPr>
        <w:drawing>
          <wp:inline distT="0" distB="0" distL="0" distR="0" wp14:anchorId="6A7A28AD" wp14:editId="0BBF54B8">
            <wp:extent cx="5731510" cy="2328545"/>
            <wp:effectExtent l="0" t="0" r="2540" b="0"/>
            <wp:docPr id="1173318281" name="Picture 1" descr="A close-up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318281" name="Picture 1" descr="A close-up of a diagram&#10;&#10;AI-generated content may be incorrect."/>
                    <pic:cNvPicPr/>
                  </pic:nvPicPr>
                  <pic:blipFill>
                    <a:blip r:embed="rId42"/>
                    <a:stretch>
                      <a:fillRect/>
                    </a:stretch>
                  </pic:blipFill>
                  <pic:spPr>
                    <a:xfrm>
                      <a:off x="0" y="0"/>
                      <a:ext cx="5731510" cy="2328545"/>
                    </a:xfrm>
                    <a:prstGeom prst="rect">
                      <a:avLst/>
                    </a:prstGeom>
                  </pic:spPr>
                </pic:pic>
              </a:graphicData>
            </a:graphic>
          </wp:inline>
        </w:drawing>
      </w:r>
    </w:p>
    <w:p w14:paraId="55B31B42" w14:textId="79AC253C" w:rsidR="00B660EC" w:rsidRPr="00CB4ED1" w:rsidRDefault="00B660EC" w:rsidP="00FD47B2">
      <w:r w:rsidRPr="00CB4ED1">
        <w:t>A s</w:t>
      </w:r>
      <w:r w:rsidR="00831950" w:rsidRPr="00CB4ED1">
        <w:t>ignificant</w:t>
      </w:r>
      <w:r w:rsidRPr="00CB4ED1">
        <w:t xml:space="preserve"> amount of</w:t>
      </w:r>
      <w:r w:rsidR="00831950" w:rsidRPr="00CB4ED1">
        <w:t xml:space="preserve"> work has been undertaken during the development of the programme to identify </w:t>
      </w:r>
      <w:r w:rsidRPr="00CB4ED1">
        <w:t>the benefit</w:t>
      </w:r>
      <w:r w:rsidR="00D514F6" w:rsidRPr="00CB4ED1">
        <w:t xml:space="preserve">s </w:t>
      </w:r>
      <w:r w:rsidR="007657DA" w:rsidRPr="00CB4ED1">
        <w:t>of</w:t>
      </w:r>
      <w:r w:rsidR="00D514F6" w:rsidRPr="00CB4ED1">
        <w:t xml:space="preserve"> </w:t>
      </w:r>
      <w:r w:rsidRPr="00CB4ED1">
        <w:t xml:space="preserve">LHP. This </w:t>
      </w:r>
      <w:r w:rsidR="00D514F6" w:rsidRPr="00CB4ED1">
        <w:t xml:space="preserve">was </w:t>
      </w:r>
      <w:r w:rsidR="00573019" w:rsidRPr="00CB4ED1">
        <w:t>consolidated within a series of workshops during April 2025</w:t>
      </w:r>
      <w:r w:rsidR="00854050" w:rsidRPr="00CB4ED1">
        <w:t xml:space="preserve"> </w:t>
      </w:r>
      <w:r w:rsidR="00573019" w:rsidRPr="00CB4ED1">
        <w:t>using</w:t>
      </w:r>
      <w:r w:rsidR="00F674F2" w:rsidRPr="00CB4ED1">
        <w:t xml:space="preserve"> the investment logic mapping approach outlined in the diagram below</w:t>
      </w:r>
      <w:r w:rsidRPr="00CB4ED1">
        <w:t>:</w:t>
      </w:r>
    </w:p>
    <w:p w14:paraId="7CE675C4" w14:textId="58520ECE" w:rsidR="00B660EC" w:rsidRPr="00CB4ED1" w:rsidRDefault="00F674F2" w:rsidP="002A4D92">
      <w:pPr>
        <w:pStyle w:val="Caption"/>
        <w:rPr>
          <w:noProof w:val="0"/>
        </w:rPr>
      </w:pPr>
      <w:bookmarkStart w:id="137" w:name="_Toc213865319"/>
      <w:r w:rsidRPr="00CB4ED1">
        <w:rPr>
          <w:noProof w:val="0"/>
        </w:rPr>
        <w:t xml:space="preserve">Figure </w:t>
      </w:r>
      <w:r w:rsidR="009C05F7">
        <w:rPr>
          <w:noProof w:val="0"/>
        </w:rPr>
        <w:fldChar w:fldCharType="begin"/>
      </w:r>
      <w:r w:rsidR="009C05F7">
        <w:rPr>
          <w:noProof w:val="0"/>
        </w:rPr>
        <w:instrText xml:space="preserve"> SEQ Figure \* ARABIC </w:instrText>
      </w:r>
      <w:r w:rsidR="009C05F7">
        <w:rPr>
          <w:noProof w:val="0"/>
        </w:rPr>
        <w:fldChar w:fldCharType="separate"/>
      </w:r>
      <w:r w:rsidR="00376786">
        <w:t>6</w:t>
      </w:r>
      <w:r w:rsidR="009C05F7">
        <w:rPr>
          <w:noProof w:val="0"/>
        </w:rPr>
        <w:fldChar w:fldCharType="end"/>
      </w:r>
      <w:r w:rsidRPr="00CB4ED1">
        <w:rPr>
          <w:noProof w:val="0"/>
        </w:rPr>
        <w:t xml:space="preserve"> – Investment </w:t>
      </w:r>
      <w:r w:rsidR="00DF1FA7" w:rsidRPr="00CB4ED1">
        <w:rPr>
          <w:noProof w:val="0"/>
        </w:rPr>
        <w:t>logic mapping approach</w:t>
      </w:r>
      <w:bookmarkEnd w:id="137"/>
    </w:p>
    <w:p w14:paraId="0C9A0C8A" w14:textId="202A182A" w:rsidR="00F4663F" w:rsidRPr="00CB4ED1" w:rsidRDefault="00DF1EB3" w:rsidP="00F4663F">
      <w:r w:rsidRPr="00CB4ED1">
        <w:rPr>
          <w:noProof/>
        </w:rPr>
        <w:drawing>
          <wp:inline distT="0" distB="0" distL="0" distR="0" wp14:anchorId="65E89E2B" wp14:editId="61834802">
            <wp:extent cx="6120000" cy="759600"/>
            <wp:effectExtent l="0" t="0" r="0" b="2540"/>
            <wp:docPr id="1592514339" name="Picture 3" descr="A blue and green rectangles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514339" name="Picture 3" descr="A blue and green rectangles with white text&#10;&#10;AI-generated content may be incorrect."/>
                    <pic:cNvPicPr/>
                  </pic:nvPicPr>
                  <pic:blipFill>
                    <a:blip r:embed="rId43">
                      <a:extLst>
                        <a:ext uri="{28A0092B-C50C-407E-A947-70E740481C1C}">
                          <a14:useLocalDpi xmlns:a14="http://schemas.microsoft.com/office/drawing/2010/main" val="0"/>
                        </a:ext>
                      </a:extLst>
                    </a:blip>
                    <a:stretch>
                      <a:fillRect/>
                    </a:stretch>
                  </pic:blipFill>
                  <pic:spPr>
                    <a:xfrm>
                      <a:off x="0" y="0"/>
                      <a:ext cx="6120000" cy="759600"/>
                    </a:xfrm>
                    <a:prstGeom prst="rect">
                      <a:avLst/>
                    </a:prstGeom>
                  </pic:spPr>
                </pic:pic>
              </a:graphicData>
            </a:graphic>
          </wp:inline>
        </w:drawing>
      </w:r>
    </w:p>
    <w:p w14:paraId="6EC41B3A" w14:textId="77777777" w:rsidR="001D39F4" w:rsidRDefault="001D39F4">
      <w:pPr>
        <w:spacing w:after="160" w:line="259" w:lineRule="auto"/>
        <w:rPr>
          <w:rFonts w:asciiTheme="majorHAnsi" w:eastAsiaTheme="majorEastAsia" w:hAnsiTheme="majorHAnsi" w:cstheme="majorBidi"/>
          <w:color w:val="356A91" w:themeColor="accent1"/>
          <w:sz w:val="28"/>
          <w:szCs w:val="24"/>
        </w:rPr>
      </w:pPr>
      <w:r>
        <w:br w:type="page"/>
      </w:r>
    </w:p>
    <w:p w14:paraId="27555A01" w14:textId="51636FC8" w:rsidR="001358D5" w:rsidRPr="00CB4ED1" w:rsidRDefault="001358D5" w:rsidP="000D1F0D">
      <w:pPr>
        <w:pStyle w:val="Heading3"/>
      </w:pPr>
      <w:r w:rsidRPr="00CB4ED1">
        <w:lastRenderedPageBreak/>
        <w:t xml:space="preserve">Creation of </w:t>
      </w:r>
      <w:r w:rsidR="001D39F4">
        <w:t xml:space="preserve">a </w:t>
      </w:r>
      <w:r w:rsidRPr="00CB4ED1">
        <w:t>Surgical Hub</w:t>
      </w:r>
    </w:p>
    <w:p w14:paraId="3299076F" w14:textId="77466EAA" w:rsidR="00BC0970" w:rsidRPr="00CB4ED1" w:rsidRDefault="0089116F" w:rsidP="00FD47B2">
      <w:r w:rsidRPr="00CB4ED1">
        <w:t>Delivery</w:t>
      </w:r>
      <w:r w:rsidR="00BC0970" w:rsidRPr="00CB4ED1">
        <w:t xml:space="preserve"> of the surgical hub will allow LHP to provide additional surgical capacity to address current Arthroplasty capacity shortfalls and ensure future demand can be met. As well as reducing waiting times for patients, </w:t>
      </w:r>
      <w:r w:rsidR="002E46AE" w:rsidRPr="00CB4ED1">
        <w:t xml:space="preserve">the delivery of high volume, low acuity model will enable the </w:t>
      </w:r>
      <w:r w:rsidR="00BC0970" w:rsidRPr="00CB4ED1">
        <w:t>delivery of a standardised pathway</w:t>
      </w:r>
      <w:r w:rsidR="004E70C5" w:rsidRPr="00CB4ED1">
        <w:t xml:space="preserve">. </w:t>
      </w:r>
      <w:r w:rsidR="00BE4F74" w:rsidRPr="00CB4ED1">
        <w:t xml:space="preserve">Earlier access to surgical interventions and </w:t>
      </w:r>
      <w:r w:rsidR="00EB1A64" w:rsidRPr="00CB4ED1">
        <w:t>reduced length of stay</w:t>
      </w:r>
      <w:r w:rsidR="00D043FA" w:rsidRPr="00CB4ED1">
        <w:t>, which</w:t>
      </w:r>
      <w:r w:rsidR="00F427B7" w:rsidRPr="00CB4ED1">
        <w:t xml:space="preserve"> is known to reduce</w:t>
      </w:r>
      <w:r w:rsidR="00BC0970" w:rsidRPr="00CB4ED1">
        <w:t xml:space="preserve"> in fewer complications</w:t>
      </w:r>
      <w:r w:rsidR="00D043FA" w:rsidRPr="00CB4ED1">
        <w:t xml:space="preserve">, </w:t>
      </w:r>
      <w:r w:rsidR="00F301A0" w:rsidRPr="00CB4ED1">
        <w:t xml:space="preserve">will </w:t>
      </w:r>
      <w:r w:rsidR="00E107AC" w:rsidRPr="00CB4ED1">
        <w:t xml:space="preserve">directly benefit patients, </w:t>
      </w:r>
      <w:r w:rsidRPr="00CB4ED1">
        <w:t>improving their quality of life</w:t>
      </w:r>
      <w:r w:rsidR="00F301A0" w:rsidRPr="00CB4ED1">
        <w:t xml:space="preserve">. </w:t>
      </w:r>
      <w:r w:rsidR="00A405DC" w:rsidRPr="00CB4ED1">
        <w:t>The</w:t>
      </w:r>
      <w:r w:rsidR="00F301A0" w:rsidRPr="00CB4ED1">
        <w:t xml:space="preserve"> additional capacity will </w:t>
      </w:r>
      <w:r w:rsidRPr="00CB4ED1">
        <w:t xml:space="preserve">also </w:t>
      </w:r>
      <w:r w:rsidR="00F301A0" w:rsidRPr="00CB4ED1">
        <w:t>reduce reliance on expensive external Diagnostics capacity such as outsourcing, insourcing and waiting list initiatives.</w:t>
      </w:r>
    </w:p>
    <w:p w14:paraId="3420E5C0" w14:textId="35EE8BD6" w:rsidR="0079082E" w:rsidRPr="00CB4ED1" w:rsidRDefault="0079082E" w:rsidP="002A4D92">
      <w:pPr>
        <w:pStyle w:val="Caption"/>
        <w:rPr>
          <w:b/>
          <w:bCs/>
          <w:noProof w:val="0"/>
        </w:rPr>
      </w:pPr>
      <w:bookmarkStart w:id="138" w:name="_Toc213865320"/>
      <w:r w:rsidRPr="00CB4ED1">
        <w:rPr>
          <w:noProof w:val="0"/>
        </w:rPr>
        <w:t xml:space="preserve">Figure </w:t>
      </w:r>
      <w:r w:rsidR="009C05F7">
        <w:rPr>
          <w:noProof w:val="0"/>
        </w:rPr>
        <w:fldChar w:fldCharType="begin"/>
      </w:r>
      <w:r w:rsidR="009C05F7">
        <w:rPr>
          <w:noProof w:val="0"/>
        </w:rPr>
        <w:instrText xml:space="preserve"> SEQ Figure \* ARABIC </w:instrText>
      </w:r>
      <w:r w:rsidR="009C05F7">
        <w:rPr>
          <w:noProof w:val="0"/>
        </w:rPr>
        <w:fldChar w:fldCharType="separate"/>
      </w:r>
      <w:r w:rsidR="00376786">
        <w:t>7</w:t>
      </w:r>
      <w:r w:rsidR="009C05F7">
        <w:rPr>
          <w:noProof w:val="0"/>
        </w:rPr>
        <w:fldChar w:fldCharType="end"/>
      </w:r>
      <w:r w:rsidRPr="00CB4ED1">
        <w:rPr>
          <w:noProof w:val="0"/>
        </w:rPr>
        <w:t xml:space="preserve"> – Benefits </w:t>
      </w:r>
      <w:r w:rsidR="00DF1FA7" w:rsidRPr="00CB4ED1">
        <w:rPr>
          <w:noProof w:val="0"/>
        </w:rPr>
        <w:t xml:space="preserve">mapping: creation of </w:t>
      </w:r>
      <w:r w:rsidR="00DF1FA7" w:rsidRPr="00CB4ED1">
        <w:rPr>
          <w:b/>
          <w:bCs/>
          <w:noProof w:val="0"/>
        </w:rPr>
        <w:t>Surgical Hub</w:t>
      </w:r>
      <w:bookmarkEnd w:id="138"/>
    </w:p>
    <w:p w14:paraId="164304C1" w14:textId="34DE240E" w:rsidR="00F4663F" w:rsidRPr="00CB4ED1" w:rsidRDefault="003D185C" w:rsidP="00F4663F">
      <w:r w:rsidRPr="003D185C">
        <w:rPr>
          <w:noProof/>
        </w:rPr>
        <w:drawing>
          <wp:inline distT="0" distB="0" distL="0" distR="0" wp14:anchorId="24B504E6" wp14:editId="224B9DE6">
            <wp:extent cx="6120130" cy="2596515"/>
            <wp:effectExtent l="0" t="0" r="0" b="0"/>
            <wp:docPr id="1565668131" name="Picture 1" descr="A screenshot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668131" name="Picture 1" descr="A screenshot of a diagram&#10;&#10;Description automatically generated"/>
                    <pic:cNvPicPr/>
                  </pic:nvPicPr>
                  <pic:blipFill>
                    <a:blip r:embed="rId44"/>
                    <a:stretch>
                      <a:fillRect/>
                    </a:stretch>
                  </pic:blipFill>
                  <pic:spPr>
                    <a:xfrm>
                      <a:off x="0" y="0"/>
                      <a:ext cx="6120130" cy="2596515"/>
                    </a:xfrm>
                    <a:prstGeom prst="rect">
                      <a:avLst/>
                    </a:prstGeom>
                  </pic:spPr>
                </pic:pic>
              </a:graphicData>
            </a:graphic>
          </wp:inline>
        </w:drawing>
      </w:r>
    </w:p>
    <w:p w14:paraId="3005429D" w14:textId="77777777" w:rsidR="001D39F4" w:rsidRDefault="001D39F4">
      <w:pPr>
        <w:spacing w:after="160" w:line="259" w:lineRule="auto"/>
        <w:rPr>
          <w:rFonts w:asciiTheme="majorHAnsi" w:eastAsiaTheme="majorEastAsia" w:hAnsiTheme="majorHAnsi" w:cstheme="majorBidi"/>
          <w:color w:val="356A91" w:themeColor="accent1"/>
          <w:sz w:val="28"/>
          <w:szCs w:val="24"/>
        </w:rPr>
      </w:pPr>
      <w:r>
        <w:br w:type="page"/>
      </w:r>
    </w:p>
    <w:p w14:paraId="521959DF" w14:textId="1E048F96" w:rsidR="00DF56B1" w:rsidRPr="00CB4ED1" w:rsidRDefault="00270997" w:rsidP="000D1F0D">
      <w:pPr>
        <w:pStyle w:val="Heading3"/>
      </w:pPr>
      <w:r w:rsidRPr="00CB4ED1">
        <w:lastRenderedPageBreak/>
        <w:t xml:space="preserve">Model of </w:t>
      </w:r>
      <w:r w:rsidR="00F4663F" w:rsidRPr="00CB4ED1">
        <w:t>care transformation</w:t>
      </w:r>
    </w:p>
    <w:p w14:paraId="7441414B" w14:textId="3C94EE4F" w:rsidR="0081795D" w:rsidRPr="00CB4ED1" w:rsidRDefault="00541756" w:rsidP="00FD47B2">
      <w:r w:rsidRPr="00CB4ED1">
        <w:t xml:space="preserve">LHP will </w:t>
      </w:r>
      <w:r w:rsidR="005113BE" w:rsidRPr="00CB4ED1">
        <w:t xml:space="preserve">enable delivery of high volume, low acuity model of care that will enable </w:t>
      </w:r>
      <w:r w:rsidR="0081795D" w:rsidRPr="00CB4ED1">
        <w:t>the standardisation of patient pathways. This will result in better value for money due to increased throughput and better use of resources</w:t>
      </w:r>
      <w:r w:rsidR="004470EC" w:rsidRPr="00CB4ED1">
        <w:t xml:space="preserve">, reducing the average cost per procedure and providing </w:t>
      </w:r>
      <w:r w:rsidR="00E64443" w:rsidRPr="00CB4ED1">
        <w:t>opportunities</w:t>
      </w:r>
      <w:r w:rsidR="00E50243" w:rsidRPr="00CB4ED1">
        <w:t xml:space="preserve"> for more efficient procurement. </w:t>
      </w:r>
      <w:r w:rsidR="000C2B76" w:rsidRPr="00CB4ED1">
        <w:t xml:space="preserve">It will </w:t>
      </w:r>
      <w:r w:rsidR="004B3C6E">
        <w:t xml:space="preserve">also </w:t>
      </w:r>
      <w:r w:rsidR="000C2B76" w:rsidRPr="00CB4ED1">
        <w:t>ensure services align with GIRFT principles</w:t>
      </w:r>
      <w:r w:rsidR="00C906FC" w:rsidRPr="00CB4ED1">
        <w:t xml:space="preserve">. </w:t>
      </w:r>
    </w:p>
    <w:p w14:paraId="3981E6CF" w14:textId="74766BAF" w:rsidR="00973EB0" w:rsidRPr="00CB4ED1" w:rsidRDefault="00C371D8" w:rsidP="00FD47B2">
      <w:r w:rsidRPr="00CB4ED1">
        <w:t>By</w:t>
      </w:r>
      <w:r w:rsidR="00B94D31" w:rsidRPr="00CB4ED1">
        <w:t xml:space="preserve"> providing capacity to shift </w:t>
      </w:r>
      <w:r w:rsidR="00F3120E" w:rsidRPr="00CB4ED1">
        <w:t>activity from acute sites</w:t>
      </w:r>
      <w:r w:rsidR="009F1656" w:rsidRPr="00CB4ED1">
        <w:t>,</w:t>
      </w:r>
      <w:r w:rsidR="00F3120E" w:rsidRPr="00CB4ED1">
        <w:t xml:space="preserve"> the new surgical hub</w:t>
      </w:r>
      <w:r w:rsidR="00941C19" w:rsidRPr="00CB4ED1">
        <w:t xml:space="preserve"> provides an opportunity to transform and reconfigure core local services </w:t>
      </w:r>
      <w:r w:rsidR="00513A8A" w:rsidRPr="00CB4ED1">
        <w:t xml:space="preserve">and </w:t>
      </w:r>
      <w:r w:rsidR="00926A34" w:rsidRPr="00CB4ED1">
        <w:t xml:space="preserve">deliver things differently. For instance, </w:t>
      </w:r>
      <w:r w:rsidR="001650E9" w:rsidRPr="00CB4ED1">
        <w:t xml:space="preserve">the transfer of activity from CTM UHB to </w:t>
      </w:r>
      <w:r w:rsidR="006E623F" w:rsidRPr="00CB4ED1">
        <w:t xml:space="preserve">LHP provides </w:t>
      </w:r>
      <w:r w:rsidR="00333AB0" w:rsidRPr="00CB4ED1">
        <w:t>opportunities to release</w:t>
      </w:r>
      <w:r w:rsidR="00B94D31" w:rsidRPr="00CB4ED1">
        <w:t xml:space="preserve"> </w:t>
      </w:r>
      <w:r w:rsidR="00F3120E" w:rsidRPr="00CB4ED1">
        <w:t xml:space="preserve">space across the Estate </w:t>
      </w:r>
      <w:r w:rsidR="00B94D31" w:rsidRPr="00CB4ED1">
        <w:t>in the future</w:t>
      </w:r>
      <w:r w:rsidR="00973EB0" w:rsidRPr="00CB4ED1">
        <w:t xml:space="preserve"> for other developments or to address risks around deteriorating facilities </w:t>
      </w:r>
      <w:r w:rsidR="00A939C9" w:rsidRPr="00CB4ED1">
        <w:t xml:space="preserve">and </w:t>
      </w:r>
      <w:r w:rsidR="00973EB0" w:rsidRPr="00CB4ED1">
        <w:t>reduce backlog maintenance</w:t>
      </w:r>
      <w:r w:rsidR="00B94D31" w:rsidRPr="00CB4ED1">
        <w:t>.</w:t>
      </w:r>
      <w:r w:rsidR="00973EB0" w:rsidRPr="00CB4ED1">
        <w:t xml:space="preserve"> </w:t>
      </w:r>
      <w:r w:rsidR="007123C5" w:rsidRPr="00CB4ED1">
        <w:t xml:space="preserve">The successful delivery of a regional </w:t>
      </w:r>
      <w:r w:rsidR="00444DE7" w:rsidRPr="00CB4ED1">
        <w:t>centre will also</w:t>
      </w:r>
      <w:r w:rsidR="00973EB0" w:rsidRPr="00CB4ED1">
        <w:t xml:space="preserve"> provide proof of concept </w:t>
      </w:r>
      <w:r w:rsidR="00F560D9" w:rsidRPr="00CB4ED1">
        <w:t xml:space="preserve">as the basis </w:t>
      </w:r>
      <w:r w:rsidR="00973EB0" w:rsidRPr="00CB4ED1">
        <w:t xml:space="preserve">for the development of </w:t>
      </w:r>
      <w:r w:rsidR="00711AAB" w:rsidRPr="00CB4ED1">
        <w:t xml:space="preserve">any </w:t>
      </w:r>
      <w:r w:rsidR="00973EB0" w:rsidRPr="00CB4ED1">
        <w:t>future regional pathways.</w:t>
      </w:r>
    </w:p>
    <w:p w14:paraId="60706EC7" w14:textId="2869EAC3" w:rsidR="0014608E" w:rsidRPr="00CB4ED1" w:rsidRDefault="0014608E" w:rsidP="002A4D92">
      <w:pPr>
        <w:pStyle w:val="Caption"/>
        <w:rPr>
          <w:noProof w:val="0"/>
        </w:rPr>
      </w:pPr>
      <w:bookmarkStart w:id="139" w:name="_Toc213865321"/>
      <w:r w:rsidRPr="00CB4ED1">
        <w:rPr>
          <w:noProof w:val="0"/>
        </w:rPr>
        <w:t xml:space="preserve">Figure </w:t>
      </w:r>
      <w:r w:rsidR="009C05F7">
        <w:rPr>
          <w:noProof w:val="0"/>
        </w:rPr>
        <w:fldChar w:fldCharType="begin"/>
      </w:r>
      <w:r w:rsidR="009C05F7">
        <w:rPr>
          <w:noProof w:val="0"/>
        </w:rPr>
        <w:instrText xml:space="preserve"> SEQ Figure \* ARABIC </w:instrText>
      </w:r>
      <w:r w:rsidR="009C05F7">
        <w:rPr>
          <w:noProof w:val="0"/>
        </w:rPr>
        <w:fldChar w:fldCharType="separate"/>
      </w:r>
      <w:r w:rsidR="00376786">
        <w:t>8</w:t>
      </w:r>
      <w:r w:rsidR="009C05F7">
        <w:rPr>
          <w:noProof w:val="0"/>
        </w:rPr>
        <w:fldChar w:fldCharType="end"/>
      </w:r>
      <w:r w:rsidRPr="00CB4ED1">
        <w:rPr>
          <w:noProof w:val="0"/>
        </w:rPr>
        <w:t xml:space="preserve"> – Benefits </w:t>
      </w:r>
      <w:r w:rsidR="00F4663F" w:rsidRPr="00CB4ED1">
        <w:rPr>
          <w:noProof w:val="0"/>
        </w:rPr>
        <w:t>mapping: model of care transformation</w:t>
      </w:r>
      <w:bookmarkEnd w:id="139"/>
    </w:p>
    <w:p w14:paraId="0239CD6D" w14:textId="2D2F4991" w:rsidR="00F4663F" w:rsidRPr="00CB4ED1" w:rsidRDefault="0001541B" w:rsidP="00F4663F">
      <w:r w:rsidRPr="0001541B">
        <w:rPr>
          <w:noProof/>
        </w:rPr>
        <w:drawing>
          <wp:inline distT="0" distB="0" distL="0" distR="0" wp14:anchorId="0A261480" wp14:editId="0E21A7A7">
            <wp:extent cx="6120130" cy="3302000"/>
            <wp:effectExtent l="0" t="0" r="0" b="0"/>
            <wp:docPr id="1009470744" name="Picture 1" descr="A diagram of a transformati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9470744" name="Picture 1" descr="A diagram of a transformation&#10;&#10;Description automatically generated with medium confidence"/>
                    <pic:cNvPicPr/>
                  </pic:nvPicPr>
                  <pic:blipFill>
                    <a:blip r:embed="rId45"/>
                    <a:stretch>
                      <a:fillRect/>
                    </a:stretch>
                  </pic:blipFill>
                  <pic:spPr>
                    <a:xfrm>
                      <a:off x="0" y="0"/>
                      <a:ext cx="6120130" cy="3302000"/>
                    </a:xfrm>
                    <a:prstGeom prst="rect">
                      <a:avLst/>
                    </a:prstGeom>
                  </pic:spPr>
                </pic:pic>
              </a:graphicData>
            </a:graphic>
          </wp:inline>
        </w:drawing>
      </w:r>
    </w:p>
    <w:p w14:paraId="2DBA4080" w14:textId="77777777" w:rsidR="001D39F4" w:rsidRDefault="001D39F4">
      <w:pPr>
        <w:spacing w:after="160" w:line="259" w:lineRule="auto"/>
        <w:rPr>
          <w:rFonts w:asciiTheme="majorHAnsi" w:eastAsiaTheme="majorEastAsia" w:hAnsiTheme="majorHAnsi" w:cstheme="majorBidi"/>
          <w:color w:val="356A91" w:themeColor="accent1"/>
          <w:sz w:val="28"/>
          <w:szCs w:val="24"/>
        </w:rPr>
      </w:pPr>
      <w:r>
        <w:br w:type="page"/>
      </w:r>
    </w:p>
    <w:p w14:paraId="54DCD97E" w14:textId="54D941B3" w:rsidR="00270997" w:rsidRPr="00CB4ED1" w:rsidRDefault="002276F5" w:rsidP="000D1F0D">
      <w:pPr>
        <w:pStyle w:val="Heading3"/>
      </w:pPr>
      <w:r w:rsidRPr="00CB4ED1">
        <w:lastRenderedPageBreak/>
        <w:t xml:space="preserve">Improving </w:t>
      </w:r>
      <w:r w:rsidR="00F4663F" w:rsidRPr="00CB4ED1">
        <w:t>patient experience</w:t>
      </w:r>
    </w:p>
    <w:p w14:paraId="47FC0AA4" w14:textId="65B7D142" w:rsidR="00C94478" w:rsidRPr="00CB4ED1" w:rsidRDefault="0038492F" w:rsidP="00FD47B2">
      <w:r w:rsidRPr="00CB4ED1">
        <w:t>The</w:t>
      </w:r>
      <w:r w:rsidR="00F84A84" w:rsidRPr="00CB4ED1">
        <w:t xml:space="preserve"> outcomes presented above</w:t>
      </w:r>
      <w:r w:rsidR="00726310" w:rsidRPr="00CB4ED1">
        <w:t>, such as reductions in waiting times and length of stay,</w:t>
      </w:r>
      <w:r w:rsidR="004D67C7" w:rsidRPr="00CB4ED1">
        <w:t xml:space="preserve"> will </w:t>
      </w:r>
      <w:r w:rsidR="00726310" w:rsidRPr="00CB4ED1">
        <w:t>contribute</w:t>
      </w:r>
      <w:r w:rsidR="004D67C7" w:rsidRPr="00CB4ED1">
        <w:t xml:space="preserve"> to a significant </w:t>
      </w:r>
      <w:r w:rsidR="003608EC" w:rsidRPr="00CB4ED1">
        <w:t>improvement in patient experience</w:t>
      </w:r>
      <w:r w:rsidR="00E32785" w:rsidRPr="00CB4ED1">
        <w:t xml:space="preserve">. </w:t>
      </w:r>
      <w:r w:rsidR="005C73CF" w:rsidRPr="00CB4ED1">
        <w:t xml:space="preserve">This </w:t>
      </w:r>
      <w:r w:rsidR="005126A2" w:rsidRPr="00CB4ED1">
        <w:t>is en</w:t>
      </w:r>
      <w:r w:rsidR="003C66AB" w:rsidRPr="00CB4ED1">
        <w:t>hanced by the</w:t>
      </w:r>
      <w:r w:rsidR="00726310" w:rsidRPr="00CB4ED1">
        <w:t xml:space="preserve"> modern fit</w:t>
      </w:r>
      <w:r w:rsidR="00706744" w:rsidRPr="00CB4ED1">
        <w:t xml:space="preserve"> for purpose facilities and the</w:t>
      </w:r>
      <w:r w:rsidR="003C66AB" w:rsidRPr="00CB4ED1">
        <w:t xml:space="preserve"> ease of access the location </w:t>
      </w:r>
      <w:r w:rsidR="00517F7B" w:rsidRPr="00CB4ED1">
        <w:t>of LHP</w:t>
      </w:r>
      <w:r w:rsidR="00C85A0D" w:rsidRPr="00CB4ED1">
        <w:t xml:space="preserve"> offers,</w:t>
      </w:r>
      <w:r w:rsidR="00517F7B" w:rsidRPr="00CB4ED1">
        <w:t xml:space="preserve"> with its </w:t>
      </w:r>
      <w:r w:rsidR="00A27F14" w:rsidRPr="00CB4ED1">
        <w:t xml:space="preserve">good </w:t>
      </w:r>
      <w:r w:rsidR="00517F7B" w:rsidRPr="00CB4ED1">
        <w:t>road links and parking</w:t>
      </w:r>
      <w:r w:rsidR="004D734A" w:rsidRPr="00CB4ED1">
        <w:t xml:space="preserve">. Having a centralised </w:t>
      </w:r>
      <w:r w:rsidR="00B45AB3" w:rsidRPr="00CB4ED1">
        <w:t xml:space="preserve">elective centre with </w:t>
      </w:r>
      <w:r w:rsidR="00742FB1" w:rsidRPr="00CB4ED1">
        <w:t>co-located services provides the</w:t>
      </w:r>
      <w:r w:rsidR="00B45AB3" w:rsidRPr="00CB4ED1">
        <w:t xml:space="preserve"> </w:t>
      </w:r>
      <w:r w:rsidR="00517F7B" w:rsidRPr="00CB4ED1">
        <w:t xml:space="preserve">convenience </w:t>
      </w:r>
      <w:r w:rsidR="00E2269D" w:rsidRPr="00CB4ED1">
        <w:t xml:space="preserve">of </w:t>
      </w:r>
      <w:r w:rsidR="00742FB1" w:rsidRPr="00CB4ED1">
        <w:t xml:space="preserve">a </w:t>
      </w:r>
      <w:r w:rsidR="00517F7B" w:rsidRPr="00CB4ED1">
        <w:t>‘one-stop’ shop clinic</w:t>
      </w:r>
      <w:r w:rsidR="00395F84" w:rsidRPr="00CB4ED1">
        <w:t xml:space="preserve"> with greater predictability of care</w:t>
      </w:r>
      <w:r w:rsidR="003608EC" w:rsidRPr="00CB4ED1">
        <w:t>.</w:t>
      </w:r>
      <w:r w:rsidR="00DD20D8" w:rsidRPr="00CB4ED1">
        <w:t xml:space="preserve"> This contributes to </w:t>
      </w:r>
      <w:r w:rsidR="00395F84" w:rsidRPr="00CB4ED1">
        <w:t>reducing the risk of cancellations and D</w:t>
      </w:r>
      <w:r w:rsidR="00CA55E6" w:rsidRPr="00CB4ED1">
        <w:t xml:space="preserve">id Not Attends (DNAs). In general, the </w:t>
      </w:r>
      <w:r w:rsidR="0025024C" w:rsidRPr="00CB4ED1">
        <w:t xml:space="preserve">improved access </w:t>
      </w:r>
      <w:r w:rsidR="00361F84" w:rsidRPr="00CB4ED1">
        <w:t>and reduced waiting times</w:t>
      </w:r>
      <w:r w:rsidR="00226EAE" w:rsidRPr="00CB4ED1">
        <w:t xml:space="preserve"> ensures a</w:t>
      </w:r>
      <w:r w:rsidR="0025024C" w:rsidRPr="00CB4ED1">
        <w:t xml:space="preserve"> more equitable service </w:t>
      </w:r>
      <w:r w:rsidR="00226EAE" w:rsidRPr="00CB4ED1">
        <w:t xml:space="preserve">is available </w:t>
      </w:r>
      <w:r w:rsidR="0025024C" w:rsidRPr="00CB4ED1">
        <w:t>within the region</w:t>
      </w:r>
      <w:r w:rsidR="00A702A2" w:rsidRPr="00CB4ED1">
        <w:t>.</w:t>
      </w:r>
    </w:p>
    <w:p w14:paraId="541F293D" w14:textId="7FA2C8B5" w:rsidR="00B109CF" w:rsidRPr="00CB4ED1" w:rsidRDefault="003608EC" w:rsidP="002A4D92">
      <w:pPr>
        <w:pStyle w:val="Caption"/>
        <w:rPr>
          <w:noProof w:val="0"/>
        </w:rPr>
      </w:pPr>
      <w:bookmarkStart w:id="140" w:name="_Toc213865322"/>
      <w:r w:rsidRPr="00CB4ED1">
        <w:rPr>
          <w:noProof w:val="0"/>
        </w:rPr>
        <w:t xml:space="preserve">Figure </w:t>
      </w:r>
      <w:r w:rsidR="009C05F7">
        <w:rPr>
          <w:noProof w:val="0"/>
        </w:rPr>
        <w:fldChar w:fldCharType="begin"/>
      </w:r>
      <w:r w:rsidR="009C05F7">
        <w:rPr>
          <w:noProof w:val="0"/>
        </w:rPr>
        <w:instrText xml:space="preserve"> SEQ Figure \* ARABIC </w:instrText>
      </w:r>
      <w:r w:rsidR="009C05F7">
        <w:rPr>
          <w:noProof w:val="0"/>
        </w:rPr>
        <w:fldChar w:fldCharType="separate"/>
      </w:r>
      <w:r w:rsidR="00376786">
        <w:t>9</w:t>
      </w:r>
      <w:r w:rsidR="009C05F7">
        <w:rPr>
          <w:noProof w:val="0"/>
        </w:rPr>
        <w:fldChar w:fldCharType="end"/>
      </w:r>
      <w:r w:rsidRPr="00CB4ED1">
        <w:rPr>
          <w:noProof w:val="0"/>
        </w:rPr>
        <w:t xml:space="preserve"> – Benefits </w:t>
      </w:r>
      <w:r w:rsidR="00F4663F" w:rsidRPr="00CB4ED1">
        <w:rPr>
          <w:noProof w:val="0"/>
        </w:rPr>
        <w:t xml:space="preserve">mapping: </w:t>
      </w:r>
      <w:r w:rsidR="00F4663F" w:rsidRPr="00CB4ED1">
        <w:rPr>
          <w:b/>
          <w:bCs/>
          <w:noProof w:val="0"/>
        </w:rPr>
        <w:t>patient experience</w:t>
      </w:r>
      <w:bookmarkEnd w:id="140"/>
    </w:p>
    <w:p w14:paraId="6A0BA509" w14:textId="04BDB572" w:rsidR="00F4663F" w:rsidRPr="00CB4ED1" w:rsidRDefault="00F4663F" w:rsidP="00F4663F">
      <w:r w:rsidRPr="00CB4ED1">
        <w:rPr>
          <w:noProof/>
        </w:rPr>
        <w:drawing>
          <wp:inline distT="0" distB="0" distL="0" distR="0" wp14:anchorId="7CE699C5" wp14:editId="7C476EDD">
            <wp:extent cx="6118167" cy="2111433"/>
            <wp:effectExtent l="0" t="0" r="0" b="3175"/>
            <wp:docPr id="1089095156" name="Picture 7"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095156" name="Picture 7" descr="A screenshot of a computer&#10;&#10;AI-generated content may be incorrect."/>
                    <pic:cNvPicPr/>
                  </pic:nvPicPr>
                  <pic:blipFill>
                    <a:blip r:embed="rId46">
                      <a:extLst>
                        <a:ext uri="{28A0092B-C50C-407E-A947-70E740481C1C}">
                          <a14:useLocalDpi xmlns:a14="http://schemas.microsoft.com/office/drawing/2010/main" val="0"/>
                        </a:ext>
                      </a:extLst>
                    </a:blip>
                    <a:stretch>
                      <a:fillRect/>
                    </a:stretch>
                  </pic:blipFill>
                  <pic:spPr>
                    <a:xfrm>
                      <a:off x="0" y="0"/>
                      <a:ext cx="6118167" cy="2111433"/>
                    </a:xfrm>
                    <a:prstGeom prst="rect">
                      <a:avLst/>
                    </a:prstGeom>
                  </pic:spPr>
                </pic:pic>
              </a:graphicData>
            </a:graphic>
          </wp:inline>
        </w:drawing>
      </w:r>
    </w:p>
    <w:p w14:paraId="5FE1BDD8" w14:textId="77777777" w:rsidR="001D39F4" w:rsidRDefault="001D39F4">
      <w:pPr>
        <w:spacing w:after="160" w:line="259" w:lineRule="auto"/>
        <w:rPr>
          <w:rFonts w:asciiTheme="majorHAnsi" w:eastAsiaTheme="majorEastAsia" w:hAnsiTheme="majorHAnsi" w:cstheme="majorBidi"/>
          <w:color w:val="356A91" w:themeColor="accent1"/>
          <w:sz w:val="28"/>
          <w:szCs w:val="24"/>
        </w:rPr>
      </w:pPr>
      <w:r>
        <w:br w:type="page"/>
      </w:r>
    </w:p>
    <w:p w14:paraId="36ED7874" w14:textId="5D494B7C" w:rsidR="002923FB" w:rsidRPr="00CB4ED1" w:rsidRDefault="00C07CE7" w:rsidP="000D1F0D">
      <w:pPr>
        <w:pStyle w:val="Heading3"/>
      </w:pPr>
      <w:r w:rsidRPr="00CB4ED1">
        <w:lastRenderedPageBreak/>
        <w:t xml:space="preserve">Delivering a </w:t>
      </w:r>
      <w:r w:rsidR="00F4663F" w:rsidRPr="00CB4ED1">
        <w:t>sustainable workforce</w:t>
      </w:r>
    </w:p>
    <w:p w14:paraId="2086CE88" w14:textId="71FC7E2D" w:rsidR="007504D2" w:rsidRPr="00CB4ED1" w:rsidRDefault="00D203EE" w:rsidP="006279C6">
      <w:r w:rsidRPr="00CB4ED1">
        <w:t xml:space="preserve">The </w:t>
      </w:r>
      <w:r w:rsidR="007504D2" w:rsidRPr="00CB4ED1">
        <w:t>workforce vision set out in the South East Wales Regional Orthopaedic Plan is to:</w:t>
      </w:r>
    </w:p>
    <w:p w14:paraId="210ABB1D" w14:textId="77777777" w:rsidR="00C946A5" w:rsidRPr="00CB4ED1" w:rsidRDefault="00BF0F43" w:rsidP="00C9567C">
      <w:pPr>
        <w:pStyle w:val="bullets1"/>
      </w:pPr>
      <w:r w:rsidRPr="00CB4ED1">
        <w:t>Ensure safe and sustainable staffing to reduce vacancies and mitigate the need for premium</w:t>
      </w:r>
      <w:r w:rsidR="00C946A5" w:rsidRPr="00CB4ED1">
        <w:t xml:space="preserve"> </w:t>
      </w:r>
      <w:r w:rsidRPr="00CB4ED1">
        <w:rPr>
          <w:rFonts w:cstheme="minorHAnsi"/>
        </w:rPr>
        <w:t>rate temporary staffing.</w:t>
      </w:r>
    </w:p>
    <w:p w14:paraId="70F9336F" w14:textId="0B2BF0CB" w:rsidR="00C946A5" w:rsidRPr="00CB4ED1" w:rsidRDefault="00BF0F43" w:rsidP="00C9567C">
      <w:pPr>
        <w:pStyle w:val="bullets1"/>
      </w:pPr>
      <w:r w:rsidRPr="00CB4ED1">
        <w:rPr>
          <w:rFonts w:cstheme="minorHAnsi"/>
        </w:rPr>
        <w:t>Redesign the workforce to support new models of care and cross-functional roles.</w:t>
      </w:r>
    </w:p>
    <w:p w14:paraId="0F5DFD48" w14:textId="77777777" w:rsidR="00C946A5" w:rsidRPr="00CB4ED1" w:rsidRDefault="00BF0F43" w:rsidP="00C9567C">
      <w:pPr>
        <w:pStyle w:val="bullets1"/>
      </w:pPr>
      <w:r w:rsidRPr="00CB4ED1">
        <w:rPr>
          <w:rFonts w:cstheme="minorHAnsi"/>
        </w:rPr>
        <w:t>Maximize the use of new roles and introduce competency-based training where appropriate.</w:t>
      </w:r>
    </w:p>
    <w:p w14:paraId="5A832FC9" w14:textId="77777777" w:rsidR="00C946A5" w:rsidRPr="00CB4ED1" w:rsidRDefault="00BF0F43" w:rsidP="00C9567C">
      <w:pPr>
        <w:pStyle w:val="bullets1"/>
      </w:pPr>
      <w:r w:rsidRPr="00CB4ED1">
        <w:rPr>
          <w:rFonts w:cstheme="minorHAnsi"/>
        </w:rPr>
        <w:t>Improve the health and wellbeing of all staff, fostering a culture of inclusion, openness, and</w:t>
      </w:r>
      <w:r w:rsidR="00C946A5" w:rsidRPr="00CB4ED1">
        <w:rPr>
          <w:rFonts w:cstheme="minorHAnsi"/>
        </w:rPr>
        <w:t xml:space="preserve"> </w:t>
      </w:r>
      <w:r w:rsidRPr="00CB4ED1">
        <w:rPr>
          <w:rFonts w:cstheme="minorHAnsi"/>
        </w:rPr>
        <w:t>compassion.</w:t>
      </w:r>
    </w:p>
    <w:p w14:paraId="4A84DA69" w14:textId="77777777" w:rsidR="00C946A5" w:rsidRPr="00CB4ED1" w:rsidRDefault="00BF0F43" w:rsidP="00C9567C">
      <w:pPr>
        <w:pStyle w:val="bullets1"/>
      </w:pPr>
      <w:r w:rsidRPr="00CB4ED1">
        <w:rPr>
          <w:rFonts w:cstheme="minorHAnsi"/>
        </w:rPr>
        <w:t>Focus clearly on retention and staff development.</w:t>
      </w:r>
    </w:p>
    <w:p w14:paraId="04C76B1D" w14:textId="77777777" w:rsidR="00C946A5" w:rsidRPr="00CB4ED1" w:rsidRDefault="00BF0F43" w:rsidP="00C9567C">
      <w:pPr>
        <w:pStyle w:val="bullets1"/>
      </w:pPr>
      <w:r w:rsidRPr="00CB4ED1">
        <w:rPr>
          <w:rFonts w:cstheme="minorHAnsi"/>
        </w:rPr>
        <w:t>Implement flexible working models aligned with service delivery.</w:t>
      </w:r>
    </w:p>
    <w:p w14:paraId="0B515ED2" w14:textId="77777777" w:rsidR="00C946A5" w:rsidRPr="00CB4ED1" w:rsidRDefault="00BF0F43" w:rsidP="00C9567C">
      <w:pPr>
        <w:pStyle w:val="bullets1"/>
      </w:pPr>
      <w:r w:rsidRPr="00CB4ED1">
        <w:rPr>
          <w:rFonts w:cstheme="minorHAnsi"/>
        </w:rPr>
        <w:t>Integrate and enable digital solutions to reduce administrative burden.</w:t>
      </w:r>
    </w:p>
    <w:p w14:paraId="47F81BDE" w14:textId="2D6B6012" w:rsidR="007504D2" w:rsidRPr="00CB4ED1" w:rsidRDefault="00BF0F43" w:rsidP="00C9567C">
      <w:pPr>
        <w:pStyle w:val="bullets1"/>
        <w:rPr>
          <w:rFonts w:cstheme="minorHAnsi"/>
        </w:rPr>
      </w:pPr>
      <w:r w:rsidRPr="00CB4ED1">
        <w:rPr>
          <w:rFonts w:cstheme="minorHAnsi"/>
        </w:rPr>
        <w:t>Promote collaborative working across the region.</w:t>
      </w:r>
    </w:p>
    <w:p w14:paraId="1F5C63D4" w14:textId="77777777" w:rsidR="00C946A5" w:rsidRPr="00CB4ED1" w:rsidRDefault="00C946A5" w:rsidP="001D39F4">
      <w:pPr>
        <w:pStyle w:val="NoSpacing"/>
      </w:pPr>
    </w:p>
    <w:p w14:paraId="146B6DFC" w14:textId="3A05E11C" w:rsidR="00496591" w:rsidRPr="00CB4ED1" w:rsidRDefault="00496591" w:rsidP="00C9567C">
      <w:r w:rsidRPr="00CB4ED1">
        <w:t>Nursing workforce will be employed by CTMUHB</w:t>
      </w:r>
      <w:r w:rsidR="005F2F3E" w:rsidRPr="00CB4ED1">
        <w:t xml:space="preserve">. </w:t>
      </w:r>
      <w:r w:rsidR="009248C3" w:rsidRPr="00CB4ED1">
        <w:t>The Medical workforce has been calculated in both sessions and hours for Consultant Anaesthetists and Consultant Surgeons.</w:t>
      </w:r>
    </w:p>
    <w:p w14:paraId="0A5FC3AA" w14:textId="0F0E1E9A" w:rsidR="00CF0ECA" w:rsidRPr="00CB4ED1" w:rsidRDefault="00CF0ECA" w:rsidP="00C9567C">
      <w:r w:rsidRPr="00CB4ED1">
        <w:t>A detailed options plan has been drafted to scope the therapy requirement for LHP, that will</w:t>
      </w:r>
      <w:r w:rsidR="00C9567C" w:rsidRPr="00CB4ED1">
        <w:t xml:space="preserve"> </w:t>
      </w:r>
      <w:r w:rsidRPr="00CB4ED1">
        <w:t>be a CTMUHB resourced service key principles include:</w:t>
      </w:r>
    </w:p>
    <w:tbl>
      <w:tblPr>
        <w:tblW w:w="5100" w:type="pct"/>
        <w:tblInd w:w="-113" w:type="dxa"/>
        <w:tblLayout w:type="fixed"/>
        <w:tblLook w:val="04A0" w:firstRow="1" w:lastRow="0" w:firstColumn="1" w:lastColumn="0" w:noHBand="0" w:noVBand="1"/>
      </w:tblPr>
      <w:tblGrid>
        <w:gridCol w:w="4366"/>
        <w:gridCol w:w="5465"/>
      </w:tblGrid>
      <w:tr w:rsidR="00C9567C" w:rsidRPr="00CB4ED1" w14:paraId="562CA541" w14:textId="77777777" w:rsidTr="00C9567C">
        <w:tc>
          <w:tcPr>
            <w:tcW w:w="4366" w:type="dxa"/>
          </w:tcPr>
          <w:p w14:paraId="283C5EEA" w14:textId="77777777" w:rsidR="00C9567C" w:rsidRPr="00CB4ED1" w:rsidRDefault="00C9567C" w:rsidP="00C9567C">
            <w:pPr>
              <w:pStyle w:val="bullets1"/>
            </w:pPr>
            <w:r w:rsidRPr="00CB4ED1">
              <w:t>Integral to the LHP ward team.</w:t>
            </w:r>
          </w:p>
          <w:p w14:paraId="44CAD7ED" w14:textId="02875C96" w:rsidR="00C9567C" w:rsidRPr="00CB4ED1" w:rsidRDefault="00C9567C" w:rsidP="00C9567C">
            <w:pPr>
              <w:pStyle w:val="bullets1"/>
            </w:pPr>
            <w:r w:rsidRPr="00CB4ED1">
              <w:t>A physiotherapy led solution.</w:t>
            </w:r>
          </w:p>
        </w:tc>
        <w:tc>
          <w:tcPr>
            <w:tcW w:w="5465" w:type="dxa"/>
          </w:tcPr>
          <w:p w14:paraId="75BE6618" w14:textId="77777777" w:rsidR="00C9567C" w:rsidRPr="00CB4ED1" w:rsidRDefault="00C9567C" w:rsidP="00C9567C">
            <w:pPr>
              <w:pStyle w:val="bullets1"/>
            </w:pPr>
            <w:r w:rsidRPr="00CB4ED1">
              <w:t>Extended hours to facilitate prompt discharge.</w:t>
            </w:r>
          </w:p>
          <w:p w14:paraId="34CA7664" w14:textId="32788976" w:rsidR="00C9567C" w:rsidRPr="00CB4ED1" w:rsidRDefault="00C9567C" w:rsidP="00C9567C">
            <w:pPr>
              <w:pStyle w:val="bullets1"/>
            </w:pPr>
            <w:r w:rsidRPr="00CB4ED1">
              <w:t>Role utilisation particularly in the band 4.</w:t>
            </w:r>
          </w:p>
        </w:tc>
      </w:tr>
    </w:tbl>
    <w:p w14:paraId="1AFAA9E4" w14:textId="77777777" w:rsidR="00722819" w:rsidRPr="00CB4ED1" w:rsidRDefault="00722819" w:rsidP="00722819">
      <w:pPr>
        <w:pStyle w:val="NoSpacing"/>
        <w:rPr>
          <w:lang w:eastAsia="en-GB"/>
        </w:rPr>
      </w:pPr>
    </w:p>
    <w:p w14:paraId="4D78DCEB" w14:textId="0C91AFE9" w:rsidR="00722819" w:rsidRPr="00CB4ED1" w:rsidRDefault="00722819" w:rsidP="00C9567C">
      <w:r w:rsidRPr="00CB4ED1">
        <w:t>Additional service to support the operational delivery of LHP will be provided via a Hub and</w:t>
      </w:r>
      <w:r w:rsidR="00C9567C" w:rsidRPr="00CB4ED1">
        <w:t xml:space="preserve"> </w:t>
      </w:r>
      <w:r w:rsidRPr="00CB4ED1">
        <w:t>Spoke model (operational plans are in train through monthly workstream meetings) out of</w:t>
      </w:r>
      <w:r w:rsidR="00C9567C" w:rsidRPr="00CB4ED1">
        <w:t xml:space="preserve"> </w:t>
      </w:r>
      <w:r w:rsidRPr="00CB4ED1">
        <w:t>the Royal Glamorgan.</w:t>
      </w:r>
      <w:r w:rsidR="00C9567C" w:rsidRPr="00CB4ED1">
        <w:t xml:space="preserve"> </w:t>
      </w:r>
    </w:p>
    <w:tbl>
      <w:tblPr>
        <w:tblW w:w="5100" w:type="pct"/>
        <w:tblInd w:w="-113" w:type="dxa"/>
        <w:tblLayout w:type="fixed"/>
        <w:tblLook w:val="04A0" w:firstRow="1" w:lastRow="0" w:firstColumn="1" w:lastColumn="0" w:noHBand="0" w:noVBand="1"/>
      </w:tblPr>
      <w:tblGrid>
        <w:gridCol w:w="2098"/>
        <w:gridCol w:w="7733"/>
      </w:tblGrid>
      <w:tr w:rsidR="00AD103D" w:rsidRPr="00CB4ED1" w14:paraId="10382519" w14:textId="77777777" w:rsidTr="00AD103D">
        <w:tc>
          <w:tcPr>
            <w:tcW w:w="2098" w:type="dxa"/>
          </w:tcPr>
          <w:p w14:paraId="71AB21B0" w14:textId="77777777" w:rsidR="00AD103D" w:rsidRPr="00CB4ED1" w:rsidRDefault="00AD103D" w:rsidP="00AD103D">
            <w:pPr>
              <w:pStyle w:val="bullets1"/>
            </w:pPr>
            <w:r w:rsidRPr="00CB4ED1">
              <w:t>Pharmacy</w:t>
            </w:r>
          </w:p>
          <w:p w14:paraId="74AE6291" w14:textId="05B6CE0B" w:rsidR="00AD103D" w:rsidRPr="00CB4ED1" w:rsidRDefault="00AD103D" w:rsidP="00AD103D">
            <w:pPr>
              <w:pStyle w:val="bullets1"/>
            </w:pPr>
            <w:r w:rsidRPr="00CB4ED1">
              <w:t>Pathology</w:t>
            </w:r>
          </w:p>
        </w:tc>
        <w:tc>
          <w:tcPr>
            <w:tcW w:w="7733" w:type="dxa"/>
          </w:tcPr>
          <w:p w14:paraId="60174D19" w14:textId="77777777" w:rsidR="00AD103D" w:rsidRPr="00CB4ED1" w:rsidRDefault="00AD103D" w:rsidP="00AD103D">
            <w:pPr>
              <w:pStyle w:val="bullets1"/>
            </w:pPr>
            <w:r w:rsidRPr="00CB4ED1">
              <w:t>HSDU</w:t>
            </w:r>
          </w:p>
          <w:p w14:paraId="17CF8BF0" w14:textId="48D14409" w:rsidR="00AD103D" w:rsidRPr="00CB4ED1" w:rsidRDefault="00AD103D" w:rsidP="00AD103D">
            <w:pPr>
              <w:pStyle w:val="bullets1"/>
            </w:pPr>
            <w:r w:rsidRPr="00CB4ED1">
              <w:t>Estates and Facilities.</w:t>
            </w:r>
          </w:p>
        </w:tc>
      </w:tr>
    </w:tbl>
    <w:p w14:paraId="6230B4A1" w14:textId="77777777" w:rsidR="00CF0ECA" w:rsidRPr="00CB4ED1" w:rsidRDefault="00CF0ECA" w:rsidP="00CF0ECA">
      <w:pPr>
        <w:pStyle w:val="NoSpacing"/>
        <w:rPr>
          <w:lang w:eastAsia="en-GB"/>
        </w:rPr>
      </w:pPr>
    </w:p>
    <w:p w14:paraId="3E9CC143" w14:textId="77777777" w:rsidR="001D39F4" w:rsidRDefault="001D39F4">
      <w:pPr>
        <w:spacing w:after="160" w:line="259" w:lineRule="auto"/>
        <w:rPr>
          <w:rFonts w:asciiTheme="majorHAnsi" w:eastAsiaTheme="majorEastAsia" w:hAnsiTheme="majorHAnsi" w:cstheme="majorBidi"/>
          <w:color w:val="356A91" w:themeColor="accent1"/>
          <w:sz w:val="28"/>
          <w:szCs w:val="24"/>
        </w:rPr>
      </w:pPr>
      <w:r>
        <w:br w:type="page"/>
      </w:r>
    </w:p>
    <w:p w14:paraId="4F46FDE6" w14:textId="54BF012B" w:rsidR="00A62522" w:rsidRPr="00CB4ED1" w:rsidRDefault="00C07CE7" w:rsidP="000D1F0D">
      <w:pPr>
        <w:pStyle w:val="Heading3"/>
      </w:pPr>
      <w:r w:rsidRPr="00CB4ED1">
        <w:lastRenderedPageBreak/>
        <w:t xml:space="preserve">Providing a </w:t>
      </w:r>
      <w:r w:rsidR="00F4663F" w:rsidRPr="00CB4ED1">
        <w:t>sustainable estate</w:t>
      </w:r>
    </w:p>
    <w:p w14:paraId="0269EBC9" w14:textId="72DA8131" w:rsidR="00145E8C" w:rsidRPr="00CB4ED1" w:rsidRDefault="00145E8C" w:rsidP="003608EC">
      <w:r w:rsidRPr="00CB4ED1">
        <w:t xml:space="preserve">The delivery of </w:t>
      </w:r>
      <w:r w:rsidR="00EC5868" w:rsidRPr="00CB4ED1">
        <w:t>appropriately designed</w:t>
      </w:r>
      <w:r w:rsidR="008D1253" w:rsidRPr="00CB4ED1">
        <w:t xml:space="preserve"> compliant</w:t>
      </w:r>
      <w:r w:rsidR="00EC5868" w:rsidRPr="00CB4ED1">
        <w:t xml:space="preserve"> facilities</w:t>
      </w:r>
      <w:r w:rsidRPr="00CB4ED1">
        <w:t xml:space="preserve"> provides opportunities to contribute to</w:t>
      </w:r>
      <w:r w:rsidR="008D1253" w:rsidRPr="00CB4ED1">
        <w:t xml:space="preserve"> CTM UHB</w:t>
      </w:r>
      <w:r w:rsidR="00903E50" w:rsidRPr="00CB4ED1">
        <w:t>’s environmentally sustainable goals and</w:t>
      </w:r>
      <w:r w:rsidRPr="00CB4ED1">
        <w:t xml:space="preserve"> national strategies around decarbonisation</w:t>
      </w:r>
      <w:r w:rsidR="001D262C" w:rsidRPr="00CB4ED1">
        <w:t xml:space="preserve">, by ensuring they are </w:t>
      </w:r>
      <w:r w:rsidR="007A332A" w:rsidRPr="00CB4ED1">
        <w:t xml:space="preserve">compliant with WHBNs and HTNs, </w:t>
      </w:r>
      <w:r w:rsidR="00934EC6" w:rsidRPr="00CB4ED1">
        <w:t>achie</w:t>
      </w:r>
      <w:r w:rsidR="00EE341C" w:rsidRPr="00CB4ED1">
        <w:t xml:space="preserve">ve BREEAM rating of Excellent and </w:t>
      </w:r>
      <w:r w:rsidR="00993AC0" w:rsidRPr="00CB4ED1">
        <w:t>optimise energy efficiency</w:t>
      </w:r>
      <w:r w:rsidR="00903E50" w:rsidRPr="00CB4ED1">
        <w:t xml:space="preserve">. </w:t>
      </w:r>
      <w:r w:rsidR="008963C1" w:rsidRPr="00CB4ED1">
        <w:t xml:space="preserve">The transformed model of care with </w:t>
      </w:r>
      <w:r w:rsidR="00993AC0" w:rsidRPr="00CB4ED1">
        <w:t xml:space="preserve">its </w:t>
      </w:r>
      <w:r w:rsidR="008963C1" w:rsidRPr="00CB4ED1">
        <w:t xml:space="preserve">standardised pathway </w:t>
      </w:r>
      <w:r w:rsidR="008C6F7D" w:rsidRPr="00CB4ED1">
        <w:t xml:space="preserve">is likely to make it easier </w:t>
      </w:r>
      <w:r w:rsidR="00A14C16" w:rsidRPr="00CB4ED1">
        <w:t>to i</w:t>
      </w:r>
      <w:r w:rsidR="00AC7012" w:rsidRPr="00CB4ED1">
        <w:t>mple</w:t>
      </w:r>
      <w:r w:rsidR="00853864" w:rsidRPr="00CB4ED1">
        <w:t xml:space="preserve">ment and maintain </w:t>
      </w:r>
      <w:r w:rsidR="00C74FF8" w:rsidRPr="00CB4ED1">
        <w:t>sustainab</w:t>
      </w:r>
      <w:r w:rsidR="001D4C58" w:rsidRPr="00CB4ED1">
        <w:t>ility programmes that CTM UHB has instituted in other areas</w:t>
      </w:r>
      <w:r w:rsidR="00455E5C" w:rsidRPr="00CB4ED1">
        <w:t>,</w:t>
      </w:r>
      <w:r w:rsidR="001D4C58" w:rsidRPr="00CB4ED1">
        <w:t xml:space="preserve"> such as reducing waste and single use products. The site </w:t>
      </w:r>
      <w:r w:rsidR="00455E5C" w:rsidRPr="00CB4ED1">
        <w:t xml:space="preserve">also </w:t>
      </w:r>
      <w:r w:rsidR="001D4C58" w:rsidRPr="00CB4ED1">
        <w:t xml:space="preserve">provides a level of future proofing by </w:t>
      </w:r>
      <w:r w:rsidR="00455E5C" w:rsidRPr="00CB4ED1">
        <w:t xml:space="preserve">providing expansion space that </w:t>
      </w:r>
      <w:r w:rsidR="00EC319D" w:rsidRPr="00CB4ED1">
        <w:t>offers opportunities for other future developments.</w:t>
      </w:r>
    </w:p>
    <w:p w14:paraId="13DA2DD5" w14:textId="705E56B8" w:rsidR="00F85EC3" w:rsidRPr="00CB4ED1" w:rsidRDefault="00F85EC3" w:rsidP="002A4D92">
      <w:pPr>
        <w:pStyle w:val="Caption"/>
        <w:rPr>
          <w:noProof w:val="0"/>
        </w:rPr>
      </w:pPr>
      <w:bookmarkStart w:id="141" w:name="_Toc213865323"/>
      <w:r w:rsidRPr="00CB4ED1">
        <w:rPr>
          <w:noProof w:val="0"/>
        </w:rPr>
        <w:t xml:space="preserve">Figure </w:t>
      </w:r>
      <w:r w:rsidR="009C05F7">
        <w:rPr>
          <w:noProof w:val="0"/>
        </w:rPr>
        <w:fldChar w:fldCharType="begin"/>
      </w:r>
      <w:r w:rsidR="009C05F7">
        <w:rPr>
          <w:noProof w:val="0"/>
        </w:rPr>
        <w:instrText xml:space="preserve"> SEQ Figure \* ARABIC </w:instrText>
      </w:r>
      <w:r w:rsidR="009C05F7">
        <w:rPr>
          <w:noProof w:val="0"/>
        </w:rPr>
        <w:fldChar w:fldCharType="separate"/>
      </w:r>
      <w:r w:rsidR="00376786">
        <w:t>10</w:t>
      </w:r>
      <w:r w:rsidR="009C05F7">
        <w:rPr>
          <w:noProof w:val="0"/>
        </w:rPr>
        <w:fldChar w:fldCharType="end"/>
      </w:r>
      <w:r w:rsidRPr="00CB4ED1">
        <w:rPr>
          <w:noProof w:val="0"/>
        </w:rPr>
        <w:t xml:space="preserve"> – Benefits </w:t>
      </w:r>
      <w:r w:rsidR="006B3A58" w:rsidRPr="00CB4ED1">
        <w:rPr>
          <w:b/>
          <w:bCs/>
          <w:noProof w:val="0"/>
        </w:rPr>
        <w:t>mapping: sustainable estate</w:t>
      </w:r>
      <w:bookmarkEnd w:id="141"/>
    </w:p>
    <w:p w14:paraId="30024FEA" w14:textId="6BBFCA2E" w:rsidR="00F4663F" w:rsidRPr="00CB4ED1" w:rsidRDefault="00F4663F" w:rsidP="00F4663F">
      <w:r w:rsidRPr="00CB4ED1">
        <w:rPr>
          <w:noProof/>
        </w:rPr>
        <w:drawing>
          <wp:inline distT="0" distB="0" distL="0" distR="0" wp14:anchorId="37BC3156" wp14:editId="6B5F05F3">
            <wp:extent cx="6118167" cy="2572789"/>
            <wp:effectExtent l="0" t="0" r="0" b="0"/>
            <wp:docPr id="930725168" name="Picture 9"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0725168" name="Picture 9" descr="A screenshot of a computer&#10;&#10;AI-generated content may be incorrect."/>
                    <pic:cNvPicPr/>
                  </pic:nvPicPr>
                  <pic:blipFill>
                    <a:blip r:embed="rId47">
                      <a:extLst>
                        <a:ext uri="{28A0092B-C50C-407E-A947-70E740481C1C}">
                          <a14:useLocalDpi xmlns:a14="http://schemas.microsoft.com/office/drawing/2010/main" val="0"/>
                        </a:ext>
                      </a:extLst>
                    </a:blip>
                    <a:stretch>
                      <a:fillRect/>
                    </a:stretch>
                  </pic:blipFill>
                  <pic:spPr>
                    <a:xfrm>
                      <a:off x="0" y="0"/>
                      <a:ext cx="6118167" cy="2572789"/>
                    </a:xfrm>
                    <a:prstGeom prst="rect">
                      <a:avLst/>
                    </a:prstGeom>
                  </pic:spPr>
                </pic:pic>
              </a:graphicData>
            </a:graphic>
          </wp:inline>
        </w:drawing>
      </w:r>
    </w:p>
    <w:p w14:paraId="652A98E3" w14:textId="37742B85" w:rsidR="00F85EC3" w:rsidRPr="00CB4ED1" w:rsidRDefault="00F85EC3" w:rsidP="003608EC"/>
    <w:p w14:paraId="1B5181BA" w14:textId="64F83152" w:rsidR="00006EAB" w:rsidRPr="00CB4ED1" w:rsidRDefault="00006EAB" w:rsidP="00006EAB">
      <w:pPr>
        <w:pStyle w:val="Heading2"/>
      </w:pPr>
      <w:bookmarkStart w:id="142" w:name="_Toc213865229"/>
      <w:r w:rsidRPr="00CB4ED1">
        <w:t xml:space="preserve">Main </w:t>
      </w:r>
      <w:r w:rsidR="00F4663F" w:rsidRPr="00CB4ED1">
        <w:t>benefits</w:t>
      </w:r>
      <w:bookmarkEnd w:id="142"/>
    </w:p>
    <w:p w14:paraId="2581D510" w14:textId="6217694D" w:rsidR="005E0081" w:rsidRPr="00CB4ED1" w:rsidRDefault="00963765" w:rsidP="00FD47B2">
      <w:r w:rsidRPr="00CB4ED1">
        <w:t xml:space="preserve">The </w:t>
      </w:r>
      <w:r w:rsidR="00F85EC3" w:rsidRPr="00CB4ED1">
        <w:t xml:space="preserve">investment logic outlined in section 5.2 resulted in the identification of the </w:t>
      </w:r>
      <w:r w:rsidRPr="00CB4ED1">
        <w:t>main benefits</w:t>
      </w:r>
      <w:r w:rsidR="005E0081" w:rsidRPr="00CB4ED1">
        <w:t xml:space="preserve"> for each of the </w:t>
      </w:r>
      <w:r w:rsidR="00A44AE2" w:rsidRPr="00CB4ED1">
        <w:t>categories outlined in the figure below</w:t>
      </w:r>
      <w:r w:rsidR="00E0747E" w:rsidRPr="00CB4ED1">
        <w:t>.</w:t>
      </w:r>
    </w:p>
    <w:p w14:paraId="0D9ACD30" w14:textId="4208EC78" w:rsidR="00E0747E" w:rsidRPr="00CB4ED1" w:rsidRDefault="00E0747E" w:rsidP="002A4D92">
      <w:pPr>
        <w:pStyle w:val="Caption"/>
        <w:rPr>
          <w:noProof w:val="0"/>
        </w:rPr>
      </w:pPr>
      <w:bookmarkStart w:id="143" w:name="_Toc213865324"/>
      <w:r w:rsidRPr="00CB4ED1">
        <w:rPr>
          <w:noProof w:val="0"/>
        </w:rPr>
        <w:t xml:space="preserve">Figure </w:t>
      </w:r>
      <w:r w:rsidR="009C05F7">
        <w:rPr>
          <w:noProof w:val="0"/>
        </w:rPr>
        <w:fldChar w:fldCharType="begin"/>
      </w:r>
      <w:r w:rsidR="009C05F7">
        <w:rPr>
          <w:noProof w:val="0"/>
        </w:rPr>
        <w:instrText xml:space="preserve"> SEQ Figure \* ARABIC </w:instrText>
      </w:r>
      <w:r w:rsidR="009C05F7">
        <w:rPr>
          <w:noProof w:val="0"/>
        </w:rPr>
        <w:fldChar w:fldCharType="separate"/>
      </w:r>
      <w:r w:rsidR="00376786">
        <w:t>11</w:t>
      </w:r>
      <w:r w:rsidR="009C05F7">
        <w:rPr>
          <w:noProof w:val="0"/>
        </w:rPr>
        <w:fldChar w:fldCharType="end"/>
      </w:r>
      <w:r w:rsidRPr="00CB4ED1">
        <w:rPr>
          <w:noProof w:val="0"/>
        </w:rPr>
        <w:t xml:space="preserve"> – Benefits </w:t>
      </w:r>
      <w:r w:rsidR="008559F5" w:rsidRPr="00CB4ED1">
        <w:rPr>
          <w:noProof w:val="0"/>
        </w:rPr>
        <w:t>categories</w:t>
      </w:r>
      <w:bookmarkEnd w:id="143"/>
    </w:p>
    <w:p w14:paraId="6400C59F" w14:textId="6CD1CA8B" w:rsidR="00E0747E" w:rsidRPr="00CB4ED1" w:rsidRDefault="00E0747E" w:rsidP="00E0747E">
      <w:r w:rsidRPr="00CB4ED1">
        <w:rPr>
          <w:noProof/>
        </w:rPr>
        <w:drawing>
          <wp:inline distT="0" distB="0" distL="0" distR="0" wp14:anchorId="47541701" wp14:editId="54B7A180">
            <wp:extent cx="6120000" cy="2433490"/>
            <wp:effectExtent l="0" t="0" r="0" b="5080"/>
            <wp:docPr id="1818773311"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8773311" name="Picture 1" descr="A diagram of a diagram&#10;&#10;AI-generated content may be incorrect."/>
                    <pic:cNvPicPr/>
                  </pic:nvPicPr>
                  <pic:blipFill>
                    <a:blip r:embed="rId48"/>
                    <a:stretch>
                      <a:fillRect/>
                    </a:stretch>
                  </pic:blipFill>
                  <pic:spPr>
                    <a:xfrm>
                      <a:off x="0" y="0"/>
                      <a:ext cx="6120000" cy="2433490"/>
                    </a:xfrm>
                    <a:prstGeom prst="rect">
                      <a:avLst/>
                    </a:prstGeom>
                  </pic:spPr>
                </pic:pic>
              </a:graphicData>
            </a:graphic>
          </wp:inline>
        </w:drawing>
      </w:r>
    </w:p>
    <w:p w14:paraId="20DBC7DF" w14:textId="3F9A6CBA" w:rsidR="00E0747E" w:rsidRPr="00CB4ED1" w:rsidRDefault="00A44AE2" w:rsidP="00E0747E">
      <w:r w:rsidRPr="00CB4ED1">
        <w:t>The main benefits are summarised in the table below.</w:t>
      </w:r>
    </w:p>
    <w:p w14:paraId="77103ACD" w14:textId="34A956BE" w:rsidR="00963765" w:rsidRPr="00CB4ED1" w:rsidRDefault="00B1597B" w:rsidP="002A4D92">
      <w:pPr>
        <w:pStyle w:val="Caption"/>
        <w:rPr>
          <w:noProof w:val="0"/>
        </w:rPr>
      </w:pPr>
      <w:bookmarkStart w:id="144" w:name="_Toc213865290"/>
      <w:r w:rsidRPr="00CB4ED1">
        <w:rPr>
          <w:noProof w:val="0"/>
        </w:rPr>
        <w:lastRenderedPageBreak/>
        <w:t xml:space="preserve">Table </w:t>
      </w:r>
      <w:r w:rsidRPr="00CB4ED1">
        <w:rPr>
          <w:noProof w:val="0"/>
        </w:rPr>
        <w:fldChar w:fldCharType="begin"/>
      </w:r>
      <w:r w:rsidRPr="00CB4ED1">
        <w:rPr>
          <w:noProof w:val="0"/>
        </w:rPr>
        <w:instrText xml:space="preserve"> SEQ Table \* ARABIC </w:instrText>
      </w:r>
      <w:r w:rsidRPr="00CB4ED1">
        <w:rPr>
          <w:noProof w:val="0"/>
        </w:rPr>
        <w:fldChar w:fldCharType="separate"/>
      </w:r>
      <w:r w:rsidR="004A33ED">
        <w:t>10</w:t>
      </w:r>
      <w:r w:rsidRPr="00CB4ED1">
        <w:rPr>
          <w:noProof w:val="0"/>
        </w:rPr>
        <w:fldChar w:fldCharType="end"/>
      </w:r>
      <w:r w:rsidR="00963765" w:rsidRPr="00CB4ED1">
        <w:rPr>
          <w:noProof w:val="0"/>
        </w:rPr>
        <w:t xml:space="preserve"> - Main </w:t>
      </w:r>
      <w:r w:rsidR="008559F5" w:rsidRPr="00CB4ED1">
        <w:rPr>
          <w:noProof w:val="0"/>
        </w:rPr>
        <w:t>benefits</w:t>
      </w:r>
      <w:bookmarkEnd w:id="144"/>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ook w:val="04A0" w:firstRow="1" w:lastRow="0" w:firstColumn="1" w:lastColumn="0" w:noHBand="0" w:noVBand="1"/>
      </w:tblPr>
      <w:tblGrid>
        <w:gridCol w:w="1525"/>
        <w:gridCol w:w="2654"/>
        <w:gridCol w:w="1437"/>
        <w:gridCol w:w="1177"/>
        <w:gridCol w:w="3028"/>
      </w:tblGrid>
      <w:tr w:rsidR="00345A8F" w:rsidRPr="00CB4ED1" w14:paraId="4F57AE23" w14:textId="77777777" w:rsidTr="00441E9C">
        <w:trPr>
          <w:tblHeader/>
        </w:trPr>
        <w:tc>
          <w:tcPr>
            <w:tcW w:w="1525" w:type="dxa"/>
            <w:shd w:val="clear" w:color="auto" w:fill="374264"/>
            <w:vAlign w:val="center"/>
          </w:tcPr>
          <w:p w14:paraId="4E3403BD" w14:textId="77777777" w:rsidR="00306B24" w:rsidRPr="00CB4ED1" w:rsidRDefault="00306B24" w:rsidP="008559F5">
            <w:pPr>
              <w:pStyle w:val="tabletext"/>
              <w:rPr>
                <w:b/>
                <w:bCs/>
                <w:color w:val="FFFFFF" w:themeColor="background1"/>
                <w:sz w:val="18"/>
                <w:szCs w:val="18"/>
              </w:rPr>
            </w:pPr>
            <w:r w:rsidRPr="00CB4ED1">
              <w:rPr>
                <w:b/>
                <w:bCs/>
                <w:color w:val="FFFFFF" w:themeColor="background1"/>
                <w:sz w:val="18"/>
                <w:szCs w:val="18"/>
              </w:rPr>
              <w:t>Theme</w:t>
            </w:r>
          </w:p>
        </w:tc>
        <w:tc>
          <w:tcPr>
            <w:tcW w:w="2654" w:type="dxa"/>
            <w:shd w:val="clear" w:color="auto" w:fill="374264"/>
            <w:vAlign w:val="center"/>
          </w:tcPr>
          <w:p w14:paraId="3C803E2E" w14:textId="77777777" w:rsidR="00306B24" w:rsidRPr="00CB4ED1" w:rsidRDefault="00306B24" w:rsidP="008559F5">
            <w:pPr>
              <w:pStyle w:val="tabletext"/>
              <w:rPr>
                <w:b/>
                <w:bCs/>
                <w:color w:val="FFFFFF" w:themeColor="background1"/>
                <w:sz w:val="18"/>
                <w:szCs w:val="18"/>
              </w:rPr>
            </w:pPr>
            <w:r w:rsidRPr="00CB4ED1">
              <w:rPr>
                <w:b/>
                <w:bCs/>
                <w:color w:val="FFFFFF" w:themeColor="background1"/>
                <w:sz w:val="18"/>
                <w:szCs w:val="18"/>
              </w:rPr>
              <w:t>Benefit</w:t>
            </w:r>
          </w:p>
        </w:tc>
        <w:tc>
          <w:tcPr>
            <w:tcW w:w="1437" w:type="dxa"/>
            <w:shd w:val="clear" w:color="auto" w:fill="374264"/>
            <w:vAlign w:val="center"/>
          </w:tcPr>
          <w:p w14:paraId="54FACF2C" w14:textId="4083452B" w:rsidR="00306B24" w:rsidRPr="00CB4ED1" w:rsidRDefault="00306B24" w:rsidP="008559F5">
            <w:pPr>
              <w:pStyle w:val="tabletext"/>
              <w:rPr>
                <w:b/>
                <w:bCs/>
                <w:color w:val="FFFFFF" w:themeColor="background1"/>
                <w:sz w:val="18"/>
                <w:szCs w:val="18"/>
              </w:rPr>
            </w:pPr>
            <w:r w:rsidRPr="00CB4ED1">
              <w:rPr>
                <w:b/>
                <w:bCs/>
                <w:color w:val="FFFFFF" w:themeColor="background1"/>
                <w:sz w:val="18"/>
                <w:szCs w:val="18"/>
              </w:rPr>
              <w:t>Beneficiary</w:t>
            </w:r>
          </w:p>
        </w:tc>
        <w:tc>
          <w:tcPr>
            <w:tcW w:w="1177" w:type="dxa"/>
            <w:shd w:val="clear" w:color="auto" w:fill="374264"/>
            <w:vAlign w:val="center"/>
          </w:tcPr>
          <w:p w14:paraId="09B13662" w14:textId="521A45F6" w:rsidR="00306B24" w:rsidRPr="00CB4ED1" w:rsidRDefault="00306B24" w:rsidP="008559F5">
            <w:pPr>
              <w:pStyle w:val="tabletext"/>
              <w:rPr>
                <w:b/>
                <w:bCs/>
                <w:color w:val="FFFFFF" w:themeColor="background1"/>
                <w:sz w:val="18"/>
                <w:szCs w:val="18"/>
              </w:rPr>
            </w:pPr>
            <w:r w:rsidRPr="00CB4ED1">
              <w:rPr>
                <w:b/>
                <w:bCs/>
                <w:color w:val="FFFFFF" w:themeColor="background1"/>
                <w:sz w:val="18"/>
                <w:szCs w:val="18"/>
              </w:rPr>
              <w:t>Type</w:t>
            </w:r>
          </w:p>
        </w:tc>
        <w:tc>
          <w:tcPr>
            <w:tcW w:w="3028" w:type="dxa"/>
            <w:shd w:val="clear" w:color="auto" w:fill="374264"/>
            <w:vAlign w:val="center"/>
          </w:tcPr>
          <w:p w14:paraId="1EDE405B" w14:textId="73832862" w:rsidR="00306B24" w:rsidRPr="00CB4ED1" w:rsidRDefault="00306B24" w:rsidP="008559F5">
            <w:pPr>
              <w:pStyle w:val="tabletext"/>
              <w:rPr>
                <w:b/>
                <w:bCs/>
                <w:color w:val="FFFFFF" w:themeColor="background1"/>
                <w:sz w:val="18"/>
                <w:szCs w:val="18"/>
              </w:rPr>
            </w:pPr>
            <w:r w:rsidRPr="00CB4ED1">
              <w:rPr>
                <w:b/>
                <w:bCs/>
                <w:color w:val="FFFFFF" w:themeColor="background1"/>
                <w:sz w:val="18"/>
                <w:szCs w:val="18"/>
              </w:rPr>
              <w:t>Possible Metrics</w:t>
            </w:r>
          </w:p>
        </w:tc>
      </w:tr>
      <w:tr w:rsidR="007F6053" w:rsidRPr="00CB4ED1" w14:paraId="2D5D2B5A" w14:textId="77777777" w:rsidTr="008976D4">
        <w:tc>
          <w:tcPr>
            <w:tcW w:w="1525" w:type="dxa"/>
            <w:vMerge w:val="restart"/>
            <w:vAlign w:val="center"/>
          </w:tcPr>
          <w:p w14:paraId="48B93418" w14:textId="1E10E5B3" w:rsidR="0065661C" w:rsidRPr="00CB4ED1" w:rsidRDefault="00B447AC" w:rsidP="008559F5">
            <w:pPr>
              <w:pStyle w:val="tabletext"/>
              <w:rPr>
                <w:sz w:val="18"/>
                <w:szCs w:val="18"/>
              </w:rPr>
            </w:pPr>
            <w:r w:rsidRPr="00CB4ED1">
              <w:rPr>
                <w:sz w:val="18"/>
                <w:szCs w:val="18"/>
              </w:rPr>
              <w:t>Creation of surg</w:t>
            </w:r>
            <w:r w:rsidR="0045301C" w:rsidRPr="00CB4ED1">
              <w:rPr>
                <w:sz w:val="18"/>
                <w:szCs w:val="18"/>
              </w:rPr>
              <w:t>ical hub</w:t>
            </w:r>
          </w:p>
        </w:tc>
        <w:tc>
          <w:tcPr>
            <w:tcW w:w="2654" w:type="dxa"/>
            <w:vAlign w:val="center"/>
          </w:tcPr>
          <w:p w14:paraId="04105417" w14:textId="32D799BB" w:rsidR="0065661C" w:rsidRPr="00CB4ED1" w:rsidRDefault="0065661C" w:rsidP="008559F5">
            <w:pPr>
              <w:pStyle w:val="tabletext"/>
              <w:rPr>
                <w:sz w:val="18"/>
                <w:szCs w:val="18"/>
              </w:rPr>
            </w:pPr>
            <w:r w:rsidRPr="00CB4ED1">
              <w:rPr>
                <w:sz w:val="18"/>
                <w:szCs w:val="18"/>
              </w:rPr>
              <w:t xml:space="preserve">Reduced waiting times across </w:t>
            </w:r>
            <w:r w:rsidR="0045301C" w:rsidRPr="00CB4ED1">
              <w:rPr>
                <w:sz w:val="18"/>
                <w:szCs w:val="18"/>
              </w:rPr>
              <w:t>a</w:t>
            </w:r>
            <w:r w:rsidR="001D4000" w:rsidRPr="00CB4ED1">
              <w:rPr>
                <w:sz w:val="18"/>
                <w:szCs w:val="18"/>
              </w:rPr>
              <w:t>rthroplasty</w:t>
            </w:r>
          </w:p>
        </w:tc>
        <w:tc>
          <w:tcPr>
            <w:tcW w:w="1437" w:type="dxa"/>
            <w:vAlign w:val="center"/>
          </w:tcPr>
          <w:p w14:paraId="4136EFD4" w14:textId="0C59EB44" w:rsidR="0065661C" w:rsidRPr="00CB4ED1" w:rsidRDefault="0065661C" w:rsidP="008559F5">
            <w:pPr>
              <w:pStyle w:val="tabletext"/>
              <w:rPr>
                <w:sz w:val="18"/>
                <w:szCs w:val="18"/>
              </w:rPr>
            </w:pPr>
            <w:r w:rsidRPr="00CB4ED1">
              <w:rPr>
                <w:sz w:val="18"/>
                <w:szCs w:val="18"/>
              </w:rPr>
              <w:t>Patients</w:t>
            </w:r>
          </w:p>
        </w:tc>
        <w:tc>
          <w:tcPr>
            <w:tcW w:w="1177" w:type="dxa"/>
            <w:vAlign w:val="center"/>
          </w:tcPr>
          <w:p w14:paraId="6B8215FD" w14:textId="389B8480" w:rsidR="0065661C" w:rsidRPr="00CB4ED1" w:rsidRDefault="0065661C" w:rsidP="008559F5">
            <w:pPr>
              <w:pStyle w:val="tabletext"/>
              <w:rPr>
                <w:sz w:val="18"/>
                <w:szCs w:val="18"/>
              </w:rPr>
            </w:pPr>
            <w:r w:rsidRPr="00CB4ED1">
              <w:rPr>
                <w:sz w:val="18"/>
                <w:szCs w:val="18"/>
              </w:rPr>
              <w:t>Quantifiable</w:t>
            </w:r>
          </w:p>
        </w:tc>
        <w:tc>
          <w:tcPr>
            <w:tcW w:w="3028" w:type="dxa"/>
            <w:vAlign w:val="center"/>
          </w:tcPr>
          <w:p w14:paraId="0176A1E5" w14:textId="2DB84EA1" w:rsidR="0065661C" w:rsidRPr="00CB4ED1" w:rsidRDefault="006078D5" w:rsidP="008559F5">
            <w:pPr>
              <w:pStyle w:val="tabletext"/>
              <w:rPr>
                <w:sz w:val="18"/>
                <w:szCs w:val="18"/>
              </w:rPr>
            </w:pPr>
            <w:r w:rsidRPr="00CB4ED1">
              <w:rPr>
                <w:sz w:val="18"/>
                <w:szCs w:val="18"/>
              </w:rPr>
              <w:t>W</w:t>
            </w:r>
            <w:r w:rsidR="0065661C" w:rsidRPr="00CB4ED1">
              <w:rPr>
                <w:sz w:val="18"/>
                <w:szCs w:val="18"/>
              </w:rPr>
              <w:t xml:space="preserve">aiting </w:t>
            </w:r>
            <w:r w:rsidR="001D4000" w:rsidRPr="00CB4ED1">
              <w:rPr>
                <w:sz w:val="18"/>
                <w:szCs w:val="18"/>
              </w:rPr>
              <w:t>time</w:t>
            </w:r>
            <w:r w:rsidR="0045301C" w:rsidRPr="00CB4ED1">
              <w:rPr>
                <w:sz w:val="18"/>
                <w:szCs w:val="18"/>
              </w:rPr>
              <w:t>s</w:t>
            </w:r>
          </w:p>
        </w:tc>
      </w:tr>
      <w:tr w:rsidR="007F6053" w:rsidRPr="00CB4ED1" w14:paraId="7F5A66DB" w14:textId="77777777" w:rsidTr="008976D4">
        <w:tc>
          <w:tcPr>
            <w:tcW w:w="1525" w:type="dxa"/>
            <w:vMerge/>
            <w:vAlign w:val="center"/>
          </w:tcPr>
          <w:p w14:paraId="574BEEB8" w14:textId="77777777" w:rsidR="007C1F33" w:rsidRPr="00CB4ED1" w:rsidRDefault="007C1F33" w:rsidP="008559F5">
            <w:pPr>
              <w:pStyle w:val="tabletext"/>
              <w:rPr>
                <w:sz w:val="18"/>
                <w:szCs w:val="18"/>
              </w:rPr>
            </w:pPr>
          </w:p>
        </w:tc>
        <w:tc>
          <w:tcPr>
            <w:tcW w:w="2654" w:type="dxa"/>
            <w:vAlign w:val="center"/>
          </w:tcPr>
          <w:p w14:paraId="1711DF17" w14:textId="5F4D9EEE" w:rsidR="007C1F33" w:rsidRPr="00CB4ED1" w:rsidRDefault="007C1F33" w:rsidP="008559F5">
            <w:pPr>
              <w:pStyle w:val="tabletext"/>
              <w:rPr>
                <w:sz w:val="18"/>
                <w:szCs w:val="18"/>
              </w:rPr>
            </w:pPr>
            <w:r w:rsidRPr="00CB4ED1">
              <w:rPr>
                <w:sz w:val="18"/>
                <w:szCs w:val="18"/>
              </w:rPr>
              <w:t>Reduced length of stay</w:t>
            </w:r>
            <w:r w:rsidR="00DB16F2" w:rsidRPr="00CB4ED1">
              <w:rPr>
                <w:sz w:val="18"/>
                <w:szCs w:val="18"/>
              </w:rPr>
              <w:t>/improved patient recovery time</w:t>
            </w:r>
          </w:p>
        </w:tc>
        <w:tc>
          <w:tcPr>
            <w:tcW w:w="1437" w:type="dxa"/>
            <w:vAlign w:val="center"/>
          </w:tcPr>
          <w:p w14:paraId="23A82B75" w14:textId="6FEDA16C" w:rsidR="007C1F33" w:rsidRPr="00CB4ED1" w:rsidRDefault="007C1F33" w:rsidP="008559F5">
            <w:pPr>
              <w:pStyle w:val="tabletext"/>
              <w:rPr>
                <w:sz w:val="18"/>
                <w:szCs w:val="18"/>
              </w:rPr>
            </w:pPr>
            <w:r w:rsidRPr="00CB4ED1">
              <w:rPr>
                <w:sz w:val="18"/>
                <w:szCs w:val="18"/>
              </w:rPr>
              <w:t>Patients/ Health Board</w:t>
            </w:r>
          </w:p>
        </w:tc>
        <w:tc>
          <w:tcPr>
            <w:tcW w:w="1177" w:type="dxa"/>
            <w:vAlign w:val="center"/>
          </w:tcPr>
          <w:p w14:paraId="0597E087" w14:textId="0A56B0F0" w:rsidR="007C1F33" w:rsidRPr="00CB4ED1" w:rsidRDefault="007C1F33" w:rsidP="008559F5">
            <w:pPr>
              <w:pStyle w:val="tabletext"/>
              <w:rPr>
                <w:sz w:val="18"/>
                <w:szCs w:val="18"/>
              </w:rPr>
            </w:pPr>
            <w:r w:rsidRPr="00CB4ED1">
              <w:rPr>
                <w:sz w:val="18"/>
                <w:szCs w:val="18"/>
              </w:rPr>
              <w:t>Non-cash releasing/ Societal</w:t>
            </w:r>
          </w:p>
        </w:tc>
        <w:tc>
          <w:tcPr>
            <w:tcW w:w="3028" w:type="dxa"/>
            <w:vAlign w:val="center"/>
          </w:tcPr>
          <w:p w14:paraId="2E8D5749" w14:textId="3ACE8EAD" w:rsidR="007C1F33" w:rsidRPr="00CB4ED1" w:rsidRDefault="007C1F33" w:rsidP="008559F5">
            <w:pPr>
              <w:pStyle w:val="tabletext"/>
              <w:rPr>
                <w:sz w:val="18"/>
                <w:szCs w:val="18"/>
              </w:rPr>
            </w:pPr>
            <w:r w:rsidRPr="00CB4ED1">
              <w:rPr>
                <w:sz w:val="18"/>
                <w:szCs w:val="18"/>
              </w:rPr>
              <w:t>Average length of stay</w:t>
            </w:r>
          </w:p>
        </w:tc>
      </w:tr>
      <w:tr w:rsidR="007F6053" w:rsidRPr="00CB4ED1" w14:paraId="24EC3E50" w14:textId="77777777" w:rsidTr="008976D4">
        <w:tc>
          <w:tcPr>
            <w:tcW w:w="1525" w:type="dxa"/>
            <w:vMerge/>
            <w:vAlign w:val="center"/>
          </w:tcPr>
          <w:p w14:paraId="4D254DB4" w14:textId="77777777" w:rsidR="0065661C" w:rsidRPr="00CB4ED1" w:rsidRDefault="0065661C" w:rsidP="008559F5">
            <w:pPr>
              <w:pStyle w:val="tabletext"/>
              <w:rPr>
                <w:sz w:val="18"/>
                <w:szCs w:val="18"/>
              </w:rPr>
            </w:pPr>
          </w:p>
        </w:tc>
        <w:tc>
          <w:tcPr>
            <w:tcW w:w="2654" w:type="dxa"/>
            <w:vAlign w:val="center"/>
          </w:tcPr>
          <w:p w14:paraId="2B22CABC" w14:textId="70B9EB72" w:rsidR="0065661C" w:rsidRPr="00CB4ED1" w:rsidRDefault="00622EDB" w:rsidP="008559F5">
            <w:pPr>
              <w:pStyle w:val="tabletext"/>
              <w:rPr>
                <w:sz w:val="18"/>
                <w:szCs w:val="18"/>
              </w:rPr>
            </w:pPr>
            <w:r w:rsidRPr="00CB4ED1">
              <w:rPr>
                <w:rFonts w:asciiTheme="minorHAnsi" w:hAnsiTheme="minorHAnsi" w:cstheme="minorHAnsi"/>
                <w:sz w:val="18"/>
                <w:szCs w:val="18"/>
              </w:rPr>
              <w:t>Improved patient outcomes from reduced arthroplasty wait times</w:t>
            </w:r>
          </w:p>
        </w:tc>
        <w:tc>
          <w:tcPr>
            <w:tcW w:w="1437" w:type="dxa"/>
            <w:vAlign w:val="center"/>
          </w:tcPr>
          <w:p w14:paraId="5F012032" w14:textId="189E453B" w:rsidR="0065661C" w:rsidRPr="00CB4ED1" w:rsidRDefault="0065661C" w:rsidP="008559F5">
            <w:pPr>
              <w:pStyle w:val="tabletext"/>
              <w:rPr>
                <w:sz w:val="18"/>
                <w:szCs w:val="18"/>
              </w:rPr>
            </w:pPr>
            <w:r w:rsidRPr="00CB4ED1">
              <w:rPr>
                <w:sz w:val="18"/>
                <w:szCs w:val="18"/>
              </w:rPr>
              <w:t>Patients</w:t>
            </w:r>
          </w:p>
        </w:tc>
        <w:tc>
          <w:tcPr>
            <w:tcW w:w="1177" w:type="dxa"/>
            <w:vAlign w:val="center"/>
          </w:tcPr>
          <w:p w14:paraId="16BA2DBE" w14:textId="2482CC5F" w:rsidR="0065661C" w:rsidRPr="00CB4ED1" w:rsidRDefault="00363AAB" w:rsidP="008559F5">
            <w:pPr>
              <w:pStyle w:val="tabletext"/>
              <w:rPr>
                <w:sz w:val="18"/>
                <w:szCs w:val="18"/>
              </w:rPr>
            </w:pPr>
            <w:r w:rsidRPr="00CB4ED1">
              <w:rPr>
                <w:sz w:val="18"/>
                <w:szCs w:val="18"/>
              </w:rPr>
              <w:t>Societal</w:t>
            </w:r>
          </w:p>
        </w:tc>
        <w:tc>
          <w:tcPr>
            <w:tcW w:w="3028" w:type="dxa"/>
            <w:vAlign w:val="center"/>
          </w:tcPr>
          <w:p w14:paraId="4E733062" w14:textId="4D449978" w:rsidR="0065661C" w:rsidRPr="00CB4ED1" w:rsidRDefault="00174B88" w:rsidP="008559F5">
            <w:pPr>
              <w:pStyle w:val="tabletext"/>
              <w:rPr>
                <w:sz w:val="18"/>
                <w:szCs w:val="18"/>
              </w:rPr>
            </w:pPr>
            <w:r w:rsidRPr="00CB4ED1">
              <w:rPr>
                <w:sz w:val="18"/>
                <w:szCs w:val="18"/>
              </w:rPr>
              <w:t>QALYs</w:t>
            </w:r>
          </w:p>
        </w:tc>
      </w:tr>
      <w:tr w:rsidR="007F6053" w:rsidRPr="00CB4ED1" w14:paraId="4A02FA25" w14:textId="77777777" w:rsidTr="008976D4">
        <w:tc>
          <w:tcPr>
            <w:tcW w:w="1525" w:type="dxa"/>
            <w:vMerge/>
            <w:vAlign w:val="center"/>
          </w:tcPr>
          <w:p w14:paraId="003AD45C" w14:textId="77777777" w:rsidR="0065661C" w:rsidRPr="00CB4ED1" w:rsidRDefault="0065661C" w:rsidP="008559F5">
            <w:pPr>
              <w:pStyle w:val="tabletext"/>
              <w:rPr>
                <w:sz w:val="18"/>
                <w:szCs w:val="18"/>
              </w:rPr>
            </w:pPr>
          </w:p>
        </w:tc>
        <w:tc>
          <w:tcPr>
            <w:tcW w:w="2654" w:type="dxa"/>
            <w:vAlign w:val="center"/>
          </w:tcPr>
          <w:p w14:paraId="6BF18B63" w14:textId="68AF481C" w:rsidR="0065661C" w:rsidRPr="00CB4ED1" w:rsidRDefault="00F372C3" w:rsidP="008559F5">
            <w:pPr>
              <w:pStyle w:val="tabletext"/>
              <w:rPr>
                <w:sz w:val="18"/>
                <w:szCs w:val="18"/>
              </w:rPr>
            </w:pPr>
            <w:r w:rsidRPr="00CB4ED1">
              <w:rPr>
                <w:sz w:val="18"/>
                <w:szCs w:val="18"/>
              </w:rPr>
              <w:t>Reduced reliance on external surgical capacity</w:t>
            </w:r>
          </w:p>
        </w:tc>
        <w:tc>
          <w:tcPr>
            <w:tcW w:w="1437" w:type="dxa"/>
            <w:vAlign w:val="center"/>
          </w:tcPr>
          <w:p w14:paraId="7D2D6D76" w14:textId="04EBFDB0" w:rsidR="0065661C" w:rsidRPr="00CB4ED1" w:rsidRDefault="00097320" w:rsidP="008559F5">
            <w:pPr>
              <w:pStyle w:val="tabletext"/>
              <w:rPr>
                <w:sz w:val="18"/>
                <w:szCs w:val="18"/>
              </w:rPr>
            </w:pPr>
            <w:r w:rsidRPr="00CB4ED1">
              <w:rPr>
                <w:sz w:val="18"/>
                <w:szCs w:val="18"/>
              </w:rPr>
              <w:t>Health Board</w:t>
            </w:r>
          </w:p>
        </w:tc>
        <w:tc>
          <w:tcPr>
            <w:tcW w:w="1177" w:type="dxa"/>
            <w:vAlign w:val="center"/>
          </w:tcPr>
          <w:p w14:paraId="598FD7BA" w14:textId="4FBF6909" w:rsidR="0065661C" w:rsidRPr="00CB4ED1" w:rsidRDefault="0065661C" w:rsidP="008559F5">
            <w:pPr>
              <w:pStyle w:val="tabletext"/>
              <w:rPr>
                <w:sz w:val="18"/>
                <w:szCs w:val="18"/>
              </w:rPr>
            </w:pPr>
            <w:r w:rsidRPr="00CB4ED1">
              <w:rPr>
                <w:sz w:val="18"/>
                <w:szCs w:val="18"/>
              </w:rPr>
              <w:t>Cash Releasing</w:t>
            </w:r>
          </w:p>
        </w:tc>
        <w:tc>
          <w:tcPr>
            <w:tcW w:w="3028" w:type="dxa"/>
            <w:vAlign w:val="center"/>
          </w:tcPr>
          <w:p w14:paraId="2C7D3720" w14:textId="77678615" w:rsidR="0065661C" w:rsidRPr="00CB4ED1" w:rsidRDefault="0065661C" w:rsidP="008559F5">
            <w:pPr>
              <w:pStyle w:val="tabletext"/>
              <w:rPr>
                <w:sz w:val="18"/>
                <w:szCs w:val="18"/>
              </w:rPr>
            </w:pPr>
            <w:r w:rsidRPr="00CB4ED1">
              <w:rPr>
                <w:sz w:val="18"/>
                <w:szCs w:val="18"/>
              </w:rPr>
              <w:t>Expenditure on outsourcing, insourcing, waiting list initiatives</w:t>
            </w:r>
          </w:p>
        </w:tc>
      </w:tr>
      <w:tr w:rsidR="007F6053" w:rsidRPr="00CB4ED1" w14:paraId="3585DDA2" w14:textId="77777777" w:rsidTr="008976D4">
        <w:tc>
          <w:tcPr>
            <w:tcW w:w="1525" w:type="dxa"/>
            <w:vMerge w:val="restart"/>
            <w:vAlign w:val="center"/>
          </w:tcPr>
          <w:p w14:paraId="4C11E36F" w14:textId="6B2D3B26" w:rsidR="0065661C" w:rsidRPr="00CB4ED1" w:rsidRDefault="0065661C" w:rsidP="008559F5">
            <w:pPr>
              <w:pStyle w:val="tabletext"/>
              <w:rPr>
                <w:sz w:val="18"/>
                <w:szCs w:val="18"/>
              </w:rPr>
            </w:pPr>
            <w:r w:rsidRPr="00CB4ED1">
              <w:rPr>
                <w:sz w:val="18"/>
                <w:szCs w:val="18"/>
              </w:rPr>
              <w:t>Model of Care</w:t>
            </w:r>
            <w:r w:rsidR="00776BEF" w:rsidRPr="00CB4ED1">
              <w:rPr>
                <w:sz w:val="18"/>
                <w:szCs w:val="18"/>
              </w:rPr>
              <w:t xml:space="preserve"> Transformation</w:t>
            </w:r>
          </w:p>
        </w:tc>
        <w:tc>
          <w:tcPr>
            <w:tcW w:w="2654" w:type="dxa"/>
            <w:vAlign w:val="center"/>
          </w:tcPr>
          <w:p w14:paraId="654EFEB3" w14:textId="4773D931" w:rsidR="0065661C" w:rsidRPr="00CB4ED1" w:rsidRDefault="000A3B57" w:rsidP="008559F5">
            <w:pPr>
              <w:pStyle w:val="tabletext"/>
              <w:rPr>
                <w:sz w:val="18"/>
                <w:szCs w:val="18"/>
              </w:rPr>
            </w:pPr>
            <w:r w:rsidRPr="00CB4ED1">
              <w:rPr>
                <w:sz w:val="18"/>
                <w:szCs w:val="18"/>
              </w:rPr>
              <w:t xml:space="preserve">Increased throughput </w:t>
            </w:r>
            <w:r w:rsidR="006E1F56" w:rsidRPr="00CB4ED1">
              <w:rPr>
                <w:sz w:val="18"/>
                <w:szCs w:val="18"/>
              </w:rPr>
              <w:t xml:space="preserve">and </w:t>
            </w:r>
            <w:r w:rsidRPr="00CB4ED1">
              <w:rPr>
                <w:sz w:val="18"/>
                <w:szCs w:val="18"/>
              </w:rPr>
              <w:t>better use of resources</w:t>
            </w:r>
          </w:p>
        </w:tc>
        <w:tc>
          <w:tcPr>
            <w:tcW w:w="1437" w:type="dxa"/>
            <w:vAlign w:val="center"/>
          </w:tcPr>
          <w:p w14:paraId="0A236293" w14:textId="515107F5" w:rsidR="0065661C" w:rsidRPr="00CB4ED1" w:rsidRDefault="000A3B57" w:rsidP="008559F5">
            <w:pPr>
              <w:pStyle w:val="tabletext"/>
              <w:rPr>
                <w:sz w:val="18"/>
                <w:szCs w:val="18"/>
              </w:rPr>
            </w:pPr>
            <w:r w:rsidRPr="00CB4ED1">
              <w:rPr>
                <w:sz w:val="18"/>
                <w:szCs w:val="18"/>
              </w:rPr>
              <w:t>Health Board</w:t>
            </w:r>
          </w:p>
        </w:tc>
        <w:tc>
          <w:tcPr>
            <w:tcW w:w="1177" w:type="dxa"/>
            <w:vAlign w:val="center"/>
          </w:tcPr>
          <w:p w14:paraId="61A36CF9" w14:textId="3CC7EE96" w:rsidR="0065661C" w:rsidRPr="00CB4ED1" w:rsidRDefault="000A3B57" w:rsidP="008559F5">
            <w:pPr>
              <w:pStyle w:val="tabletext"/>
              <w:rPr>
                <w:sz w:val="18"/>
                <w:szCs w:val="18"/>
              </w:rPr>
            </w:pPr>
            <w:r w:rsidRPr="00CB4ED1">
              <w:rPr>
                <w:sz w:val="18"/>
                <w:szCs w:val="18"/>
              </w:rPr>
              <w:t>Quantifiable</w:t>
            </w:r>
          </w:p>
        </w:tc>
        <w:tc>
          <w:tcPr>
            <w:tcW w:w="3028" w:type="dxa"/>
            <w:vAlign w:val="center"/>
          </w:tcPr>
          <w:p w14:paraId="228E1004" w14:textId="0CA7F619" w:rsidR="0065661C" w:rsidRPr="00CB4ED1" w:rsidRDefault="00644AB7" w:rsidP="008559F5">
            <w:pPr>
              <w:pStyle w:val="tabletext"/>
              <w:rPr>
                <w:sz w:val="18"/>
                <w:szCs w:val="18"/>
              </w:rPr>
            </w:pPr>
            <w:r w:rsidRPr="00CB4ED1">
              <w:rPr>
                <w:sz w:val="18"/>
                <w:szCs w:val="18"/>
              </w:rPr>
              <w:t>Average cost per procedure compared to benchmarks</w:t>
            </w:r>
          </w:p>
        </w:tc>
      </w:tr>
      <w:tr w:rsidR="007F6053" w:rsidRPr="00CB4ED1" w14:paraId="744543FB" w14:textId="77777777" w:rsidTr="008976D4">
        <w:tc>
          <w:tcPr>
            <w:tcW w:w="1525" w:type="dxa"/>
            <w:vMerge/>
            <w:vAlign w:val="center"/>
          </w:tcPr>
          <w:p w14:paraId="07F30B31" w14:textId="77777777" w:rsidR="000A3B57" w:rsidRPr="00CB4ED1" w:rsidRDefault="000A3B57" w:rsidP="008559F5">
            <w:pPr>
              <w:pStyle w:val="tabletext"/>
              <w:rPr>
                <w:sz w:val="18"/>
                <w:szCs w:val="18"/>
              </w:rPr>
            </w:pPr>
          </w:p>
        </w:tc>
        <w:tc>
          <w:tcPr>
            <w:tcW w:w="2654" w:type="dxa"/>
            <w:vAlign w:val="center"/>
          </w:tcPr>
          <w:p w14:paraId="12010F00" w14:textId="561C930D" w:rsidR="000A3B57" w:rsidRPr="00CB4ED1" w:rsidRDefault="002D0CDE" w:rsidP="008559F5">
            <w:pPr>
              <w:pStyle w:val="tabletext"/>
              <w:rPr>
                <w:sz w:val="18"/>
                <w:szCs w:val="18"/>
              </w:rPr>
            </w:pPr>
            <w:r w:rsidRPr="00CB4ED1">
              <w:rPr>
                <w:sz w:val="18"/>
                <w:szCs w:val="18"/>
              </w:rPr>
              <w:t>More e</w:t>
            </w:r>
            <w:r w:rsidR="000A3B57" w:rsidRPr="00CB4ED1">
              <w:rPr>
                <w:sz w:val="18"/>
                <w:szCs w:val="18"/>
              </w:rPr>
              <w:t xml:space="preserve">fficient </w:t>
            </w:r>
            <w:r w:rsidRPr="00CB4ED1">
              <w:rPr>
                <w:sz w:val="18"/>
                <w:szCs w:val="18"/>
              </w:rPr>
              <w:t>p</w:t>
            </w:r>
            <w:r w:rsidR="000A3B57" w:rsidRPr="00CB4ED1">
              <w:rPr>
                <w:sz w:val="18"/>
                <w:szCs w:val="18"/>
              </w:rPr>
              <w:t>rocurement</w:t>
            </w:r>
          </w:p>
        </w:tc>
        <w:tc>
          <w:tcPr>
            <w:tcW w:w="1437" w:type="dxa"/>
            <w:vAlign w:val="center"/>
          </w:tcPr>
          <w:p w14:paraId="4DA92F51" w14:textId="1C6D089C" w:rsidR="000A3B57" w:rsidRPr="00CB4ED1" w:rsidRDefault="000A3B57" w:rsidP="008559F5">
            <w:pPr>
              <w:pStyle w:val="tabletext"/>
              <w:rPr>
                <w:sz w:val="18"/>
                <w:szCs w:val="18"/>
              </w:rPr>
            </w:pPr>
            <w:r w:rsidRPr="00CB4ED1">
              <w:rPr>
                <w:sz w:val="18"/>
                <w:szCs w:val="18"/>
              </w:rPr>
              <w:t>Organisational</w:t>
            </w:r>
          </w:p>
        </w:tc>
        <w:tc>
          <w:tcPr>
            <w:tcW w:w="1177" w:type="dxa"/>
            <w:vAlign w:val="center"/>
          </w:tcPr>
          <w:p w14:paraId="6E8918BB" w14:textId="1DF004B1" w:rsidR="000A3B57" w:rsidRPr="00CB4ED1" w:rsidRDefault="000A3B57" w:rsidP="008559F5">
            <w:pPr>
              <w:pStyle w:val="tabletext"/>
              <w:rPr>
                <w:sz w:val="18"/>
                <w:szCs w:val="18"/>
              </w:rPr>
            </w:pPr>
            <w:r w:rsidRPr="00CB4ED1">
              <w:rPr>
                <w:sz w:val="18"/>
                <w:szCs w:val="18"/>
              </w:rPr>
              <w:t>Cash Releasing</w:t>
            </w:r>
          </w:p>
        </w:tc>
        <w:tc>
          <w:tcPr>
            <w:tcW w:w="3028" w:type="dxa"/>
            <w:vAlign w:val="center"/>
          </w:tcPr>
          <w:p w14:paraId="1C86A3C3" w14:textId="1BF0C0BC" w:rsidR="000A3B57" w:rsidRPr="00CB4ED1" w:rsidRDefault="000A3B57" w:rsidP="008559F5">
            <w:pPr>
              <w:pStyle w:val="tabletext"/>
              <w:rPr>
                <w:sz w:val="18"/>
                <w:szCs w:val="18"/>
              </w:rPr>
            </w:pPr>
            <w:r w:rsidRPr="00CB4ED1">
              <w:rPr>
                <w:sz w:val="18"/>
                <w:szCs w:val="18"/>
              </w:rPr>
              <w:t>Reduced non-pay costs/reduced procurement costs</w:t>
            </w:r>
          </w:p>
        </w:tc>
      </w:tr>
      <w:tr w:rsidR="007F6053" w:rsidRPr="00CB4ED1" w14:paraId="1702AD6A" w14:textId="77777777" w:rsidTr="008976D4">
        <w:tc>
          <w:tcPr>
            <w:tcW w:w="1525" w:type="dxa"/>
            <w:vMerge/>
            <w:vAlign w:val="center"/>
          </w:tcPr>
          <w:p w14:paraId="7CE22782" w14:textId="77777777" w:rsidR="00097320" w:rsidRPr="00CB4ED1" w:rsidRDefault="00097320" w:rsidP="008559F5">
            <w:pPr>
              <w:pStyle w:val="tabletext"/>
              <w:rPr>
                <w:sz w:val="18"/>
                <w:szCs w:val="18"/>
              </w:rPr>
            </w:pPr>
          </w:p>
        </w:tc>
        <w:tc>
          <w:tcPr>
            <w:tcW w:w="2654" w:type="dxa"/>
            <w:vAlign w:val="center"/>
          </w:tcPr>
          <w:p w14:paraId="0B129ADB" w14:textId="54B70F43" w:rsidR="00097320" w:rsidRPr="00CB4ED1" w:rsidRDefault="0014436E" w:rsidP="008559F5">
            <w:pPr>
              <w:pStyle w:val="tabletext"/>
              <w:rPr>
                <w:sz w:val="18"/>
                <w:szCs w:val="18"/>
              </w:rPr>
            </w:pPr>
            <w:r w:rsidRPr="00CB4ED1">
              <w:rPr>
                <w:sz w:val="18"/>
                <w:szCs w:val="18"/>
              </w:rPr>
              <w:t>Improved performance and cost reporting</w:t>
            </w:r>
          </w:p>
        </w:tc>
        <w:tc>
          <w:tcPr>
            <w:tcW w:w="1437" w:type="dxa"/>
            <w:vAlign w:val="center"/>
          </w:tcPr>
          <w:p w14:paraId="4E49AF92" w14:textId="7EA072BE" w:rsidR="00097320" w:rsidRPr="00CB4ED1" w:rsidRDefault="00097320" w:rsidP="008559F5">
            <w:pPr>
              <w:pStyle w:val="tabletext"/>
              <w:rPr>
                <w:sz w:val="18"/>
                <w:szCs w:val="18"/>
              </w:rPr>
            </w:pPr>
            <w:r w:rsidRPr="00CB4ED1">
              <w:rPr>
                <w:sz w:val="18"/>
                <w:szCs w:val="18"/>
              </w:rPr>
              <w:t>Health Board</w:t>
            </w:r>
          </w:p>
        </w:tc>
        <w:tc>
          <w:tcPr>
            <w:tcW w:w="1177" w:type="dxa"/>
            <w:vAlign w:val="center"/>
          </w:tcPr>
          <w:p w14:paraId="13D33157" w14:textId="1CC8614E" w:rsidR="00097320" w:rsidRPr="00CB4ED1" w:rsidRDefault="00097320" w:rsidP="008559F5">
            <w:pPr>
              <w:pStyle w:val="tabletext"/>
              <w:rPr>
                <w:sz w:val="18"/>
                <w:szCs w:val="18"/>
              </w:rPr>
            </w:pPr>
            <w:r w:rsidRPr="00CB4ED1">
              <w:rPr>
                <w:sz w:val="18"/>
                <w:szCs w:val="18"/>
              </w:rPr>
              <w:t>Qualitative</w:t>
            </w:r>
          </w:p>
        </w:tc>
        <w:tc>
          <w:tcPr>
            <w:tcW w:w="3028" w:type="dxa"/>
            <w:vAlign w:val="center"/>
          </w:tcPr>
          <w:p w14:paraId="63CB7FB9" w14:textId="3D021457" w:rsidR="00097320" w:rsidRPr="00CB4ED1" w:rsidRDefault="00097320" w:rsidP="008559F5">
            <w:pPr>
              <w:pStyle w:val="tabletext"/>
              <w:rPr>
                <w:sz w:val="18"/>
                <w:szCs w:val="18"/>
              </w:rPr>
            </w:pPr>
            <w:r w:rsidRPr="00CB4ED1">
              <w:rPr>
                <w:sz w:val="18"/>
                <w:szCs w:val="18"/>
              </w:rPr>
              <w:t>N/A</w:t>
            </w:r>
          </w:p>
        </w:tc>
      </w:tr>
      <w:tr w:rsidR="007F6053" w:rsidRPr="00CB4ED1" w14:paraId="7F4D4B80" w14:textId="77777777" w:rsidTr="008976D4">
        <w:tc>
          <w:tcPr>
            <w:tcW w:w="1525" w:type="dxa"/>
            <w:vMerge/>
            <w:vAlign w:val="center"/>
          </w:tcPr>
          <w:p w14:paraId="5C15A341" w14:textId="77777777" w:rsidR="00097320" w:rsidRPr="00CB4ED1" w:rsidRDefault="00097320" w:rsidP="008559F5">
            <w:pPr>
              <w:pStyle w:val="tabletext"/>
              <w:rPr>
                <w:sz w:val="18"/>
                <w:szCs w:val="18"/>
              </w:rPr>
            </w:pPr>
          </w:p>
        </w:tc>
        <w:tc>
          <w:tcPr>
            <w:tcW w:w="2654" w:type="dxa"/>
            <w:vAlign w:val="center"/>
          </w:tcPr>
          <w:p w14:paraId="4524EE4C" w14:textId="1431674A" w:rsidR="00097320" w:rsidRPr="00CB4ED1" w:rsidRDefault="00A923F5" w:rsidP="008559F5">
            <w:pPr>
              <w:pStyle w:val="tabletext"/>
              <w:rPr>
                <w:sz w:val="18"/>
                <w:szCs w:val="18"/>
              </w:rPr>
            </w:pPr>
            <w:r w:rsidRPr="00CB4ED1">
              <w:rPr>
                <w:sz w:val="18"/>
                <w:szCs w:val="18"/>
              </w:rPr>
              <w:t>Greater al</w:t>
            </w:r>
            <w:r w:rsidR="000A3B57" w:rsidRPr="00CB4ED1">
              <w:rPr>
                <w:sz w:val="18"/>
                <w:szCs w:val="18"/>
              </w:rPr>
              <w:t>ignment</w:t>
            </w:r>
            <w:r w:rsidR="00097320" w:rsidRPr="00CB4ED1">
              <w:rPr>
                <w:sz w:val="18"/>
                <w:szCs w:val="18"/>
              </w:rPr>
              <w:t xml:space="preserve"> with GIRFT </w:t>
            </w:r>
            <w:r w:rsidR="00583560" w:rsidRPr="00CB4ED1">
              <w:rPr>
                <w:sz w:val="18"/>
                <w:szCs w:val="18"/>
              </w:rPr>
              <w:t>principles</w:t>
            </w:r>
            <w:r w:rsidR="000A3B57" w:rsidRPr="00CB4ED1">
              <w:rPr>
                <w:sz w:val="18"/>
                <w:szCs w:val="18"/>
              </w:rPr>
              <w:t xml:space="preserve"> </w:t>
            </w:r>
          </w:p>
        </w:tc>
        <w:tc>
          <w:tcPr>
            <w:tcW w:w="1437" w:type="dxa"/>
            <w:vAlign w:val="center"/>
          </w:tcPr>
          <w:p w14:paraId="45EFC3F2" w14:textId="0C9C7823" w:rsidR="00097320" w:rsidRPr="00CB4ED1" w:rsidRDefault="00097320" w:rsidP="008559F5">
            <w:pPr>
              <w:pStyle w:val="tabletext"/>
              <w:rPr>
                <w:sz w:val="18"/>
                <w:szCs w:val="18"/>
              </w:rPr>
            </w:pPr>
            <w:r w:rsidRPr="00CB4ED1">
              <w:rPr>
                <w:sz w:val="18"/>
                <w:szCs w:val="18"/>
              </w:rPr>
              <w:t>Health Board</w:t>
            </w:r>
          </w:p>
        </w:tc>
        <w:tc>
          <w:tcPr>
            <w:tcW w:w="1177" w:type="dxa"/>
            <w:vAlign w:val="center"/>
          </w:tcPr>
          <w:p w14:paraId="06C56D7B" w14:textId="386997C2" w:rsidR="00097320" w:rsidRPr="00CB4ED1" w:rsidRDefault="00097320" w:rsidP="008559F5">
            <w:pPr>
              <w:pStyle w:val="tabletext"/>
              <w:rPr>
                <w:sz w:val="18"/>
                <w:szCs w:val="18"/>
              </w:rPr>
            </w:pPr>
            <w:r w:rsidRPr="00CB4ED1">
              <w:rPr>
                <w:sz w:val="18"/>
                <w:szCs w:val="18"/>
              </w:rPr>
              <w:t>Quantifiable</w:t>
            </w:r>
          </w:p>
        </w:tc>
        <w:tc>
          <w:tcPr>
            <w:tcW w:w="3028" w:type="dxa"/>
            <w:vAlign w:val="center"/>
          </w:tcPr>
          <w:p w14:paraId="34D6B2DA" w14:textId="6558DFED" w:rsidR="00097320" w:rsidRPr="00CB4ED1" w:rsidRDefault="00097320" w:rsidP="008559F5">
            <w:pPr>
              <w:pStyle w:val="tabletext"/>
              <w:rPr>
                <w:sz w:val="18"/>
                <w:szCs w:val="18"/>
              </w:rPr>
            </w:pPr>
            <w:r w:rsidRPr="00CB4ED1">
              <w:rPr>
                <w:sz w:val="18"/>
                <w:szCs w:val="18"/>
              </w:rPr>
              <w:t xml:space="preserve">GIRFT </w:t>
            </w:r>
            <w:r w:rsidR="006D3843" w:rsidRPr="00CB4ED1">
              <w:rPr>
                <w:sz w:val="18"/>
                <w:szCs w:val="18"/>
              </w:rPr>
              <w:t>principles</w:t>
            </w:r>
          </w:p>
        </w:tc>
      </w:tr>
      <w:tr w:rsidR="007F6053" w:rsidRPr="00CB4ED1" w14:paraId="57A6916F" w14:textId="77777777" w:rsidTr="008976D4">
        <w:tc>
          <w:tcPr>
            <w:tcW w:w="1525" w:type="dxa"/>
            <w:vMerge/>
            <w:vAlign w:val="center"/>
          </w:tcPr>
          <w:p w14:paraId="3CEFFB75" w14:textId="77777777" w:rsidR="0065661C" w:rsidRPr="00CB4ED1" w:rsidRDefault="0065661C" w:rsidP="008559F5">
            <w:pPr>
              <w:pStyle w:val="tabletext"/>
              <w:rPr>
                <w:sz w:val="18"/>
                <w:szCs w:val="18"/>
              </w:rPr>
            </w:pPr>
          </w:p>
        </w:tc>
        <w:tc>
          <w:tcPr>
            <w:tcW w:w="2654" w:type="dxa"/>
            <w:vAlign w:val="center"/>
          </w:tcPr>
          <w:p w14:paraId="3DD2D806" w14:textId="4ED013BC" w:rsidR="0065661C" w:rsidRPr="00CB4ED1" w:rsidRDefault="00032A83" w:rsidP="008559F5">
            <w:pPr>
              <w:pStyle w:val="tabletext"/>
              <w:rPr>
                <w:sz w:val="18"/>
                <w:szCs w:val="18"/>
              </w:rPr>
            </w:pPr>
            <w:r w:rsidRPr="00CB4ED1">
              <w:rPr>
                <w:sz w:val="18"/>
                <w:szCs w:val="18"/>
              </w:rPr>
              <w:t xml:space="preserve">Provides opportunities for the future reconfiguration of services of CTM UHB </w:t>
            </w:r>
          </w:p>
        </w:tc>
        <w:tc>
          <w:tcPr>
            <w:tcW w:w="1437" w:type="dxa"/>
            <w:vAlign w:val="center"/>
          </w:tcPr>
          <w:p w14:paraId="0BD82878" w14:textId="7FF8CE2B" w:rsidR="0065661C" w:rsidRPr="00CB4ED1" w:rsidRDefault="00911C4E" w:rsidP="008559F5">
            <w:pPr>
              <w:pStyle w:val="tabletext"/>
              <w:rPr>
                <w:sz w:val="18"/>
                <w:szCs w:val="18"/>
              </w:rPr>
            </w:pPr>
            <w:r w:rsidRPr="00CB4ED1">
              <w:rPr>
                <w:sz w:val="18"/>
                <w:szCs w:val="18"/>
              </w:rPr>
              <w:t>Health Boards</w:t>
            </w:r>
          </w:p>
        </w:tc>
        <w:tc>
          <w:tcPr>
            <w:tcW w:w="1177" w:type="dxa"/>
            <w:vAlign w:val="center"/>
          </w:tcPr>
          <w:p w14:paraId="10855800" w14:textId="04DC2084" w:rsidR="0065661C" w:rsidRPr="00CB4ED1" w:rsidRDefault="0065661C" w:rsidP="008559F5">
            <w:pPr>
              <w:pStyle w:val="tabletext"/>
              <w:rPr>
                <w:sz w:val="18"/>
                <w:szCs w:val="18"/>
              </w:rPr>
            </w:pPr>
            <w:r w:rsidRPr="00CB4ED1">
              <w:rPr>
                <w:sz w:val="18"/>
                <w:szCs w:val="18"/>
              </w:rPr>
              <w:t>Qualitative</w:t>
            </w:r>
          </w:p>
        </w:tc>
        <w:tc>
          <w:tcPr>
            <w:tcW w:w="3028" w:type="dxa"/>
            <w:vAlign w:val="center"/>
          </w:tcPr>
          <w:p w14:paraId="5CB645F4" w14:textId="4B991245" w:rsidR="0065661C" w:rsidRPr="00CB4ED1" w:rsidRDefault="0065661C" w:rsidP="008559F5">
            <w:pPr>
              <w:pStyle w:val="tabletext"/>
              <w:rPr>
                <w:sz w:val="18"/>
                <w:szCs w:val="18"/>
              </w:rPr>
            </w:pPr>
            <w:r w:rsidRPr="00CB4ED1">
              <w:rPr>
                <w:sz w:val="18"/>
                <w:szCs w:val="18"/>
              </w:rPr>
              <w:t>N/A</w:t>
            </w:r>
          </w:p>
        </w:tc>
      </w:tr>
      <w:tr w:rsidR="007F6053" w:rsidRPr="00CB4ED1" w14:paraId="4ACF2D76" w14:textId="77777777" w:rsidTr="008976D4">
        <w:tc>
          <w:tcPr>
            <w:tcW w:w="1525" w:type="dxa"/>
            <w:vMerge/>
            <w:vAlign w:val="center"/>
          </w:tcPr>
          <w:p w14:paraId="2C262977" w14:textId="77777777" w:rsidR="0065661C" w:rsidRPr="00CB4ED1" w:rsidRDefault="0065661C" w:rsidP="008559F5">
            <w:pPr>
              <w:pStyle w:val="tabletext"/>
              <w:rPr>
                <w:sz w:val="18"/>
                <w:szCs w:val="18"/>
              </w:rPr>
            </w:pPr>
          </w:p>
        </w:tc>
        <w:tc>
          <w:tcPr>
            <w:tcW w:w="2654" w:type="dxa"/>
            <w:vAlign w:val="center"/>
          </w:tcPr>
          <w:p w14:paraId="6D9E8869" w14:textId="5926DC61" w:rsidR="0065661C" w:rsidRPr="00CB4ED1" w:rsidRDefault="00387766" w:rsidP="008559F5">
            <w:pPr>
              <w:pStyle w:val="tabletext"/>
              <w:rPr>
                <w:sz w:val="18"/>
                <w:szCs w:val="18"/>
              </w:rPr>
            </w:pPr>
            <w:r w:rsidRPr="00CB4ED1">
              <w:rPr>
                <w:sz w:val="18"/>
                <w:szCs w:val="18"/>
              </w:rPr>
              <w:t xml:space="preserve">Supports the future of other regional initiatives </w:t>
            </w:r>
          </w:p>
        </w:tc>
        <w:tc>
          <w:tcPr>
            <w:tcW w:w="1437" w:type="dxa"/>
            <w:vAlign w:val="center"/>
          </w:tcPr>
          <w:p w14:paraId="34E13794" w14:textId="2CEDF9CE" w:rsidR="0065661C" w:rsidRPr="00CB4ED1" w:rsidRDefault="00097320" w:rsidP="008559F5">
            <w:pPr>
              <w:pStyle w:val="tabletext"/>
              <w:rPr>
                <w:sz w:val="18"/>
                <w:szCs w:val="18"/>
              </w:rPr>
            </w:pPr>
            <w:r w:rsidRPr="00CB4ED1">
              <w:rPr>
                <w:sz w:val="18"/>
                <w:szCs w:val="18"/>
              </w:rPr>
              <w:t>Region</w:t>
            </w:r>
          </w:p>
        </w:tc>
        <w:tc>
          <w:tcPr>
            <w:tcW w:w="1177" w:type="dxa"/>
            <w:vAlign w:val="center"/>
          </w:tcPr>
          <w:p w14:paraId="05E5DC15" w14:textId="685C381A" w:rsidR="0065661C" w:rsidRPr="00CB4ED1" w:rsidRDefault="0065661C" w:rsidP="008559F5">
            <w:pPr>
              <w:pStyle w:val="tabletext"/>
              <w:rPr>
                <w:sz w:val="18"/>
                <w:szCs w:val="18"/>
              </w:rPr>
            </w:pPr>
            <w:r w:rsidRPr="00CB4ED1">
              <w:rPr>
                <w:sz w:val="18"/>
                <w:szCs w:val="18"/>
              </w:rPr>
              <w:t>Qualitative</w:t>
            </w:r>
          </w:p>
        </w:tc>
        <w:tc>
          <w:tcPr>
            <w:tcW w:w="3028" w:type="dxa"/>
            <w:vAlign w:val="center"/>
          </w:tcPr>
          <w:p w14:paraId="75E41A3B" w14:textId="62F1D1E7" w:rsidR="0065661C" w:rsidRPr="00CB4ED1" w:rsidRDefault="0065661C" w:rsidP="008559F5">
            <w:pPr>
              <w:pStyle w:val="tabletext"/>
              <w:rPr>
                <w:sz w:val="18"/>
                <w:szCs w:val="18"/>
              </w:rPr>
            </w:pPr>
            <w:r w:rsidRPr="00CB4ED1">
              <w:rPr>
                <w:sz w:val="18"/>
                <w:szCs w:val="18"/>
              </w:rPr>
              <w:t>N/A</w:t>
            </w:r>
          </w:p>
        </w:tc>
      </w:tr>
      <w:tr w:rsidR="007F6053" w:rsidRPr="00CB4ED1" w14:paraId="21547040" w14:textId="77777777" w:rsidTr="008976D4">
        <w:tc>
          <w:tcPr>
            <w:tcW w:w="1525" w:type="dxa"/>
            <w:vMerge w:val="restart"/>
            <w:vAlign w:val="center"/>
          </w:tcPr>
          <w:p w14:paraId="090FF498" w14:textId="77777777" w:rsidR="0065661C" w:rsidRPr="00CB4ED1" w:rsidRDefault="0065661C" w:rsidP="008559F5">
            <w:pPr>
              <w:pStyle w:val="tabletext"/>
              <w:rPr>
                <w:sz w:val="18"/>
                <w:szCs w:val="18"/>
              </w:rPr>
            </w:pPr>
            <w:r w:rsidRPr="00CB4ED1">
              <w:rPr>
                <w:sz w:val="18"/>
                <w:szCs w:val="18"/>
              </w:rPr>
              <w:t>Improved Patient Experience</w:t>
            </w:r>
          </w:p>
        </w:tc>
        <w:tc>
          <w:tcPr>
            <w:tcW w:w="2654" w:type="dxa"/>
            <w:vAlign w:val="center"/>
          </w:tcPr>
          <w:p w14:paraId="44270DD6" w14:textId="18BB79E7" w:rsidR="0065661C" w:rsidRPr="00CB4ED1" w:rsidRDefault="007238BE" w:rsidP="008559F5">
            <w:pPr>
              <w:pStyle w:val="tabletext"/>
              <w:rPr>
                <w:sz w:val="18"/>
                <w:szCs w:val="18"/>
              </w:rPr>
            </w:pPr>
            <w:r w:rsidRPr="00CB4ED1">
              <w:rPr>
                <w:sz w:val="18"/>
                <w:szCs w:val="18"/>
              </w:rPr>
              <w:t>Improved patient experience</w:t>
            </w:r>
          </w:p>
        </w:tc>
        <w:tc>
          <w:tcPr>
            <w:tcW w:w="1437" w:type="dxa"/>
            <w:vAlign w:val="center"/>
          </w:tcPr>
          <w:p w14:paraId="6AE14868" w14:textId="76C83676" w:rsidR="0065661C" w:rsidRPr="00CB4ED1" w:rsidRDefault="007238BE" w:rsidP="008559F5">
            <w:pPr>
              <w:pStyle w:val="tabletext"/>
              <w:rPr>
                <w:sz w:val="18"/>
                <w:szCs w:val="18"/>
              </w:rPr>
            </w:pPr>
            <w:r w:rsidRPr="00CB4ED1">
              <w:rPr>
                <w:sz w:val="18"/>
                <w:szCs w:val="18"/>
              </w:rPr>
              <w:t>Patient</w:t>
            </w:r>
          </w:p>
        </w:tc>
        <w:tc>
          <w:tcPr>
            <w:tcW w:w="1177" w:type="dxa"/>
            <w:vAlign w:val="center"/>
          </w:tcPr>
          <w:p w14:paraId="059E88BA" w14:textId="60F77502" w:rsidR="0065661C" w:rsidRPr="00CB4ED1" w:rsidRDefault="007238BE" w:rsidP="008559F5">
            <w:pPr>
              <w:pStyle w:val="tabletext"/>
              <w:rPr>
                <w:sz w:val="18"/>
                <w:szCs w:val="18"/>
              </w:rPr>
            </w:pPr>
            <w:r w:rsidRPr="00CB4ED1">
              <w:rPr>
                <w:sz w:val="18"/>
                <w:szCs w:val="18"/>
              </w:rPr>
              <w:t>Quantifiable</w:t>
            </w:r>
          </w:p>
        </w:tc>
        <w:tc>
          <w:tcPr>
            <w:tcW w:w="3028" w:type="dxa"/>
            <w:vAlign w:val="center"/>
          </w:tcPr>
          <w:p w14:paraId="294AA170" w14:textId="02EE23B2" w:rsidR="0065661C" w:rsidRPr="00CB4ED1" w:rsidRDefault="007238BE" w:rsidP="008559F5">
            <w:pPr>
              <w:pStyle w:val="tabletext"/>
              <w:rPr>
                <w:sz w:val="18"/>
                <w:szCs w:val="18"/>
              </w:rPr>
            </w:pPr>
            <w:r w:rsidRPr="00CB4ED1">
              <w:rPr>
                <w:sz w:val="18"/>
                <w:szCs w:val="18"/>
              </w:rPr>
              <w:t>Patient satisfaction scores</w:t>
            </w:r>
          </w:p>
        </w:tc>
      </w:tr>
      <w:tr w:rsidR="007F6053" w:rsidRPr="00CB4ED1" w14:paraId="0CE17881" w14:textId="77777777" w:rsidTr="008976D4">
        <w:tc>
          <w:tcPr>
            <w:tcW w:w="1525" w:type="dxa"/>
            <w:vMerge/>
            <w:vAlign w:val="center"/>
          </w:tcPr>
          <w:p w14:paraId="72E7D740" w14:textId="77777777" w:rsidR="007238BE" w:rsidRPr="00CB4ED1" w:rsidRDefault="007238BE" w:rsidP="008559F5">
            <w:pPr>
              <w:pStyle w:val="tabletext"/>
              <w:rPr>
                <w:sz w:val="18"/>
                <w:szCs w:val="18"/>
              </w:rPr>
            </w:pPr>
          </w:p>
        </w:tc>
        <w:tc>
          <w:tcPr>
            <w:tcW w:w="2654" w:type="dxa"/>
            <w:vAlign w:val="center"/>
          </w:tcPr>
          <w:p w14:paraId="43399DEC" w14:textId="06685473" w:rsidR="007238BE" w:rsidRPr="00CB4ED1" w:rsidRDefault="007238BE" w:rsidP="008559F5">
            <w:pPr>
              <w:pStyle w:val="tabletext"/>
              <w:rPr>
                <w:sz w:val="18"/>
                <w:szCs w:val="18"/>
              </w:rPr>
            </w:pPr>
            <w:r w:rsidRPr="00CB4ED1">
              <w:rPr>
                <w:sz w:val="18"/>
                <w:szCs w:val="18"/>
              </w:rPr>
              <w:t>Reduced cancellations</w:t>
            </w:r>
            <w:r w:rsidR="00F200F7" w:rsidRPr="00CB4ED1">
              <w:rPr>
                <w:sz w:val="18"/>
                <w:szCs w:val="18"/>
              </w:rPr>
              <w:t xml:space="preserve"> and </w:t>
            </w:r>
            <w:r w:rsidRPr="00CB4ED1">
              <w:rPr>
                <w:sz w:val="18"/>
                <w:szCs w:val="18"/>
              </w:rPr>
              <w:t>DNAs</w:t>
            </w:r>
          </w:p>
        </w:tc>
        <w:tc>
          <w:tcPr>
            <w:tcW w:w="1437" w:type="dxa"/>
            <w:vAlign w:val="center"/>
          </w:tcPr>
          <w:p w14:paraId="146C4153" w14:textId="6B396F08" w:rsidR="007238BE" w:rsidRPr="00CB4ED1" w:rsidRDefault="007238BE" w:rsidP="008559F5">
            <w:pPr>
              <w:pStyle w:val="tabletext"/>
              <w:rPr>
                <w:sz w:val="18"/>
                <w:szCs w:val="18"/>
              </w:rPr>
            </w:pPr>
            <w:r w:rsidRPr="00CB4ED1">
              <w:rPr>
                <w:sz w:val="18"/>
                <w:szCs w:val="18"/>
              </w:rPr>
              <w:t>Patients/Health Board</w:t>
            </w:r>
          </w:p>
        </w:tc>
        <w:tc>
          <w:tcPr>
            <w:tcW w:w="1177" w:type="dxa"/>
            <w:vAlign w:val="center"/>
          </w:tcPr>
          <w:p w14:paraId="1812D7C9" w14:textId="15657E52" w:rsidR="007238BE" w:rsidRPr="00CB4ED1" w:rsidRDefault="007238BE" w:rsidP="008559F5">
            <w:pPr>
              <w:pStyle w:val="tabletext"/>
              <w:rPr>
                <w:sz w:val="18"/>
                <w:szCs w:val="18"/>
              </w:rPr>
            </w:pPr>
            <w:r w:rsidRPr="00CB4ED1">
              <w:rPr>
                <w:sz w:val="18"/>
                <w:szCs w:val="18"/>
              </w:rPr>
              <w:t>Non-cash releasing</w:t>
            </w:r>
          </w:p>
        </w:tc>
        <w:tc>
          <w:tcPr>
            <w:tcW w:w="3028" w:type="dxa"/>
            <w:vAlign w:val="center"/>
          </w:tcPr>
          <w:p w14:paraId="25ECEA33" w14:textId="61347263" w:rsidR="007238BE" w:rsidRPr="00CB4ED1" w:rsidRDefault="00C71AED" w:rsidP="008559F5">
            <w:pPr>
              <w:pStyle w:val="tabletext"/>
              <w:rPr>
                <w:sz w:val="18"/>
                <w:szCs w:val="18"/>
              </w:rPr>
            </w:pPr>
            <w:r w:rsidRPr="00CB4ED1">
              <w:rPr>
                <w:sz w:val="18"/>
                <w:szCs w:val="18"/>
              </w:rPr>
              <w:t>Cancellations/ DNAs rate</w:t>
            </w:r>
          </w:p>
        </w:tc>
      </w:tr>
      <w:tr w:rsidR="007F6053" w:rsidRPr="00CB4ED1" w14:paraId="48C647DA" w14:textId="77777777" w:rsidTr="008976D4">
        <w:tc>
          <w:tcPr>
            <w:tcW w:w="1525" w:type="dxa"/>
            <w:vMerge/>
            <w:vAlign w:val="center"/>
          </w:tcPr>
          <w:p w14:paraId="42647817" w14:textId="77777777" w:rsidR="0065661C" w:rsidRPr="00CB4ED1" w:rsidRDefault="0065661C" w:rsidP="008559F5">
            <w:pPr>
              <w:pStyle w:val="tabletext"/>
              <w:rPr>
                <w:sz w:val="18"/>
                <w:szCs w:val="18"/>
              </w:rPr>
            </w:pPr>
          </w:p>
        </w:tc>
        <w:tc>
          <w:tcPr>
            <w:tcW w:w="2654" w:type="dxa"/>
            <w:vAlign w:val="center"/>
          </w:tcPr>
          <w:p w14:paraId="235FEA44" w14:textId="77777777" w:rsidR="0065661C" w:rsidRPr="00CB4ED1" w:rsidRDefault="0065661C" w:rsidP="008559F5">
            <w:pPr>
              <w:pStyle w:val="tabletext"/>
              <w:rPr>
                <w:sz w:val="18"/>
                <w:szCs w:val="18"/>
              </w:rPr>
            </w:pPr>
            <w:r w:rsidRPr="00CB4ED1">
              <w:rPr>
                <w:sz w:val="18"/>
                <w:szCs w:val="18"/>
              </w:rPr>
              <w:t>Reduced health inequalities</w:t>
            </w:r>
          </w:p>
        </w:tc>
        <w:tc>
          <w:tcPr>
            <w:tcW w:w="1437" w:type="dxa"/>
            <w:vAlign w:val="center"/>
          </w:tcPr>
          <w:p w14:paraId="6208FCEA" w14:textId="51E270CB" w:rsidR="0065661C" w:rsidRPr="00CB4ED1" w:rsidRDefault="00911C4E" w:rsidP="008559F5">
            <w:pPr>
              <w:pStyle w:val="tabletext"/>
              <w:rPr>
                <w:sz w:val="18"/>
                <w:szCs w:val="18"/>
              </w:rPr>
            </w:pPr>
            <w:r w:rsidRPr="00CB4ED1">
              <w:rPr>
                <w:sz w:val="18"/>
                <w:szCs w:val="18"/>
              </w:rPr>
              <w:t>Patient/Society</w:t>
            </w:r>
          </w:p>
        </w:tc>
        <w:tc>
          <w:tcPr>
            <w:tcW w:w="1177" w:type="dxa"/>
            <w:vAlign w:val="center"/>
          </w:tcPr>
          <w:p w14:paraId="5FE95963" w14:textId="4365E137" w:rsidR="0065661C" w:rsidRPr="00CB4ED1" w:rsidRDefault="0093116C" w:rsidP="008559F5">
            <w:pPr>
              <w:pStyle w:val="tabletext"/>
              <w:rPr>
                <w:sz w:val="18"/>
                <w:szCs w:val="18"/>
              </w:rPr>
            </w:pPr>
            <w:r w:rsidRPr="00CB4ED1">
              <w:rPr>
                <w:sz w:val="18"/>
                <w:szCs w:val="18"/>
              </w:rPr>
              <w:t>Qualitative</w:t>
            </w:r>
          </w:p>
        </w:tc>
        <w:tc>
          <w:tcPr>
            <w:tcW w:w="3028" w:type="dxa"/>
            <w:vAlign w:val="center"/>
          </w:tcPr>
          <w:p w14:paraId="072D2347" w14:textId="7EBCF113" w:rsidR="0065661C" w:rsidRPr="00CB4ED1" w:rsidRDefault="0093116C" w:rsidP="008559F5">
            <w:pPr>
              <w:pStyle w:val="tabletext"/>
              <w:rPr>
                <w:sz w:val="18"/>
                <w:szCs w:val="18"/>
              </w:rPr>
            </w:pPr>
            <w:r w:rsidRPr="00CB4ED1">
              <w:rPr>
                <w:sz w:val="18"/>
                <w:szCs w:val="18"/>
              </w:rPr>
              <w:t>N/A</w:t>
            </w:r>
          </w:p>
        </w:tc>
      </w:tr>
      <w:tr w:rsidR="007F6053" w:rsidRPr="00CB4ED1" w14:paraId="3574CFC9" w14:textId="77777777" w:rsidTr="008976D4">
        <w:tc>
          <w:tcPr>
            <w:tcW w:w="1525" w:type="dxa"/>
            <w:vMerge w:val="restart"/>
            <w:vAlign w:val="center"/>
          </w:tcPr>
          <w:p w14:paraId="7E91DE67" w14:textId="14EF63F7" w:rsidR="0065661C" w:rsidRPr="00CB4ED1" w:rsidRDefault="00B1429B" w:rsidP="008559F5">
            <w:pPr>
              <w:pStyle w:val="tabletext"/>
              <w:rPr>
                <w:sz w:val="18"/>
                <w:szCs w:val="18"/>
              </w:rPr>
            </w:pPr>
            <w:r w:rsidRPr="00CB4ED1">
              <w:rPr>
                <w:sz w:val="18"/>
                <w:szCs w:val="18"/>
              </w:rPr>
              <w:t>Delivering a</w:t>
            </w:r>
            <w:r w:rsidR="0065661C" w:rsidRPr="00CB4ED1">
              <w:rPr>
                <w:sz w:val="18"/>
                <w:szCs w:val="18"/>
              </w:rPr>
              <w:t xml:space="preserve"> Sustainable Workforce</w:t>
            </w:r>
          </w:p>
        </w:tc>
        <w:tc>
          <w:tcPr>
            <w:tcW w:w="2654" w:type="dxa"/>
            <w:vAlign w:val="center"/>
          </w:tcPr>
          <w:p w14:paraId="3D0E1AB7" w14:textId="7731ECFF" w:rsidR="0065661C" w:rsidRPr="00CB4ED1" w:rsidRDefault="00066551" w:rsidP="008559F5">
            <w:pPr>
              <w:pStyle w:val="tabletext"/>
              <w:rPr>
                <w:sz w:val="18"/>
                <w:szCs w:val="18"/>
              </w:rPr>
            </w:pPr>
            <w:r w:rsidRPr="00CB4ED1">
              <w:rPr>
                <w:sz w:val="18"/>
                <w:szCs w:val="18"/>
              </w:rPr>
              <w:t>Improved training pathway and increased training opportunities</w:t>
            </w:r>
          </w:p>
        </w:tc>
        <w:tc>
          <w:tcPr>
            <w:tcW w:w="1437" w:type="dxa"/>
            <w:vAlign w:val="center"/>
          </w:tcPr>
          <w:p w14:paraId="66651853" w14:textId="17C9FC34" w:rsidR="0065661C" w:rsidRPr="00CB4ED1" w:rsidRDefault="00911C4E" w:rsidP="008559F5">
            <w:pPr>
              <w:pStyle w:val="tabletext"/>
              <w:rPr>
                <w:sz w:val="18"/>
                <w:szCs w:val="18"/>
              </w:rPr>
            </w:pPr>
            <w:r w:rsidRPr="00CB4ED1">
              <w:rPr>
                <w:sz w:val="18"/>
                <w:szCs w:val="18"/>
              </w:rPr>
              <w:t>Staff</w:t>
            </w:r>
            <w:r w:rsidR="00503AF1" w:rsidRPr="00CB4ED1">
              <w:rPr>
                <w:sz w:val="18"/>
                <w:szCs w:val="18"/>
              </w:rPr>
              <w:t xml:space="preserve"> </w:t>
            </w:r>
            <w:r w:rsidRPr="00CB4ED1">
              <w:rPr>
                <w:sz w:val="18"/>
                <w:szCs w:val="18"/>
              </w:rPr>
              <w:t>/</w:t>
            </w:r>
            <w:r w:rsidR="00503AF1" w:rsidRPr="00CB4ED1">
              <w:rPr>
                <w:sz w:val="18"/>
                <w:szCs w:val="18"/>
              </w:rPr>
              <w:t xml:space="preserve"> Health Boards</w:t>
            </w:r>
          </w:p>
        </w:tc>
        <w:tc>
          <w:tcPr>
            <w:tcW w:w="1177" w:type="dxa"/>
            <w:vAlign w:val="center"/>
          </w:tcPr>
          <w:p w14:paraId="6C71BB96" w14:textId="69471107" w:rsidR="0065661C" w:rsidRPr="00CB4ED1" w:rsidRDefault="0065661C" w:rsidP="008559F5">
            <w:pPr>
              <w:pStyle w:val="tabletext"/>
              <w:rPr>
                <w:sz w:val="18"/>
                <w:szCs w:val="18"/>
              </w:rPr>
            </w:pPr>
            <w:r w:rsidRPr="00CB4ED1">
              <w:rPr>
                <w:sz w:val="18"/>
                <w:szCs w:val="18"/>
              </w:rPr>
              <w:t>Quantifiable</w:t>
            </w:r>
          </w:p>
        </w:tc>
        <w:tc>
          <w:tcPr>
            <w:tcW w:w="3028" w:type="dxa"/>
            <w:vAlign w:val="center"/>
          </w:tcPr>
          <w:p w14:paraId="6123BDB6" w14:textId="256826B8" w:rsidR="0065661C" w:rsidRPr="00CB4ED1" w:rsidRDefault="007238BE" w:rsidP="008559F5">
            <w:pPr>
              <w:pStyle w:val="tabletext"/>
              <w:rPr>
                <w:sz w:val="18"/>
                <w:szCs w:val="18"/>
              </w:rPr>
            </w:pPr>
            <w:r w:rsidRPr="00CB4ED1">
              <w:rPr>
                <w:sz w:val="18"/>
                <w:szCs w:val="18"/>
              </w:rPr>
              <w:t>N</w:t>
            </w:r>
            <w:r w:rsidR="00066551" w:rsidRPr="00CB4ED1">
              <w:rPr>
                <w:sz w:val="18"/>
                <w:szCs w:val="18"/>
              </w:rPr>
              <w:t>umber</w:t>
            </w:r>
            <w:r w:rsidR="0065661C" w:rsidRPr="00CB4ED1">
              <w:rPr>
                <w:sz w:val="18"/>
                <w:szCs w:val="18"/>
              </w:rPr>
              <w:t xml:space="preserve"> of training places</w:t>
            </w:r>
          </w:p>
        </w:tc>
      </w:tr>
      <w:tr w:rsidR="007F6053" w:rsidRPr="00CB4ED1" w14:paraId="44DD0B7E" w14:textId="77777777" w:rsidTr="008976D4">
        <w:tc>
          <w:tcPr>
            <w:tcW w:w="1525" w:type="dxa"/>
            <w:vMerge/>
            <w:vAlign w:val="center"/>
          </w:tcPr>
          <w:p w14:paraId="623148B3" w14:textId="77777777" w:rsidR="00165698" w:rsidRPr="00CB4ED1" w:rsidRDefault="00165698" w:rsidP="008559F5">
            <w:pPr>
              <w:pStyle w:val="tabletext"/>
              <w:rPr>
                <w:sz w:val="18"/>
                <w:szCs w:val="18"/>
              </w:rPr>
            </w:pPr>
          </w:p>
        </w:tc>
        <w:tc>
          <w:tcPr>
            <w:tcW w:w="2654" w:type="dxa"/>
            <w:vAlign w:val="center"/>
          </w:tcPr>
          <w:p w14:paraId="17BEDEA6" w14:textId="2ED64E0B" w:rsidR="00165698" w:rsidRPr="00CB4ED1" w:rsidRDefault="00165698" w:rsidP="008559F5">
            <w:pPr>
              <w:pStyle w:val="tabletext"/>
              <w:rPr>
                <w:sz w:val="18"/>
                <w:szCs w:val="18"/>
              </w:rPr>
            </w:pPr>
            <w:r w:rsidRPr="00CB4ED1">
              <w:rPr>
                <w:sz w:val="18"/>
                <w:szCs w:val="18"/>
              </w:rPr>
              <w:t>Increased staff satisfaction</w:t>
            </w:r>
          </w:p>
        </w:tc>
        <w:tc>
          <w:tcPr>
            <w:tcW w:w="1437" w:type="dxa"/>
            <w:vAlign w:val="center"/>
          </w:tcPr>
          <w:p w14:paraId="10703969" w14:textId="02A4C205" w:rsidR="00165698" w:rsidRPr="00CB4ED1" w:rsidRDefault="00165698" w:rsidP="008559F5">
            <w:pPr>
              <w:pStyle w:val="tabletext"/>
              <w:rPr>
                <w:sz w:val="18"/>
                <w:szCs w:val="18"/>
              </w:rPr>
            </w:pPr>
            <w:r w:rsidRPr="00CB4ED1">
              <w:rPr>
                <w:sz w:val="18"/>
                <w:szCs w:val="18"/>
              </w:rPr>
              <w:t>Staff</w:t>
            </w:r>
          </w:p>
        </w:tc>
        <w:tc>
          <w:tcPr>
            <w:tcW w:w="1177" w:type="dxa"/>
            <w:vAlign w:val="center"/>
          </w:tcPr>
          <w:p w14:paraId="3C571FFA" w14:textId="05B3EE0C" w:rsidR="00165698" w:rsidRPr="00CB4ED1" w:rsidRDefault="00165698" w:rsidP="008559F5">
            <w:pPr>
              <w:pStyle w:val="tabletext"/>
              <w:rPr>
                <w:sz w:val="18"/>
                <w:szCs w:val="18"/>
              </w:rPr>
            </w:pPr>
            <w:r w:rsidRPr="00CB4ED1">
              <w:rPr>
                <w:sz w:val="18"/>
                <w:szCs w:val="18"/>
              </w:rPr>
              <w:t>Quantifiable</w:t>
            </w:r>
          </w:p>
        </w:tc>
        <w:tc>
          <w:tcPr>
            <w:tcW w:w="3028" w:type="dxa"/>
            <w:vAlign w:val="center"/>
          </w:tcPr>
          <w:p w14:paraId="75728173" w14:textId="0EF6E53A" w:rsidR="00165698" w:rsidRPr="00CB4ED1" w:rsidRDefault="00165698" w:rsidP="008559F5">
            <w:pPr>
              <w:pStyle w:val="tabletext"/>
              <w:rPr>
                <w:sz w:val="18"/>
                <w:szCs w:val="18"/>
              </w:rPr>
            </w:pPr>
            <w:r w:rsidRPr="00CB4ED1">
              <w:rPr>
                <w:sz w:val="18"/>
                <w:szCs w:val="18"/>
              </w:rPr>
              <w:t>Staff survey scores</w:t>
            </w:r>
          </w:p>
        </w:tc>
      </w:tr>
      <w:tr w:rsidR="007F6053" w:rsidRPr="00CB4ED1" w14:paraId="17D81A50" w14:textId="77777777" w:rsidTr="008976D4">
        <w:tc>
          <w:tcPr>
            <w:tcW w:w="1525" w:type="dxa"/>
            <w:vMerge/>
            <w:vAlign w:val="center"/>
          </w:tcPr>
          <w:p w14:paraId="76F12C9F" w14:textId="77777777" w:rsidR="00076230" w:rsidRPr="00CB4ED1" w:rsidRDefault="00076230" w:rsidP="008559F5">
            <w:pPr>
              <w:pStyle w:val="tabletext"/>
              <w:rPr>
                <w:sz w:val="18"/>
                <w:szCs w:val="18"/>
              </w:rPr>
            </w:pPr>
          </w:p>
        </w:tc>
        <w:tc>
          <w:tcPr>
            <w:tcW w:w="2654" w:type="dxa"/>
            <w:vAlign w:val="center"/>
          </w:tcPr>
          <w:p w14:paraId="1D49D942" w14:textId="21B37BC3" w:rsidR="00076230" w:rsidRPr="00CB4ED1" w:rsidRDefault="00076230" w:rsidP="008559F5">
            <w:pPr>
              <w:pStyle w:val="tabletext"/>
              <w:rPr>
                <w:sz w:val="18"/>
                <w:szCs w:val="18"/>
              </w:rPr>
            </w:pPr>
            <w:r w:rsidRPr="00CB4ED1">
              <w:rPr>
                <w:sz w:val="18"/>
                <w:szCs w:val="18"/>
              </w:rPr>
              <w:t>Improved recruitment and retention</w:t>
            </w:r>
          </w:p>
        </w:tc>
        <w:tc>
          <w:tcPr>
            <w:tcW w:w="1437" w:type="dxa"/>
            <w:vAlign w:val="center"/>
          </w:tcPr>
          <w:p w14:paraId="35207871" w14:textId="7D9FAEA5" w:rsidR="00076230" w:rsidRPr="00CB4ED1" w:rsidRDefault="00076230" w:rsidP="008559F5">
            <w:pPr>
              <w:pStyle w:val="tabletext"/>
              <w:rPr>
                <w:sz w:val="18"/>
                <w:szCs w:val="18"/>
              </w:rPr>
            </w:pPr>
            <w:r w:rsidRPr="00CB4ED1">
              <w:rPr>
                <w:sz w:val="18"/>
                <w:szCs w:val="18"/>
              </w:rPr>
              <w:t>Health Board</w:t>
            </w:r>
          </w:p>
        </w:tc>
        <w:tc>
          <w:tcPr>
            <w:tcW w:w="1177" w:type="dxa"/>
            <w:vAlign w:val="center"/>
          </w:tcPr>
          <w:p w14:paraId="39B95B1F" w14:textId="71FBE2BB" w:rsidR="00076230" w:rsidRPr="00CB4ED1" w:rsidRDefault="00076230" w:rsidP="008559F5">
            <w:pPr>
              <w:pStyle w:val="tabletext"/>
              <w:rPr>
                <w:sz w:val="18"/>
                <w:szCs w:val="18"/>
              </w:rPr>
            </w:pPr>
            <w:r w:rsidRPr="00CB4ED1">
              <w:rPr>
                <w:sz w:val="18"/>
                <w:szCs w:val="18"/>
              </w:rPr>
              <w:t>Quantifiable</w:t>
            </w:r>
          </w:p>
        </w:tc>
        <w:tc>
          <w:tcPr>
            <w:tcW w:w="3028" w:type="dxa"/>
            <w:vAlign w:val="center"/>
          </w:tcPr>
          <w:p w14:paraId="67360443" w14:textId="77777777" w:rsidR="00076230" w:rsidRPr="00CB4ED1" w:rsidRDefault="00076230" w:rsidP="008559F5">
            <w:pPr>
              <w:pStyle w:val="tabletext"/>
              <w:rPr>
                <w:sz w:val="18"/>
                <w:szCs w:val="18"/>
              </w:rPr>
            </w:pPr>
            <w:r w:rsidRPr="00CB4ED1">
              <w:rPr>
                <w:sz w:val="18"/>
                <w:szCs w:val="18"/>
              </w:rPr>
              <w:t>Vacancy rates</w:t>
            </w:r>
          </w:p>
          <w:p w14:paraId="16E98676" w14:textId="1E4E6093" w:rsidR="00076230" w:rsidRPr="00CB4ED1" w:rsidRDefault="00076230" w:rsidP="008559F5">
            <w:pPr>
              <w:pStyle w:val="tabletext"/>
              <w:rPr>
                <w:sz w:val="18"/>
                <w:szCs w:val="18"/>
              </w:rPr>
            </w:pPr>
            <w:r w:rsidRPr="00CB4ED1">
              <w:rPr>
                <w:sz w:val="18"/>
                <w:szCs w:val="18"/>
              </w:rPr>
              <w:t>Staff turnover</w:t>
            </w:r>
          </w:p>
        </w:tc>
      </w:tr>
      <w:tr w:rsidR="007F6053" w:rsidRPr="00CB4ED1" w14:paraId="7B3C6EE9" w14:textId="77777777" w:rsidTr="008976D4">
        <w:tc>
          <w:tcPr>
            <w:tcW w:w="1525" w:type="dxa"/>
            <w:vMerge/>
            <w:vAlign w:val="center"/>
          </w:tcPr>
          <w:p w14:paraId="3F283CAC" w14:textId="77777777" w:rsidR="0065661C" w:rsidRPr="00CB4ED1" w:rsidRDefault="0065661C" w:rsidP="008559F5">
            <w:pPr>
              <w:pStyle w:val="tabletext"/>
              <w:rPr>
                <w:sz w:val="18"/>
                <w:szCs w:val="18"/>
              </w:rPr>
            </w:pPr>
          </w:p>
        </w:tc>
        <w:tc>
          <w:tcPr>
            <w:tcW w:w="2654" w:type="dxa"/>
            <w:vAlign w:val="center"/>
          </w:tcPr>
          <w:p w14:paraId="05AC6150" w14:textId="3EBD09E4" w:rsidR="0065661C" w:rsidRPr="00CB4ED1" w:rsidRDefault="0065661C" w:rsidP="008559F5">
            <w:pPr>
              <w:pStyle w:val="tabletext"/>
              <w:rPr>
                <w:sz w:val="18"/>
                <w:szCs w:val="18"/>
              </w:rPr>
            </w:pPr>
            <w:r w:rsidRPr="00CB4ED1">
              <w:rPr>
                <w:sz w:val="18"/>
                <w:szCs w:val="18"/>
              </w:rPr>
              <w:t xml:space="preserve">Reduced </w:t>
            </w:r>
            <w:r w:rsidR="00076230" w:rsidRPr="00CB4ED1">
              <w:rPr>
                <w:sz w:val="18"/>
                <w:szCs w:val="18"/>
              </w:rPr>
              <w:t>reliance on</w:t>
            </w:r>
            <w:r w:rsidRPr="00CB4ED1">
              <w:rPr>
                <w:sz w:val="18"/>
                <w:szCs w:val="18"/>
              </w:rPr>
              <w:t xml:space="preserve"> temporary </w:t>
            </w:r>
            <w:r w:rsidR="00076230" w:rsidRPr="00CB4ED1">
              <w:rPr>
                <w:sz w:val="18"/>
                <w:szCs w:val="18"/>
              </w:rPr>
              <w:t>staffing</w:t>
            </w:r>
            <w:r w:rsidRPr="00CB4ED1">
              <w:rPr>
                <w:sz w:val="18"/>
                <w:szCs w:val="18"/>
              </w:rPr>
              <w:t xml:space="preserve"> </w:t>
            </w:r>
          </w:p>
        </w:tc>
        <w:tc>
          <w:tcPr>
            <w:tcW w:w="1437" w:type="dxa"/>
            <w:vAlign w:val="center"/>
          </w:tcPr>
          <w:p w14:paraId="7EFBE3B6" w14:textId="19F5F4D4" w:rsidR="0065661C" w:rsidRPr="00CB4ED1" w:rsidRDefault="00503AF1" w:rsidP="008559F5">
            <w:pPr>
              <w:pStyle w:val="tabletext"/>
              <w:rPr>
                <w:sz w:val="18"/>
                <w:szCs w:val="18"/>
              </w:rPr>
            </w:pPr>
            <w:r w:rsidRPr="00CB4ED1">
              <w:rPr>
                <w:sz w:val="18"/>
                <w:szCs w:val="18"/>
              </w:rPr>
              <w:t>Health Board</w:t>
            </w:r>
          </w:p>
        </w:tc>
        <w:tc>
          <w:tcPr>
            <w:tcW w:w="1177" w:type="dxa"/>
            <w:vAlign w:val="center"/>
          </w:tcPr>
          <w:p w14:paraId="7B0E5AFE" w14:textId="2E40975F" w:rsidR="0065661C" w:rsidRPr="00CB4ED1" w:rsidRDefault="0065661C" w:rsidP="008559F5">
            <w:pPr>
              <w:pStyle w:val="tabletext"/>
              <w:rPr>
                <w:sz w:val="18"/>
                <w:szCs w:val="18"/>
              </w:rPr>
            </w:pPr>
            <w:r w:rsidRPr="00CB4ED1">
              <w:rPr>
                <w:sz w:val="18"/>
                <w:szCs w:val="18"/>
              </w:rPr>
              <w:t>Cash Releasing</w:t>
            </w:r>
          </w:p>
        </w:tc>
        <w:tc>
          <w:tcPr>
            <w:tcW w:w="3028" w:type="dxa"/>
            <w:vAlign w:val="center"/>
          </w:tcPr>
          <w:p w14:paraId="411DF0D6" w14:textId="78C914CC" w:rsidR="0065661C" w:rsidRPr="00CB4ED1" w:rsidRDefault="0065661C" w:rsidP="008559F5">
            <w:pPr>
              <w:pStyle w:val="tabletext"/>
              <w:rPr>
                <w:sz w:val="18"/>
                <w:szCs w:val="18"/>
              </w:rPr>
            </w:pPr>
            <w:r w:rsidRPr="00CB4ED1">
              <w:rPr>
                <w:sz w:val="18"/>
                <w:szCs w:val="18"/>
              </w:rPr>
              <w:t xml:space="preserve">Locum, Agency </w:t>
            </w:r>
            <w:r w:rsidR="006E1F56" w:rsidRPr="00CB4ED1">
              <w:rPr>
                <w:sz w:val="18"/>
                <w:szCs w:val="18"/>
              </w:rPr>
              <w:t xml:space="preserve">and </w:t>
            </w:r>
            <w:r w:rsidRPr="00CB4ED1">
              <w:rPr>
                <w:sz w:val="18"/>
                <w:szCs w:val="18"/>
              </w:rPr>
              <w:t>Bank</w:t>
            </w:r>
            <w:r w:rsidR="00076230" w:rsidRPr="00CB4ED1">
              <w:rPr>
                <w:sz w:val="18"/>
                <w:szCs w:val="18"/>
              </w:rPr>
              <w:t xml:space="preserve"> expenditure</w:t>
            </w:r>
          </w:p>
        </w:tc>
      </w:tr>
      <w:tr w:rsidR="007F6053" w:rsidRPr="00CB4ED1" w14:paraId="3E071DAE" w14:textId="77777777" w:rsidTr="008976D4">
        <w:tc>
          <w:tcPr>
            <w:tcW w:w="1525" w:type="dxa"/>
            <w:vMerge/>
            <w:vAlign w:val="center"/>
          </w:tcPr>
          <w:p w14:paraId="61026184" w14:textId="77777777" w:rsidR="0065661C" w:rsidRPr="00CB4ED1" w:rsidRDefault="0065661C" w:rsidP="008559F5">
            <w:pPr>
              <w:pStyle w:val="tabletext"/>
              <w:rPr>
                <w:sz w:val="18"/>
                <w:szCs w:val="18"/>
              </w:rPr>
            </w:pPr>
          </w:p>
        </w:tc>
        <w:tc>
          <w:tcPr>
            <w:tcW w:w="2654" w:type="dxa"/>
            <w:vAlign w:val="center"/>
          </w:tcPr>
          <w:p w14:paraId="3363F858" w14:textId="77777777" w:rsidR="0065661C" w:rsidRPr="00CB4ED1" w:rsidRDefault="0065661C" w:rsidP="008559F5">
            <w:pPr>
              <w:pStyle w:val="tabletext"/>
              <w:rPr>
                <w:sz w:val="18"/>
                <w:szCs w:val="18"/>
              </w:rPr>
            </w:pPr>
            <w:r w:rsidRPr="00CB4ED1">
              <w:rPr>
                <w:sz w:val="18"/>
                <w:szCs w:val="18"/>
              </w:rPr>
              <w:t>Workforce efficiencies</w:t>
            </w:r>
          </w:p>
        </w:tc>
        <w:tc>
          <w:tcPr>
            <w:tcW w:w="1437" w:type="dxa"/>
            <w:vAlign w:val="center"/>
          </w:tcPr>
          <w:p w14:paraId="6AEE1DC2" w14:textId="10554755" w:rsidR="0065661C" w:rsidRPr="00CB4ED1" w:rsidRDefault="00503AF1" w:rsidP="008559F5">
            <w:pPr>
              <w:pStyle w:val="tabletext"/>
              <w:rPr>
                <w:sz w:val="18"/>
                <w:szCs w:val="18"/>
              </w:rPr>
            </w:pPr>
            <w:r w:rsidRPr="00CB4ED1">
              <w:rPr>
                <w:sz w:val="18"/>
                <w:szCs w:val="18"/>
              </w:rPr>
              <w:t>Health Board</w:t>
            </w:r>
          </w:p>
        </w:tc>
        <w:tc>
          <w:tcPr>
            <w:tcW w:w="1177" w:type="dxa"/>
            <w:vAlign w:val="center"/>
          </w:tcPr>
          <w:p w14:paraId="358C21D7" w14:textId="32CFDA15" w:rsidR="0065661C" w:rsidRPr="00CB4ED1" w:rsidRDefault="0065661C" w:rsidP="008559F5">
            <w:pPr>
              <w:pStyle w:val="tabletext"/>
              <w:rPr>
                <w:sz w:val="18"/>
                <w:szCs w:val="18"/>
              </w:rPr>
            </w:pPr>
            <w:r w:rsidRPr="00CB4ED1">
              <w:rPr>
                <w:sz w:val="18"/>
                <w:szCs w:val="18"/>
              </w:rPr>
              <w:t>Non-cash releasing</w:t>
            </w:r>
          </w:p>
        </w:tc>
        <w:tc>
          <w:tcPr>
            <w:tcW w:w="3028" w:type="dxa"/>
            <w:vAlign w:val="center"/>
          </w:tcPr>
          <w:p w14:paraId="1D3B1752" w14:textId="6FFF7082" w:rsidR="0065661C" w:rsidRPr="00CB4ED1" w:rsidRDefault="0065661C" w:rsidP="008559F5">
            <w:pPr>
              <w:pStyle w:val="tabletext"/>
              <w:rPr>
                <w:sz w:val="18"/>
                <w:szCs w:val="18"/>
              </w:rPr>
            </w:pPr>
            <w:r w:rsidRPr="00CB4ED1">
              <w:rPr>
                <w:sz w:val="18"/>
                <w:szCs w:val="18"/>
              </w:rPr>
              <w:t>Rota efficiencies</w:t>
            </w:r>
          </w:p>
        </w:tc>
      </w:tr>
      <w:tr w:rsidR="007F6053" w:rsidRPr="00CB4ED1" w14:paraId="4A8FC00A" w14:textId="77777777" w:rsidTr="008976D4">
        <w:tc>
          <w:tcPr>
            <w:tcW w:w="1525" w:type="dxa"/>
            <w:vMerge/>
            <w:vAlign w:val="center"/>
          </w:tcPr>
          <w:p w14:paraId="672702B5" w14:textId="77777777" w:rsidR="0065661C" w:rsidRPr="00CB4ED1" w:rsidRDefault="0065661C" w:rsidP="008559F5">
            <w:pPr>
              <w:pStyle w:val="tabletext"/>
              <w:rPr>
                <w:sz w:val="18"/>
                <w:szCs w:val="18"/>
              </w:rPr>
            </w:pPr>
          </w:p>
        </w:tc>
        <w:tc>
          <w:tcPr>
            <w:tcW w:w="2654" w:type="dxa"/>
            <w:vAlign w:val="center"/>
          </w:tcPr>
          <w:p w14:paraId="5E9FC054" w14:textId="3EFBB41D" w:rsidR="0065661C" w:rsidRPr="00CB4ED1" w:rsidRDefault="007F5423" w:rsidP="008559F5">
            <w:pPr>
              <w:pStyle w:val="tabletext"/>
              <w:rPr>
                <w:sz w:val="18"/>
                <w:szCs w:val="18"/>
              </w:rPr>
            </w:pPr>
            <w:r w:rsidRPr="00CB4ED1">
              <w:rPr>
                <w:sz w:val="18"/>
                <w:szCs w:val="18"/>
              </w:rPr>
              <w:t>Opportunities to share</w:t>
            </w:r>
            <w:r w:rsidR="0065661C" w:rsidRPr="00CB4ED1">
              <w:rPr>
                <w:sz w:val="18"/>
                <w:szCs w:val="18"/>
              </w:rPr>
              <w:t xml:space="preserve"> best workforce practices across the region</w:t>
            </w:r>
          </w:p>
        </w:tc>
        <w:tc>
          <w:tcPr>
            <w:tcW w:w="1437" w:type="dxa"/>
            <w:vAlign w:val="center"/>
          </w:tcPr>
          <w:p w14:paraId="0CBB2184" w14:textId="6132AD26" w:rsidR="0065661C" w:rsidRPr="00CB4ED1" w:rsidRDefault="00503AF1" w:rsidP="008559F5">
            <w:pPr>
              <w:pStyle w:val="tabletext"/>
              <w:rPr>
                <w:sz w:val="18"/>
                <w:szCs w:val="18"/>
              </w:rPr>
            </w:pPr>
            <w:r w:rsidRPr="00CB4ED1">
              <w:rPr>
                <w:sz w:val="18"/>
                <w:szCs w:val="18"/>
              </w:rPr>
              <w:t>Region</w:t>
            </w:r>
          </w:p>
        </w:tc>
        <w:tc>
          <w:tcPr>
            <w:tcW w:w="1177" w:type="dxa"/>
            <w:vAlign w:val="center"/>
          </w:tcPr>
          <w:p w14:paraId="64DDA679" w14:textId="05FE6D7E" w:rsidR="0065661C" w:rsidRPr="00CB4ED1" w:rsidRDefault="0065661C" w:rsidP="008559F5">
            <w:pPr>
              <w:pStyle w:val="tabletext"/>
              <w:rPr>
                <w:sz w:val="18"/>
                <w:szCs w:val="18"/>
              </w:rPr>
            </w:pPr>
            <w:r w:rsidRPr="00CB4ED1">
              <w:rPr>
                <w:sz w:val="18"/>
                <w:szCs w:val="18"/>
              </w:rPr>
              <w:t>Qualitative</w:t>
            </w:r>
          </w:p>
        </w:tc>
        <w:tc>
          <w:tcPr>
            <w:tcW w:w="3028" w:type="dxa"/>
            <w:vAlign w:val="center"/>
          </w:tcPr>
          <w:p w14:paraId="39FA18A2" w14:textId="7D8FFAE2" w:rsidR="0065661C" w:rsidRPr="00CB4ED1" w:rsidRDefault="007F5423" w:rsidP="008559F5">
            <w:pPr>
              <w:pStyle w:val="tabletext"/>
              <w:rPr>
                <w:sz w:val="18"/>
                <w:szCs w:val="18"/>
              </w:rPr>
            </w:pPr>
            <w:r w:rsidRPr="00CB4ED1">
              <w:rPr>
                <w:sz w:val="18"/>
                <w:szCs w:val="18"/>
              </w:rPr>
              <w:t>N/A</w:t>
            </w:r>
          </w:p>
        </w:tc>
      </w:tr>
      <w:tr w:rsidR="007F6053" w:rsidRPr="00CB4ED1" w14:paraId="4E9E8DBC" w14:textId="77777777" w:rsidTr="008976D4">
        <w:tc>
          <w:tcPr>
            <w:tcW w:w="1525" w:type="dxa"/>
            <w:vMerge w:val="restart"/>
            <w:vAlign w:val="center"/>
          </w:tcPr>
          <w:p w14:paraId="07C71A86" w14:textId="66EA6BB8" w:rsidR="0065661C" w:rsidRPr="00CB4ED1" w:rsidRDefault="00B1429B" w:rsidP="008559F5">
            <w:pPr>
              <w:pStyle w:val="tabletext"/>
              <w:rPr>
                <w:sz w:val="18"/>
                <w:szCs w:val="18"/>
              </w:rPr>
            </w:pPr>
            <w:r w:rsidRPr="00CB4ED1">
              <w:rPr>
                <w:sz w:val="18"/>
                <w:szCs w:val="18"/>
              </w:rPr>
              <w:t>Providing a</w:t>
            </w:r>
            <w:r w:rsidR="0065661C" w:rsidRPr="00CB4ED1">
              <w:rPr>
                <w:sz w:val="18"/>
                <w:szCs w:val="18"/>
              </w:rPr>
              <w:t xml:space="preserve"> Sustainable Estate</w:t>
            </w:r>
          </w:p>
        </w:tc>
        <w:tc>
          <w:tcPr>
            <w:tcW w:w="2654" w:type="dxa"/>
            <w:vAlign w:val="center"/>
          </w:tcPr>
          <w:p w14:paraId="7C5146D1" w14:textId="1F510CC5" w:rsidR="0065661C" w:rsidRPr="00CB4ED1" w:rsidRDefault="004677D0" w:rsidP="008559F5">
            <w:pPr>
              <w:pStyle w:val="tabletext"/>
              <w:rPr>
                <w:sz w:val="18"/>
                <w:szCs w:val="18"/>
              </w:rPr>
            </w:pPr>
            <w:r w:rsidRPr="00CB4ED1">
              <w:rPr>
                <w:sz w:val="18"/>
                <w:szCs w:val="18"/>
              </w:rPr>
              <w:t>Modern fit for purpose compliant facility</w:t>
            </w:r>
          </w:p>
        </w:tc>
        <w:tc>
          <w:tcPr>
            <w:tcW w:w="1437" w:type="dxa"/>
            <w:vAlign w:val="center"/>
          </w:tcPr>
          <w:p w14:paraId="55F1E336" w14:textId="2A6B2D31" w:rsidR="0065661C" w:rsidRPr="00CB4ED1" w:rsidRDefault="00503AF1" w:rsidP="008559F5">
            <w:pPr>
              <w:pStyle w:val="tabletext"/>
              <w:rPr>
                <w:sz w:val="18"/>
                <w:szCs w:val="18"/>
              </w:rPr>
            </w:pPr>
            <w:r w:rsidRPr="00CB4ED1">
              <w:rPr>
                <w:sz w:val="18"/>
                <w:szCs w:val="18"/>
              </w:rPr>
              <w:t>Health Board</w:t>
            </w:r>
          </w:p>
        </w:tc>
        <w:tc>
          <w:tcPr>
            <w:tcW w:w="1177" w:type="dxa"/>
            <w:vAlign w:val="center"/>
          </w:tcPr>
          <w:p w14:paraId="67B1AB67" w14:textId="4009E062" w:rsidR="0065661C" w:rsidRPr="00CB4ED1" w:rsidRDefault="0065661C" w:rsidP="008559F5">
            <w:pPr>
              <w:pStyle w:val="tabletext"/>
              <w:rPr>
                <w:sz w:val="18"/>
                <w:szCs w:val="18"/>
              </w:rPr>
            </w:pPr>
            <w:r w:rsidRPr="00CB4ED1">
              <w:rPr>
                <w:sz w:val="18"/>
                <w:szCs w:val="18"/>
              </w:rPr>
              <w:t>Quantifiable</w:t>
            </w:r>
          </w:p>
        </w:tc>
        <w:tc>
          <w:tcPr>
            <w:tcW w:w="3028" w:type="dxa"/>
            <w:vAlign w:val="center"/>
          </w:tcPr>
          <w:p w14:paraId="1AA3B708" w14:textId="77777777" w:rsidR="00076230" w:rsidRPr="00CB4ED1" w:rsidRDefault="00456E89" w:rsidP="008559F5">
            <w:pPr>
              <w:pStyle w:val="tabletext"/>
              <w:rPr>
                <w:sz w:val="18"/>
                <w:szCs w:val="18"/>
              </w:rPr>
            </w:pPr>
            <w:r w:rsidRPr="00CB4ED1">
              <w:rPr>
                <w:sz w:val="18"/>
                <w:szCs w:val="18"/>
              </w:rPr>
              <w:t>W</w:t>
            </w:r>
            <w:r w:rsidR="00076230" w:rsidRPr="00CB4ED1">
              <w:rPr>
                <w:sz w:val="18"/>
                <w:szCs w:val="18"/>
              </w:rPr>
              <w:t>HBN</w:t>
            </w:r>
            <w:r w:rsidR="0065661C" w:rsidRPr="00CB4ED1">
              <w:rPr>
                <w:sz w:val="18"/>
                <w:szCs w:val="18"/>
              </w:rPr>
              <w:t>/HTMS</w:t>
            </w:r>
          </w:p>
          <w:p w14:paraId="0B3127CE" w14:textId="77777777" w:rsidR="00456E89" w:rsidRPr="00CB4ED1" w:rsidRDefault="00456E89" w:rsidP="008559F5">
            <w:pPr>
              <w:pStyle w:val="tabletext"/>
              <w:rPr>
                <w:sz w:val="18"/>
                <w:szCs w:val="18"/>
              </w:rPr>
            </w:pPr>
            <w:r w:rsidRPr="00CB4ED1">
              <w:rPr>
                <w:sz w:val="18"/>
                <w:szCs w:val="18"/>
              </w:rPr>
              <w:t>BREEAM rating</w:t>
            </w:r>
          </w:p>
          <w:p w14:paraId="5516AC59" w14:textId="71314FE4" w:rsidR="0065661C" w:rsidRPr="00CB4ED1" w:rsidRDefault="00456E89" w:rsidP="008559F5">
            <w:pPr>
              <w:pStyle w:val="tabletext"/>
              <w:rPr>
                <w:sz w:val="18"/>
                <w:szCs w:val="18"/>
              </w:rPr>
            </w:pPr>
            <w:r w:rsidRPr="00CB4ED1">
              <w:rPr>
                <w:sz w:val="18"/>
                <w:szCs w:val="18"/>
              </w:rPr>
              <w:t>Enhanced facilities</w:t>
            </w:r>
          </w:p>
        </w:tc>
      </w:tr>
      <w:tr w:rsidR="007F6053" w:rsidRPr="00CB4ED1" w14:paraId="1210B1F5" w14:textId="77777777" w:rsidTr="008976D4">
        <w:tc>
          <w:tcPr>
            <w:tcW w:w="1525" w:type="dxa"/>
            <w:vMerge/>
            <w:vAlign w:val="center"/>
          </w:tcPr>
          <w:p w14:paraId="358E7085" w14:textId="77777777" w:rsidR="0065661C" w:rsidRPr="00CB4ED1" w:rsidRDefault="0065661C" w:rsidP="008559F5">
            <w:pPr>
              <w:pStyle w:val="tabletext"/>
              <w:rPr>
                <w:sz w:val="18"/>
                <w:szCs w:val="18"/>
              </w:rPr>
            </w:pPr>
          </w:p>
        </w:tc>
        <w:tc>
          <w:tcPr>
            <w:tcW w:w="2654" w:type="dxa"/>
            <w:vAlign w:val="center"/>
          </w:tcPr>
          <w:p w14:paraId="347F789B" w14:textId="1F07FF3C" w:rsidR="0065661C" w:rsidRPr="00CB4ED1" w:rsidRDefault="00924D22" w:rsidP="008559F5">
            <w:pPr>
              <w:pStyle w:val="tabletext"/>
              <w:rPr>
                <w:sz w:val="18"/>
                <w:szCs w:val="18"/>
              </w:rPr>
            </w:pPr>
            <w:r w:rsidRPr="00CB4ED1">
              <w:rPr>
                <w:sz w:val="18"/>
                <w:szCs w:val="18"/>
              </w:rPr>
              <w:t>Reduced waste and single use products</w:t>
            </w:r>
          </w:p>
        </w:tc>
        <w:tc>
          <w:tcPr>
            <w:tcW w:w="1437" w:type="dxa"/>
            <w:vAlign w:val="center"/>
          </w:tcPr>
          <w:p w14:paraId="2629CE68" w14:textId="4E51FF0E" w:rsidR="0065661C" w:rsidRPr="00CB4ED1" w:rsidRDefault="00CB7756" w:rsidP="008559F5">
            <w:pPr>
              <w:pStyle w:val="tabletext"/>
              <w:rPr>
                <w:sz w:val="18"/>
                <w:szCs w:val="18"/>
              </w:rPr>
            </w:pPr>
            <w:r w:rsidRPr="00CB4ED1">
              <w:rPr>
                <w:sz w:val="18"/>
                <w:szCs w:val="18"/>
              </w:rPr>
              <w:t>Health Board/S</w:t>
            </w:r>
            <w:r w:rsidR="0097261E" w:rsidRPr="00CB4ED1">
              <w:rPr>
                <w:sz w:val="18"/>
                <w:szCs w:val="18"/>
              </w:rPr>
              <w:t>ociety</w:t>
            </w:r>
          </w:p>
        </w:tc>
        <w:tc>
          <w:tcPr>
            <w:tcW w:w="1177" w:type="dxa"/>
            <w:vAlign w:val="center"/>
          </w:tcPr>
          <w:p w14:paraId="6FF2DB73" w14:textId="2E361D7B" w:rsidR="0065661C" w:rsidRPr="00CB4ED1" w:rsidRDefault="00CB7756" w:rsidP="008559F5">
            <w:pPr>
              <w:pStyle w:val="tabletext"/>
              <w:rPr>
                <w:sz w:val="18"/>
                <w:szCs w:val="18"/>
              </w:rPr>
            </w:pPr>
            <w:r w:rsidRPr="00CB4ED1">
              <w:rPr>
                <w:sz w:val="18"/>
                <w:szCs w:val="18"/>
              </w:rPr>
              <w:t>Quantifiable</w:t>
            </w:r>
          </w:p>
        </w:tc>
        <w:tc>
          <w:tcPr>
            <w:tcW w:w="3028" w:type="dxa"/>
            <w:vAlign w:val="center"/>
          </w:tcPr>
          <w:p w14:paraId="2D1DE7A0" w14:textId="0D7D7C7A" w:rsidR="0065661C" w:rsidRPr="00CB4ED1" w:rsidRDefault="00C24D91" w:rsidP="008559F5">
            <w:pPr>
              <w:pStyle w:val="tabletext"/>
              <w:rPr>
                <w:sz w:val="18"/>
                <w:szCs w:val="18"/>
              </w:rPr>
            </w:pPr>
            <w:r w:rsidRPr="00CB4ED1">
              <w:rPr>
                <w:sz w:val="18"/>
                <w:szCs w:val="18"/>
              </w:rPr>
              <w:t>Waste and single use products usage</w:t>
            </w:r>
          </w:p>
        </w:tc>
      </w:tr>
      <w:tr w:rsidR="007F6053" w:rsidRPr="00CB4ED1" w14:paraId="154C8DC1" w14:textId="77777777" w:rsidTr="008976D4">
        <w:tc>
          <w:tcPr>
            <w:tcW w:w="1525" w:type="dxa"/>
            <w:vMerge/>
            <w:vAlign w:val="center"/>
          </w:tcPr>
          <w:p w14:paraId="76CCDC5F" w14:textId="77777777" w:rsidR="00753833" w:rsidRPr="00CB4ED1" w:rsidRDefault="00753833" w:rsidP="008559F5">
            <w:pPr>
              <w:pStyle w:val="tabletext"/>
              <w:rPr>
                <w:sz w:val="18"/>
                <w:szCs w:val="18"/>
              </w:rPr>
            </w:pPr>
          </w:p>
        </w:tc>
        <w:tc>
          <w:tcPr>
            <w:tcW w:w="2654" w:type="dxa"/>
            <w:vAlign w:val="center"/>
          </w:tcPr>
          <w:p w14:paraId="2C2F2C76" w14:textId="2C784392" w:rsidR="00753833" w:rsidRPr="00CB4ED1" w:rsidRDefault="00CB7756" w:rsidP="008559F5">
            <w:pPr>
              <w:pStyle w:val="tabletext"/>
              <w:rPr>
                <w:sz w:val="18"/>
                <w:szCs w:val="18"/>
              </w:rPr>
            </w:pPr>
            <w:r w:rsidRPr="00CB4ED1">
              <w:rPr>
                <w:sz w:val="18"/>
                <w:szCs w:val="18"/>
              </w:rPr>
              <w:t>Improved recycling</w:t>
            </w:r>
          </w:p>
        </w:tc>
        <w:tc>
          <w:tcPr>
            <w:tcW w:w="1437" w:type="dxa"/>
            <w:vAlign w:val="center"/>
          </w:tcPr>
          <w:p w14:paraId="28C97FC3" w14:textId="1EEDF100" w:rsidR="00753833" w:rsidRPr="00CB4ED1" w:rsidRDefault="00CB7756" w:rsidP="008559F5">
            <w:pPr>
              <w:pStyle w:val="tabletext"/>
              <w:rPr>
                <w:sz w:val="18"/>
                <w:szCs w:val="18"/>
              </w:rPr>
            </w:pPr>
            <w:r w:rsidRPr="00CB4ED1">
              <w:rPr>
                <w:sz w:val="18"/>
                <w:szCs w:val="18"/>
              </w:rPr>
              <w:t>Health Board</w:t>
            </w:r>
            <w:r w:rsidR="0097261E" w:rsidRPr="00CB4ED1">
              <w:rPr>
                <w:sz w:val="18"/>
                <w:szCs w:val="18"/>
              </w:rPr>
              <w:t>/Society</w:t>
            </w:r>
          </w:p>
        </w:tc>
        <w:tc>
          <w:tcPr>
            <w:tcW w:w="1177" w:type="dxa"/>
            <w:vAlign w:val="center"/>
          </w:tcPr>
          <w:p w14:paraId="55372DF6" w14:textId="778CE4F0" w:rsidR="00753833" w:rsidRPr="00CB4ED1" w:rsidRDefault="00CB7756" w:rsidP="008559F5">
            <w:pPr>
              <w:pStyle w:val="tabletext"/>
              <w:rPr>
                <w:sz w:val="18"/>
                <w:szCs w:val="18"/>
              </w:rPr>
            </w:pPr>
            <w:r w:rsidRPr="00CB4ED1">
              <w:rPr>
                <w:sz w:val="18"/>
                <w:szCs w:val="18"/>
              </w:rPr>
              <w:t>Quantifiable</w:t>
            </w:r>
          </w:p>
        </w:tc>
        <w:tc>
          <w:tcPr>
            <w:tcW w:w="3028" w:type="dxa"/>
            <w:vAlign w:val="center"/>
          </w:tcPr>
          <w:p w14:paraId="40EB1334" w14:textId="76FF15B6" w:rsidR="00753833" w:rsidRPr="00CB4ED1" w:rsidRDefault="00FF3999" w:rsidP="008559F5">
            <w:pPr>
              <w:pStyle w:val="tabletext"/>
              <w:rPr>
                <w:sz w:val="18"/>
                <w:szCs w:val="18"/>
              </w:rPr>
            </w:pPr>
            <w:r w:rsidRPr="00CB4ED1">
              <w:rPr>
                <w:sz w:val="18"/>
                <w:szCs w:val="18"/>
              </w:rPr>
              <w:t>Recycling rates</w:t>
            </w:r>
          </w:p>
        </w:tc>
      </w:tr>
      <w:tr w:rsidR="007F6053" w:rsidRPr="00CB4ED1" w14:paraId="6591A88D" w14:textId="77777777" w:rsidTr="008976D4">
        <w:tc>
          <w:tcPr>
            <w:tcW w:w="1525" w:type="dxa"/>
            <w:vMerge/>
            <w:vAlign w:val="center"/>
          </w:tcPr>
          <w:p w14:paraId="46828B91" w14:textId="77777777" w:rsidR="0065661C" w:rsidRPr="00CB4ED1" w:rsidRDefault="0065661C" w:rsidP="008559F5">
            <w:pPr>
              <w:pStyle w:val="tabletext"/>
              <w:rPr>
                <w:sz w:val="18"/>
                <w:szCs w:val="18"/>
              </w:rPr>
            </w:pPr>
          </w:p>
        </w:tc>
        <w:tc>
          <w:tcPr>
            <w:tcW w:w="2654" w:type="dxa"/>
            <w:vAlign w:val="center"/>
          </w:tcPr>
          <w:p w14:paraId="1931238D" w14:textId="7205402F" w:rsidR="0065661C" w:rsidRPr="00CB4ED1" w:rsidRDefault="00BD1E57" w:rsidP="008559F5">
            <w:pPr>
              <w:pStyle w:val="tabletext"/>
              <w:rPr>
                <w:sz w:val="18"/>
                <w:szCs w:val="18"/>
              </w:rPr>
            </w:pPr>
            <w:r w:rsidRPr="00CB4ED1">
              <w:rPr>
                <w:sz w:val="18"/>
                <w:szCs w:val="18"/>
              </w:rPr>
              <w:t>Contribute to decarbonisation targets with energy efficiency</w:t>
            </w:r>
          </w:p>
        </w:tc>
        <w:tc>
          <w:tcPr>
            <w:tcW w:w="1437" w:type="dxa"/>
            <w:vAlign w:val="center"/>
          </w:tcPr>
          <w:p w14:paraId="00BFC513" w14:textId="0DEAFE73" w:rsidR="0065661C" w:rsidRPr="00CB4ED1" w:rsidRDefault="001A1217" w:rsidP="008559F5">
            <w:pPr>
              <w:pStyle w:val="tabletext"/>
              <w:rPr>
                <w:sz w:val="18"/>
                <w:szCs w:val="18"/>
              </w:rPr>
            </w:pPr>
            <w:r w:rsidRPr="00CB4ED1">
              <w:rPr>
                <w:sz w:val="18"/>
                <w:szCs w:val="18"/>
              </w:rPr>
              <w:t>Health Board / Society</w:t>
            </w:r>
          </w:p>
        </w:tc>
        <w:tc>
          <w:tcPr>
            <w:tcW w:w="1177" w:type="dxa"/>
            <w:vAlign w:val="center"/>
          </w:tcPr>
          <w:p w14:paraId="0A7793F4" w14:textId="24FFB497" w:rsidR="0065661C" w:rsidRPr="00CB4ED1" w:rsidRDefault="0065661C" w:rsidP="008559F5">
            <w:pPr>
              <w:pStyle w:val="tabletext"/>
              <w:rPr>
                <w:sz w:val="18"/>
                <w:szCs w:val="18"/>
              </w:rPr>
            </w:pPr>
            <w:r w:rsidRPr="00CB4ED1">
              <w:rPr>
                <w:sz w:val="18"/>
                <w:szCs w:val="18"/>
              </w:rPr>
              <w:t>Societal</w:t>
            </w:r>
          </w:p>
        </w:tc>
        <w:tc>
          <w:tcPr>
            <w:tcW w:w="3028" w:type="dxa"/>
            <w:vAlign w:val="center"/>
          </w:tcPr>
          <w:p w14:paraId="0D2DA4F4" w14:textId="0C587448" w:rsidR="0065661C" w:rsidRPr="00CB4ED1" w:rsidRDefault="009773B6" w:rsidP="008559F5">
            <w:pPr>
              <w:pStyle w:val="tabletext"/>
              <w:rPr>
                <w:sz w:val="18"/>
                <w:szCs w:val="18"/>
              </w:rPr>
            </w:pPr>
            <w:r w:rsidRPr="00CB4ED1">
              <w:rPr>
                <w:sz w:val="18"/>
                <w:szCs w:val="18"/>
              </w:rPr>
              <w:t>Energy consumption CO2e</w:t>
            </w:r>
          </w:p>
        </w:tc>
      </w:tr>
      <w:tr w:rsidR="007F6053" w:rsidRPr="00CB4ED1" w14:paraId="202CEFE5" w14:textId="77777777" w:rsidTr="008976D4">
        <w:tc>
          <w:tcPr>
            <w:tcW w:w="1525" w:type="dxa"/>
            <w:vMerge/>
            <w:vAlign w:val="center"/>
          </w:tcPr>
          <w:p w14:paraId="5983A569" w14:textId="77777777" w:rsidR="00BD1E57" w:rsidRPr="00CB4ED1" w:rsidRDefault="00BD1E57" w:rsidP="008559F5">
            <w:pPr>
              <w:pStyle w:val="tabletext"/>
              <w:rPr>
                <w:sz w:val="18"/>
                <w:szCs w:val="18"/>
              </w:rPr>
            </w:pPr>
          </w:p>
        </w:tc>
        <w:tc>
          <w:tcPr>
            <w:tcW w:w="2654" w:type="dxa"/>
            <w:vAlign w:val="center"/>
          </w:tcPr>
          <w:p w14:paraId="2A6DA076" w14:textId="4135EA0A" w:rsidR="00BD1E57" w:rsidRPr="00CB4ED1" w:rsidRDefault="005E690F" w:rsidP="008559F5">
            <w:pPr>
              <w:pStyle w:val="tabletext"/>
              <w:rPr>
                <w:sz w:val="18"/>
                <w:szCs w:val="18"/>
              </w:rPr>
            </w:pPr>
            <w:r w:rsidRPr="00CB4ED1">
              <w:rPr>
                <w:sz w:val="18"/>
                <w:szCs w:val="18"/>
              </w:rPr>
              <w:t>Contribute to decarbonisation targets with more efficient pathway</w:t>
            </w:r>
          </w:p>
        </w:tc>
        <w:tc>
          <w:tcPr>
            <w:tcW w:w="1437" w:type="dxa"/>
            <w:vAlign w:val="center"/>
          </w:tcPr>
          <w:p w14:paraId="4AB1973F" w14:textId="2159AB1B" w:rsidR="00BD1E57" w:rsidRPr="00CB4ED1" w:rsidRDefault="005E690F" w:rsidP="008559F5">
            <w:pPr>
              <w:pStyle w:val="tabletext"/>
              <w:rPr>
                <w:sz w:val="18"/>
                <w:szCs w:val="18"/>
              </w:rPr>
            </w:pPr>
            <w:r w:rsidRPr="00CB4ED1">
              <w:rPr>
                <w:sz w:val="18"/>
                <w:szCs w:val="18"/>
              </w:rPr>
              <w:t>Health Board / Society</w:t>
            </w:r>
          </w:p>
        </w:tc>
        <w:tc>
          <w:tcPr>
            <w:tcW w:w="1177" w:type="dxa"/>
            <w:vAlign w:val="center"/>
          </w:tcPr>
          <w:p w14:paraId="1A043790" w14:textId="0805E39C" w:rsidR="00BD1E57" w:rsidRPr="00CB4ED1" w:rsidRDefault="005E690F" w:rsidP="008559F5">
            <w:pPr>
              <w:pStyle w:val="tabletext"/>
              <w:rPr>
                <w:sz w:val="18"/>
                <w:szCs w:val="18"/>
              </w:rPr>
            </w:pPr>
            <w:r w:rsidRPr="00CB4ED1">
              <w:rPr>
                <w:sz w:val="18"/>
                <w:szCs w:val="18"/>
              </w:rPr>
              <w:t>Societal</w:t>
            </w:r>
          </w:p>
        </w:tc>
        <w:tc>
          <w:tcPr>
            <w:tcW w:w="3028" w:type="dxa"/>
            <w:vAlign w:val="center"/>
          </w:tcPr>
          <w:p w14:paraId="2ED44377" w14:textId="3C22CF16" w:rsidR="00BD1E57" w:rsidRPr="00CB4ED1" w:rsidRDefault="009773B6" w:rsidP="008559F5">
            <w:pPr>
              <w:pStyle w:val="tabletext"/>
              <w:rPr>
                <w:sz w:val="18"/>
                <w:szCs w:val="18"/>
              </w:rPr>
            </w:pPr>
            <w:r w:rsidRPr="00CB4ED1">
              <w:rPr>
                <w:sz w:val="18"/>
                <w:szCs w:val="18"/>
              </w:rPr>
              <w:t>CO2e reductions</w:t>
            </w:r>
          </w:p>
        </w:tc>
      </w:tr>
      <w:tr w:rsidR="007F6053" w:rsidRPr="00CB4ED1" w14:paraId="4BC902AD" w14:textId="77777777" w:rsidTr="008976D4">
        <w:tc>
          <w:tcPr>
            <w:tcW w:w="1525" w:type="dxa"/>
            <w:vMerge/>
            <w:vAlign w:val="center"/>
          </w:tcPr>
          <w:p w14:paraId="32F8C892" w14:textId="77777777" w:rsidR="0065661C" w:rsidRPr="00CB4ED1" w:rsidRDefault="0065661C" w:rsidP="008559F5">
            <w:pPr>
              <w:pStyle w:val="tabletext"/>
              <w:rPr>
                <w:sz w:val="18"/>
                <w:szCs w:val="18"/>
              </w:rPr>
            </w:pPr>
          </w:p>
        </w:tc>
        <w:tc>
          <w:tcPr>
            <w:tcW w:w="2654" w:type="dxa"/>
            <w:vAlign w:val="center"/>
          </w:tcPr>
          <w:p w14:paraId="0D33626F" w14:textId="3ABD7ED5" w:rsidR="0065661C" w:rsidRPr="00CB4ED1" w:rsidRDefault="00023C15" w:rsidP="008559F5">
            <w:pPr>
              <w:pStyle w:val="tabletext"/>
              <w:rPr>
                <w:sz w:val="18"/>
                <w:szCs w:val="18"/>
              </w:rPr>
            </w:pPr>
            <w:r w:rsidRPr="00CB4ED1">
              <w:rPr>
                <w:sz w:val="18"/>
                <w:szCs w:val="18"/>
              </w:rPr>
              <w:t>Provides opportunity for future expansion</w:t>
            </w:r>
          </w:p>
        </w:tc>
        <w:tc>
          <w:tcPr>
            <w:tcW w:w="1437" w:type="dxa"/>
            <w:vAlign w:val="center"/>
          </w:tcPr>
          <w:p w14:paraId="75AAD008" w14:textId="5776A801" w:rsidR="0065661C" w:rsidRPr="00CB4ED1" w:rsidRDefault="001A1217" w:rsidP="008559F5">
            <w:pPr>
              <w:pStyle w:val="tabletext"/>
              <w:rPr>
                <w:sz w:val="18"/>
                <w:szCs w:val="18"/>
              </w:rPr>
            </w:pPr>
            <w:r w:rsidRPr="00CB4ED1">
              <w:rPr>
                <w:sz w:val="18"/>
                <w:szCs w:val="18"/>
              </w:rPr>
              <w:t>Health Boards</w:t>
            </w:r>
          </w:p>
        </w:tc>
        <w:tc>
          <w:tcPr>
            <w:tcW w:w="1177" w:type="dxa"/>
            <w:vAlign w:val="center"/>
          </w:tcPr>
          <w:p w14:paraId="1D39F59B" w14:textId="3CAA8B32" w:rsidR="0065661C" w:rsidRPr="00CB4ED1" w:rsidRDefault="0065661C" w:rsidP="008559F5">
            <w:pPr>
              <w:pStyle w:val="tabletext"/>
              <w:rPr>
                <w:sz w:val="18"/>
                <w:szCs w:val="18"/>
              </w:rPr>
            </w:pPr>
            <w:r w:rsidRPr="00CB4ED1">
              <w:rPr>
                <w:sz w:val="18"/>
                <w:szCs w:val="18"/>
              </w:rPr>
              <w:t>Qualitative</w:t>
            </w:r>
          </w:p>
        </w:tc>
        <w:tc>
          <w:tcPr>
            <w:tcW w:w="3028" w:type="dxa"/>
            <w:vAlign w:val="center"/>
          </w:tcPr>
          <w:p w14:paraId="0753E431" w14:textId="1BA66A2B" w:rsidR="0065661C" w:rsidRPr="00CB4ED1" w:rsidRDefault="0065661C" w:rsidP="008559F5">
            <w:pPr>
              <w:pStyle w:val="tabletext"/>
              <w:rPr>
                <w:sz w:val="18"/>
                <w:szCs w:val="18"/>
              </w:rPr>
            </w:pPr>
            <w:r w:rsidRPr="00CB4ED1">
              <w:rPr>
                <w:sz w:val="18"/>
                <w:szCs w:val="18"/>
              </w:rPr>
              <w:t>NA</w:t>
            </w:r>
          </w:p>
        </w:tc>
      </w:tr>
    </w:tbl>
    <w:p w14:paraId="173B4117" w14:textId="518AD9E1" w:rsidR="00963765" w:rsidRPr="00CB4ED1" w:rsidRDefault="00963765" w:rsidP="00930B1F">
      <w:pPr>
        <w:pStyle w:val="NoSpacing"/>
      </w:pPr>
    </w:p>
    <w:p w14:paraId="0E2040FE" w14:textId="777959EF" w:rsidR="00B505FD" w:rsidRPr="00CB4ED1" w:rsidRDefault="00B505FD" w:rsidP="00BB6473">
      <w:r w:rsidRPr="00CB4ED1">
        <w:t>The quantification of these benefits is explored within section 7.6 of the Economic Case and realisation plans outlined in section 10.6 of the Management Case.</w:t>
      </w:r>
    </w:p>
    <w:p w14:paraId="35AD3754" w14:textId="77777777" w:rsidR="00930B1F" w:rsidRPr="00CB4ED1" w:rsidRDefault="00930B1F" w:rsidP="00930B1F">
      <w:pPr>
        <w:pStyle w:val="NoSpacing"/>
      </w:pPr>
    </w:p>
    <w:p w14:paraId="5C250533" w14:textId="5C93C45B" w:rsidR="00FA5AD7" w:rsidRPr="00CB4ED1" w:rsidRDefault="00692703" w:rsidP="00FA5AD7">
      <w:pPr>
        <w:pStyle w:val="Heading2"/>
      </w:pPr>
      <w:bookmarkStart w:id="145" w:name="_Toc213865230"/>
      <w:r w:rsidRPr="00CB4ED1">
        <w:t xml:space="preserve">Main </w:t>
      </w:r>
      <w:r w:rsidR="00930B1F" w:rsidRPr="00CB4ED1">
        <w:t>risks</w:t>
      </w:r>
      <w:bookmarkEnd w:id="145"/>
    </w:p>
    <w:p w14:paraId="134558BC" w14:textId="51966067" w:rsidR="00FA5AD7" w:rsidRPr="00CB4ED1" w:rsidRDefault="00FA5AD7" w:rsidP="00FD47B2">
      <w:r w:rsidRPr="00CB4ED1">
        <w:t>Risk is the possibility of a negative event oc</w:t>
      </w:r>
      <w:r w:rsidR="00A62AEC" w:rsidRPr="00CB4ED1">
        <w:t>c</w:t>
      </w:r>
      <w:r w:rsidRPr="00CB4ED1">
        <w:t xml:space="preserve">urring that adversely impacts on the success of the delivery of the project and its benefits. Identifying, mitigating and managing the key risks is crucial to successful delivery, since the key risks are likely to be that the project will not deliver its intended outcomes and benefits within the anticipated timescales and spend. </w:t>
      </w:r>
    </w:p>
    <w:p w14:paraId="2CC41641" w14:textId="73CC00B1" w:rsidR="00AE4D1E" w:rsidRPr="00CB4ED1" w:rsidRDefault="00AE4D1E" w:rsidP="00AE4D1E">
      <w:r w:rsidRPr="00CB4ED1">
        <w:t xml:space="preserve">The full quantified capital programme risk register can be found in </w:t>
      </w:r>
      <w:r w:rsidRPr="00E67800">
        <w:t xml:space="preserve">Appendix </w:t>
      </w:r>
      <w:r w:rsidR="00EC05B5" w:rsidRPr="00E67800">
        <w:t>6</w:t>
      </w:r>
      <w:r w:rsidRPr="00CB4ED1">
        <w:t xml:space="preserve"> and informs the planning contingency.  An operational / revenue risk register is also developed to cover those risks that do not have capital implications. </w:t>
      </w:r>
    </w:p>
    <w:p w14:paraId="409E7519" w14:textId="17DE9E67" w:rsidR="00137649" w:rsidRPr="00CB4ED1" w:rsidRDefault="00AE4D1E" w:rsidP="00FD47B2">
      <w:r w:rsidRPr="00CB4ED1">
        <w:t>T</w:t>
      </w:r>
      <w:r w:rsidR="00137649" w:rsidRPr="00CB4ED1">
        <w:t>he currently ident</w:t>
      </w:r>
      <w:r w:rsidR="00815435" w:rsidRPr="00CB4ED1">
        <w:t>i</w:t>
      </w:r>
      <w:r w:rsidR="00137649" w:rsidRPr="00CB4ED1">
        <w:t>fied top programme and infrastructure risks are as set out in the table below:</w:t>
      </w:r>
    </w:p>
    <w:p w14:paraId="209A246A" w14:textId="46C59292" w:rsidR="00930B1F" w:rsidRDefault="00930B1F" w:rsidP="00930B1F">
      <w:pPr>
        <w:pStyle w:val="Caption"/>
        <w:rPr>
          <w:noProof w:val="0"/>
        </w:rPr>
      </w:pPr>
      <w:bookmarkStart w:id="146" w:name="_Toc213865291"/>
      <w:r w:rsidRPr="00CB4ED1">
        <w:rPr>
          <w:noProof w:val="0"/>
        </w:rPr>
        <w:t xml:space="preserve">Table </w:t>
      </w:r>
      <w:r w:rsidRPr="00CB4ED1">
        <w:rPr>
          <w:noProof w:val="0"/>
        </w:rPr>
        <w:fldChar w:fldCharType="begin"/>
      </w:r>
      <w:r w:rsidRPr="00CB4ED1">
        <w:rPr>
          <w:noProof w:val="0"/>
        </w:rPr>
        <w:instrText xml:space="preserve"> SEQ Table \* ARABIC </w:instrText>
      </w:r>
      <w:r w:rsidRPr="00CB4ED1">
        <w:rPr>
          <w:noProof w:val="0"/>
        </w:rPr>
        <w:fldChar w:fldCharType="separate"/>
      </w:r>
      <w:r w:rsidR="004A33ED">
        <w:t>11</w:t>
      </w:r>
      <w:r w:rsidRPr="00CB4ED1">
        <w:rPr>
          <w:noProof w:val="0"/>
        </w:rPr>
        <w:fldChar w:fldCharType="end"/>
      </w:r>
      <w:r w:rsidRPr="00CB4ED1">
        <w:rPr>
          <w:noProof w:val="0"/>
        </w:rPr>
        <w:t xml:space="preserve"> - Top risks</w:t>
      </w:r>
      <w:bookmarkEnd w:id="146"/>
    </w:p>
    <w:tbl>
      <w:tblPr>
        <w:tblStyle w:val="TableGrid"/>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5637"/>
        <w:gridCol w:w="1581"/>
        <w:gridCol w:w="1582"/>
        <w:gridCol w:w="1021"/>
      </w:tblGrid>
      <w:tr w:rsidR="00441E9C" w:rsidRPr="00441E9C" w14:paraId="31475660" w14:textId="77777777" w:rsidTr="00441E9C">
        <w:tc>
          <w:tcPr>
            <w:tcW w:w="5637" w:type="dxa"/>
            <w:shd w:val="clear" w:color="auto" w:fill="374264"/>
            <w:vAlign w:val="center"/>
          </w:tcPr>
          <w:p w14:paraId="2277B024" w14:textId="77777777" w:rsidR="00441E9C" w:rsidRPr="00441E9C" w:rsidRDefault="00441E9C" w:rsidP="00441E9C">
            <w:pPr>
              <w:pStyle w:val="tabletext"/>
              <w:rPr>
                <w:b/>
                <w:bCs/>
                <w:color w:val="FFFFFF" w:themeColor="background1"/>
              </w:rPr>
            </w:pPr>
            <w:r w:rsidRPr="00441E9C">
              <w:rPr>
                <w:b/>
                <w:bCs/>
                <w:color w:val="FFFFFF" w:themeColor="background1"/>
              </w:rPr>
              <w:t>Risk Description</w:t>
            </w:r>
          </w:p>
        </w:tc>
        <w:tc>
          <w:tcPr>
            <w:tcW w:w="1581" w:type="dxa"/>
            <w:shd w:val="clear" w:color="auto" w:fill="374264"/>
            <w:vAlign w:val="center"/>
          </w:tcPr>
          <w:p w14:paraId="64AD088D" w14:textId="77777777" w:rsidR="00441E9C" w:rsidRPr="00441E9C" w:rsidRDefault="00441E9C" w:rsidP="00441E9C">
            <w:pPr>
              <w:pStyle w:val="tabletext"/>
              <w:jc w:val="center"/>
              <w:rPr>
                <w:b/>
                <w:bCs/>
                <w:color w:val="FFFFFF" w:themeColor="background1"/>
              </w:rPr>
            </w:pPr>
            <w:r w:rsidRPr="00441E9C">
              <w:rPr>
                <w:b/>
                <w:bCs/>
                <w:color w:val="FFFFFF" w:themeColor="background1"/>
              </w:rPr>
              <w:t>Consequence</w:t>
            </w:r>
          </w:p>
        </w:tc>
        <w:tc>
          <w:tcPr>
            <w:tcW w:w="1582" w:type="dxa"/>
            <w:shd w:val="clear" w:color="auto" w:fill="374264"/>
            <w:vAlign w:val="center"/>
          </w:tcPr>
          <w:p w14:paraId="5D2E0142" w14:textId="77777777" w:rsidR="00441E9C" w:rsidRPr="00441E9C" w:rsidRDefault="00441E9C" w:rsidP="00441E9C">
            <w:pPr>
              <w:pStyle w:val="tabletext"/>
              <w:jc w:val="center"/>
              <w:rPr>
                <w:b/>
                <w:bCs/>
                <w:color w:val="FFFFFF" w:themeColor="background1"/>
              </w:rPr>
            </w:pPr>
            <w:r w:rsidRPr="00441E9C">
              <w:rPr>
                <w:b/>
                <w:bCs/>
                <w:color w:val="FFFFFF" w:themeColor="background1"/>
              </w:rPr>
              <w:t>Likelihood</w:t>
            </w:r>
          </w:p>
        </w:tc>
        <w:tc>
          <w:tcPr>
            <w:tcW w:w="1021" w:type="dxa"/>
            <w:shd w:val="clear" w:color="auto" w:fill="374264"/>
            <w:vAlign w:val="center"/>
          </w:tcPr>
          <w:p w14:paraId="48F31A5E" w14:textId="77777777" w:rsidR="00441E9C" w:rsidRPr="00441E9C" w:rsidRDefault="00441E9C" w:rsidP="00441E9C">
            <w:pPr>
              <w:pStyle w:val="tabletext"/>
              <w:jc w:val="center"/>
              <w:rPr>
                <w:b/>
                <w:bCs/>
                <w:color w:val="FFFFFF" w:themeColor="background1"/>
              </w:rPr>
            </w:pPr>
            <w:r w:rsidRPr="00441E9C">
              <w:rPr>
                <w:b/>
                <w:bCs/>
                <w:color w:val="FFFFFF" w:themeColor="background1"/>
              </w:rPr>
              <w:t>Risk</w:t>
            </w:r>
          </w:p>
        </w:tc>
      </w:tr>
      <w:tr w:rsidR="00441E9C" w14:paraId="69730CBB" w14:textId="77777777" w:rsidTr="00441E9C">
        <w:tc>
          <w:tcPr>
            <w:tcW w:w="5637" w:type="dxa"/>
            <w:vAlign w:val="center"/>
          </w:tcPr>
          <w:p w14:paraId="18C96CA1" w14:textId="77777777" w:rsidR="00441E9C" w:rsidRPr="00E43219" w:rsidRDefault="00441E9C" w:rsidP="00441E9C">
            <w:pPr>
              <w:pStyle w:val="tabletext"/>
            </w:pPr>
            <w:r w:rsidRPr="00D71F84">
              <w:t>Approval of SAB resubmission required to support the building phasing</w:t>
            </w:r>
          </w:p>
        </w:tc>
        <w:tc>
          <w:tcPr>
            <w:tcW w:w="1581" w:type="dxa"/>
            <w:vAlign w:val="center"/>
          </w:tcPr>
          <w:p w14:paraId="02592878" w14:textId="77777777" w:rsidR="00441E9C" w:rsidRPr="00E43219" w:rsidRDefault="00441E9C" w:rsidP="00441E9C">
            <w:pPr>
              <w:pStyle w:val="tabletext"/>
              <w:jc w:val="center"/>
            </w:pPr>
            <w:r>
              <w:t>4</w:t>
            </w:r>
          </w:p>
        </w:tc>
        <w:tc>
          <w:tcPr>
            <w:tcW w:w="1582" w:type="dxa"/>
            <w:vAlign w:val="center"/>
          </w:tcPr>
          <w:p w14:paraId="31723E1D" w14:textId="77777777" w:rsidR="00441E9C" w:rsidRPr="00E43219" w:rsidRDefault="00441E9C" w:rsidP="00441E9C">
            <w:pPr>
              <w:pStyle w:val="tabletext"/>
              <w:jc w:val="center"/>
            </w:pPr>
            <w:r>
              <w:t>3</w:t>
            </w:r>
          </w:p>
        </w:tc>
        <w:tc>
          <w:tcPr>
            <w:tcW w:w="1021" w:type="dxa"/>
            <w:shd w:val="clear" w:color="auto" w:fill="FFC000"/>
            <w:vAlign w:val="center"/>
          </w:tcPr>
          <w:p w14:paraId="06C5B30F" w14:textId="77777777" w:rsidR="00441E9C" w:rsidRPr="00E43219" w:rsidRDefault="00441E9C" w:rsidP="00441E9C">
            <w:pPr>
              <w:pStyle w:val="tabletext"/>
              <w:jc w:val="center"/>
            </w:pPr>
            <w:r>
              <w:t>12</w:t>
            </w:r>
          </w:p>
        </w:tc>
      </w:tr>
      <w:tr w:rsidR="00441E9C" w14:paraId="74B0FAEE" w14:textId="77777777" w:rsidTr="00441E9C">
        <w:tc>
          <w:tcPr>
            <w:tcW w:w="5637" w:type="dxa"/>
            <w:vAlign w:val="center"/>
          </w:tcPr>
          <w:p w14:paraId="7DBC4A4E" w14:textId="77777777" w:rsidR="00441E9C" w:rsidRPr="00F06341" w:rsidRDefault="00441E9C" w:rsidP="00441E9C">
            <w:pPr>
              <w:pStyle w:val="tabletext"/>
            </w:pPr>
            <w:r>
              <w:t>Regional healthcare stakeholder engagement</w:t>
            </w:r>
          </w:p>
        </w:tc>
        <w:tc>
          <w:tcPr>
            <w:tcW w:w="1581" w:type="dxa"/>
            <w:vAlign w:val="center"/>
          </w:tcPr>
          <w:p w14:paraId="3B7B9383" w14:textId="77777777" w:rsidR="00441E9C" w:rsidRDefault="00441E9C" w:rsidP="00441E9C">
            <w:pPr>
              <w:pStyle w:val="tabletext"/>
              <w:jc w:val="center"/>
            </w:pPr>
            <w:r>
              <w:t>4</w:t>
            </w:r>
          </w:p>
        </w:tc>
        <w:tc>
          <w:tcPr>
            <w:tcW w:w="1582" w:type="dxa"/>
            <w:vAlign w:val="center"/>
          </w:tcPr>
          <w:p w14:paraId="0ED6E820" w14:textId="77777777" w:rsidR="00441E9C" w:rsidRDefault="00441E9C" w:rsidP="00441E9C">
            <w:pPr>
              <w:pStyle w:val="tabletext"/>
              <w:jc w:val="center"/>
            </w:pPr>
            <w:r>
              <w:t>3</w:t>
            </w:r>
          </w:p>
        </w:tc>
        <w:tc>
          <w:tcPr>
            <w:tcW w:w="1021" w:type="dxa"/>
            <w:shd w:val="clear" w:color="auto" w:fill="FFC000"/>
            <w:vAlign w:val="center"/>
          </w:tcPr>
          <w:p w14:paraId="6593DDCD" w14:textId="77777777" w:rsidR="00441E9C" w:rsidRDefault="00441E9C" w:rsidP="00441E9C">
            <w:pPr>
              <w:pStyle w:val="tabletext"/>
              <w:jc w:val="center"/>
            </w:pPr>
            <w:r>
              <w:t>12</w:t>
            </w:r>
          </w:p>
        </w:tc>
      </w:tr>
      <w:tr w:rsidR="00441E9C" w14:paraId="7F1DC853" w14:textId="77777777" w:rsidTr="00441E9C">
        <w:tc>
          <w:tcPr>
            <w:tcW w:w="5637" w:type="dxa"/>
            <w:vAlign w:val="center"/>
          </w:tcPr>
          <w:p w14:paraId="44976729" w14:textId="77777777" w:rsidR="00441E9C" w:rsidRPr="00F06341" w:rsidRDefault="00441E9C" w:rsidP="00441E9C">
            <w:pPr>
              <w:pStyle w:val="tabletext"/>
            </w:pPr>
            <w:r>
              <w:t>Unable to progress RDS/Clinical reviews at the pace required due to lack of clinician availability</w:t>
            </w:r>
          </w:p>
        </w:tc>
        <w:tc>
          <w:tcPr>
            <w:tcW w:w="1581" w:type="dxa"/>
            <w:vAlign w:val="center"/>
          </w:tcPr>
          <w:p w14:paraId="7F5D5C8B" w14:textId="77777777" w:rsidR="00441E9C" w:rsidRDefault="00441E9C" w:rsidP="00441E9C">
            <w:pPr>
              <w:pStyle w:val="tabletext"/>
              <w:jc w:val="center"/>
            </w:pPr>
            <w:r>
              <w:t>4</w:t>
            </w:r>
          </w:p>
        </w:tc>
        <w:tc>
          <w:tcPr>
            <w:tcW w:w="1582" w:type="dxa"/>
            <w:vAlign w:val="center"/>
          </w:tcPr>
          <w:p w14:paraId="3BB439BB" w14:textId="77777777" w:rsidR="00441E9C" w:rsidRDefault="00441E9C" w:rsidP="00441E9C">
            <w:pPr>
              <w:pStyle w:val="tabletext"/>
              <w:jc w:val="center"/>
            </w:pPr>
            <w:r>
              <w:t>3</w:t>
            </w:r>
          </w:p>
        </w:tc>
        <w:tc>
          <w:tcPr>
            <w:tcW w:w="1021" w:type="dxa"/>
            <w:shd w:val="clear" w:color="auto" w:fill="FFC000"/>
            <w:vAlign w:val="center"/>
          </w:tcPr>
          <w:p w14:paraId="0C1790E1" w14:textId="77777777" w:rsidR="00441E9C" w:rsidRDefault="00441E9C" w:rsidP="00441E9C">
            <w:pPr>
              <w:pStyle w:val="tabletext"/>
              <w:jc w:val="center"/>
            </w:pPr>
            <w:r>
              <w:t>12</w:t>
            </w:r>
          </w:p>
        </w:tc>
      </w:tr>
      <w:tr w:rsidR="00441E9C" w14:paraId="18F4B7C1" w14:textId="77777777" w:rsidTr="00441E9C">
        <w:tc>
          <w:tcPr>
            <w:tcW w:w="5637" w:type="dxa"/>
            <w:vAlign w:val="center"/>
          </w:tcPr>
          <w:p w14:paraId="349B0805" w14:textId="77777777" w:rsidR="00441E9C" w:rsidRPr="00E43219" w:rsidRDefault="00441E9C" w:rsidP="00441E9C">
            <w:pPr>
              <w:pStyle w:val="tabletext"/>
            </w:pPr>
            <w:r w:rsidRPr="00F06341">
              <w:t>Regional engagement to facilitate development of clinically led model</w:t>
            </w:r>
          </w:p>
        </w:tc>
        <w:tc>
          <w:tcPr>
            <w:tcW w:w="1581" w:type="dxa"/>
            <w:vAlign w:val="center"/>
          </w:tcPr>
          <w:p w14:paraId="3A8F8900" w14:textId="77777777" w:rsidR="00441E9C" w:rsidRPr="00E43219" w:rsidRDefault="00441E9C" w:rsidP="00441E9C">
            <w:pPr>
              <w:pStyle w:val="tabletext"/>
              <w:jc w:val="center"/>
            </w:pPr>
            <w:r>
              <w:t>5</w:t>
            </w:r>
          </w:p>
        </w:tc>
        <w:tc>
          <w:tcPr>
            <w:tcW w:w="1582" w:type="dxa"/>
            <w:vAlign w:val="center"/>
          </w:tcPr>
          <w:p w14:paraId="2F878F08" w14:textId="77777777" w:rsidR="00441E9C" w:rsidRPr="00E43219" w:rsidRDefault="00441E9C" w:rsidP="00441E9C">
            <w:pPr>
              <w:pStyle w:val="tabletext"/>
              <w:jc w:val="center"/>
            </w:pPr>
            <w:r>
              <w:t>2</w:t>
            </w:r>
          </w:p>
        </w:tc>
        <w:tc>
          <w:tcPr>
            <w:tcW w:w="1021" w:type="dxa"/>
            <w:shd w:val="clear" w:color="auto" w:fill="FFC000"/>
            <w:vAlign w:val="center"/>
          </w:tcPr>
          <w:p w14:paraId="7E86EB10" w14:textId="77777777" w:rsidR="00441E9C" w:rsidRPr="00E43219" w:rsidRDefault="00441E9C" w:rsidP="00441E9C">
            <w:pPr>
              <w:pStyle w:val="tabletext"/>
              <w:jc w:val="center"/>
            </w:pPr>
            <w:r>
              <w:t>10</w:t>
            </w:r>
          </w:p>
        </w:tc>
      </w:tr>
      <w:tr w:rsidR="00441E9C" w14:paraId="007A69A9" w14:textId="77777777" w:rsidTr="00441E9C">
        <w:tc>
          <w:tcPr>
            <w:tcW w:w="5637" w:type="dxa"/>
            <w:vAlign w:val="center"/>
          </w:tcPr>
          <w:p w14:paraId="7F3A3329" w14:textId="77777777" w:rsidR="00441E9C" w:rsidRPr="00E43219" w:rsidRDefault="00441E9C" w:rsidP="00441E9C">
            <w:pPr>
              <w:pStyle w:val="tabletext"/>
            </w:pPr>
            <w:r>
              <w:t>Welsh Government approval of OBC</w:t>
            </w:r>
          </w:p>
        </w:tc>
        <w:tc>
          <w:tcPr>
            <w:tcW w:w="1581" w:type="dxa"/>
            <w:vAlign w:val="center"/>
          </w:tcPr>
          <w:p w14:paraId="76C9BA1B" w14:textId="77777777" w:rsidR="00441E9C" w:rsidRPr="00E43219" w:rsidRDefault="00441E9C" w:rsidP="00441E9C">
            <w:pPr>
              <w:pStyle w:val="tabletext"/>
              <w:jc w:val="center"/>
            </w:pPr>
            <w:r>
              <w:t>5</w:t>
            </w:r>
          </w:p>
        </w:tc>
        <w:tc>
          <w:tcPr>
            <w:tcW w:w="1582" w:type="dxa"/>
            <w:vAlign w:val="center"/>
          </w:tcPr>
          <w:p w14:paraId="33F594B9" w14:textId="77777777" w:rsidR="00441E9C" w:rsidRPr="00E43219" w:rsidRDefault="00441E9C" w:rsidP="00441E9C">
            <w:pPr>
              <w:pStyle w:val="tabletext"/>
              <w:jc w:val="center"/>
            </w:pPr>
            <w:r>
              <w:t>2</w:t>
            </w:r>
          </w:p>
        </w:tc>
        <w:tc>
          <w:tcPr>
            <w:tcW w:w="1021" w:type="dxa"/>
            <w:shd w:val="clear" w:color="auto" w:fill="FFC000"/>
            <w:vAlign w:val="center"/>
          </w:tcPr>
          <w:p w14:paraId="6F573ADF" w14:textId="77777777" w:rsidR="00441E9C" w:rsidRPr="00E43219" w:rsidRDefault="00441E9C" w:rsidP="00441E9C">
            <w:pPr>
              <w:pStyle w:val="tabletext"/>
              <w:jc w:val="center"/>
            </w:pPr>
            <w:r>
              <w:t>10</w:t>
            </w:r>
          </w:p>
        </w:tc>
      </w:tr>
    </w:tbl>
    <w:p w14:paraId="7F55F1A8" w14:textId="77777777" w:rsidR="00441E9C" w:rsidRPr="00441E9C" w:rsidRDefault="00441E9C" w:rsidP="00441E9C"/>
    <w:p w14:paraId="6ADA4270" w14:textId="46192870" w:rsidR="00376CB3" w:rsidRPr="00CB4ED1" w:rsidRDefault="00376CB3" w:rsidP="00376CB3">
      <w:pPr>
        <w:pStyle w:val="Heading2"/>
      </w:pPr>
      <w:bookmarkStart w:id="147" w:name="_Toc213865231"/>
      <w:r w:rsidRPr="00CB4ED1">
        <w:t>Constraints</w:t>
      </w:r>
      <w:bookmarkEnd w:id="147"/>
    </w:p>
    <w:p w14:paraId="5233AB10" w14:textId="2BBAB198" w:rsidR="00376CB3" w:rsidRPr="00CB4ED1" w:rsidRDefault="00376CB3" w:rsidP="00FD47B2">
      <w:r w:rsidRPr="00CB4ED1">
        <w:t>Constraints relate to the parameters that the project is working within and any restrictions or factors that might impact on the delivery of a project. These typically include limits on resources and compliance issues.</w:t>
      </w:r>
      <w:r w:rsidR="00930B1F" w:rsidRPr="00CB4ED1">
        <w:t xml:space="preserve">  </w:t>
      </w:r>
    </w:p>
    <w:p w14:paraId="23365FB4" w14:textId="285C71F4" w:rsidR="00376CB3" w:rsidRPr="00CB4ED1" w:rsidRDefault="006D3BE3" w:rsidP="00FD47B2">
      <w:r w:rsidRPr="00CB4ED1">
        <w:t>The project is subject to the following constraints</w:t>
      </w:r>
      <w:r w:rsidR="00376CB3" w:rsidRPr="00CB4ED1">
        <w:t>:</w:t>
      </w:r>
    </w:p>
    <w:p w14:paraId="78023C87" w14:textId="5E58F1AF" w:rsidR="00376CB3" w:rsidRPr="00CB4ED1" w:rsidRDefault="003E1A13" w:rsidP="00B86E99">
      <w:pPr>
        <w:pStyle w:val="bullets1"/>
      </w:pPr>
      <w:r w:rsidRPr="00CB4ED1">
        <w:t>Facilities</w:t>
      </w:r>
      <w:r w:rsidR="00B2609C" w:rsidRPr="00CB4ED1">
        <w:t xml:space="preserve"> must be </w:t>
      </w:r>
      <w:r w:rsidRPr="00CB4ED1">
        <w:t>fit for purpose</w:t>
      </w:r>
      <w:r w:rsidR="00B2609C" w:rsidRPr="00CB4ED1">
        <w:t xml:space="preserve"> and have future flexibility/adaptability</w:t>
      </w:r>
    </w:p>
    <w:p w14:paraId="44FD536C" w14:textId="5A665B36" w:rsidR="00EF7065" w:rsidRPr="00CB4ED1" w:rsidRDefault="00EF7065" w:rsidP="00B86E99">
      <w:pPr>
        <w:pStyle w:val="bullets1"/>
      </w:pPr>
      <w:r w:rsidRPr="00CB4ED1">
        <w:t xml:space="preserve">Implementation must </w:t>
      </w:r>
      <w:r w:rsidR="00B2609C" w:rsidRPr="00CB4ED1">
        <w:t>not negatively impact</w:t>
      </w:r>
      <w:r w:rsidRPr="00CB4ED1">
        <w:t xml:space="preserve"> continuation of</w:t>
      </w:r>
      <w:r w:rsidR="00B2609C" w:rsidRPr="00CB4ED1">
        <w:t xml:space="preserve"> current</w:t>
      </w:r>
      <w:r w:rsidRPr="00CB4ED1">
        <w:t xml:space="preserve"> service provision</w:t>
      </w:r>
    </w:p>
    <w:p w14:paraId="14F8C3D1" w14:textId="483A9B97" w:rsidR="006A5275" w:rsidRPr="00CB4ED1" w:rsidRDefault="006A5275" w:rsidP="00B86E99">
      <w:pPr>
        <w:pStyle w:val="bullets1"/>
      </w:pPr>
      <w:r w:rsidRPr="00CB4ED1">
        <w:t>Technical feasibility of the proposed solution</w:t>
      </w:r>
    </w:p>
    <w:p w14:paraId="7D261BB4" w14:textId="11286A2A" w:rsidR="00CC7241" w:rsidRPr="00CB4ED1" w:rsidRDefault="00CC7241" w:rsidP="00B86E99">
      <w:pPr>
        <w:pStyle w:val="bullets1"/>
      </w:pPr>
      <w:r w:rsidRPr="00CB4ED1">
        <w:t>Digital solution needs to be able to support patient record transfer from base HB to LHP</w:t>
      </w:r>
    </w:p>
    <w:p w14:paraId="33791E76" w14:textId="77290207" w:rsidR="00956289" w:rsidRPr="00956289" w:rsidRDefault="005C7EB1" w:rsidP="00956289">
      <w:pPr>
        <w:pStyle w:val="bullets1"/>
      </w:pPr>
      <w:r w:rsidRPr="00CB4ED1">
        <w:t>The project must be delivered within agreed capital funding</w:t>
      </w:r>
    </w:p>
    <w:p w14:paraId="4F9ECE6B" w14:textId="77777777" w:rsidR="00956289" w:rsidRDefault="00956289" w:rsidP="00B86E99">
      <w:pPr>
        <w:pStyle w:val="bullets1"/>
      </w:pPr>
      <w:r>
        <w:t>Workforce will need to be secured to deliver the additional capacity which will involve working with HEIW and education providers alongside development of recruitment strategies which will be more fully explored at FBC</w:t>
      </w:r>
    </w:p>
    <w:p w14:paraId="39365F67" w14:textId="2DE92073" w:rsidR="005C7EB1" w:rsidRPr="00CB4ED1" w:rsidRDefault="00930B1F" w:rsidP="00B86E99">
      <w:pPr>
        <w:pStyle w:val="bullets1"/>
      </w:pPr>
      <w:proofErr w:type="gramStart"/>
      <w:r w:rsidRPr="00CB4ED1">
        <w:lastRenderedPageBreak/>
        <w:t>.</w:t>
      </w:r>
      <w:r w:rsidR="00956289">
        <w:t>Revenue</w:t>
      </w:r>
      <w:proofErr w:type="gramEnd"/>
      <w:r w:rsidR="00956289">
        <w:t xml:space="preserve"> funding will need to be secured to deliver the increased capacity </w:t>
      </w:r>
    </w:p>
    <w:p w14:paraId="28428E76" w14:textId="77777777" w:rsidR="00930B1F" w:rsidRPr="00CB4ED1" w:rsidRDefault="00930B1F" w:rsidP="00930B1F">
      <w:pPr>
        <w:pStyle w:val="NoSpacing"/>
      </w:pPr>
    </w:p>
    <w:p w14:paraId="6272C24D" w14:textId="3B675CE0" w:rsidR="66D39C22" w:rsidRPr="00CB4ED1" w:rsidRDefault="66D39C22" w:rsidP="00930B1F">
      <w:r w:rsidRPr="00CB4ED1">
        <w:t xml:space="preserve">The project must support regional integration and collaboration and be supported by all </w:t>
      </w:r>
      <w:r w:rsidR="00B86E99" w:rsidRPr="00CB4ED1">
        <w:t>three</w:t>
      </w:r>
      <w:r w:rsidRPr="00CB4ED1">
        <w:t xml:space="preserve"> Health Boards</w:t>
      </w:r>
      <w:r w:rsidR="00B86E99" w:rsidRPr="00CB4ED1">
        <w:t>.</w:t>
      </w:r>
    </w:p>
    <w:p w14:paraId="1DEAA489" w14:textId="77777777" w:rsidR="00B86E99" w:rsidRPr="00CB4ED1" w:rsidRDefault="00B86E99" w:rsidP="00B86E99">
      <w:pPr>
        <w:pStyle w:val="NoSpacing"/>
      </w:pPr>
    </w:p>
    <w:p w14:paraId="04944C32" w14:textId="22696132" w:rsidR="00376CB3" w:rsidRPr="00CB4ED1" w:rsidRDefault="00376CB3" w:rsidP="00376CB3">
      <w:pPr>
        <w:pStyle w:val="Heading2"/>
      </w:pPr>
      <w:bookmarkStart w:id="148" w:name="_Toc213865232"/>
      <w:r w:rsidRPr="00CB4ED1">
        <w:t>Dependencies</w:t>
      </w:r>
      <w:bookmarkEnd w:id="148"/>
      <w:r w:rsidRPr="00CB4ED1">
        <w:t xml:space="preserve"> </w:t>
      </w:r>
    </w:p>
    <w:p w14:paraId="027A2D58" w14:textId="5C9DCFF8" w:rsidR="00B53394" w:rsidRPr="00CB4ED1" w:rsidRDefault="00376CB3" w:rsidP="00FD47B2">
      <w:r w:rsidRPr="00CB4ED1">
        <w:t>Dependencies include things that must be in place to enable the project or project phases and typically include links to other projects and funding requirements that are likely to be managed elsewhere.</w:t>
      </w:r>
      <w:r w:rsidR="00B86E99" w:rsidRPr="00CB4ED1">
        <w:t xml:space="preserve"> </w:t>
      </w:r>
      <w:r w:rsidR="001C1612" w:rsidRPr="00CB4ED1">
        <w:t>The project is subject to the following dependencies that will be carefully monitored and managed throughout the lifespan of the scheme</w:t>
      </w:r>
      <w:r w:rsidRPr="00CB4ED1">
        <w:t>:</w:t>
      </w:r>
    </w:p>
    <w:p w14:paraId="50B0DFC0" w14:textId="52273E7F" w:rsidR="00B53394" w:rsidRPr="00CB4ED1" w:rsidRDefault="00B53394" w:rsidP="0066484A">
      <w:pPr>
        <w:pStyle w:val="bullets1"/>
      </w:pPr>
      <w:r w:rsidRPr="00CB4ED1">
        <w:t xml:space="preserve">Availability of </w:t>
      </w:r>
      <w:r w:rsidR="00634D83" w:rsidRPr="00CB4ED1">
        <w:t>Welsh Government</w:t>
      </w:r>
      <w:r w:rsidRPr="00CB4ED1">
        <w:t xml:space="preserve"> funding</w:t>
      </w:r>
    </w:p>
    <w:p w14:paraId="7886F843" w14:textId="0BE90BD5" w:rsidR="00B53394" w:rsidRPr="00CB4ED1" w:rsidRDefault="00B53394" w:rsidP="0066484A">
      <w:pPr>
        <w:pStyle w:val="bullets1"/>
      </w:pPr>
      <w:r w:rsidRPr="00CB4ED1">
        <w:t xml:space="preserve">Approval </w:t>
      </w:r>
      <w:r w:rsidR="00634D83" w:rsidRPr="00CB4ED1">
        <w:t>from</w:t>
      </w:r>
      <w:r w:rsidRPr="00CB4ED1">
        <w:t xml:space="preserve"> Welsh Government</w:t>
      </w:r>
      <w:r w:rsidR="00634D83" w:rsidRPr="00CB4ED1">
        <w:t>, IIB and other health boards</w:t>
      </w:r>
    </w:p>
    <w:p w14:paraId="3E078AF3" w14:textId="61539BC6" w:rsidR="008D436B" w:rsidRPr="00CB4ED1" w:rsidRDefault="00B53394" w:rsidP="0066484A">
      <w:pPr>
        <w:pStyle w:val="bullets1"/>
      </w:pPr>
      <w:r w:rsidRPr="00CB4ED1">
        <w:t>Continued support for proposed service model</w:t>
      </w:r>
    </w:p>
    <w:p w14:paraId="5326A040" w14:textId="049B3AA3" w:rsidR="00307521" w:rsidRPr="00CB4ED1" w:rsidRDefault="000223E6">
      <w:pPr>
        <w:pStyle w:val="bullets1"/>
        <w:spacing w:after="160"/>
      </w:pPr>
      <w:r w:rsidRPr="00CB4ED1">
        <w:t>Development of a</w:t>
      </w:r>
      <w:r w:rsidR="00B2609C" w:rsidRPr="00CB4ED1">
        <w:t xml:space="preserve"> full workforce model</w:t>
      </w:r>
      <w:r w:rsidR="00930B1F" w:rsidRPr="00CB4ED1">
        <w:t>.</w:t>
      </w:r>
    </w:p>
    <w:p w14:paraId="7C1925FB" w14:textId="77777777" w:rsidR="007019F6" w:rsidRPr="00654E3F" w:rsidRDefault="007019F6" w:rsidP="00654E3F">
      <w:pPr>
        <w:pStyle w:val="bullets1"/>
      </w:pPr>
      <w:r w:rsidRPr="00654E3F">
        <w:t>Digital developments including changes to e-referral forms and information flows for reporting to ensure the proposed pathways for regional services are appropriately connected to health board systems. These interdependencies are identified and worked through by digital experts supporting the specification development and where changes are required to systems, these are highlighted to the Directors of Digital Services through the regional portfolio governance structure and support mechanisms.</w:t>
      </w:r>
    </w:p>
    <w:p w14:paraId="6F64B6A0" w14:textId="6F38434C" w:rsidR="00D1513B" w:rsidRPr="00654E3F" w:rsidRDefault="00654E3F" w:rsidP="00654E3F">
      <w:pPr>
        <w:pStyle w:val="bullets1"/>
      </w:pPr>
      <w:r w:rsidRPr="00654E3F">
        <w:rPr>
          <w:rStyle w:val="Strong"/>
          <w:b w:val="0"/>
          <w:bCs w:val="0"/>
        </w:rPr>
        <w:t>Workforce availability and planning</w:t>
      </w:r>
      <w:r w:rsidRPr="00654E3F">
        <w:t xml:space="preserve"> </w:t>
      </w:r>
      <w:r w:rsidR="00E169A8" w:rsidRPr="00654E3F">
        <w:t xml:space="preserve">- </w:t>
      </w:r>
      <w:r w:rsidR="00D1513B" w:rsidRPr="00654E3F">
        <w:t>Recruitment and retention of skilled staff</w:t>
      </w:r>
    </w:p>
    <w:p w14:paraId="05BF13FC" w14:textId="2A915F6C" w:rsidR="00D1513B" w:rsidRPr="00654E3F" w:rsidRDefault="00D1513B" w:rsidP="00654E3F">
      <w:pPr>
        <w:pStyle w:val="bullets1"/>
      </w:pPr>
      <w:r w:rsidRPr="00654E3F">
        <w:rPr>
          <w:rStyle w:val="Strong"/>
          <w:b w:val="0"/>
          <w:bCs w:val="0"/>
        </w:rPr>
        <w:t xml:space="preserve">Transport </w:t>
      </w:r>
      <w:r w:rsidR="00654E3F" w:rsidRPr="00654E3F">
        <w:rPr>
          <w:rStyle w:val="Strong"/>
          <w:b w:val="0"/>
          <w:bCs w:val="0"/>
        </w:rPr>
        <w:t>and logistics</w:t>
      </w:r>
      <w:r w:rsidR="00654E3F" w:rsidRPr="00654E3F">
        <w:t xml:space="preserve"> </w:t>
      </w:r>
      <w:r w:rsidR="00E169A8" w:rsidRPr="00654E3F">
        <w:t xml:space="preserve">- </w:t>
      </w:r>
      <w:r w:rsidRPr="00654E3F">
        <w:t>As this is a hub and spoke model reliant on RGH as the hub and the model will involve inter-site support (e.g., centralised decontamination pharmacy facilities, estates), robust transport logistics must be in place.</w:t>
      </w:r>
    </w:p>
    <w:p w14:paraId="0E6E67C4" w14:textId="77777777" w:rsidR="00D1513B" w:rsidRPr="00654E3F" w:rsidRDefault="00D1513B" w:rsidP="00654E3F">
      <w:pPr>
        <w:pStyle w:val="bullets1"/>
      </w:pPr>
      <w:r w:rsidRPr="00654E3F">
        <w:rPr>
          <w:rStyle w:val="Strong"/>
          <w:b w:val="0"/>
          <w:bCs w:val="0"/>
        </w:rPr>
        <w:t>Pathway coordination</w:t>
      </w:r>
      <w:r w:rsidRPr="00654E3F">
        <w:t>: Efficient patient movement through pre-op, intra-op, and post-op phases- ensuring standardisation of approach form all 3 health boards requiring system wider co ordination</w:t>
      </w:r>
    </w:p>
    <w:p w14:paraId="3C8F8D0A" w14:textId="4DB752D7" w:rsidR="00D1513B" w:rsidRPr="00654E3F" w:rsidRDefault="00D1513B" w:rsidP="00654E3F">
      <w:pPr>
        <w:pStyle w:val="bullets1"/>
      </w:pPr>
      <w:r w:rsidRPr="00654E3F">
        <w:rPr>
          <w:rStyle w:val="Strong"/>
          <w:b w:val="0"/>
          <w:bCs w:val="0"/>
        </w:rPr>
        <w:t xml:space="preserve">Clinical </w:t>
      </w:r>
      <w:r w:rsidR="00654E3F" w:rsidRPr="00654E3F">
        <w:rPr>
          <w:rStyle w:val="Strong"/>
          <w:b w:val="0"/>
          <w:bCs w:val="0"/>
        </w:rPr>
        <w:t>governance and accreditation</w:t>
      </w:r>
      <w:r w:rsidR="00654E3F" w:rsidRPr="00654E3F">
        <w:t xml:space="preserve"> </w:t>
      </w:r>
      <w:r w:rsidR="00E169A8" w:rsidRPr="00654E3F">
        <w:t xml:space="preserve">- </w:t>
      </w:r>
      <w:r w:rsidRPr="00654E3F">
        <w:t>Cross-site working introduces complexity in maintaining consistent clinical governance, audit trails, and compliance with other regulatory standards.</w:t>
      </w:r>
    </w:p>
    <w:p w14:paraId="53AFC47A" w14:textId="77777777" w:rsidR="00D1513B" w:rsidRPr="00CB4ED1" w:rsidRDefault="00D1513B" w:rsidP="00D1513B">
      <w:pPr>
        <w:pStyle w:val="NoSpacing"/>
      </w:pPr>
    </w:p>
    <w:p w14:paraId="108B8FB1" w14:textId="77777777" w:rsidR="00972FFA" w:rsidRPr="00CB4ED1" w:rsidRDefault="00972FFA" w:rsidP="00972FFA">
      <w:pPr>
        <w:pStyle w:val="NoSpacing"/>
      </w:pPr>
    </w:p>
    <w:p w14:paraId="7520C10E" w14:textId="77777777" w:rsidR="00930B1F" w:rsidRPr="00CB4ED1" w:rsidRDefault="00930B1F" w:rsidP="00930B1F"/>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5E5DDD" w:rsidRPr="00CB4ED1" w14:paraId="2B4C744D" w14:textId="77777777" w:rsidTr="005E5DDD">
        <w:trPr>
          <w:trHeight w:val="8505"/>
        </w:trPr>
        <w:tc>
          <w:tcPr>
            <w:tcW w:w="9628" w:type="dxa"/>
            <w:vAlign w:val="center"/>
          </w:tcPr>
          <w:p w14:paraId="6B2FFEBC" w14:textId="77777777" w:rsidR="005E5DDD" w:rsidRPr="00CB4ED1" w:rsidRDefault="005E5DDD" w:rsidP="005E5DDD">
            <w:pPr>
              <w:pStyle w:val="Heading0"/>
            </w:pPr>
            <w:bookmarkStart w:id="149" w:name="_Toc213865233"/>
            <w:r w:rsidRPr="00CB4ED1">
              <w:lastRenderedPageBreak/>
              <w:t>Economic Case</w:t>
            </w:r>
            <w:bookmarkEnd w:id="149"/>
          </w:p>
        </w:tc>
      </w:tr>
    </w:tbl>
    <w:p w14:paraId="34242AD7" w14:textId="3910C05C" w:rsidR="00050427" w:rsidRPr="00CB4ED1" w:rsidRDefault="00050427" w:rsidP="00CB4F57">
      <w:pPr>
        <w:pStyle w:val="Heading1"/>
      </w:pPr>
      <w:bookmarkStart w:id="150" w:name="_Toc213865234"/>
      <w:r w:rsidRPr="00CB4ED1">
        <w:lastRenderedPageBreak/>
        <w:t xml:space="preserve">Options </w:t>
      </w:r>
      <w:r w:rsidR="00930B1F" w:rsidRPr="00CB4ED1">
        <w:t>identification and appraisal</w:t>
      </w:r>
      <w:bookmarkEnd w:id="150"/>
    </w:p>
    <w:p w14:paraId="24D9A18B" w14:textId="1EB0AA25" w:rsidR="0042003A" w:rsidRPr="00CB4ED1" w:rsidRDefault="0042003A" w:rsidP="00FD47B2">
      <w:r w:rsidRPr="00CB4ED1">
        <w:t xml:space="preserve">The purpose of the </w:t>
      </w:r>
      <w:r w:rsidR="000A6116" w:rsidRPr="00CB4ED1">
        <w:t>Options Analysis</w:t>
      </w:r>
      <w:r w:rsidRPr="00CB4ED1">
        <w:t xml:space="preserve"> is to identify and appraise the options for the delivery of project and to recommend the option that is most likely to offer best value for money. </w:t>
      </w:r>
    </w:p>
    <w:p w14:paraId="3A8F6EC9" w14:textId="23BCECD1" w:rsidR="39819DE3" w:rsidRPr="00CB4ED1" w:rsidRDefault="39819DE3" w:rsidP="00FD47B2">
      <w:r w:rsidRPr="00CB4ED1">
        <w:t>However, in this instance this section will not undertake a traditional options appraisal using the business case framework</w:t>
      </w:r>
      <w:r w:rsidR="00645EB0" w:rsidRPr="00CB4ED1">
        <w:t>,</w:t>
      </w:r>
      <w:r w:rsidRPr="00CB4ED1">
        <w:t xml:space="preserve"> which is an approach that has been agreed with colleagues in the Capital an</w:t>
      </w:r>
      <w:r w:rsidR="7A505B79" w:rsidRPr="00CB4ED1">
        <w:t>d Estates team in Welsh Government</w:t>
      </w:r>
      <w:r w:rsidR="00663FED" w:rsidRPr="00CB4ED1">
        <w:t xml:space="preserve"> (WG)</w:t>
      </w:r>
      <w:r w:rsidR="7A505B79" w:rsidRPr="00CB4ED1">
        <w:t xml:space="preserve">.  </w:t>
      </w:r>
    </w:p>
    <w:p w14:paraId="42F3D705" w14:textId="2EDCA89B" w:rsidR="7A505B79" w:rsidRPr="00CB4ED1" w:rsidRDefault="7A505B79" w:rsidP="00FD47B2">
      <w:r w:rsidRPr="00CB4ED1">
        <w:t xml:space="preserve">The reasons for this centre on the fact that </w:t>
      </w:r>
      <w:r w:rsidR="097A3381" w:rsidRPr="00CB4ED1">
        <w:t xml:space="preserve">on purchase of the site a case for purchase was prepared and resulted in </w:t>
      </w:r>
      <w:r w:rsidR="2D083A19" w:rsidRPr="00CB4ED1">
        <w:t xml:space="preserve">approval of capital funds to enable the same. </w:t>
      </w:r>
      <w:r w:rsidR="097A3381" w:rsidRPr="00CB4ED1">
        <w:t>The</w:t>
      </w:r>
      <w:r w:rsidR="6F96B54A" w:rsidRPr="00CB4ED1">
        <w:t xml:space="preserve"> funding was made on the condition that CTM collaborate</w:t>
      </w:r>
      <w:r w:rsidR="0023576A" w:rsidRPr="00CB4ED1">
        <w:t>d</w:t>
      </w:r>
      <w:r w:rsidR="6F96B54A" w:rsidRPr="00CB4ED1">
        <w:t xml:space="preserve"> with other NHS organisations to develop the site as part of a regional approach to the delivery of services.</w:t>
      </w:r>
      <w:r w:rsidR="2CBC3BEF" w:rsidRPr="00CB4ED1">
        <w:t xml:space="preserve"> </w:t>
      </w:r>
      <w:r w:rsidR="41D81397" w:rsidRPr="00CB4ED1">
        <w:t xml:space="preserve">Therefore, consideration of alternative site options </w:t>
      </w:r>
      <w:r w:rsidR="0023576A" w:rsidRPr="00CB4ED1">
        <w:t>is not relevant</w:t>
      </w:r>
      <w:r w:rsidR="41D81397" w:rsidRPr="00CB4ED1">
        <w:t xml:space="preserve">. </w:t>
      </w:r>
    </w:p>
    <w:p w14:paraId="707F4DDF" w14:textId="6EE57383" w:rsidR="5E488A7A" w:rsidRPr="00CB4ED1" w:rsidRDefault="6F96B54A" w:rsidP="00FD47B2">
      <w:r w:rsidRPr="00CB4ED1">
        <w:t xml:space="preserve">The services included at this </w:t>
      </w:r>
      <w:r w:rsidR="0BB910FF" w:rsidRPr="00CB4ED1">
        <w:t>business case</w:t>
      </w:r>
      <w:r w:rsidR="0023576A" w:rsidRPr="00CB4ED1">
        <w:t xml:space="preserve"> stage</w:t>
      </w:r>
      <w:r w:rsidR="0BB910FF" w:rsidRPr="00CB4ED1">
        <w:t xml:space="preserve"> </w:t>
      </w:r>
      <w:r w:rsidR="542AA87E" w:rsidRPr="00CB4ED1">
        <w:t>are the same as t</w:t>
      </w:r>
      <w:r w:rsidR="0BB910FF" w:rsidRPr="00CB4ED1">
        <w:t xml:space="preserve">hose included in the original case </w:t>
      </w:r>
      <w:r w:rsidR="5E488A7A" w:rsidRPr="00CB4ED1">
        <w:t>for the purchase of the site</w:t>
      </w:r>
      <w:r w:rsidR="007C0000" w:rsidRPr="00CB4ED1">
        <w:t>,</w:t>
      </w:r>
      <w:r w:rsidR="5E488A7A" w:rsidRPr="00CB4ED1">
        <w:t xml:space="preserve"> with some small changes to the numbers </w:t>
      </w:r>
      <w:r w:rsidR="17DED1B2" w:rsidRPr="00CB4ED1">
        <w:t>o</w:t>
      </w:r>
      <w:r w:rsidR="5E488A7A" w:rsidRPr="00CB4ED1">
        <w:t>f the same</w:t>
      </w:r>
      <w:r w:rsidR="007C0000" w:rsidRPr="00CB4ED1">
        <w:t>,</w:t>
      </w:r>
      <w:r w:rsidR="5E488A7A" w:rsidRPr="00CB4ED1">
        <w:t xml:space="preserve"> in line with demand and capacity modelling provided in </w:t>
      </w:r>
      <w:r w:rsidR="00F05517" w:rsidRPr="00CB4ED1">
        <w:t xml:space="preserve">Section </w:t>
      </w:r>
      <w:r w:rsidR="5E488A7A" w:rsidRPr="00CB4ED1">
        <w:t>3 of this case.</w:t>
      </w:r>
      <w:r w:rsidR="202E004D" w:rsidRPr="00CB4ED1">
        <w:t xml:space="preserve"> </w:t>
      </w:r>
      <w:r w:rsidR="5E488A7A" w:rsidRPr="00CB4ED1">
        <w:t xml:space="preserve">In addition, after purchase, regional partners were asked to nominate </w:t>
      </w:r>
      <w:r w:rsidR="00F1733B" w:rsidRPr="00CB4ED1">
        <w:t xml:space="preserve">desired </w:t>
      </w:r>
      <w:r w:rsidR="5E488A7A" w:rsidRPr="00CB4ED1">
        <w:t xml:space="preserve">alternative or additional services </w:t>
      </w:r>
      <w:r w:rsidR="00F1733B" w:rsidRPr="00CB4ED1">
        <w:t>to be</w:t>
      </w:r>
      <w:r w:rsidR="5E488A7A" w:rsidRPr="00CB4ED1">
        <w:t xml:space="preserve"> included at LHP</w:t>
      </w:r>
      <w:r w:rsidR="00382D00" w:rsidRPr="00CB4ED1">
        <w:t xml:space="preserve">; no changes or additions to the scope of services were requested or proposed </w:t>
      </w:r>
      <w:r w:rsidR="5E488A7A" w:rsidRPr="00CB4ED1">
        <w:t>at th</w:t>
      </w:r>
      <w:r w:rsidR="00382D00" w:rsidRPr="00CB4ED1">
        <w:t>is</w:t>
      </w:r>
      <w:r w:rsidR="5E488A7A" w:rsidRPr="00CB4ED1">
        <w:t xml:space="preserve"> time.  </w:t>
      </w:r>
    </w:p>
    <w:p w14:paraId="5B7EF9B8" w14:textId="744451FE" w:rsidR="007E3D45" w:rsidRPr="00CB4ED1" w:rsidRDefault="48FF9A66" w:rsidP="00FD47B2">
      <w:r w:rsidRPr="00CB4ED1">
        <w:t>As a result</w:t>
      </w:r>
      <w:r w:rsidR="38E1FF0D" w:rsidRPr="00CB4ED1">
        <w:t>,</w:t>
      </w:r>
      <w:r w:rsidRPr="00CB4ED1">
        <w:t xml:space="preserve"> this </w:t>
      </w:r>
      <w:r w:rsidR="4E74997B" w:rsidRPr="00CB4ED1">
        <w:t>section</w:t>
      </w:r>
      <w:r w:rsidRPr="00CB4ED1">
        <w:t xml:space="preserve"> will not consider alternative options for service change with the scope and scale having been proven</w:t>
      </w:r>
      <w:r w:rsidR="4004C27A" w:rsidRPr="00CB4ED1">
        <w:t xml:space="preserve"> in the sections above</w:t>
      </w:r>
      <w:r w:rsidRPr="00CB4ED1">
        <w:t>. In addition</w:t>
      </w:r>
      <w:r w:rsidR="5E740E6C" w:rsidRPr="00CB4ED1">
        <w:t>,</w:t>
      </w:r>
      <w:r w:rsidRPr="00CB4ED1">
        <w:t xml:space="preserve"> follo</w:t>
      </w:r>
      <w:r w:rsidR="1597ED73" w:rsidRPr="00CB4ED1">
        <w:t xml:space="preserve">wing </w:t>
      </w:r>
      <w:r w:rsidR="00663FED" w:rsidRPr="00CB4ED1">
        <w:t>WG</w:t>
      </w:r>
      <w:r w:rsidR="1597ED73" w:rsidRPr="00CB4ED1">
        <w:t xml:space="preserve"> </w:t>
      </w:r>
      <w:r w:rsidR="00663FED" w:rsidRPr="00CB4ED1">
        <w:t>approvals</w:t>
      </w:r>
      <w:r w:rsidR="1597ED73" w:rsidRPr="00CB4ED1">
        <w:t>, design work has already progressed beyond the traditional stage for an OBC</w:t>
      </w:r>
      <w:r w:rsidR="00663FED" w:rsidRPr="00CB4ED1">
        <w:t>,</w:t>
      </w:r>
      <w:r w:rsidRPr="00CB4ED1">
        <w:t xml:space="preserve"> </w:t>
      </w:r>
      <w:r w:rsidR="1597ED73" w:rsidRPr="00CB4ED1">
        <w:t xml:space="preserve">with WG approval to proceed to RIBA 3 </w:t>
      </w:r>
      <w:r w:rsidR="003D55FF" w:rsidRPr="00CB4ED1">
        <w:t>given</w:t>
      </w:r>
      <w:r w:rsidR="1597ED73" w:rsidRPr="00CB4ED1">
        <w:t xml:space="preserve"> in December 2024</w:t>
      </w:r>
      <w:r w:rsidR="2215684F" w:rsidRPr="00CB4ED1">
        <w:t>. It should be noted that the current design</w:t>
      </w:r>
      <w:r w:rsidR="1597ED73" w:rsidRPr="00CB4ED1">
        <w:t xml:space="preserve"> </w:t>
      </w:r>
      <w:r w:rsidR="2215684F" w:rsidRPr="00CB4ED1">
        <w:t>leaves most of the</w:t>
      </w:r>
      <w:r w:rsidR="009C2ACD" w:rsidRPr="00CB4ED1">
        <w:t xml:space="preserve"> site’s</w:t>
      </w:r>
      <w:r w:rsidR="2215684F" w:rsidRPr="00CB4ED1">
        <w:t xml:space="preserve"> </w:t>
      </w:r>
      <w:r w:rsidR="2215684F" w:rsidRPr="00CB4ED1">
        <w:rPr>
          <w:i/>
          <w:iCs/>
        </w:rPr>
        <w:t>plateau area</w:t>
      </w:r>
      <w:r w:rsidR="2215684F" w:rsidRPr="00CB4ED1">
        <w:t xml:space="preserve"> un-developed which could support a further phase of </w:t>
      </w:r>
      <w:r w:rsidR="009C2ACD" w:rsidRPr="00CB4ED1">
        <w:t>expansion</w:t>
      </w:r>
      <w:r w:rsidR="2215684F" w:rsidRPr="00CB4ED1">
        <w:t>.</w:t>
      </w:r>
    </w:p>
    <w:p w14:paraId="7254BCBA" w14:textId="118DD995" w:rsidR="007E3D45" w:rsidRPr="00CB4ED1" w:rsidRDefault="46F34711" w:rsidP="00FD47B2">
      <w:r w:rsidRPr="00CB4ED1">
        <w:t xml:space="preserve">During RIBA 2 it became apparent that there were some </w:t>
      </w:r>
      <w:r w:rsidR="0CE2B6A7" w:rsidRPr="00CB4ED1">
        <w:t>significant</w:t>
      </w:r>
      <w:r w:rsidRPr="00CB4ED1">
        <w:t xml:space="preserve"> limitations </w:t>
      </w:r>
      <w:r w:rsidR="009F5CD6" w:rsidRPr="00CB4ED1">
        <w:t>to</w:t>
      </w:r>
      <w:r w:rsidRPr="00CB4ED1">
        <w:t xml:space="preserve"> the existing </w:t>
      </w:r>
      <w:r w:rsidR="009F5CD6" w:rsidRPr="00CB4ED1">
        <w:t xml:space="preserve">site </w:t>
      </w:r>
      <w:r w:rsidRPr="00CB4ED1">
        <w:t xml:space="preserve">buildings.  This prompted a detailed infrastructure options appraisal at that stage of the process which was fully documented in </w:t>
      </w:r>
      <w:r w:rsidR="62E88666" w:rsidRPr="00CB4ED1">
        <w:t>t</w:t>
      </w:r>
      <w:r w:rsidRPr="00CB4ED1">
        <w:t xml:space="preserve">he </w:t>
      </w:r>
      <w:r w:rsidR="47DC52AC" w:rsidRPr="00CB4ED1">
        <w:t xml:space="preserve">strategic overview document submitted to WG in September 2024 and discussed </w:t>
      </w:r>
      <w:r w:rsidR="009F5CD6" w:rsidRPr="00CB4ED1">
        <w:t>at</w:t>
      </w:r>
      <w:r w:rsidR="47DC52AC" w:rsidRPr="00CB4ED1">
        <w:t xml:space="preserve"> the IIB in November.  </w:t>
      </w:r>
      <w:r w:rsidR="2C4A4A00" w:rsidRPr="00CB4ED1">
        <w:t>The preferred option was to demolish the on</w:t>
      </w:r>
      <w:r w:rsidR="7DC80445" w:rsidRPr="00CB4ED1">
        <w:t>-</w:t>
      </w:r>
      <w:r w:rsidR="2C4A4A00" w:rsidRPr="00CB4ED1">
        <w:t>site buildings and build</w:t>
      </w:r>
      <w:r w:rsidR="00DD0E1D" w:rsidRPr="00CB4ED1">
        <w:t xml:space="preserve"> new facilities in line with</w:t>
      </w:r>
      <w:r w:rsidR="2C4A4A00" w:rsidRPr="00CB4ED1">
        <w:t xml:space="preserve"> </w:t>
      </w:r>
      <w:r w:rsidR="2C4A4A00" w:rsidRPr="00CB4ED1">
        <w:rPr>
          <w:i/>
          <w:iCs/>
        </w:rPr>
        <w:t xml:space="preserve">modern </w:t>
      </w:r>
      <w:r w:rsidR="31225E21" w:rsidRPr="00CB4ED1">
        <w:rPr>
          <w:i/>
          <w:iCs/>
        </w:rPr>
        <w:t>methods</w:t>
      </w:r>
      <w:r w:rsidR="2C4A4A00" w:rsidRPr="00CB4ED1">
        <w:rPr>
          <w:i/>
          <w:iCs/>
        </w:rPr>
        <w:t xml:space="preserve"> of construction</w:t>
      </w:r>
      <w:r w:rsidR="2C4A4A00" w:rsidRPr="00CB4ED1">
        <w:t xml:space="preserve"> to deliver in the shortest programme possible. </w:t>
      </w:r>
    </w:p>
    <w:p w14:paraId="787F7877" w14:textId="6A3DDE90" w:rsidR="007E3D45" w:rsidRPr="00CB4ED1" w:rsidRDefault="2C4A4A00" w:rsidP="00FD47B2">
      <w:r w:rsidRPr="00CB4ED1">
        <w:t>The RIBA 2 design work</w:t>
      </w:r>
      <w:r w:rsidR="41C721AA" w:rsidRPr="00CB4ED1">
        <w:t xml:space="preserve"> was subject to</w:t>
      </w:r>
      <w:r w:rsidRPr="00CB4ED1">
        <w:t xml:space="preserve"> sc</w:t>
      </w:r>
      <w:r w:rsidR="6D16D82A" w:rsidRPr="00CB4ED1">
        <w:t>r</w:t>
      </w:r>
      <w:r w:rsidRPr="00CB4ED1">
        <w:t>uti</w:t>
      </w:r>
      <w:r w:rsidR="3A124577" w:rsidRPr="00CB4ED1">
        <w:t>n</w:t>
      </w:r>
      <w:r w:rsidR="77B07C64" w:rsidRPr="00CB4ED1">
        <w:t>y</w:t>
      </w:r>
      <w:r w:rsidRPr="00CB4ED1">
        <w:t xml:space="preserve"> by Shared Services Specialist Estates </w:t>
      </w:r>
      <w:r w:rsidR="52E1D5F1" w:rsidRPr="00CB4ED1">
        <w:t xml:space="preserve">and considered </w:t>
      </w:r>
      <w:r w:rsidR="005C5FE8" w:rsidRPr="00CB4ED1">
        <w:t xml:space="preserve">only </w:t>
      </w:r>
      <w:r w:rsidR="52E1D5F1" w:rsidRPr="00CB4ED1">
        <w:t xml:space="preserve">the </w:t>
      </w:r>
      <w:r w:rsidR="52E1D5F1" w:rsidRPr="00CB4ED1">
        <w:rPr>
          <w:b/>
          <w:bCs/>
        </w:rPr>
        <w:t xml:space="preserve">preferred </w:t>
      </w:r>
      <w:r w:rsidRPr="00CB4ED1">
        <w:rPr>
          <w:b/>
          <w:bCs/>
        </w:rPr>
        <w:t xml:space="preserve">new build </w:t>
      </w:r>
      <w:r w:rsidR="52E1D5F1" w:rsidRPr="00CB4ED1">
        <w:rPr>
          <w:b/>
          <w:bCs/>
        </w:rPr>
        <w:t xml:space="preserve">infrastructure </w:t>
      </w:r>
      <w:r w:rsidRPr="00CB4ED1">
        <w:rPr>
          <w:b/>
          <w:bCs/>
        </w:rPr>
        <w:t>option</w:t>
      </w:r>
      <w:r w:rsidR="52E1D5F1" w:rsidRPr="00CB4ED1">
        <w:t xml:space="preserve">. </w:t>
      </w:r>
      <w:r w:rsidR="6B519BC2" w:rsidRPr="00CB4ED1">
        <w:t>Scrutiny on the RIBA 2 phase closed on 18 December</w:t>
      </w:r>
      <w:r w:rsidR="005C5FE8" w:rsidRPr="00CB4ED1">
        <w:t xml:space="preserve"> and</w:t>
      </w:r>
      <w:r w:rsidR="6B519BC2" w:rsidRPr="00CB4ED1">
        <w:t xml:space="preserve"> approval to proceed to RIBA 3</w:t>
      </w:r>
      <w:r w:rsidR="1F98D9EF" w:rsidRPr="00CB4ED1">
        <w:t xml:space="preserve"> </w:t>
      </w:r>
      <w:r w:rsidR="005C5FE8" w:rsidRPr="00CB4ED1">
        <w:t xml:space="preserve">was </w:t>
      </w:r>
      <w:r w:rsidR="1F98D9EF" w:rsidRPr="00CB4ED1">
        <w:t xml:space="preserve">given on that date. </w:t>
      </w:r>
    </w:p>
    <w:p w14:paraId="4F36FCC5" w14:textId="718CBB3D" w:rsidR="007E3D45" w:rsidRPr="00CB4ED1" w:rsidRDefault="6B519BC2" w:rsidP="00FD47B2">
      <w:r w:rsidRPr="00CB4ED1">
        <w:t xml:space="preserve">In addition </w:t>
      </w:r>
      <w:r w:rsidR="41C2FFCD" w:rsidRPr="00CB4ED1">
        <w:t xml:space="preserve">to above </w:t>
      </w:r>
      <w:r w:rsidR="3A4D9B3B" w:rsidRPr="00CB4ED1">
        <w:t xml:space="preserve">funding, </w:t>
      </w:r>
      <w:r w:rsidRPr="00CB4ED1">
        <w:t>WG approv</w:t>
      </w:r>
      <w:r w:rsidR="45B5C1BD" w:rsidRPr="00CB4ED1">
        <w:t>al</w:t>
      </w:r>
      <w:r w:rsidRPr="00CB4ED1">
        <w:t xml:space="preserve"> was granted </w:t>
      </w:r>
      <w:r w:rsidR="5D2281AE" w:rsidRPr="00CB4ED1">
        <w:t>to proceed with the demolition of the existing buildings on 31 January 2025, with planning licence approval granted on 2 April</w:t>
      </w:r>
      <w:r w:rsidR="00F05517" w:rsidRPr="00CB4ED1">
        <w:t xml:space="preserve"> 2025</w:t>
      </w:r>
      <w:r w:rsidR="5D2281AE" w:rsidRPr="00CB4ED1">
        <w:t xml:space="preserve">.  These works have commenced under a separate contract to the main design works and are programmed to complete by 21 August 2025.  </w:t>
      </w:r>
      <w:r w:rsidR="20C45540" w:rsidRPr="00CB4ED1">
        <w:t>As a result</w:t>
      </w:r>
      <w:r w:rsidR="2F592888" w:rsidRPr="00CB4ED1">
        <w:t>,</w:t>
      </w:r>
      <w:r w:rsidR="20C45540" w:rsidRPr="00CB4ED1">
        <w:t xml:space="preserve"> there is no scope to further consider infrastructure and build options. </w:t>
      </w:r>
    </w:p>
    <w:p w14:paraId="4B8D853E" w14:textId="77777777" w:rsidR="00F05517" w:rsidRPr="00CB4ED1" w:rsidRDefault="20C45540" w:rsidP="00FD47B2">
      <w:pPr>
        <w:rPr>
          <w:rFonts w:eastAsiaTheme="minorEastAsia"/>
        </w:rPr>
      </w:pPr>
      <w:r w:rsidRPr="00CB4ED1">
        <w:t>Finally, a main contractor for completion of the design phase was appointed on 28 March 2025.  This appointment was made after a lengthy tender process utilising the Crown Commercial Services Framework under 2 lots to encourage bidders fro</w:t>
      </w:r>
      <w:r w:rsidR="30A358E8" w:rsidRPr="00CB4ED1">
        <w:rPr>
          <w:rFonts w:eastAsiaTheme="minorEastAsia"/>
        </w:rPr>
        <w:t xml:space="preserve">m both pure modular and other </w:t>
      </w:r>
      <w:proofErr w:type="gramStart"/>
      <w:r w:rsidR="30A358E8" w:rsidRPr="00CB4ED1">
        <w:rPr>
          <w:rFonts w:eastAsiaTheme="minorEastAsia"/>
        </w:rPr>
        <w:t>off site</w:t>
      </w:r>
      <w:proofErr w:type="gramEnd"/>
      <w:r w:rsidR="30A358E8" w:rsidRPr="00CB4ED1">
        <w:rPr>
          <w:rFonts w:eastAsiaTheme="minorEastAsia"/>
        </w:rPr>
        <w:t xml:space="preserve"> construction backgrounds to develop the more beneficial construction solution for LHP.  </w:t>
      </w:r>
    </w:p>
    <w:p w14:paraId="41592D0C" w14:textId="125909DA" w:rsidR="005061C5" w:rsidRPr="00CB4ED1" w:rsidRDefault="30A358E8" w:rsidP="005061C5">
      <w:r w:rsidRPr="00CB4ED1">
        <w:rPr>
          <w:rFonts w:eastAsiaTheme="minorEastAsia"/>
        </w:rPr>
        <w:t xml:space="preserve">The tender process demonstrated a modular form of MMC was preferred and WG approval to </w:t>
      </w:r>
      <w:proofErr w:type="gramStart"/>
      <w:r w:rsidR="15342738" w:rsidRPr="00CB4ED1">
        <w:rPr>
          <w:rFonts w:eastAsiaTheme="minorEastAsia"/>
        </w:rPr>
        <w:t>enter into</w:t>
      </w:r>
      <w:proofErr w:type="gramEnd"/>
      <w:r w:rsidR="15342738" w:rsidRPr="00CB4ED1">
        <w:rPr>
          <w:rFonts w:eastAsiaTheme="minorEastAsia"/>
        </w:rPr>
        <w:t xml:space="preserve"> the design contract was received on 14 March 2025.  As a result</w:t>
      </w:r>
      <w:r w:rsidR="4B31A36F" w:rsidRPr="00CB4ED1">
        <w:rPr>
          <w:rFonts w:eastAsiaTheme="minorEastAsia"/>
        </w:rPr>
        <w:t>,</w:t>
      </w:r>
      <w:r w:rsidR="15342738" w:rsidRPr="00CB4ED1">
        <w:rPr>
          <w:rFonts w:eastAsiaTheme="minorEastAsia"/>
        </w:rPr>
        <w:t xml:space="preserve"> the build methodology has also been fully determined.</w:t>
      </w:r>
      <w:r w:rsidR="000F44F5" w:rsidRPr="00CB4ED1">
        <w:rPr>
          <w:rFonts w:eastAsiaTheme="minorEastAsia"/>
        </w:rPr>
        <w:t xml:space="preserve"> </w:t>
      </w:r>
      <w:r w:rsidR="15342738" w:rsidRPr="00CB4ED1">
        <w:t>Therefore</w:t>
      </w:r>
      <w:r w:rsidR="4B7069B1" w:rsidRPr="00CB4ED1">
        <w:t>,</w:t>
      </w:r>
      <w:r w:rsidR="15342738" w:rsidRPr="00CB4ED1">
        <w:t xml:space="preserve"> the economic appraisal in following sections will focus on the preferred option against a business</w:t>
      </w:r>
      <w:r w:rsidR="10319D25" w:rsidRPr="00CB4ED1">
        <w:t>-</w:t>
      </w:r>
      <w:r w:rsidR="15342738" w:rsidRPr="00CB4ED1">
        <w:t>as</w:t>
      </w:r>
      <w:r w:rsidR="10319D25" w:rsidRPr="00CB4ED1">
        <w:t>-</w:t>
      </w:r>
      <w:r w:rsidR="15342738" w:rsidRPr="00CB4ED1">
        <w:t xml:space="preserve">usual comparator only. </w:t>
      </w:r>
    </w:p>
    <w:p w14:paraId="10E91D4B" w14:textId="77777777" w:rsidR="00FE754B" w:rsidRPr="00CB4ED1" w:rsidRDefault="00FE754B" w:rsidP="005061C5">
      <w:pPr>
        <w:rPr>
          <w:highlight w:val="darkGray"/>
        </w:rPr>
      </w:pPr>
    </w:p>
    <w:p w14:paraId="6BB758A2" w14:textId="1FB74677" w:rsidR="0082450F" w:rsidRPr="00CB4ED1" w:rsidRDefault="00EB4681" w:rsidP="00CB4F57">
      <w:pPr>
        <w:pStyle w:val="Heading1"/>
      </w:pPr>
      <w:bookmarkStart w:id="151" w:name="_Toc213865235"/>
      <w:r w:rsidRPr="00CB4ED1">
        <w:lastRenderedPageBreak/>
        <w:t>Economic Appraisal</w:t>
      </w:r>
      <w:bookmarkEnd w:id="151"/>
    </w:p>
    <w:p w14:paraId="3D56BC95" w14:textId="77777777" w:rsidR="00DF73C0" w:rsidRPr="00CB4ED1" w:rsidRDefault="00DF73C0" w:rsidP="00DF73C0">
      <w:pPr>
        <w:pStyle w:val="Heading2"/>
      </w:pPr>
      <w:bookmarkStart w:id="152" w:name="_Toc498075067"/>
      <w:bookmarkStart w:id="153" w:name="_Toc99649059"/>
      <w:bookmarkStart w:id="154" w:name="_Toc213775087"/>
      <w:bookmarkStart w:id="155" w:name="_Toc213865236"/>
      <w:r w:rsidRPr="00CB4ED1">
        <w:t>Introduction</w:t>
      </w:r>
      <w:bookmarkEnd w:id="152"/>
      <w:bookmarkEnd w:id="153"/>
      <w:bookmarkEnd w:id="154"/>
      <w:bookmarkEnd w:id="155"/>
    </w:p>
    <w:p w14:paraId="438D6A02" w14:textId="77777777" w:rsidR="00DF73C0" w:rsidRPr="00CB4ED1" w:rsidRDefault="00DF73C0" w:rsidP="00DF73C0">
      <w:r w:rsidRPr="00CB4ED1">
        <w:t xml:space="preserve">The purpose of the economic appraisal is to evaluate the costs, benefits and risks of the shortlisted options to identify the option that is most likely to offer best public value for money. </w:t>
      </w:r>
      <w:r w:rsidRPr="00CB4ED1">
        <w:rPr>
          <w:rFonts w:cs="Arial"/>
        </w:rPr>
        <w:t xml:space="preserve">In line with current </w:t>
      </w:r>
      <w:r w:rsidRPr="00CB4ED1">
        <w:t xml:space="preserve">Welsh Government Better Business Case </w:t>
      </w:r>
      <w:r w:rsidRPr="00CB4ED1">
        <w:rPr>
          <w:rFonts w:cs="Arial"/>
        </w:rPr>
        <w:t>and HM Treasury Green Book project business case guidance, this involves</w:t>
      </w:r>
      <w:r w:rsidRPr="00CB4ED1">
        <w:t>:</w:t>
      </w:r>
    </w:p>
    <w:p w14:paraId="2328AC50" w14:textId="77777777" w:rsidR="00DF73C0" w:rsidRPr="00CB4ED1" w:rsidRDefault="00DF73C0" w:rsidP="00DF73C0">
      <w:pPr>
        <w:pStyle w:val="bullets1"/>
      </w:pPr>
      <w:r w:rsidRPr="00CB4ED1">
        <w:rPr>
          <w:rFonts w:cs="Calibri"/>
        </w:rPr>
        <w:t>Estimating the</w:t>
      </w:r>
      <w:r w:rsidRPr="00CB4ED1">
        <w:t xml:space="preserve"> capital and revenue costs for each option.</w:t>
      </w:r>
    </w:p>
    <w:p w14:paraId="6A674DE1" w14:textId="77777777" w:rsidR="00DF73C0" w:rsidRPr="00CB4ED1" w:rsidRDefault="00DF73C0" w:rsidP="00DF73C0">
      <w:pPr>
        <w:pStyle w:val="bullets1"/>
      </w:pPr>
      <w:r w:rsidRPr="00CB4ED1">
        <w:t>Undertaking an assessment of benefits and risks for each option, wherever possible quantifying these in monetary-equivalent values.</w:t>
      </w:r>
    </w:p>
    <w:p w14:paraId="1823A242" w14:textId="77777777" w:rsidR="00DF73C0" w:rsidRPr="00CB4ED1" w:rsidRDefault="00DF73C0" w:rsidP="00DF73C0">
      <w:pPr>
        <w:pStyle w:val="bullets1"/>
      </w:pPr>
      <w:r w:rsidRPr="00CB4ED1">
        <w:t>Using the DHSC’s Comprehensive Investment Appraisal (CIA) Model to prepare discounted cash flows and estimate the Net Present Social Value (NPSV) and Benefit Cost Ratio (BCR) for each option.</w:t>
      </w:r>
    </w:p>
    <w:p w14:paraId="2A147892" w14:textId="77777777" w:rsidR="00DF73C0" w:rsidRPr="00CB4ED1" w:rsidRDefault="00DF73C0" w:rsidP="00DF73C0">
      <w:pPr>
        <w:pStyle w:val="bullets1"/>
      </w:pPr>
      <w:r w:rsidRPr="00CB4ED1">
        <w:t>Presenting the results, including sensitivity analysis, to determine the preferred option.</w:t>
      </w:r>
    </w:p>
    <w:p w14:paraId="6E625486" w14:textId="77777777" w:rsidR="00DF73C0" w:rsidRPr="00CB4ED1" w:rsidRDefault="00DF73C0" w:rsidP="00DF73C0">
      <w:pPr>
        <w:pStyle w:val="NoSpacing"/>
      </w:pPr>
    </w:p>
    <w:p w14:paraId="4D519091" w14:textId="77777777" w:rsidR="00DF73C0" w:rsidRPr="00CB4ED1" w:rsidRDefault="00DF73C0" w:rsidP="00DF73C0">
      <w:r w:rsidRPr="00CB4ED1">
        <w:t xml:space="preserve">For the purposes of this case, only the preferred way forward is considered against the counterfactual Business as Usual position. As outlined in section 6 and as agreed as part of the Strategic Overview there are no other viable options available for consideration. </w:t>
      </w:r>
    </w:p>
    <w:p w14:paraId="4D23D621" w14:textId="77777777" w:rsidR="00DF73C0" w:rsidRPr="00CB4ED1" w:rsidRDefault="00DF73C0" w:rsidP="00DF73C0">
      <w:pPr>
        <w:pStyle w:val="NoSpacing"/>
      </w:pPr>
    </w:p>
    <w:p w14:paraId="72DA8674" w14:textId="77777777" w:rsidR="00DF73C0" w:rsidRPr="00CB4ED1" w:rsidRDefault="00DF73C0" w:rsidP="00DF73C0">
      <w:pPr>
        <w:pStyle w:val="Heading2"/>
      </w:pPr>
      <w:bookmarkStart w:id="156" w:name="_Toc213775088"/>
      <w:bookmarkStart w:id="157" w:name="_Toc213865237"/>
      <w:r w:rsidRPr="00CB4ED1">
        <w:t xml:space="preserve">Summary of Phase 2 </w:t>
      </w:r>
      <w:r>
        <w:t>Preferred Way Forward</w:t>
      </w:r>
      <w:bookmarkEnd w:id="156"/>
      <w:bookmarkEnd w:id="157"/>
    </w:p>
    <w:tbl>
      <w:tblPr>
        <w:tblW w:w="4985"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2093"/>
        <w:gridCol w:w="7506"/>
      </w:tblGrid>
      <w:tr w:rsidR="00DF73C0" w:rsidRPr="00654E3F" w14:paraId="4574537D" w14:textId="77777777" w:rsidTr="00654E3F">
        <w:trPr>
          <w:trHeight w:val="359"/>
          <w:tblHeader/>
        </w:trPr>
        <w:tc>
          <w:tcPr>
            <w:tcW w:w="2093" w:type="dxa"/>
            <w:shd w:val="clear" w:color="auto" w:fill="374264" w:themeFill="text2"/>
            <w:vAlign w:val="center"/>
          </w:tcPr>
          <w:p w14:paraId="44650182" w14:textId="77777777" w:rsidR="00DF73C0" w:rsidRPr="00654E3F" w:rsidRDefault="00DF73C0" w:rsidP="00E67800">
            <w:pPr>
              <w:pStyle w:val="tabletext"/>
              <w:rPr>
                <w:b/>
                <w:bCs/>
                <w:color w:val="FFFFFF" w:themeColor="background1"/>
              </w:rPr>
            </w:pPr>
            <w:r w:rsidRPr="00654E3F">
              <w:rPr>
                <w:b/>
                <w:bCs/>
                <w:color w:val="FFFFFF" w:themeColor="background1"/>
              </w:rPr>
              <w:t>Element</w:t>
            </w:r>
          </w:p>
        </w:tc>
        <w:tc>
          <w:tcPr>
            <w:tcW w:w="7506" w:type="dxa"/>
            <w:shd w:val="clear" w:color="auto" w:fill="374264" w:themeFill="text2"/>
            <w:vAlign w:val="center"/>
          </w:tcPr>
          <w:p w14:paraId="71F7AB52" w14:textId="77777777" w:rsidR="00DF73C0" w:rsidRPr="00654E3F" w:rsidRDefault="00DF73C0" w:rsidP="00E67800">
            <w:pPr>
              <w:pStyle w:val="tabletext"/>
              <w:jc w:val="center"/>
              <w:rPr>
                <w:b/>
                <w:bCs/>
                <w:color w:val="FFFFFF" w:themeColor="background1"/>
              </w:rPr>
            </w:pPr>
            <w:r w:rsidRPr="00654E3F">
              <w:rPr>
                <w:b/>
                <w:bCs/>
                <w:color w:val="FFFFFF" w:themeColor="background1"/>
              </w:rPr>
              <w:t xml:space="preserve">Option 1 – PWF  </w:t>
            </w:r>
          </w:p>
        </w:tc>
      </w:tr>
      <w:tr w:rsidR="00DF73C0" w:rsidRPr="00654E3F" w14:paraId="6245CE5E" w14:textId="77777777" w:rsidTr="00654E3F">
        <w:trPr>
          <w:trHeight w:val="348"/>
        </w:trPr>
        <w:tc>
          <w:tcPr>
            <w:tcW w:w="2093" w:type="dxa"/>
            <w:vAlign w:val="center"/>
          </w:tcPr>
          <w:p w14:paraId="1AB3AF10" w14:textId="77777777" w:rsidR="00DF73C0" w:rsidRPr="00654E3F" w:rsidRDefault="00DF73C0" w:rsidP="00E67800">
            <w:pPr>
              <w:pStyle w:val="tabletext"/>
            </w:pPr>
            <w:r w:rsidRPr="00654E3F">
              <w:t>Summary</w:t>
            </w:r>
          </w:p>
        </w:tc>
        <w:tc>
          <w:tcPr>
            <w:tcW w:w="7506" w:type="dxa"/>
            <w:vAlign w:val="center"/>
          </w:tcPr>
          <w:p w14:paraId="7A4FCBAE" w14:textId="77777777" w:rsidR="00DF73C0" w:rsidRPr="00654E3F" w:rsidRDefault="00DF73C0" w:rsidP="00E67800">
            <w:pPr>
              <w:pStyle w:val="tabletext"/>
            </w:pPr>
            <w:r w:rsidRPr="00654E3F">
              <w:t xml:space="preserve">Provide a high-volume, low-complexity orthopaedic inpatient unit, providing capacity for up to six theatres to deliver arthroplasty (knees and hips) surgery for patients meeting the criteria for treatment without critical care support.  An inpatient unit adjacent to the theatres will accommodate patients requiring an overnight stay.   </w:t>
            </w:r>
          </w:p>
        </w:tc>
      </w:tr>
      <w:tr w:rsidR="00DF73C0" w:rsidRPr="00654E3F" w14:paraId="6F78A69C" w14:textId="77777777" w:rsidTr="00654E3F">
        <w:trPr>
          <w:trHeight w:val="359"/>
        </w:trPr>
        <w:tc>
          <w:tcPr>
            <w:tcW w:w="2093" w:type="dxa"/>
            <w:vAlign w:val="center"/>
          </w:tcPr>
          <w:p w14:paraId="2B0AC53D" w14:textId="77777777" w:rsidR="00DF73C0" w:rsidRPr="00654E3F" w:rsidRDefault="00DF73C0" w:rsidP="00E67800">
            <w:pPr>
              <w:pStyle w:val="tabletext"/>
            </w:pPr>
            <w:r w:rsidRPr="00654E3F">
              <w:t>Initial Capital Cost</w:t>
            </w:r>
          </w:p>
        </w:tc>
        <w:tc>
          <w:tcPr>
            <w:tcW w:w="7506" w:type="dxa"/>
            <w:vAlign w:val="center"/>
          </w:tcPr>
          <w:p w14:paraId="573D8DE0" w14:textId="691CB8ED" w:rsidR="00DF73C0" w:rsidRPr="00654E3F" w:rsidRDefault="00DF73C0" w:rsidP="00E67800">
            <w:pPr>
              <w:pStyle w:val="tabletext"/>
            </w:pPr>
            <w:r w:rsidRPr="00654E3F">
              <w:t>£1</w:t>
            </w:r>
            <w:r w:rsidR="005D4D00">
              <w:t>23</w:t>
            </w:r>
            <w:r w:rsidRPr="00654E3F">
              <w:t>.</w:t>
            </w:r>
            <w:r w:rsidR="00607B17">
              <w:t>6</w:t>
            </w:r>
            <w:r w:rsidRPr="00654E3F">
              <w:t>m</w:t>
            </w:r>
          </w:p>
        </w:tc>
      </w:tr>
      <w:tr w:rsidR="00DF73C0" w:rsidRPr="00654E3F" w14:paraId="66E571BB" w14:textId="77777777" w:rsidTr="00654E3F">
        <w:trPr>
          <w:trHeight w:val="359"/>
        </w:trPr>
        <w:tc>
          <w:tcPr>
            <w:tcW w:w="2093" w:type="dxa"/>
            <w:vAlign w:val="center"/>
          </w:tcPr>
          <w:p w14:paraId="029C9F85" w14:textId="77777777" w:rsidR="00DF73C0" w:rsidRPr="00654E3F" w:rsidRDefault="00DF73C0" w:rsidP="00E67800">
            <w:pPr>
              <w:pStyle w:val="tabletext"/>
            </w:pPr>
            <w:r w:rsidRPr="00654E3F">
              <w:t>No. of Theatres</w:t>
            </w:r>
          </w:p>
        </w:tc>
        <w:tc>
          <w:tcPr>
            <w:tcW w:w="7506" w:type="dxa"/>
            <w:vAlign w:val="center"/>
          </w:tcPr>
          <w:p w14:paraId="4DA053B5" w14:textId="77777777" w:rsidR="00DF73C0" w:rsidRPr="00654E3F" w:rsidRDefault="00DF73C0" w:rsidP="00E67800">
            <w:pPr>
              <w:pStyle w:val="tabletext"/>
            </w:pPr>
            <w:r w:rsidRPr="00654E3F">
              <w:t>A total of 6 theatres:</w:t>
            </w:r>
          </w:p>
          <w:p w14:paraId="1AB82EE9" w14:textId="77777777" w:rsidR="00DF73C0" w:rsidRPr="00654E3F" w:rsidRDefault="00DF73C0" w:rsidP="00654E3F">
            <w:pPr>
              <w:pStyle w:val="tablebulletsLHP"/>
            </w:pPr>
            <w:r w:rsidRPr="00654E3F">
              <w:t>3-4 Theatres for CTMUHB</w:t>
            </w:r>
          </w:p>
          <w:p w14:paraId="26EC5732" w14:textId="77777777" w:rsidR="00DF73C0" w:rsidRPr="00654E3F" w:rsidRDefault="00DF73C0" w:rsidP="00654E3F">
            <w:pPr>
              <w:pStyle w:val="tablebulletsLHP"/>
            </w:pPr>
            <w:r w:rsidRPr="00654E3F">
              <w:t>0.5 Theatres for CAVUHB</w:t>
            </w:r>
          </w:p>
          <w:p w14:paraId="53D9D5A1" w14:textId="77777777" w:rsidR="00DF73C0" w:rsidRPr="00654E3F" w:rsidRDefault="00DF73C0" w:rsidP="00654E3F">
            <w:pPr>
              <w:pStyle w:val="tablebulletsLHP"/>
            </w:pPr>
            <w:r w:rsidRPr="00654E3F">
              <w:t>1.5 Theatres ABUHB</w:t>
            </w:r>
          </w:p>
        </w:tc>
      </w:tr>
      <w:tr w:rsidR="00DF73C0" w:rsidRPr="00654E3F" w14:paraId="364DA1A2" w14:textId="77777777" w:rsidTr="00654E3F">
        <w:trPr>
          <w:trHeight w:val="359"/>
        </w:trPr>
        <w:tc>
          <w:tcPr>
            <w:tcW w:w="2093" w:type="dxa"/>
            <w:vAlign w:val="center"/>
          </w:tcPr>
          <w:p w14:paraId="0B48F086" w14:textId="168406B5" w:rsidR="00DF73C0" w:rsidRPr="00654E3F" w:rsidRDefault="00DF73C0" w:rsidP="00E67800">
            <w:pPr>
              <w:pStyle w:val="tabletext"/>
            </w:pPr>
            <w:r w:rsidRPr="00654E3F">
              <w:t xml:space="preserve">Activity </w:t>
            </w:r>
            <w:r w:rsidR="00654E3F" w:rsidRPr="00654E3F">
              <w:t>provided</w:t>
            </w:r>
          </w:p>
        </w:tc>
        <w:tc>
          <w:tcPr>
            <w:tcW w:w="7506" w:type="dxa"/>
            <w:vAlign w:val="center"/>
          </w:tcPr>
          <w:p w14:paraId="083FF324" w14:textId="77777777" w:rsidR="00DF73C0" w:rsidRPr="00654E3F" w:rsidRDefault="00DF73C0" w:rsidP="00E67800">
            <w:pPr>
              <w:pStyle w:val="tabletext"/>
            </w:pPr>
            <w:r w:rsidRPr="00654E3F">
              <w:t>Capacity to provide 5,760 arthroplasty surgeries at LHP:</w:t>
            </w:r>
          </w:p>
          <w:p w14:paraId="185F50DF" w14:textId="77777777" w:rsidR="00DF73C0" w:rsidRPr="00654E3F" w:rsidRDefault="00DF73C0" w:rsidP="00654E3F">
            <w:pPr>
              <w:pStyle w:val="tablebulletsLHP"/>
            </w:pPr>
            <w:r w:rsidRPr="00654E3F">
              <w:t>CTMUHB = 3,840 surgeries</w:t>
            </w:r>
          </w:p>
          <w:p w14:paraId="1BAE359C" w14:textId="77777777" w:rsidR="00DF73C0" w:rsidRPr="00654E3F" w:rsidRDefault="00DF73C0" w:rsidP="00654E3F">
            <w:pPr>
              <w:pStyle w:val="tablebulletsLHP"/>
            </w:pPr>
            <w:r w:rsidRPr="00654E3F">
              <w:t>CAVUHB = 960 surgeries</w:t>
            </w:r>
          </w:p>
          <w:p w14:paraId="054B56CD" w14:textId="77777777" w:rsidR="00DF73C0" w:rsidRPr="00654E3F" w:rsidRDefault="00DF73C0" w:rsidP="00654E3F">
            <w:pPr>
              <w:pStyle w:val="tablebulletsLHP"/>
            </w:pPr>
            <w:r w:rsidRPr="00654E3F">
              <w:t>ABUHB = 960 surgeries</w:t>
            </w:r>
          </w:p>
        </w:tc>
      </w:tr>
    </w:tbl>
    <w:p w14:paraId="341035FE" w14:textId="77777777" w:rsidR="00DF73C0" w:rsidRPr="00DF73C0" w:rsidRDefault="00DF73C0" w:rsidP="00DF73C0"/>
    <w:p w14:paraId="0A0C79CF" w14:textId="77777777" w:rsidR="00DF73C0" w:rsidRPr="00CB4ED1" w:rsidRDefault="00DF73C0" w:rsidP="00DF73C0">
      <w:pPr>
        <w:pStyle w:val="Heading2"/>
      </w:pPr>
      <w:bookmarkStart w:id="158" w:name="_Toc213775089"/>
      <w:bookmarkStart w:id="159" w:name="_Toc213865238"/>
      <w:r w:rsidRPr="00CB4ED1">
        <w:t>Capital costs</w:t>
      </w:r>
      <w:bookmarkEnd w:id="158"/>
      <w:bookmarkEnd w:id="159"/>
    </w:p>
    <w:p w14:paraId="1BA99ED7" w14:textId="77777777" w:rsidR="00DF73C0" w:rsidRPr="00CB4ED1" w:rsidRDefault="00DF73C0" w:rsidP="00DF73C0">
      <w:pPr>
        <w:rPr>
          <w:rFonts w:cs="Arial"/>
        </w:rPr>
      </w:pPr>
      <w:r>
        <w:t>Capital</w:t>
      </w:r>
      <w:r w:rsidRPr="00CB4ED1">
        <w:t xml:space="preserve"> costs for Phase 2 of the LHP have been estimated for the shortlisted options by the Health Board’s Cost Advisors, prepared by the CTMUHB’s Cost Advisors, Mott Macdonald </w:t>
      </w:r>
      <w:r w:rsidRPr="00CB4ED1">
        <w:rPr>
          <w:rFonts w:cs="Arial"/>
        </w:rPr>
        <w:t>using the following assumptions:</w:t>
      </w:r>
    </w:p>
    <w:p w14:paraId="553F7120" w14:textId="77777777" w:rsidR="00DF73C0" w:rsidRPr="00CB4ED1" w:rsidRDefault="00DF73C0" w:rsidP="00DF73C0">
      <w:pPr>
        <w:pStyle w:val="bullets1"/>
      </w:pPr>
      <w:r w:rsidRPr="00CB4ED1">
        <w:t>Agreed Schedules of Accommodation​ and RIBA3b design. Agreed scope of Phase 2 to cover the build of the Orthopaedic Surgical Hub plus supporting ward accommodation</w:t>
      </w:r>
    </w:p>
    <w:p w14:paraId="7DE3BC5A" w14:textId="77777777" w:rsidR="00DF73C0" w:rsidRPr="00CB4ED1" w:rsidRDefault="00DF73C0" w:rsidP="00DF73C0">
      <w:pPr>
        <w:pStyle w:val="bullets1"/>
      </w:pPr>
      <w:r w:rsidRPr="00CB4ED1">
        <w:lastRenderedPageBreak/>
        <w:t xml:space="preserve">Proposed </w:t>
      </w:r>
      <w:r>
        <w:t>that construction will begin in 2026-27</w:t>
      </w:r>
      <w:r>
        <w:rPr>
          <w:rStyle w:val="CommentReference"/>
          <w:rFonts w:ascii="Arial" w:eastAsia="Times New Roman" w:hAnsi="Arial" w:cs="Times New Roman"/>
          <w:color w:val="808080"/>
          <w:lang w:eastAsia="en-GB"/>
        </w:rPr>
        <w:t xml:space="preserve"> </w:t>
      </w:r>
      <w:r>
        <w:t>an</w:t>
      </w:r>
      <w:r w:rsidRPr="00CB4ED1">
        <w:t xml:space="preserve">d proposed completion date </w:t>
      </w:r>
      <w:r>
        <w:t>as the end of September 2028, with 3 months commissioning before going live date of January 2029.</w:t>
      </w:r>
    </w:p>
    <w:p w14:paraId="24BDBFD5" w14:textId="77777777" w:rsidR="00DF73C0" w:rsidRPr="00CB4ED1" w:rsidRDefault="00DF73C0" w:rsidP="00DF73C0">
      <w:pPr>
        <w:pStyle w:val="bullets1"/>
      </w:pPr>
      <w:r w:rsidRPr="00CB4ED1">
        <w:t xml:space="preserve">Works costs calculated using benchmarked rates suitable for South Wales (including Healthcare Premises Cost Guide) @ BCIS TPI updated </w:t>
      </w:r>
      <w:r>
        <w:t>11</w:t>
      </w:r>
      <w:r w:rsidRPr="00CB4ED1">
        <w:t>/</w:t>
      </w:r>
      <w:r>
        <w:t>11</w:t>
      </w:r>
      <w:r w:rsidRPr="00CB4ED1">
        <w:t>/2025.</w:t>
      </w:r>
    </w:p>
    <w:p w14:paraId="1E752107" w14:textId="77777777" w:rsidR="00DF73C0" w:rsidRPr="00CB4ED1" w:rsidRDefault="00DF73C0" w:rsidP="00DF73C0">
      <w:pPr>
        <w:pStyle w:val="bullets1"/>
      </w:pPr>
      <w:r w:rsidRPr="00CB4ED1">
        <w:t>Allowances for fees, equipment costs, planning contingency have been applied as appropriate.</w:t>
      </w:r>
    </w:p>
    <w:p w14:paraId="0E80CA6F" w14:textId="77777777" w:rsidR="00DF73C0" w:rsidRPr="00CB4ED1" w:rsidRDefault="00DF73C0" w:rsidP="00DF73C0">
      <w:pPr>
        <w:pStyle w:val="bullets1"/>
      </w:pPr>
      <w:r w:rsidRPr="00CB4ED1">
        <w:t>No allowance for optimism bias has been applied given the degree of certainty at this stage in terms of maturity of design, knowledge of the site, and publicly declared political support for the development. It is therefore superseded by the Costed Risk Register figure.</w:t>
      </w:r>
    </w:p>
    <w:p w14:paraId="7DE2C356" w14:textId="77777777" w:rsidR="00DF73C0" w:rsidRPr="00CB4ED1" w:rsidRDefault="00DF73C0" w:rsidP="00DF73C0">
      <w:pPr>
        <w:pStyle w:val="NoSpacing"/>
      </w:pPr>
    </w:p>
    <w:p w14:paraId="7F6CB13A" w14:textId="77777777" w:rsidR="00DF73C0" w:rsidRPr="00CB4ED1" w:rsidRDefault="00DF73C0" w:rsidP="00DF73C0">
      <w:pPr>
        <w:rPr>
          <w:rFonts w:cs="Arial"/>
          <w:i/>
          <w:iCs/>
        </w:rPr>
      </w:pPr>
      <w:r w:rsidRPr="00CB4ED1">
        <w:rPr>
          <w:rFonts w:cs="Arial"/>
        </w:rPr>
        <w:t xml:space="preserve">The resulting capital costs estimates are summarised in the table below and a copy of the detailed capital cost forms is provided in </w:t>
      </w:r>
      <w:r w:rsidRPr="00E67800">
        <w:rPr>
          <w:rFonts w:cs="Arial"/>
        </w:rPr>
        <w:t>Appendix 7.</w:t>
      </w:r>
    </w:p>
    <w:p w14:paraId="07D7E8FF" w14:textId="46843EE9" w:rsidR="00DF73C0" w:rsidRPr="00CB4ED1" w:rsidRDefault="00DF73C0" w:rsidP="00DF73C0">
      <w:pPr>
        <w:pStyle w:val="Caption"/>
        <w:rPr>
          <w:noProof w:val="0"/>
        </w:rPr>
      </w:pPr>
      <w:bookmarkStart w:id="160" w:name="_Toc213775142"/>
      <w:bookmarkStart w:id="161" w:name="_Toc213865292"/>
      <w:r w:rsidRPr="00CB4ED1">
        <w:rPr>
          <w:rStyle w:val="CaptionChar"/>
          <w:i/>
          <w:noProof w:val="0"/>
        </w:rPr>
        <w:t xml:space="preserve">Table </w:t>
      </w:r>
      <w:r w:rsidRPr="00CB4ED1">
        <w:rPr>
          <w:rStyle w:val="CaptionChar"/>
          <w:i/>
          <w:noProof w:val="0"/>
        </w:rPr>
        <w:fldChar w:fldCharType="begin"/>
      </w:r>
      <w:r w:rsidRPr="00CB4ED1">
        <w:rPr>
          <w:rStyle w:val="CaptionChar"/>
          <w:i/>
          <w:noProof w:val="0"/>
        </w:rPr>
        <w:instrText xml:space="preserve"> SEQ Table \* ARABIC </w:instrText>
      </w:r>
      <w:r w:rsidRPr="00CB4ED1">
        <w:rPr>
          <w:rStyle w:val="CaptionChar"/>
          <w:i/>
          <w:noProof w:val="0"/>
        </w:rPr>
        <w:fldChar w:fldCharType="separate"/>
      </w:r>
      <w:r w:rsidR="004A33ED">
        <w:rPr>
          <w:rStyle w:val="CaptionChar"/>
          <w:i/>
        </w:rPr>
        <w:t>12</w:t>
      </w:r>
      <w:r w:rsidRPr="00CB4ED1">
        <w:rPr>
          <w:rStyle w:val="CaptionChar"/>
          <w:i/>
          <w:noProof w:val="0"/>
        </w:rPr>
        <w:fldChar w:fldCharType="end"/>
      </w:r>
      <w:r w:rsidRPr="00CB4ED1">
        <w:rPr>
          <w:noProof w:val="0"/>
        </w:rPr>
        <w:t xml:space="preserve"> – Capital Costs</w:t>
      </w:r>
      <w:bookmarkEnd w:id="160"/>
      <w:bookmarkEnd w:id="161"/>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4219"/>
        <w:gridCol w:w="2801"/>
        <w:gridCol w:w="2801"/>
      </w:tblGrid>
      <w:tr w:rsidR="00DF73C0" w:rsidRPr="00CB4ED1" w14:paraId="13967EC2" w14:textId="77777777" w:rsidTr="00E67800">
        <w:trPr>
          <w:tblHeader/>
        </w:trPr>
        <w:tc>
          <w:tcPr>
            <w:tcW w:w="4219" w:type="dxa"/>
            <w:shd w:val="clear" w:color="auto" w:fill="374264" w:themeFill="text2"/>
            <w:vAlign w:val="center"/>
          </w:tcPr>
          <w:p w14:paraId="011239E9" w14:textId="77777777" w:rsidR="00DF73C0" w:rsidRPr="00CB4ED1" w:rsidRDefault="00DF73C0" w:rsidP="00E67800">
            <w:pPr>
              <w:pStyle w:val="tabletext"/>
              <w:rPr>
                <w:b/>
                <w:bCs/>
                <w:color w:val="FFFFFF" w:themeColor="background1"/>
                <w:sz w:val="18"/>
                <w:szCs w:val="20"/>
              </w:rPr>
            </w:pPr>
            <w:r w:rsidRPr="00CB4ED1">
              <w:rPr>
                <w:b/>
                <w:bCs/>
                <w:color w:val="FFFFFF" w:themeColor="background1"/>
                <w:sz w:val="18"/>
                <w:szCs w:val="20"/>
              </w:rPr>
              <w:t>Element</w:t>
            </w:r>
          </w:p>
        </w:tc>
        <w:tc>
          <w:tcPr>
            <w:tcW w:w="2801" w:type="dxa"/>
            <w:shd w:val="clear" w:color="auto" w:fill="374264" w:themeFill="text2"/>
            <w:vAlign w:val="center"/>
          </w:tcPr>
          <w:p w14:paraId="334446C2" w14:textId="77777777" w:rsidR="00DF73C0" w:rsidRPr="00CB4ED1" w:rsidRDefault="00DF73C0" w:rsidP="00E67800">
            <w:pPr>
              <w:pStyle w:val="tabletext"/>
              <w:jc w:val="center"/>
              <w:rPr>
                <w:b/>
                <w:bCs/>
                <w:color w:val="FFFFFF" w:themeColor="background1"/>
                <w:sz w:val="18"/>
                <w:szCs w:val="20"/>
              </w:rPr>
            </w:pPr>
            <w:r w:rsidRPr="00CB4ED1">
              <w:rPr>
                <w:b/>
                <w:bCs/>
                <w:color w:val="FFFFFF" w:themeColor="background1"/>
                <w:sz w:val="18"/>
                <w:szCs w:val="20"/>
              </w:rPr>
              <w:t xml:space="preserve">Option 0 - </w:t>
            </w:r>
            <w:proofErr w:type="gramStart"/>
            <w:r w:rsidRPr="00CB4ED1">
              <w:rPr>
                <w:b/>
                <w:bCs/>
                <w:color w:val="FFFFFF" w:themeColor="background1"/>
                <w:sz w:val="18"/>
                <w:szCs w:val="20"/>
              </w:rPr>
              <w:t>BAU  £</w:t>
            </w:r>
            <w:proofErr w:type="gramEnd"/>
            <w:r w:rsidRPr="00CB4ED1">
              <w:rPr>
                <w:b/>
                <w:bCs/>
                <w:color w:val="FFFFFF" w:themeColor="background1"/>
                <w:sz w:val="18"/>
                <w:szCs w:val="20"/>
              </w:rPr>
              <w:t>’000</w:t>
            </w:r>
          </w:p>
        </w:tc>
        <w:tc>
          <w:tcPr>
            <w:tcW w:w="2801" w:type="dxa"/>
            <w:shd w:val="clear" w:color="auto" w:fill="374264" w:themeFill="text2"/>
            <w:vAlign w:val="center"/>
          </w:tcPr>
          <w:p w14:paraId="5D5B5346" w14:textId="77777777" w:rsidR="00DF73C0" w:rsidRPr="00CB4ED1" w:rsidRDefault="00DF73C0" w:rsidP="00E67800">
            <w:pPr>
              <w:pStyle w:val="tabletext"/>
              <w:jc w:val="center"/>
              <w:rPr>
                <w:b/>
                <w:bCs/>
                <w:color w:val="FFFFFF" w:themeColor="background1"/>
                <w:sz w:val="18"/>
                <w:szCs w:val="20"/>
              </w:rPr>
            </w:pPr>
            <w:r w:rsidRPr="00CB4ED1">
              <w:rPr>
                <w:b/>
                <w:bCs/>
                <w:color w:val="FFFFFF" w:themeColor="background1"/>
                <w:sz w:val="18"/>
                <w:szCs w:val="20"/>
              </w:rPr>
              <w:t xml:space="preserve">Option 1 – </w:t>
            </w:r>
            <w:proofErr w:type="gramStart"/>
            <w:r w:rsidRPr="00CB4ED1">
              <w:rPr>
                <w:b/>
                <w:bCs/>
                <w:color w:val="FFFFFF" w:themeColor="background1"/>
                <w:sz w:val="18"/>
                <w:szCs w:val="20"/>
              </w:rPr>
              <w:t>PWF  £</w:t>
            </w:r>
            <w:proofErr w:type="gramEnd"/>
            <w:r w:rsidRPr="00CB4ED1">
              <w:rPr>
                <w:b/>
                <w:bCs/>
                <w:color w:val="FFFFFF" w:themeColor="background1"/>
                <w:sz w:val="18"/>
                <w:szCs w:val="20"/>
              </w:rPr>
              <w:t>’000</w:t>
            </w:r>
          </w:p>
        </w:tc>
      </w:tr>
      <w:tr w:rsidR="00607B17" w:rsidRPr="00CB4ED1" w14:paraId="778E77D3" w14:textId="77777777" w:rsidTr="00E67800">
        <w:tc>
          <w:tcPr>
            <w:tcW w:w="4219" w:type="dxa"/>
            <w:vAlign w:val="center"/>
          </w:tcPr>
          <w:p w14:paraId="0F899DDD" w14:textId="77777777" w:rsidR="00607B17" w:rsidRPr="00CB4ED1" w:rsidRDefault="00607B17" w:rsidP="00607B17">
            <w:pPr>
              <w:pStyle w:val="tabletext"/>
              <w:rPr>
                <w:sz w:val="18"/>
                <w:szCs w:val="20"/>
              </w:rPr>
            </w:pPr>
            <w:r w:rsidRPr="00CB4ED1">
              <w:rPr>
                <w:sz w:val="18"/>
                <w:szCs w:val="20"/>
              </w:rPr>
              <w:t>Works Costs</w:t>
            </w:r>
          </w:p>
        </w:tc>
        <w:tc>
          <w:tcPr>
            <w:tcW w:w="2801" w:type="dxa"/>
            <w:vAlign w:val="center"/>
          </w:tcPr>
          <w:p w14:paraId="2D79E268" w14:textId="77777777" w:rsidR="00607B17" w:rsidRPr="00CB4ED1" w:rsidRDefault="00607B17" w:rsidP="00607B17">
            <w:pPr>
              <w:pStyle w:val="tabletext"/>
              <w:jc w:val="right"/>
              <w:rPr>
                <w:sz w:val="18"/>
                <w:szCs w:val="20"/>
              </w:rPr>
            </w:pPr>
            <w:r w:rsidRPr="00CB4ED1">
              <w:rPr>
                <w:sz w:val="18"/>
                <w:szCs w:val="20"/>
              </w:rPr>
              <w:t>-</w:t>
            </w:r>
          </w:p>
        </w:tc>
        <w:tc>
          <w:tcPr>
            <w:tcW w:w="2801" w:type="dxa"/>
            <w:vAlign w:val="center"/>
          </w:tcPr>
          <w:p w14:paraId="37EF6F52" w14:textId="6A8AFE53" w:rsidR="00607B17" w:rsidRPr="00CB4ED1" w:rsidRDefault="00607B17" w:rsidP="00607B17">
            <w:pPr>
              <w:pStyle w:val="tabletext"/>
              <w:jc w:val="right"/>
              <w:rPr>
                <w:sz w:val="18"/>
                <w:szCs w:val="20"/>
              </w:rPr>
            </w:pPr>
            <w:r>
              <w:rPr>
                <w:rFonts w:cs="Arial"/>
                <w:sz w:val="18"/>
                <w:szCs w:val="18"/>
              </w:rPr>
              <w:t>70,924</w:t>
            </w:r>
          </w:p>
        </w:tc>
      </w:tr>
      <w:tr w:rsidR="00607B17" w:rsidRPr="00CB4ED1" w14:paraId="109838FA" w14:textId="77777777" w:rsidTr="00E67800">
        <w:tc>
          <w:tcPr>
            <w:tcW w:w="4219" w:type="dxa"/>
            <w:vAlign w:val="center"/>
          </w:tcPr>
          <w:p w14:paraId="2F97CE18" w14:textId="77777777" w:rsidR="00607B17" w:rsidRPr="00CB4ED1" w:rsidRDefault="00607B17" w:rsidP="00607B17">
            <w:pPr>
              <w:pStyle w:val="tabletext"/>
              <w:rPr>
                <w:sz w:val="18"/>
                <w:szCs w:val="20"/>
              </w:rPr>
            </w:pPr>
            <w:r w:rsidRPr="00CB4ED1">
              <w:rPr>
                <w:sz w:val="18"/>
                <w:szCs w:val="20"/>
              </w:rPr>
              <w:t>Fees</w:t>
            </w:r>
          </w:p>
        </w:tc>
        <w:tc>
          <w:tcPr>
            <w:tcW w:w="2801" w:type="dxa"/>
            <w:vAlign w:val="center"/>
          </w:tcPr>
          <w:p w14:paraId="6DCA2CAF" w14:textId="77777777" w:rsidR="00607B17" w:rsidRPr="00CB4ED1" w:rsidRDefault="00607B17" w:rsidP="00607B17">
            <w:pPr>
              <w:pStyle w:val="tabletext"/>
              <w:jc w:val="right"/>
              <w:rPr>
                <w:sz w:val="18"/>
                <w:szCs w:val="20"/>
              </w:rPr>
            </w:pPr>
            <w:r w:rsidRPr="00CB4ED1">
              <w:rPr>
                <w:sz w:val="18"/>
                <w:szCs w:val="20"/>
              </w:rPr>
              <w:t>-</w:t>
            </w:r>
          </w:p>
        </w:tc>
        <w:tc>
          <w:tcPr>
            <w:tcW w:w="2801" w:type="dxa"/>
            <w:vAlign w:val="center"/>
          </w:tcPr>
          <w:p w14:paraId="002117BC" w14:textId="00D63047" w:rsidR="00607B17" w:rsidRPr="00CB4ED1" w:rsidRDefault="00607B17" w:rsidP="00607B17">
            <w:pPr>
              <w:pStyle w:val="tabletext"/>
              <w:jc w:val="right"/>
              <w:rPr>
                <w:sz w:val="18"/>
                <w:szCs w:val="20"/>
              </w:rPr>
            </w:pPr>
            <w:r>
              <w:rPr>
                <w:rFonts w:cs="Arial"/>
                <w:sz w:val="18"/>
                <w:szCs w:val="18"/>
              </w:rPr>
              <w:t>8,357</w:t>
            </w:r>
          </w:p>
        </w:tc>
      </w:tr>
      <w:tr w:rsidR="00607B17" w:rsidRPr="00CB4ED1" w14:paraId="322C4BFE" w14:textId="77777777" w:rsidTr="00E67800">
        <w:tc>
          <w:tcPr>
            <w:tcW w:w="4219" w:type="dxa"/>
            <w:vAlign w:val="center"/>
          </w:tcPr>
          <w:p w14:paraId="3ACE92B5" w14:textId="77777777" w:rsidR="00607B17" w:rsidRPr="00CB4ED1" w:rsidRDefault="00607B17" w:rsidP="00607B17">
            <w:pPr>
              <w:pStyle w:val="tabletext"/>
              <w:rPr>
                <w:sz w:val="18"/>
                <w:szCs w:val="20"/>
              </w:rPr>
            </w:pPr>
            <w:r w:rsidRPr="00CB4ED1">
              <w:rPr>
                <w:sz w:val="18"/>
                <w:szCs w:val="20"/>
              </w:rPr>
              <w:t>Non-Works Costs</w:t>
            </w:r>
          </w:p>
        </w:tc>
        <w:tc>
          <w:tcPr>
            <w:tcW w:w="2801" w:type="dxa"/>
            <w:vAlign w:val="center"/>
          </w:tcPr>
          <w:p w14:paraId="21DF0154" w14:textId="77777777" w:rsidR="00607B17" w:rsidRPr="00CB4ED1" w:rsidRDefault="00607B17" w:rsidP="00607B17">
            <w:pPr>
              <w:pStyle w:val="tabletext"/>
              <w:jc w:val="right"/>
              <w:rPr>
                <w:sz w:val="18"/>
                <w:szCs w:val="20"/>
              </w:rPr>
            </w:pPr>
            <w:r w:rsidRPr="00CB4ED1">
              <w:rPr>
                <w:sz w:val="18"/>
                <w:szCs w:val="20"/>
              </w:rPr>
              <w:t>-</w:t>
            </w:r>
          </w:p>
        </w:tc>
        <w:tc>
          <w:tcPr>
            <w:tcW w:w="2801" w:type="dxa"/>
            <w:vAlign w:val="center"/>
          </w:tcPr>
          <w:p w14:paraId="0342BBD3" w14:textId="02CCB71B" w:rsidR="00607B17" w:rsidRPr="00CB4ED1" w:rsidRDefault="00607B17" w:rsidP="00607B17">
            <w:pPr>
              <w:pStyle w:val="tabletext"/>
              <w:jc w:val="right"/>
              <w:rPr>
                <w:sz w:val="18"/>
                <w:szCs w:val="20"/>
              </w:rPr>
            </w:pPr>
            <w:r>
              <w:rPr>
                <w:rFonts w:cs="Arial"/>
                <w:sz w:val="18"/>
                <w:szCs w:val="18"/>
              </w:rPr>
              <w:t>185</w:t>
            </w:r>
          </w:p>
        </w:tc>
      </w:tr>
      <w:tr w:rsidR="00607B17" w:rsidRPr="00CB4ED1" w14:paraId="30D4BA94" w14:textId="77777777" w:rsidTr="00E67800">
        <w:tc>
          <w:tcPr>
            <w:tcW w:w="4219" w:type="dxa"/>
            <w:vAlign w:val="center"/>
          </w:tcPr>
          <w:p w14:paraId="686C2DE8" w14:textId="77777777" w:rsidR="00607B17" w:rsidRPr="00CB4ED1" w:rsidRDefault="00607B17" w:rsidP="00607B17">
            <w:pPr>
              <w:pStyle w:val="tabletext"/>
              <w:rPr>
                <w:sz w:val="18"/>
                <w:szCs w:val="20"/>
              </w:rPr>
            </w:pPr>
            <w:r w:rsidRPr="00CB4ED1">
              <w:rPr>
                <w:sz w:val="18"/>
                <w:szCs w:val="20"/>
              </w:rPr>
              <w:t>Equipment Costs</w:t>
            </w:r>
          </w:p>
        </w:tc>
        <w:tc>
          <w:tcPr>
            <w:tcW w:w="2801" w:type="dxa"/>
            <w:vAlign w:val="center"/>
          </w:tcPr>
          <w:p w14:paraId="192A1DF0" w14:textId="77777777" w:rsidR="00607B17" w:rsidRPr="00CB4ED1" w:rsidRDefault="00607B17" w:rsidP="00607B17">
            <w:pPr>
              <w:pStyle w:val="tabletext"/>
              <w:jc w:val="right"/>
              <w:rPr>
                <w:sz w:val="18"/>
                <w:szCs w:val="20"/>
              </w:rPr>
            </w:pPr>
            <w:r w:rsidRPr="00CB4ED1">
              <w:rPr>
                <w:sz w:val="18"/>
                <w:szCs w:val="20"/>
              </w:rPr>
              <w:t>-</w:t>
            </w:r>
          </w:p>
        </w:tc>
        <w:tc>
          <w:tcPr>
            <w:tcW w:w="2801" w:type="dxa"/>
            <w:vAlign w:val="center"/>
          </w:tcPr>
          <w:p w14:paraId="7FCB2EF0" w14:textId="4BD51ED4" w:rsidR="00607B17" w:rsidRPr="00CB4ED1" w:rsidRDefault="00607B17" w:rsidP="00607B17">
            <w:pPr>
              <w:pStyle w:val="tabletext"/>
              <w:jc w:val="right"/>
              <w:rPr>
                <w:sz w:val="18"/>
                <w:szCs w:val="20"/>
              </w:rPr>
            </w:pPr>
            <w:r>
              <w:rPr>
                <w:rFonts w:cs="Arial"/>
                <w:sz w:val="18"/>
                <w:szCs w:val="18"/>
              </w:rPr>
              <w:t>9,805</w:t>
            </w:r>
          </w:p>
        </w:tc>
      </w:tr>
      <w:tr w:rsidR="00607B17" w:rsidRPr="00CB4ED1" w14:paraId="601F3A39" w14:textId="77777777" w:rsidTr="00E67800">
        <w:tc>
          <w:tcPr>
            <w:tcW w:w="4219" w:type="dxa"/>
            <w:vAlign w:val="center"/>
          </w:tcPr>
          <w:p w14:paraId="6C069050" w14:textId="77777777" w:rsidR="00607B17" w:rsidRPr="00CB4ED1" w:rsidRDefault="00607B17" w:rsidP="00607B17">
            <w:pPr>
              <w:pStyle w:val="tabletext"/>
              <w:rPr>
                <w:sz w:val="18"/>
                <w:szCs w:val="20"/>
              </w:rPr>
            </w:pPr>
            <w:r w:rsidRPr="00CB4ED1">
              <w:rPr>
                <w:sz w:val="18"/>
                <w:szCs w:val="20"/>
              </w:rPr>
              <w:t>Quantified Risk Contingency</w:t>
            </w:r>
          </w:p>
        </w:tc>
        <w:tc>
          <w:tcPr>
            <w:tcW w:w="2801" w:type="dxa"/>
            <w:vAlign w:val="center"/>
          </w:tcPr>
          <w:p w14:paraId="52DB3104" w14:textId="77777777" w:rsidR="00607B17" w:rsidRPr="00CB4ED1" w:rsidRDefault="00607B17" w:rsidP="00607B17">
            <w:pPr>
              <w:pStyle w:val="tabletext"/>
              <w:jc w:val="right"/>
              <w:rPr>
                <w:sz w:val="18"/>
                <w:szCs w:val="20"/>
              </w:rPr>
            </w:pPr>
            <w:r w:rsidRPr="00CB4ED1">
              <w:rPr>
                <w:sz w:val="18"/>
                <w:szCs w:val="20"/>
              </w:rPr>
              <w:t>-</w:t>
            </w:r>
          </w:p>
        </w:tc>
        <w:tc>
          <w:tcPr>
            <w:tcW w:w="2801" w:type="dxa"/>
            <w:vAlign w:val="center"/>
          </w:tcPr>
          <w:p w14:paraId="3DF44C48" w14:textId="5B30B1C5" w:rsidR="00607B17" w:rsidRPr="00CB4ED1" w:rsidRDefault="00607B17" w:rsidP="00607B17">
            <w:pPr>
              <w:pStyle w:val="tabletext"/>
              <w:jc w:val="right"/>
              <w:rPr>
                <w:sz w:val="18"/>
                <w:szCs w:val="20"/>
              </w:rPr>
            </w:pPr>
            <w:r>
              <w:rPr>
                <w:rFonts w:cs="Arial"/>
                <w:sz w:val="18"/>
                <w:szCs w:val="18"/>
              </w:rPr>
              <w:t>9,800</w:t>
            </w:r>
          </w:p>
        </w:tc>
      </w:tr>
      <w:tr w:rsidR="00607B17" w:rsidRPr="00CB4ED1" w14:paraId="15965F8C" w14:textId="77777777" w:rsidTr="00E67800">
        <w:tc>
          <w:tcPr>
            <w:tcW w:w="4219" w:type="dxa"/>
            <w:shd w:val="clear" w:color="auto" w:fill="F2F2F2" w:themeFill="background1" w:themeFillShade="F2"/>
            <w:vAlign w:val="center"/>
          </w:tcPr>
          <w:p w14:paraId="29099545" w14:textId="77777777" w:rsidR="00607B17" w:rsidRPr="00CB4ED1" w:rsidRDefault="00607B17" w:rsidP="00607B17">
            <w:pPr>
              <w:pStyle w:val="tabletext"/>
              <w:rPr>
                <w:b/>
                <w:bCs/>
                <w:sz w:val="18"/>
                <w:szCs w:val="20"/>
              </w:rPr>
            </w:pPr>
            <w:r w:rsidRPr="00CB4ED1">
              <w:rPr>
                <w:b/>
                <w:bCs/>
                <w:sz w:val="18"/>
                <w:szCs w:val="20"/>
              </w:rPr>
              <w:t>Subtotal</w:t>
            </w:r>
          </w:p>
        </w:tc>
        <w:tc>
          <w:tcPr>
            <w:tcW w:w="2801" w:type="dxa"/>
            <w:shd w:val="clear" w:color="auto" w:fill="F2F2F2" w:themeFill="background1" w:themeFillShade="F2"/>
            <w:vAlign w:val="center"/>
          </w:tcPr>
          <w:p w14:paraId="6FB03581" w14:textId="77777777" w:rsidR="00607B17" w:rsidRPr="00CB4ED1" w:rsidRDefault="00607B17" w:rsidP="00607B17">
            <w:pPr>
              <w:pStyle w:val="tabletext"/>
              <w:jc w:val="right"/>
              <w:rPr>
                <w:b/>
                <w:bCs/>
                <w:sz w:val="18"/>
                <w:szCs w:val="20"/>
              </w:rPr>
            </w:pPr>
            <w:r w:rsidRPr="00CB4ED1">
              <w:rPr>
                <w:b/>
                <w:bCs/>
                <w:sz w:val="18"/>
                <w:szCs w:val="20"/>
              </w:rPr>
              <w:t>-</w:t>
            </w:r>
          </w:p>
        </w:tc>
        <w:tc>
          <w:tcPr>
            <w:tcW w:w="2801" w:type="dxa"/>
            <w:shd w:val="clear" w:color="auto" w:fill="F2F2F2" w:themeFill="background1" w:themeFillShade="F2"/>
            <w:vAlign w:val="center"/>
          </w:tcPr>
          <w:p w14:paraId="560193F7" w14:textId="5DFBC988" w:rsidR="00607B17" w:rsidRPr="00CB4ED1" w:rsidRDefault="00607B17" w:rsidP="00607B17">
            <w:pPr>
              <w:pStyle w:val="tabletext"/>
              <w:jc w:val="right"/>
              <w:rPr>
                <w:b/>
                <w:bCs/>
                <w:sz w:val="18"/>
                <w:szCs w:val="20"/>
              </w:rPr>
            </w:pPr>
            <w:r>
              <w:rPr>
                <w:rFonts w:cs="Arial"/>
                <w:b/>
                <w:bCs/>
                <w:sz w:val="18"/>
                <w:szCs w:val="18"/>
              </w:rPr>
              <w:t>99,071</w:t>
            </w:r>
          </w:p>
        </w:tc>
      </w:tr>
      <w:tr w:rsidR="00607B17" w:rsidRPr="00CB4ED1" w14:paraId="1307E4BC" w14:textId="77777777" w:rsidTr="00E67800">
        <w:tc>
          <w:tcPr>
            <w:tcW w:w="4219" w:type="dxa"/>
            <w:vAlign w:val="center"/>
          </w:tcPr>
          <w:p w14:paraId="44DC3827" w14:textId="77777777" w:rsidR="00607B17" w:rsidRPr="00CB4ED1" w:rsidRDefault="00607B17" w:rsidP="00607B17">
            <w:pPr>
              <w:pStyle w:val="tabletext"/>
              <w:rPr>
                <w:sz w:val="18"/>
                <w:szCs w:val="20"/>
              </w:rPr>
            </w:pPr>
            <w:r>
              <w:rPr>
                <w:sz w:val="18"/>
                <w:szCs w:val="20"/>
              </w:rPr>
              <w:t>Inflation Adjustment</w:t>
            </w:r>
          </w:p>
        </w:tc>
        <w:tc>
          <w:tcPr>
            <w:tcW w:w="2801" w:type="dxa"/>
            <w:vAlign w:val="center"/>
          </w:tcPr>
          <w:p w14:paraId="4F631625" w14:textId="77777777" w:rsidR="00607B17" w:rsidRPr="00CB4ED1" w:rsidRDefault="00607B17" w:rsidP="00607B17">
            <w:pPr>
              <w:pStyle w:val="tabletext"/>
              <w:jc w:val="right"/>
              <w:rPr>
                <w:sz w:val="18"/>
                <w:szCs w:val="20"/>
              </w:rPr>
            </w:pPr>
          </w:p>
        </w:tc>
        <w:tc>
          <w:tcPr>
            <w:tcW w:w="2801" w:type="dxa"/>
            <w:vAlign w:val="center"/>
          </w:tcPr>
          <w:p w14:paraId="27556B73" w14:textId="0A39FFFA" w:rsidR="00607B17" w:rsidRPr="00CB4ED1" w:rsidRDefault="00607B17" w:rsidP="00607B17">
            <w:pPr>
              <w:pStyle w:val="tabletext"/>
              <w:jc w:val="right"/>
              <w:rPr>
                <w:sz w:val="18"/>
                <w:szCs w:val="18"/>
              </w:rPr>
            </w:pPr>
            <w:r>
              <w:rPr>
                <w:rFonts w:cs="Arial"/>
                <w:sz w:val="18"/>
                <w:szCs w:val="18"/>
              </w:rPr>
              <w:t>5,104</w:t>
            </w:r>
          </w:p>
        </w:tc>
      </w:tr>
      <w:tr w:rsidR="00607B17" w:rsidRPr="00CB4ED1" w14:paraId="12CC3B77" w14:textId="77777777" w:rsidTr="00E67800">
        <w:tc>
          <w:tcPr>
            <w:tcW w:w="4219" w:type="dxa"/>
            <w:vAlign w:val="center"/>
          </w:tcPr>
          <w:p w14:paraId="30DEBE7D" w14:textId="77777777" w:rsidR="00607B17" w:rsidRPr="00CB4ED1" w:rsidRDefault="00607B17" w:rsidP="00607B17">
            <w:pPr>
              <w:pStyle w:val="tabletext"/>
              <w:rPr>
                <w:sz w:val="18"/>
                <w:szCs w:val="20"/>
              </w:rPr>
            </w:pPr>
            <w:r w:rsidRPr="00CB4ED1">
              <w:rPr>
                <w:sz w:val="18"/>
                <w:szCs w:val="20"/>
              </w:rPr>
              <w:t>VAT</w:t>
            </w:r>
          </w:p>
        </w:tc>
        <w:tc>
          <w:tcPr>
            <w:tcW w:w="2801" w:type="dxa"/>
            <w:vAlign w:val="center"/>
          </w:tcPr>
          <w:p w14:paraId="6C3E921B" w14:textId="77777777" w:rsidR="00607B17" w:rsidRPr="00CB4ED1" w:rsidRDefault="00607B17" w:rsidP="00607B17">
            <w:pPr>
              <w:pStyle w:val="tabletext"/>
              <w:jc w:val="right"/>
              <w:rPr>
                <w:sz w:val="18"/>
                <w:szCs w:val="20"/>
              </w:rPr>
            </w:pPr>
            <w:r w:rsidRPr="00CB4ED1">
              <w:rPr>
                <w:sz w:val="18"/>
                <w:szCs w:val="20"/>
              </w:rPr>
              <w:t>-</w:t>
            </w:r>
          </w:p>
        </w:tc>
        <w:tc>
          <w:tcPr>
            <w:tcW w:w="2801" w:type="dxa"/>
            <w:vAlign w:val="center"/>
          </w:tcPr>
          <w:p w14:paraId="377807B3" w14:textId="076DF8E4" w:rsidR="00607B17" w:rsidRPr="00CB4ED1" w:rsidRDefault="00607B17" w:rsidP="00607B17">
            <w:pPr>
              <w:pStyle w:val="tabletext"/>
              <w:jc w:val="right"/>
              <w:rPr>
                <w:sz w:val="18"/>
                <w:szCs w:val="18"/>
              </w:rPr>
            </w:pPr>
            <w:r>
              <w:rPr>
                <w:rFonts w:cs="Arial"/>
                <w:sz w:val="18"/>
                <w:szCs w:val="18"/>
              </w:rPr>
              <w:t>19,454</w:t>
            </w:r>
          </w:p>
        </w:tc>
      </w:tr>
      <w:tr w:rsidR="00607B17" w:rsidRPr="00CB4ED1" w14:paraId="1C709EA7" w14:textId="77777777" w:rsidTr="00E67800">
        <w:tc>
          <w:tcPr>
            <w:tcW w:w="4219" w:type="dxa"/>
            <w:shd w:val="clear" w:color="auto" w:fill="E9F1F6" w:themeFill="accent3" w:themeFillTint="33"/>
            <w:vAlign w:val="center"/>
          </w:tcPr>
          <w:p w14:paraId="40120B1D" w14:textId="77777777" w:rsidR="00607B17" w:rsidRPr="00CB4ED1" w:rsidRDefault="00607B17" w:rsidP="00607B17">
            <w:pPr>
              <w:pStyle w:val="tabletext"/>
              <w:rPr>
                <w:b/>
                <w:bCs/>
                <w:sz w:val="18"/>
                <w:szCs w:val="20"/>
              </w:rPr>
            </w:pPr>
            <w:r w:rsidRPr="00CB4ED1">
              <w:rPr>
                <w:b/>
                <w:bCs/>
                <w:sz w:val="18"/>
                <w:szCs w:val="20"/>
              </w:rPr>
              <w:t>Total capital costs (as per capital cost forms)</w:t>
            </w:r>
          </w:p>
        </w:tc>
        <w:tc>
          <w:tcPr>
            <w:tcW w:w="2801" w:type="dxa"/>
            <w:shd w:val="clear" w:color="auto" w:fill="E9F1F6" w:themeFill="accent3" w:themeFillTint="33"/>
            <w:vAlign w:val="center"/>
          </w:tcPr>
          <w:p w14:paraId="0F412AEF" w14:textId="77777777" w:rsidR="00607B17" w:rsidRPr="00CB4ED1" w:rsidRDefault="00607B17" w:rsidP="00607B17">
            <w:pPr>
              <w:pStyle w:val="tabletext"/>
              <w:jc w:val="right"/>
              <w:rPr>
                <w:b/>
                <w:bCs/>
                <w:sz w:val="18"/>
                <w:szCs w:val="20"/>
              </w:rPr>
            </w:pPr>
            <w:r w:rsidRPr="00CB4ED1">
              <w:rPr>
                <w:b/>
                <w:bCs/>
                <w:sz w:val="18"/>
                <w:szCs w:val="20"/>
              </w:rPr>
              <w:t>-</w:t>
            </w:r>
          </w:p>
        </w:tc>
        <w:tc>
          <w:tcPr>
            <w:tcW w:w="2801" w:type="dxa"/>
            <w:shd w:val="clear" w:color="auto" w:fill="E9F1F6" w:themeFill="accent3" w:themeFillTint="33"/>
            <w:vAlign w:val="center"/>
          </w:tcPr>
          <w:p w14:paraId="5218CCAB" w14:textId="7C57ED74" w:rsidR="00607B17" w:rsidRPr="00CB4ED1" w:rsidRDefault="00607B17" w:rsidP="00607B17">
            <w:pPr>
              <w:pStyle w:val="tabletext"/>
              <w:jc w:val="right"/>
              <w:rPr>
                <w:b/>
                <w:sz w:val="18"/>
                <w:szCs w:val="18"/>
              </w:rPr>
            </w:pPr>
            <w:r>
              <w:rPr>
                <w:rFonts w:cs="Arial"/>
                <w:b/>
                <w:bCs/>
                <w:sz w:val="18"/>
                <w:szCs w:val="18"/>
              </w:rPr>
              <w:t>123,630</w:t>
            </w:r>
          </w:p>
        </w:tc>
      </w:tr>
      <w:tr w:rsidR="00607B17" w:rsidRPr="00CB4ED1" w14:paraId="6F364D56" w14:textId="77777777" w:rsidTr="00E67800">
        <w:tc>
          <w:tcPr>
            <w:tcW w:w="4219" w:type="dxa"/>
            <w:vAlign w:val="center"/>
          </w:tcPr>
          <w:p w14:paraId="2783410A" w14:textId="77777777" w:rsidR="00607B17" w:rsidRPr="00CB4ED1" w:rsidRDefault="00607B17" w:rsidP="00607B17">
            <w:pPr>
              <w:pStyle w:val="tabletext"/>
              <w:rPr>
                <w:sz w:val="18"/>
                <w:szCs w:val="20"/>
              </w:rPr>
            </w:pPr>
            <w:r w:rsidRPr="00CB4ED1">
              <w:rPr>
                <w:rFonts w:cs="Arial"/>
                <w:sz w:val="18"/>
                <w:szCs w:val="18"/>
              </w:rPr>
              <w:t>Exclude sunk costs</w:t>
            </w:r>
          </w:p>
        </w:tc>
        <w:tc>
          <w:tcPr>
            <w:tcW w:w="2801" w:type="dxa"/>
            <w:vAlign w:val="center"/>
          </w:tcPr>
          <w:p w14:paraId="7162E456" w14:textId="77777777" w:rsidR="00607B17" w:rsidRPr="00CB4ED1" w:rsidRDefault="00607B17" w:rsidP="00607B17">
            <w:pPr>
              <w:pStyle w:val="tabletext"/>
              <w:jc w:val="right"/>
              <w:rPr>
                <w:sz w:val="18"/>
                <w:szCs w:val="20"/>
              </w:rPr>
            </w:pPr>
            <w:r w:rsidRPr="00CB4ED1">
              <w:rPr>
                <w:rFonts w:cs="Arial"/>
                <w:sz w:val="18"/>
                <w:szCs w:val="18"/>
              </w:rPr>
              <w:t> -</w:t>
            </w:r>
          </w:p>
        </w:tc>
        <w:tc>
          <w:tcPr>
            <w:tcW w:w="2801" w:type="dxa"/>
            <w:vAlign w:val="center"/>
          </w:tcPr>
          <w:p w14:paraId="79DEB0EC" w14:textId="569D661C" w:rsidR="00607B17" w:rsidRPr="00CB4ED1" w:rsidRDefault="00607B17" w:rsidP="00607B17">
            <w:pPr>
              <w:pStyle w:val="tabletext"/>
              <w:jc w:val="right"/>
              <w:rPr>
                <w:rFonts w:cs="Arial"/>
                <w:color w:val="000000"/>
                <w:sz w:val="18"/>
                <w:szCs w:val="18"/>
              </w:rPr>
            </w:pPr>
            <w:r>
              <w:rPr>
                <w:rFonts w:cs="Arial"/>
                <w:sz w:val="18"/>
                <w:szCs w:val="18"/>
              </w:rPr>
              <w:t>0</w:t>
            </w:r>
          </w:p>
        </w:tc>
      </w:tr>
      <w:tr w:rsidR="00607B17" w:rsidRPr="00CB4ED1" w14:paraId="37917EC7" w14:textId="77777777" w:rsidTr="00E67800">
        <w:tc>
          <w:tcPr>
            <w:tcW w:w="4219" w:type="dxa"/>
            <w:vAlign w:val="center"/>
          </w:tcPr>
          <w:p w14:paraId="1141C2F9" w14:textId="77777777" w:rsidR="00607B17" w:rsidRPr="00CB4ED1" w:rsidRDefault="00607B17" w:rsidP="00607B17">
            <w:pPr>
              <w:pStyle w:val="tabletext"/>
              <w:rPr>
                <w:sz w:val="18"/>
                <w:szCs w:val="20"/>
              </w:rPr>
            </w:pPr>
            <w:r w:rsidRPr="00CB4ED1">
              <w:rPr>
                <w:rFonts w:cs="Arial"/>
                <w:sz w:val="18"/>
                <w:szCs w:val="18"/>
              </w:rPr>
              <w:t>Inflation adjustment to rebase to base year</w:t>
            </w:r>
          </w:p>
        </w:tc>
        <w:tc>
          <w:tcPr>
            <w:tcW w:w="2801" w:type="dxa"/>
            <w:vAlign w:val="center"/>
          </w:tcPr>
          <w:p w14:paraId="22E17F22" w14:textId="77777777" w:rsidR="00607B17" w:rsidRPr="00CB4ED1" w:rsidRDefault="00607B17" w:rsidP="00607B17">
            <w:pPr>
              <w:pStyle w:val="tabletext"/>
              <w:jc w:val="right"/>
              <w:rPr>
                <w:sz w:val="18"/>
                <w:szCs w:val="20"/>
              </w:rPr>
            </w:pPr>
            <w:r w:rsidRPr="00CB4ED1">
              <w:rPr>
                <w:rFonts w:cs="Arial"/>
                <w:sz w:val="18"/>
                <w:szCs w:val="18"/>
              </w:rPr>
              <w:t> -</w:t>
            </w:r>
          </w:p>
        </w:tc>
        <w:tc>
          <w:tcPr>
            <w:tcW w:w="2801" w:type="dxa"/>
            <w:vAlign w:val="center"/>
          </w:tcPr>
          <w:p w14:paraId="3FD7096D" w14:textId="49FD7ED6" w:rsidR="00607B17" w:rsidRPr="00CB4ED1" w:rsidRDefault="00607B17" w:rsidP="00607B17">
            <w:pPr>
              <w:pStyle w:val="tabletext"/>
              <w:jc w:val="right"/>
              <w:rPr>
                <w:rFonts w:cs="Arial"/>
                <w:color w:val="000000"/>
                <w:sz w:val="18"/>
                <w:szCs w:val="18"/>
              </w:rPr>
            </w:pPr>
            <w:r>
              <w:rPr>
                <w:rFonts w:cs="Arial"/>
                <w:sz w:val="18"/>
                <w:szCs w:val="18"/>
              </w:rPr>
              <w:t>-5,104</w:t>
            </w:r>
          </w:p>
        </w:tc>
      </w:tr>
      <w:tr w:rsidR="00607B17" w:rsidRPr="00CB4ED1" w14:paraId="5CA1870E" w14:textId="77777777" w:rsidTr="00E67800">
        <w:tc>
          <w:tcPr>
            <w:tcW w:w="4219" w:type="dxa"/>
            <w:vAlign w:val="center"/>
          </w:tcPr>
          <w:p w14:paraId="63B96C83" w14:textId="77777777" w:rsidR="00607B17" w:rsidRPr="00CB4ED1" w:rsidRDefault="00607B17" w:rsidP="00607B17">
            <w:pPr>
              <w:pStyle w:val="tabletext"/>
              <w:rPr>
                <w:sz w:val="18"/>
                <w:szCs w:val="20"/>
              </w:rPr>
            </w:pPr>
            <w:r w:rsidRPr="00CB4ED1">
              <w:rPr>
                <w:rFonts w:cs="Arial"/>
                <w:sz w:val="18"/>
                <w:szCs w:val="18"/>
              </w:rPr>
              <w:t>Exclude VAT</w:t>
            </w:r>
          </w:p>
        </w:tc>
        <w:tc>
          <w:tcPr>
            <w:tcW w:w="2801" w:type="dxa"/>
            <w:vAlign w:val="center"/>
          </w:tcPr>
          <w:p w14:paraId="5B84BDB9" w14:textId="77777777" w:rsidR="00607B17" w:rsidRPr="00CB4ED1" w:rsidRDefault="00607B17" w:rsidP="00607B17">
            <w:pPr>
              <w:pStyle w:val="tabletext"/>
              <w:jc w:val="right"/>
              <w:rPr>
                <w:sz w:val="18"/>
                <w:szCs w:val="20"/>
              </w:rPr>
            </w:pPr>
            <w:r w:rsidRPr="00CB4ED1">
              <w:rPr>
                <w:rFonts w:cs="Arial"/>
                <w:sz w:val="18"/>
                <w:szCs w:val="18"/>
              </w:rPr>
              <w:t> -</w:t>
            </w:r>
          </w:p>
        </w:tc>
        <w:tc>
          <w:tcPr>
            <w:tcW w:w="2801" w:type="dxa"/>
            <w:vAlign w:val="center"/>
          </w:tcPr>
          <w:p w14:paraId="0E6F3DC6" w14:textId="6610EB0A" w:rsidR="00607B17" w:rsidRPr="00CB4ED1" w:rsidRDefault="00607B17" w:rsidP="00607B17">
            <w:pPr>
              <w:pStyle w:val="tabletext"/>
              <w:jc w:val="right"/>
              <w:rPr>
                <w:rFonts w:cs="Arial"/>
                <w:color w:val="000000"/>
                <w:sz w:val="18"/>
                <w:szCs w:val="18"/>
              </w:rPr>
            </w:pPr>
            <w:r>
              <w:rPr>
                <w:rFonts w:cs="Arial"/>
                <w:sz w:val="18"/>
                <w:szCs w:val="18"/>
              </w:rPr>
              <w:t>-19,454</w:t>
            </w:r>
          </w:p>
        </w:tc>
      </w:tr>
      <w:tr w:rsidR="00607B17" w:rsidRPr="00CB4ED1" w14:paraId="47C75EF6" w14:textId="77777777" w:rsidTr="00E67800">
        <w:tc>
          <w:tcPr>
            <w:tcW w:w="4219" w:type="dxa"/>
            <w:shd w:val="clear" w:color="auto" w:fill="BDD5E6" w:themeFill="accent3" w:themeFillTint="99"/>
            <w:vAlign w:val="center"/>
          </w:tcPr>
          <w:p w14:paraId="3BC711C8" w14:textId="77777777" w:rsidR="00607B17" w:rsidRPr="00CB4ED1" w:rsidRDefault="00607B17" w:rsidP="00607B17">
            <w:pPr>
              <w:pStyle w:val="tabletext"/>
              <w:rPr>
                <w:sz w:val="18"/>
                <w:szCs w:val="20"/>
              </w:rPr>
            </w:pPr>
            <w:r w:rsidRPr="00CB4ED1">
              <w:rPr>
                <w:rFonts w:cs="Arial"/>
                <w:b/>
                <w:bCs/>
                <w:color w:val="000000"/>
                <w:sz w:val="18"/>
                <w:szCs w:val="18"/>
              </w:rPr>
              <w:t>Total capital costs (for Economic Case)</w:t>
            </w:r>
          </w:p>
        </w:tc>
        <w:tc>
          <w:tcPr>
            <w:tcW w:w="2801" w:type="dxa"/>
            <w:shd w:val="clear" w:color="auto" w:fill="BDD5E6" w:themeFill="accent3" w:themeFillTint="99"/>
            <w:vAlign w:val="center"/>
          </w:tcPr>
          <w:p w14:paraId="5F01FC7F" w14:textId="77777777" w:rsidR="00607B17" w:rsidRPr="00CB4ED1" w:rsidRDefault="00607B17" w:rsidP="00607B17">
            <w:pPr>
              <w:pStyle w:val="tabletext"/>
              <w:jc w:val="right"/>
              <w:rPr>
                <w:sz w:val="18"/>
                <w:szCs w:val="20"/>
              </w:rPr>
            </w:pPr>
            <w:r w:rsidRPr="00CB4ED1">
              <w:rPr>
                <w:rFonts w:cs="Arial"/>
                <w:b/>
                <w:bCs/>
                <w:color w:val="000000"/>
                <w:sz w:val="18"/>
                <w:szCs w:val="18"/>
              </w:rPr>
              <w:t>-</w:t>
            </w:r>
          </w:p>
        </w:tc>
        <w:tc>
          <w:tcPr>
            <w:tcW w:w="2801" w:type="dxa"/>
            <w:shd w:val="clear" w:color="auto" w:fill="BDD5E6" w:themeFill="accent3" w:themeFillTint="99"/>
            <w:vAlign w:val="center"/>
          </w:tcPr>
          <w:p w14:paraId="6A4081FB" w14:textId="0971E7AE" w:rsidR="00607B17" w:rsidRPr="00E30A39" w:rsidRDefault="00607B17" w:rsidP="00607B17">
            <w:pPr>
              <w:pStyle w:val="tabletext"/>
              <w:jc w:val="right"/>
              <w:rPr>
                <w:rFonts w:cs="Arial"/>
                <w:b/>
                <w:bCs/>
                <w:color w:val="000000"/>
                <w:sz w:val="18"/>
                <w:szCs w:val="18"/>
              </w:rPr>
            </w:pPr>
            <w:r>
              <w:rPr>
                <w:rFonts w:cs="Arial"/>
                <w:b/>
                <w:bCs/>
                <w:color w:val="000000"/>
                <w:sz w:val="18"/>
                <w:szCs w:val="18"/>
              </w:rPr>
              <w:t>99,071</w:t>
            </w:r>
          </w:p>
        </w:tc>
      </w:tr>
    </w:tbl>
    <w:p w14:paraId="4692E8F8" w14:textId="77777777" w:rsidR="00DF73C0" w:rsidRPr="00CB4ED1" w:rsidRDefault="00DF73C0" w:rsidP="00DF73C0">
      <w:pPr>
        <w:pStyle w:val="NoSpacing"/>
      </w:pPr>
    </w:p>
    <w:p w14:paraId="0D0057A0" w14:textId="77777777" w:rsidR="00DF73C0" w:rsidRPr="00CB4ED1" w:rsidRDefault="00DF73C0" w:rsidP="00DF73C0">
      <w:r w:rsidRPr="00CB4ED1">
        <w:t>It should be noted that, in accordance with HM Treasury Green Book guidance, these costs have been adjusted for the purposes of the economic appraisal as follows:</w:t>
      </w:r>
    </w:p>
    <w:p w14:paraId="612E4D52" w14:textId="77777777" w:rsidR="00DF73C0" w:rsidRPr="00CB4ED1" w:rsidRDefault="00DF73C0" w:rsidP="00DF73C0">
      <w:pPr>
        <w:pStyle w:val="bullets1"/>
      </w:pPr>
      <w:r w:rsidRPr="00CB4ED1">
        <w:t>Exclude sunk costs.</w:t>
      </w:r>
    </w:p>
    <w:p w14:paraId="48592578" w14:textId="77777777" w:rsidR="00DF73C0" w:rsidRPr="00CB4ED1" w:rsidRDefault="00DF73C0" w:rsidP="00DF73C0">
      <w:pPr>
        <w:pStyle w:val="bullets1"/>
      </w:pPr>
      <w:r w:rsidRPr="00CB4ED1">
        <w:t>Exclude VAT.</w:t>
      </w:r>
    </w:p>
    <w:p w14:paraId="1EFF4EE7" w14:textId="77777777" w:rsidR="00DF73C0" w:rsidRPr="00CB4ED1" w:rsidRDefault="00DF73C0" w:rsidP="00DF73C0">
      <w:pPr>
        <w:pStyle w:val="bullets1"/>
      </w:pPr>
      <w:r w:rsidRPr="00CB4ED1">
        <w:t>Are restated at base year prices.</w:t>
      </w:r>
    </w:p>
    <w:p w14:paraId="4382B362" w14:textId="77777777" w:rsidR="00DF73C0" w:rsidRPr="00CB4ED1" w:rsidRDefault="00DF73C0" w:rsidP="00DF73C0"/>
    <w:p w14:paraId="08288AAD" w14:textId="77777777" w:rsidR="00DF73C0" w:rsidRPr="00CB4ED1" w:rsidRDefault="00DF73C0" w:rsidP="00DF73C0">
      <w:pPr>
        <w:pStyle w:val="Heading2"/>
      </w:pPr>
      <w:bookmarkStart w:id="162" w:name="_Toc213775090"/>
      <w:bookmarkStart w:id="163" w:name="_Toc213865239"/>
      <w:r w:rsidRPr="00CB4ED1">
        <w:t>Lifecycle capital costs</w:t>
      </w:r>
      <w:bookmarkEnd w:id="162"/>
      <w:bookmarkEnd w:id="163"/>
    </w:p>
    <w:p w14:paraId="165CBAAF" w14:textId="77777777" w:rsidR="00DF73C0" w:rsidRPr="00CB4ED1" w:rsidRDefault="00DF73C0" w:rsidP="00DF73C0">
      <w:pPr>
        <w:rPr>
          <w:rFonts w:cs="Arial"/>
        </w:rPr>
      </w:pPr>
      <w:r w:rsidRPr="00CB4ED1">
        <w:rPr>
          <w:rFonts w:cs="Arial"/>
        </w:rPr>
        <w:t xml:space="preserve">Ongoing investment requirements reflect the whole life costs of replacing, refurbishing or upgrading of assets over the lifetime of the appraisal period. </w:t>
      </w:r>
    </w:p>
    <w:p w14:paraId="7E728903" w14:textId="77777777" w:rsidR="00DF73C0" w:rsidRDefault="00DF73C0" w:rsidP="00DF73C0">
      <w:pPr>
        <w:rPr>
          <w:rFonts w:cs="Arial"/>
        </w:rPr>
      </w:pPr>
      <w:r w:rsidRPr="00D757E4">
        <w:rPr>
          <w:rFonts w:cs="Arial"/>
        </w:rPr>
        <w:t xml:space="preserve">Building lifecycle costs across the appraisal period have been estimated for </w:t>
      </w:r>
      <w:r>
        <w:rPr>
          <w:rFonts w:cs="Arial"/>
        </w:rPr>
        <w:t>Option 1 based on a similar profile Phase 1’s lifecycle costs. Please note that it will be investigated at FBC whether there are any synergies between the lifecycle costs in Phase 1 and Phase 2 and as such whether Phase 2’s lifecycle costs could be reduced. As well as this, more detailed calculations</w:t>
      </w:r>
      <w:r w:rsidRPr="00CB4ED1">
        <w:rPr>
          <w:rFonts w:cs="Arial"/>
        </w:rPr>
        <w:t xml:space="preserve"> will be provided as part of the FBC based on predicted schedule of major lifecycle repairs and replacement works over the estimated life of the new facilities, including the refurbishment of systems such as heating, replacement due to obsolescence or performance issues, provision for unscheduled renewal works, and redecoration.</w:t>
      </w:r>
    </w:p>
    <w:p w14:paraId="0AFF3633" w14:textId="7EBC50E3" w:rsidR="00DF73C0" w:rsidRPr="00D757E4" w:rsidRDefault="00DF73C0" w:rsidP="00DF73C0">
      <w:pPr>
        <w:rPr>
          <w:rFonts w:cs="Arial"/>
        </w:rPr>
      </w:pPr>
      <w:r w:rsidRPr="00D757E4">
        <w:rPr>
          <w:rFonts w:cs="Arial"/>
        </w:rPr>
        <w:lastRenderedPageBreak/>
        <w:t>It is also expected t</w:t>
      </w:r>
      <w:r>
        <w:rPr>
          <w:rFonts w:cs="Arial"/>
        </w:rPr>
        <w:t xml:space="preserve">hat </w:t>
      </w:r>
      <w:r w:rsidRPr="00D757E4">
        <w:rPr>
          <w:rFonts w:cs="Arial"/>
        </w:rPr>
        <w:t xml:space="preserve">equipment will be replaced every </w:t>
      </w:r>
      <w:r w:rsidR="00654E3F">
        <w:rPr>
          <w:rFonts w:cs="Arial"/>
        </w:rPr>
        <w:t>seven</w:t>
      </w:r>
      <w:r w:rsidRPr="00D757E4">
        <w:rPr>
          <w:rFonts w:cs="Arial"/>
        </w:rPr>
        <w:t xml:space="preserve"> years</w:t>
      </w:r>
      <w:r>
        <w:rPr>
          <w:rFonts w:cs="Arial"/>
        </w:rPr>
        <w:t xml:space="preserve"> in Option 1 (PWF) in line with the assumed useful life of the equipment</w:t>
      </w:r>
      <w:r w:rsidRPr="00D757E4">
        <w:rPr>
          <w:rFonts w:cs="Arial"/>
        </w:rPr>
        <w:t>.</w:t>
      </w:r>
      <w:r>
        <w:rPr>
          <w:rFonts w:cs="Arial"/>
        </w:rPr>
        <w:t xml:space="preserve"> Please note that BAU equipment replacement costs have been estimated as 25% of Option 1’s in line with the proportion of theatres in BAU that are being substituted in the PWF and similarly are replaced every </w:t>
      </w:r>
      <w:r w:rsidR="00654E3F">
        <w:rPr>
          <w:rFonts w:cs="Arial"/>
        </w:rPr>
        <w:t>seven</w:t>
      </w:r>
      <w:r>
        <w:rPr>
          <w:rFonts w:cs="Arial"/>
        </w:rPr>
        <w:t xml:space="preserve"> years.</w:t>
      </w:r>
      <w:r w:rsidRPr="00D757E4">
        <w:rPr>
          <w:rFonts w:cs="Arial"/>
        </w:rPr>
        <w:t xml:space="preserve"> </w:t>
      </w:r>
    </w:p>
    <w:p w14:paraId="7BCEEA9C" w14:textId="77777777" w:rsidR="00DF73C0" w:rsidRPr="00D757E4" w:rsidRDefault="00DF73C0" w:rsidP="00DF73C0">
      <w:pPr>
        <w:rPr>
          <w:rFonts w:cs="Arial"/>
        </w:rPr>
      </w:pPr>
      <w:r w:rsidRPr="00D757E4">
        <w:rPr>
          <w:rFonts w:cs="Arial"/>
        </w:rPr>
        <w:t>A breakdown of the current estimation of lifecycle costs across the whole appraisal period is provided in the table below:</w:t>
      </w:r>
    </w:p>
    <w:p w14:paraId="4C0B69B1" w14:textId="5DE20F27" w:rsidR="00DF73C0" w:rsidRPr="00D757E4" w:rsidRDefault="00DF73C0" w:rsidP="00DF73C0">
      <w:pPr>
        <w:pStyle w:val="Caption"/>
        <w:rPr>
          <w:noProof w:val="0"/>
        </w:rPr>
      </w:pPr>
      <w:bookmarkStart w:id="164" w:name="_Toc206082441"/>
      <w:bookmarkStart w:id="165" w:name="_Toc207642280"/>
      <w:bookmarkStart w:id="166" w:name="_Toc213425898"/>
      <w:bookmarkStart w:id="167" w:name="_Toc213865293"/>
      <w:r w:rsidRPr="00D757E4">
        <w:rPr>
          <w:rStyle w:val="CaptionChar"/>
          <w:i/>
          <w:noProof w:val="0"/>
        </w:rPr>
        <w:t xml:space="preserve">Table </w:t>
      </w:r>
      <w:r w:rsidRPr="00D757E4">
        <w:rPr>
          <w:rStyle w:val="CaptionChar"/>
          <w:i/>
          <w:noProof w:val="0"/>
        </w:rPr>
        <w:fldChar w:fldCharType="begin"/>
      </w:r>
      <w:r w:rsidRPr="00D757E4">
        <w:rPr>
          <w:rStyle w:val="CaptionChar"/>
          <w:i/>
          <w:noProof w:val="0"/>
        </w:rPr>
        <w:instrText xml:space="preserve"> SEQ Table \* ARABIC </w:instrText>
      </w:r>
      <w:r w:rsidRPr="00D757E4">
        <w:rPr>
          <w:rStyle w:val="CaptionChar"/>
          <w:i/>
          <w:noProof w:val="0"/>
        </w:rPr>
        <w:fldChar w:fldCharType="separate"/>
      </w:r>
      <w:r w:rsidR="004A33ED">
        <w:rPr>
          <w:rStyle w:val="CaptionChar"/>
          <w:i/>
        </w:rPr>
        <w:t>13</w:t>
      </w:r>
      <w:r w:rsidRPr="00D757E4">
        <w:rPr>
          <w:rStyle w:val="CaptionChar"/>
          <w:i/>
          <w:noProof w:val="0"/>
        </w:rPr>
        <w:fldChar w:fldCharType="end"/>
      </w:r>
      <w:r w:rsidRPr="00D757E4">
        <w:rPr>
          <w:noProof w:val="0"/>
        </w:rPr>
        <w:t xml:space="preserve"> - Lifecycle </w:t>
      </w:r>
      <w:r w:rsidR="00654E3F" w:rsidRPr="00D757E4">
        <w:rPr>
          <w:noProof w:val="0"/>
        </w:rPr>
        <w:t>costs</w:t>
      </w:r>
      <w:bookmarkEnd w:id="164"/>
      <w:bookmarkEnd w:id="165"/>
      <w:bookmarkEnd w:id="166"/>
      <w:bookmarkEnd w:id="167"/>
    </w:p>
    <w:tbl>
      <w:tblPr>
        <w:tblW w:w="5057"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4644"/>
        <w:gridCol w:w="2552"/>
        <w:gridCol w:w="2542"/>
      </w:tblGrid>
      <w:tr w:rsidR="00DF73C0" w:rsidRPr="00654E3F" w14:paraId="7833164C" w14:textId="77777777" w:rsidTr="00654E3F">
        <w:trPr>
          <w:tblHeader/>
        </w:trPr>
        <w:tc>
          <w:tcPr>
            <w:tcW w:w="4644" w:type="dxa"/>
            <w:shd w:val="clear" w:color="auto" w:fill="374264"/>
            <w:vAlign w:val="center"/>
          </w:tcPr>
          <w:p w14:paraId="6CE2916D" w14:textId="77777777" w:rsidR="00DF73C0" w:rsidRPr="00654E3F" w:rsidRDefault="00DF73C0" w:rsidP="00E67800">
            <w:pPr>
              <w:pStyle w:val="tabletext"/>
              <w:rPr>
                <w:b/>
                <w:bCs/>
                <w:color w:val="FFFFFF" w:themeColor="background1"/>
                <w:szCs w:val="20"/>
              </w:rPr>
            </w:pPr>
            <w:r w:rsidRPr="00654E3F">
              <w:rPr>
                <w:b/>
                <w:bCs/>
                <w:color w:val="FFFFFF" w:themeColor="background1"/>
                <w:szCs w:val="20"/>
              </w:rPr>
              <w:t>Lifecycle Costs, £’000</w:t>
            </w:r>
          </w:p>
        </w:tc>
        <w:tc>
          <w:tcPr>
            <w:tcW w:w="2552" w:type="dxa"/>
            <w:shd w:val="clear" w:color="auto" w:fill="374264"/>
            <w:vAlign w:val="center"/>
          </w:tcPr>
          <w:p w14:paraId="4AF1F28A" w14:textId="77777777" w:rsidR="00DF73C0" w:rsidRPr="00654E3F" w:rsidRDefault="00DF73C0" w:rsidP="00E67800">
            <w:pPr>
              <w:pStyle w:val="tabletext"/>
              <w:jc w:val="right"/>
              <w:rPr>
                <w:b/>
                <w:bCs/>
                <w:color w:val="FFFFFF" w:themeColor="background1"/>
                <w:szCs w:val="20"/>
              </w:rPr>
            </w:pPr>
            <w:r w:rsidRPr="00654E3F">
              <w:rPr>
                <w:b/>
                <w:bCs/>
                <w:color w:val="FFFFFF" w:themeColor="background1"/>
                <w:szCs w:val="20"/>
              </w:rPr>
              <w:t xml:space="preserve">Option 0 - </w:t>
            </w:r>
            <w:proofErr w:type="gramStart"/>
            <w:r w:rsidRPr="00654E3F">
              <w:rPr>
                <w:b/>
                <w:bCs/>
                <w:color w:val="FFFFFF" w:themeColor="background1"/>
                <w:szCs w:val="20"/>
              </w:rPr>
              <w:t>BAU  £</w:t>
            </w:r>
            <w:proofErr w:type="gramEnd"/>
            <w:r w:rsidRPr="00654E3F">
              <w:rPr>
                <w:b/>
                <w:bCs/>
                <w:color w:val="FFFFFF" w:themeColor="background1"/>
                <w:szCs w:val="20"/>
              </w:rPr>
              <w:t>’000</w:t>
            </w:r>
          </w:p>
        </w:tc>
        <w:tc>
          <w:tcPr>
            <w:tcW w:w="2542" w:type="dxa"/>
            <w:shd w:val="clear" w:color="auto" w:fill="374264"/>
            <w:vAlign w:val="center"/>
          </w:tcPr>
          <w:p w14:paraId="3EF2805C" w14:textId="77777777" w:rsidR="00DF73C0" w:rsidRPr="00654E3F" w:rsidRDefault="00DF73C0" w:rsidP="00E67800">
            <w:pPr>
              <w:pStyle w:val="tabletext"/>
              <w:jc w:val="right"/>
              <w:rPr>
                <w:b/>
                <w:bCs/>
                <w:color w:val="FFFFFF" w:themeColor="background1"/>
                <w:szCs w:val="20"/>
              </w:rPr>
            </w:pPr>
            <w:r w:rsidRPr="00654E3F">
              <w:rPr>
                <w:b/>
                <w:bCs/>
                <w:color w:val="FFFFFF" w:themeColor="background1"/>
                <w:szCs w:val="20"/>
              </w:rPr>
              <w:t xml:space="preserve">Option 1 – </w:t>
            </w:r>
            <w:proofErr w:type="gramStart"/>
            <w:r w:rsidRPr="00654E3F">
              <w:rPr>
                <w:b/>
                <w:bCs/>
                <w:color w:val="FFFFFF" w:themeColor="background1"/>
                <w:szCs w:val="20"/>
              </w:rPr>
              <w:t>PWF  £</w:t>
            </w:r>
            <w:proofErr w:type="gramEnd"/>
            <w:r w:rsidRPr="00654E3F">
              <w:rPr>
                <w:b/>
                <w:bCs/>
                <w:color w:val="FFFFFF" w:themeColor="background1"/>
                <w:szCs w:val="20"/>
              </w:rPr>
              <w:t>’000</w:t>
            </w:r>
          </w:p>
        </w:tc>
      </w:tr>
      <w:tr w:rsidR="00A91F70" w:rsidRPr="00654E3F" w14:paraId="1AB8EC74" w14:textId="77777777" w:rsidTr="00AE5329">
        <w:tc>
          <w:tcPr>
            <w:tcW w:w="4644" w:type="dxa"/>
            <w:vAlign w:val="center"/>
          </w:tcPr>
          <w:p w14:paraId="5AEB4962" w14:textId="77777777" w:rsidR="00A91F70" w:rsidRPr="00654E3F" w:rsidRDefault="00A91F70" w:rsidP="00A91F70">
            <w:pPr>
              <w:pStyle w:val="tabletext"/>
              <w:rPr>
                <w:szCs w:val="20"/>
              </w:rPr>
            </w:pPr>
            <w:r w:rsidRPr="00654E3F">
              <w:rPr>
                <w:rFonts w:cs="Arial"/>
                <w:szCs w:val="20"/>
              </w:rPr>
              <w:t>Building lifecycle Costs</w:t>
            </w:r>
          </w:p>
        </w:tc>
        <w:tc>
          <w:tcPr>
            <w:tcW w:w="2552" w:type="dxa"/>
          </w:tcPr>
          <w:p w14:paraId="0F6B2479" w14:textId="5DD467C4" w:rsidR="00A91F70" w:rsidRPr="00654E3F" w:rsidRDefault="00A91F70" w:rsidP="00A91F70">
            <w:pPr>
              <w:pStyle w:val="tabletext"/>
              <w:jc w:val="right"/>
              <w:rPr>
                <w:rFonts w:cs="Arial"/>
                <w:szCs w:val="20"/>
              </w:rPr>
            </w:pPr>
            <w:r w:rsidRPr="008D56BD">
              <w:t>0</w:t>
            </w:r>
          </w:p>
        </w:tc>
        <w:tc>
          <w:tcPr>
            <w:tcW w:w="2542" w:type="dxa"/>
          </w:tcPr>
          <w:p w14:paraId="1C62F0B4" w14:textId="167C5FB3" w:rsidR="00A91F70" w:rsidRPr="00654E3F" w:rsidRDefault="00A91F70" w:rsidP="00A91F70">
            <w:pPr>
              <w:pStyle w:val="tabletext"/>
              <w:jc w:val="right"/>
              <w:rPr>
                <w:szCs w:val="20"/>
              </w:rPr>
            </w:pPr>
            <w:r w:rsidRPr="008D56BD">
              <w:t>126,263</w:t>
            </w:r>
          </w:p>
        </w:tc>
      </w:tr>
      <w:tr w:rsidR="00A91F70" w:rsidRPr="00654E3F" w14:paraId="0F8CEEB2" w14:textId="77777777" w:rsidTr="00AE5329">
        <w:tc>
          <w:tcPr>
            <w:tcW w:w="4644" w:type="dxa"/>
            <w:vAlign w:val="center"/>
          </w:tcPr>
          <w:p w14:paraId="4353E76C" w14:textId="77777777" w:rsidR="00A91F70" w:rsidRPr="00654E3F" w:rsidRDefault="00A91F70" w:rsidP="00A91F70">
            <w:pPr>
              <w:pStyle w:val="tabletext"/>
              <w:rPr>
                <w:szCs w:val="20"/>
              </w:rPr>
            </w:pPr>
            <w:r w:rsidRPr="00654E3F">
              <w:rPr>
                <w:rFonts w:cs="Arial"/>
                <w:szCs w:val="20"/>
              </w:rPr>
              <w:t>Equipment replacement costs</w:t>
            </w:r>
          </w:p>
        </w:tc>
        <w:tc>
          <w:tcPr>
            <w:tcW w:w="2552" w:type="dxa"/>
          </w:tcPr>
          <w:p w14:paraId="04E1E671" w14:textId="33D58CC2" w:rsidR="00A91F70" w:rsidRPr="00654E3F" w:rsidRDefault="00A91F70" w:rsidP="00A91F70">
            <w:pPr>
              <w:pStyle w:val="tabletext"/>
              <w:jc w:val="right"/>
              <w:rPr>
                <w:rFonts w:cs="Arial"/>
                <w:szCs w:val="20"/>
              </w:rPr>
            </w:pPr>
            <w:r w:rsidRPr="008D56BD">
              <w:t>19,610</w:t>
            </w:r>
          </w:p>
        </w:tc>
        <w:tc>
          <w:tcPr>
            <w:tcW w:w="2542" w:type="dxa"/>
          </w:tcPr>
          <w:p w14:paraId="6952261C" w14:textId="7E0FC360" w:rsidR="00A91F70" w:rsidRPr="00654E3F" w:rsidRDefault="00A91F70" w:rsidP="00A91F70">
            <w:pPr>
              <w:pStyle w:val="tabletext"/>
              <w:jc w:val="right"/>
              <w:rPr>
                <w:szCs w:val="20"/>
              </w:rPr>
            </w:pPr>
            <w:r w:rsidRPr="008D56BD">
              <w:t>78,442</w:t>
            </w:r>
          </w:p>
        </w:tc>
      </w:tr>
      <w:tr w:rsidR="00A91F70" w:rsidRPr="00654E3F" w14:paraId="2D51B1FE" w14:textId="77777777" w:rsidTr="00AE5329">
        <w:tc>
          <w:tcPr>
            <w:tcW w:w="4644" w:type="dxa"/>
            <w:shd w:val="clear" w:color="auto" w:fill="D7DBE9"/>
            <w:vAlign w:val="center"/>
          </w:tcPr>
          <w:p w14:paraId="2CADD312" w14:textId="77777777" w:rsidR="00A91F70" w:rsidRPr="00654E3F" w:rsidRDefault="00A91F70" w:rsidP="00A91F70">
            <w:pPr>
              <w:pStyle w:val="tabletext"/>
              <w:rPr>
                <w:b/>
                <w:bCs/>
                <w:szCs w:val="20"/>
              </w:rPr>
            </w:pPr>
            <w:r w:rsidRPr="00654E3F">
              <w:rPr>
                <w:rFonts w:cs="Arial"/>
                <w:b/>
                <w:bCs/>
                <w:szCs w:val="20"/>
              </w:rPr>
              <w:t>Total lifecycle costs - Full appraisal period</w:t>
            </w:r>
          </w:p>
        </w:tc>
        <w:tc>
          <w:tcPr>
            <w:tcW w:w="2552" w:type="dxa"/>
            <w:shd w:val="clear" w:color="auto" w:fill="D7DBE9"/>
          </w:tcPr>
          <w:p w14:paraId="23871A0E" w14:textId="1DCFB13E" w:rsidR="00A91F70" w:rsidRPr="00A91F70" w:rsidRDefault="00A91F70" w:rsidP="00A91F70">
            <w:pPr>
              <w:pStyle w:val="tabletext"/>
              <w:jc w:val="right"/>
              <w:rPr>
                <w:rFonts w:cs="Arial"/>
                <w:b/>
                <w:bCs/>
                <w:szCs w:val="20"/>
              </w:rPr>
            </w:pPr>
            <w:r w:rsidRPr="00A91F70">
              <w:rPr>
                <w:b/>
                <w:bCs/>
              </w:rPr>
              <w:t>19,610</w:t>
            </w:r>
          </w:p>
        </w:tc>
        <w:tc>
          <w:tcPr>
            <w:tcW w:w="2542" w:type="dxa"/>
            <w:shd w:val="clear" w:color="auto" w:fill="D7DBE9"/>
          </w:tcPr>
          <w:p w14:paraId="10FF4DA0" w14:textId="0268F195" w:rsidR="00A91F70" w:rsidRPr="00A91F70" w:rsidRDefault="00A91F70" w:rsidP="00A91F70">
            <w:pPr>
              <w:pStyle w:val="tabletext"/>
              <w:jc w:val="right"/>
              <w:rPr>
                <w:b/>
                <w:bCs/>
                <w:szCs w:val="20"/>
              </w:rPr>
            </w:pPr>
            <w:r w:rsidRPr="00A91F70">
              <w:rPr>
                <w:b/>
                <w:bCs/>
              </w:rPr>
              <w:t>204,704</w:t>
            </w:r>
          </w:p>
        </w:tc>
      </w:tr>
    </w:tbl>
    <w:p w14:paraId="32261FF6" w14:textId="77777777" w:rsidR="00DF73C0" w:rsidRPr="00654E3F" w:rsidRDefault="00DF73C0" w:rsidP="00654E3F"/>
    <w:p w14:paraId="7BA4ED2A" w14:textId="77777777" w:rsidR="00DF73C0" w:rsidRPr="00CB4ED1" w:rsidRDefault="00DF73C0" w:rsidP="00DF73C0">
      <w:pPr>
        <w:pStyle w:val="Heading2"/>
      </w:pPr>
      <w:bookmarkStart w:id="168" w:name="_Toc99649063"/>
      <w:bookmarkStart w:id="169" w:name="_Toc158977995"/>
      <w:bookmarkStart w:id="170" w:name="_Toc213775091"/>
      <w:bookmarkStart w:id="171" w:name="_Toc213865240"/>
      <w:r w:rsidRPr="00CB4ED1">
        <w:t>Recurring revenue costs</w:t>
      </w:r>
      <w:bookmarkEnd w:id="168"/>
      <w:bookmarkEnd w:id="169"/>
      <w:bookmarkEnd w:id="170"/>
      <w:bookmarkEnd w:id="171"/>
    </w:p>
    <w:p w14:paraId="012B6B6F" w14:textId="77777777" w:rsidR="00DF73C0" w:rsidRPr="00CB4ED1" w:rsidRDefault="00DF73C0" w:rsidP="00DF73C0">
      <w:r>
        <w:t>The recurrent revenue costs as a result of t</w:t>
      </w:r>
      <w:r w:rsidRPr="00CB4ED1">
        <w:t xml:space="preserve">he creation of the </w:t>
      </w:r>
      <w:r>
        <w:t>high-volume, low-complexity Orthopaedics Inpatient Unit in the preferred way forward has been estimated using the following assumptions</w:t>
      </w:r>
      <w:r w:rsidRPr="00CB4ED1">
        <w:t>:</w:t>
      </w:r>
    </w:p>
    <w:p w14:paraId="79C52882" w14:textId="77777777" w:rsidR="00DF73C0" w:rsidRPr="00CB4ED1" w:rsidRDefault="00DF73C0" w:rsidP="00DF73C0">
      <w:pPr>
        <w:pStyle w:val="bullets1"/>
      </w:pPr>
      <w:r w:rsidRPr="00CB4ED1">
        <w:t xml:space="preserve">Pay costs associated with the </w:t>
      </w:r>
      <w:r>
        <w:t>220.33</w:t>
      </w:r>
      <w:r w:rsidRPr="00CB4ED1">
        <w:t xml:space="preserve"> WTE required to operate the </w:t>
      </w:r>
      <w:r>
        <w:t xml:space="preserve">unit </w:t>
      </w:r>
      <w:r w:rsidRPr="00CB4ED1">
        <w:t>including medical, nursing, clinical, admin and ancillary staffing</w:t>
      </w:r>
      <w:r>
        <w:t>.</w:t>
      </w:r>
    </w:p>
    <w:p w14:paraId="1BB0035C" w14:textId="77777777" w:rsidR="00DF73C0" w:rsidRPr="00CB4ED1" w:rsidRDefault="00DF73C0" w:rsidP="00DF73C0">
      <w:pPr>
        <w:pStyle w:val="bullets1"/>
      </w:pPr>
      <w:r w:rsidRPr="00CB4ED1">
        <w:t>Non-pay costs including supplies and services for Theatres, Ward and supporting areas</w:t>
      </w:r>
      <w:r>
        <w:t>.</w:t>
      </w:r>
    </w:p>
    <w:p w14:paraId="4A7D904D" w14:textId="77777777" w:rsidR="00DF73C0" w:rsidRDefault="00DF73C0" w:rsidP="00DF73C0">
      <w:pPr>
        <w:pStyle w:val="bullets1"/>
      </w:pPr>
      <w:r w:rsidRPr="00CB4ED1">
        <w:t>Building running costs</w:t>
      </w:r>
    </w:p>
    <w:p w14:paraId="4E15B66F" w14:textId="77777777" w:rsidR="00DF73C0" w:rsidRPr="00022BB2" w:rsidRDefault="00DF73C0" w:rsidP="00DF73C0">
      <w:pPr>
        <w:pStyle w:val="NoSpacing"/>
      </w:pPr>
    </w:p>
    <w:p w14:paraId="32049FB6" w14:textId="77777777" w:rsidR="00DF73C0" w:rsidRPr="00CB4ED1" w:rsidRDefault="00DF73C0" w:rsidP="00DF73C0">
      <w:r w:rsidRPr="00CB4ED1">
        <w:t>The BAU option includes costs for existing services which will be substituted within the PWF. This includes:</w:t>
      </w:r>
    </w:p>
    <w:tbl>
      <w:tblPr>
        <w:tblW w:w="5100" w:type="pct"/>
        <w:tblInd w:w="-113" w:type="dxa"/>
        <w:tblLayout w:type="fixed"/>
        <w:tblLook w:val="04A0" w:firstRow="1" w:lastRow="0" w:firstColumn="1" w:lastColumn="0" w:noHBand="0" w:noVBand="1"/>
      </w:tblPr>
      <w:tblGrid>
        <w:gridCol w:w="4915"/>
        <w:gridCol w:w="4916"/>
      </w:tblGrid>
      <w:tr w:rsidR="00DF73C0" w:rsidRPr="00CB4ED1" w14:paraId="5B3746DA" w14:textId="77777777" w:rsidTr="00E67800">
        <w:tc>
          <w:tcPr>
            <w:tcW w:w="4814" w:type="dxa"/>
          </w:tcPr>
          <w:p w14:paraId="766FC55B" w14:textId="77777777" w:rsidR="00DF73C0" w:rsidRPr="00CB4ED1" w:rsidRDefault="00DF73C0" w:rsidP="00E67800">
            <w:pPr>
              <w:pStyle w:val="bullets1"/>
            </w:pPr>
            <w:r w:rsidRPr="00CB4ED1">
              <w:t>Ward costs £</w:t>
            </w:r>
            <w:r>
              <w:t>2.5</w:t>
            </w:r>
            <w:r w:rsidRPr="00CB4ED1">
              <w:t>m</w:t>
            </w:r>
          </w:p>
          <w:p w14:paraId="38F335C3" w14:textId="77777777" w:rsidR="00DF73C0" w:rsidRPr="00CB4ED1" w:rsidRDefault="00DF73C0" w:rsidP="00E67800">
            <w:pPr>
              <w:pStyle w:val="bullets1"/>
            </w:pPr>
            <w:r w:rsidRPr="00CB4ED1">
              <w:t>Theatre costs £1.</w:t>
            </w:r>
            <w:r>
              <w:t>3</w:t>
            </w:r>
            <w:r w:rsidRPr="00CB4ED1">
              <w:t>m</w:t>
            </w:r>
          </w:p>
        </w:tc>
        <w:tc>
          <w:tcPr>
            <w:tcW w:w="4814" w:type="dxa"/>
          </w:tcPr>
          <w:p w14:paraId="65623D80" w14:textId="77777777" w:rsidR="00DF73C0" w:rsidRPr="00CB4ED1" w:rsidRDefault="00DF73C0" w:rsidP="00E67800">
            <w:pPr>
              <w:pStyle w:val="bullets1"/>
            </w:pPr>
            <w:r w:rsidRPr="00CB4ED1">
              <w:t>Medical staff costs £</w:t>
            </w:r>
            <w:r>
              <w:t>1</w:t>
            </w:r>
            <w:r w:rsidRPr="00CB4ED1">
              <w:t>.</w:t>
            </w:r>
            <w:r>
              <w:t>7</w:t>
            </w:r>
            <w:r w:rsidRPr="00CB4ED1">
              <w:t>m</w:t>
            </w:r>
          </w:p>
          <w:p w14:paraId="04DE322B" w14:textId="77777777" w:rsidR="00DF73C0" w:rsidRPr="00CB4ED1" w:rsidRDefault="00DF73C0" w:rsidP="00E67800">
            <w:pPr>
              <w:pStyle w:val="bullets1"/>
            </w:pPr>
            <w:r w:rsidRPr="00CB4ED1">
              <w:t>Non-pay costs £1.</w:t>
            </w:r>
            <w:r>
              <w:t>7</w:t>
            </w:r>
            <w:r w:rsidRPr="00CB4ED1">
              <w:t>m</w:t>
            </w:r>
          </w:p>
        </w:tc>
      </w:tr>
    </w:tbl>
    <w:p w14:paraId="72A611FA" w14:textId="77777777" w:rsidR="00DF73C0" w:rsidRDefault="00DF73C0" w:rsidP="00DF73C0">
      <w:pPr>
        <w:pStyle w:val="NoSpacing"/>
      </w:pPr>
    </w:p>
    <w:p w14:paraId="680C9C87" w14:textId="5C432C8A" w:rsidR="00DF73C0" w:rsidRDefault="00DF73C0" w:rsidP="00DF73C0">
      <w:r w:rsidRPr="003D765E">
        <w:t>The annual impact on each option is summarised in the table below</w:t>
      </w:r>
      <w:r>
        <w:t xml:space="preserve">, with a larger summary provided in Appendix </w:t>
      </w:r>
      <w:r w:rsidR="00F338F9">
        <w:t>9</w:t>
      </w:r>
      <w:r>
        <w:t xml:space="preserve">– CIA Model and full workings provided in Appendix </w:t>
      </w:r>
      <w:r w:rsidR="00F338F9">
        <w:t>8</w:t>
      </w:r>
      <w:r>
        <w:t xml:space="preserve"> – LHP OBC Phase 2 Revenue Model</w:t>
      </w:r>
      <w:r w:rsidRPr="003D765E">
        <w:t xml:space="preserve">. </w:t>
      </w:r>
      <w:r w:rsidRPr="009403DF">
        <w:t xml:space="preserve">It is assumed that costs will be incurred </w:t>
      </w:r>
      <w:r>
        <w:t xml:space="preserve">on a pro-rata basis </w:t>
      </w:r>
      <w:r w:rsidRPr="009403DF">
        <w:t>from the start of January 2029, following planned completion of the facilities in September 2028</w:t>
      </w:r>
      <w:r w:rsidR="00F338F9">
        <w:t xml:space="preserve"> and a commissioning period from October – December 2028</w:t>
      </w:r>
      <w:r w:rsidRPr="009403DF">
        <w:t>.</w:t>
      </w:r>
      <w:r w:rsidRPr="00CB4ED1">
        <w:t xml:space="preserve"> </w:t>
      </w:r>
    </w:p>
    <w:p w14:paraId="47D54664" w14:textId="41831350" w:rsidR="00DF73C0" w:rsidRPr="00CB4ED1" w:rsidRDefault="00DF73C0" w:rsidP="00DF73C0">
      <w:pPr>
        <w:pStyle w:val="Caption"/>
        <w:rPr>
          <w:noProof w:val="0"/>
        </w:rPr>
      </w:pPr>
      <w:bookmarkStart w:id="172" w:name="_Toc213775143"/>
      <w:bookmarkStart w:id="173" w:name="_Toc213865294"/>
      <w:r w:rsidRPr="00CB4ED1">
        <w:rPr>
          <w:noProof w:val="0"/>
        </w:rPr>
        <w:t xml:space="preserve">Table </w:t>
      </w:r>
      <w:r w:rsidRPr="00CB4ED1">
        <w:rPr>
          <w:noProof w:val="0"/>
        </w:rPr>
        <w:fldChar w:fldCharType="begin"/>
      </w:r>
      <w:r w:rsidRPr="00CB4ED1">
        <w:rPr>
          <w:noProof w:val="0"/>
        </w:rPr>
        <w:instrText xml:space="preserve"> SEQ Table \* ARABIC </w:instrText>
      </w:r>
      <w:r w:rsidRPr="00CB4ED1">
        <w:rPr>
          <w:noProof w:val="0"/>
        </w:rPr>
        <w:fldChar w:fldCharType="separate"/>
      </w:r>
      <w:r w:rsidR="004A33ED">
        <w:t>14</w:t>
      </w:r>
      <w:r w:rsidRPr="00CB4ED1">
        <w:rPr>
          <w:noProof w:val="0"/>
        </w:rPr>
        <w:fldChar w:fldCharType="end"/>
      </w:r>
      <w:r w:rsidRPr="00CB4ED1">
        <w:rPr>
          <w:noProof w:val="0"/>
        </w:rPr>
        <w:t xml:space="preserve"> – Annual revenue costs</w:t>
      </w:r>
      <w:bookmarkEnd w:id="172"/>
      <w:bookmarkEnd w:id="173"/>
    </w:p>
    <w:tbl>
      <w:tblPr>
        <w:tblW w:w="4934" w:type="pct"/>
        <w:tblInd w:w="-113" w:type="dxa"/>
        <w:tbl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insideH w:val="single" w:sz="4" w:space="0" w:color="BFBFBF" w:themeColor="accent6" w:themeShade="BF"/>
          <w:insideV w:val="single" w:sz="4" w:space="0" w:color="BFBFBF" w:themeColor="accent6" w:themeShade="BF"/>
        </w:tblBorders>
        <w:tblLayout w:type="fixed"/>
        <w:tblLook w:val="04A0" w:firstRow="1" w:lastRow="0" w:firstColumn="1" w:lastColumn="0" w:noHBand="0" w:noVBand="1"/>
      </w:tblPr>
      <w:tblGrid>
        <w:gridCol w:w="4786"/>
        <w:gridCol w:w="2268"/>
        <w:gridCol w:w="2447"/>
      </w:tblGrid>
      <w:tr w:rsidR="00DF73C0" w:rsidRPr="00654E3F" w14:paraId="4DBD204B" w14:textId="77777777" w:rsidTr="00654E3F">
        <w:trPr>
          <w:tblHeader/>
        </w:trPr>
        <w:tc>
          <w:tcPr>
            <w:tcW w:w="4786" w:type="dxa"/>
            <w:shd w:val="clear" w:color="auto" w:fill="374264" w:themeFill="text2"/>
          </w:tcPr>
          <w:p w14:paraId="5BFA3554" w14:textId="77777777" w:rsidR="00DF73C0" w:rsidRPr="00654E3F" w:rsidRDefault="00DF73C0" w:rsidP="00E67800">
            <w:pPr>
              <w:pStyle w:val="tabletext"/>
              <w:rPr>
                <w:b/>
                <w:bCs/>
                <w:color w:val="FFFFFF" w:themeColor="background1"/>
                <w:szCs w:val="20"/>
              </w:rPr>
            </w:pPr>
            <w:r w:rsidRPr="00654E3F">
              <w:rPr>
                <w:b/>
                <w:bCs/>
                <w:color w:val="FFFFFF" w:themeColor="background1"/>
                <w:szCs w:val="20"/>
              </w:rPr>
              <w:t>Element</w:t>
            </w:r>
          </w:p>
        </w:tc>
        <w:tc>
          <w:tcPr>
            <w:tcW w:w="2268" w:type="dxa"/>
            <w:shd w:val="clear" w:color="auto" w:fill="374264" w:themeFill="text2"/>
          </w:tcPr>
          <w:p w14:paraId="28DCD0E7" w14:textId="77777777" w:rsidR="00DF73C0" w:rsidRPr="00654E3F" w:rsidRDefault="00DF73C0" w:rsidP="00654E3F">
            <w:pPr>
              <w:pStyle w:val="tabletext"/>
              <w:jc w:val="right"/>
              <w:rPr>
                <w:b/>
                <w:bCs/>
                <w:color w:val="FFFFFF" w:themeColor="background1"/>
                <w:szCs w:val="20"/>
              </w:rPr>
            </w:pPr>
            <w:r w:rsidRPr="00654E3F">
              <w:rPr>
                <w:b/>
                <w:bCs/>
                <w:color w:val="FFFFFF" w:themeColor="background1"/>
                <w:szCs w:val="20"/>
              </w:rPr>
              <w:t>Option 0 – BAU £’000</w:t>
            </w:r>
          </w:p>
        </w:tc>
        <w:tc>
          <w:tcPr>
            <w:tcW w:w="2447" w:type="dxa"/>
            <w:shd w:val="clear" w:color="auto" w:fill="374264" w:themeFill="text2"/>
          </w:tcPr>
          <w:p w14:paraId="3A46EB49" w14:textId="77777777" w:rsidR="00DF73C0" w:rsidRPr="00654E3F" w:rsidRDefault="00DF73C0" w:rsidP="00654E3F">
            <w:pPr>
              <w:pStyle w:val="tabletext"/>
              <w:jc w:val="right"/>
              <w:rPr>
                <w:b/>
                <w:bCs/>
                <w:color w:val="FFFFFF" w:themeColor="background1"/>
                <w:szCs w:val="20"/>
              </w:rPr>
            </w:pPr>
            <w:r w:rsidRPr="00654E3F">
              <w:rPr>
                <w:b/>
                <w:bCs/>
                <w:color w:val="FFFFFF" w:themeColor="background1"/>
                <w:szCs w:val="20"/>
              </w:rPr>
              <w:t>Option 1 – PWF £’000</w:t>
            </w:r>
          </w:p>
        </w:tc>
      </w:tr>
      <w:tr w:rsidR="00DF73C0" w:rsidRPr="00654E3F" w14:paraId="0AE14B2A" w14:textId="77777777" w:rsidTr="00654E3F">
        <w:tc>
          <w:tcPr>
            <w:tcW w:w="4786" w:type="dxa"/>
            <w:vAlign w:val="center"/>
          </w:tcPr>
          <w:p w14:paraId="6B8CAFBD" w14:textId="77777777" w:rsidR="00DF73C0" w:rsidRPr="00654E3F" w:rsidRDefault="00DF73C0" w:rsidP="00E67800">
            <w:pPr>
              <w:pStyle w:val="tabletext"/>
              <w:rPr>
                <w:szCs w:val="20"/>
              </w:rPr>
            </w:pPr>
            <w:r w:rsidRPr="00654E3F">
              <w:rPr>
                <w:rFonts w:cs="Arial"/>
                <w:color w:val="000000"/>
                <w:szCs w:val="20"/>
              </w:rPr>
              <w:t>Pay Costs</w:t>
            </w:r>
          </w:p>
        </w:tc>
        <w:tc>
          <w:tcPr>
            <w:tcW w:w="2268" w:type="dxa"/>
            <w:vAlign w:val="center"/>
          </w:tcPr>
          <w:p w14:paraId="0F3EE557" w14:textId="77777777" w:rsidR="00DF73C0" w:rsidRPr="00654E3F" w:rsidRDefault="00DF73C0" w:rsidP="00654E3F">
            <w:pPr>
              <w:pStyle w:val="tabletext"/>
              <w:jc w:val="right"/>
              <w:rPr>
                <w:szCs w:val="20"/>
              </w:rPr>
            </w:pPr>
            <w:r w:rsidRPr="00654E3F">
              <w:rPr>
                <w:rFonts w:cs="Arial"/>
                <w:szCs w:val="20"/>
              </w:rPr>
              <w:t>5,598</w:t>
            </w:r>
          </w:p>
        </w:tc>
        <w:tc>
          <w:tcPr>
            <w:tcW w:w="2447" w:type="dxa"/>
            <w:vAlign w:val="center"/>
          </w:tcPr>
          <w:p w14:paraId="7AF101DC" w14:textId="77777777" w:rsidR="00DF73C0" w:rsidRPr="00654E3F" w:rsidRDefault="00DF73C0" w:rsidP="00654E3F">
            <w:pPr>
              <w:pStyle w:val="tabletext"/>
              <w:jc w:val="right"/>
              <w:rPr>
                <w:szCs w:val="20"/>
              </w:rPr>
            </w:pPr>
            <w:r w:rsidRPr="00654E3F">
              <w:rPr>
                <w:rFonts w:cs="Arial"/>
                <w:szCs w:val="20"/>
              </w:rPr>
              <w:t>15,035</w:t>
            </w:r>
          </w:p>
        </w:tc>
      </w:tr>
      <w:tr w:rsidR="00DF73C0" w:rsidRPr="00654E3F" w14:paraId="749377CE" w14:textId="77777777" w:rsidTr="00654E3F">
        <w:tc>
          <w:tcPr>
            <w:tcW w:w="4786" w:type="dxa"/>
            <w:vAlign w:val="center"/>
          </w:tcPr>
          <w:p w14:paraId="000D2FA7" w14:textId="77777777" w:rsidR="00DF73C0" w:rsidRPr="00654E3F" w:rsidRDefault="00DF73C0" w:rsidP="00E67800">
            <w:pPr>
              <w:pStyle w:val="tabletext"/>
              <w:rPr>
                <w:szCs w:val="20"/>
              </w:rPr>
            </w:pPr>
            <w:proofErr w:type="gramStart"/>
            <w:r w:rsidRPr="00654E3F">
              <w:rPr>
                <w:rFonts w:cs="Arial"/>
                <w:color w:val="000000"/>
                <w:szCs w:val="20"/>
              </w:rPr>
              <w:t>Non Pay</w:t>
            </w:r>
            <w:proofErr w:type="gramEnd"/>
            <w:r w:rsidRPr="00654E3F">
              <w:rPr>
                <w:rFonts w:cs="Arial"/>
                <w:color w:val="000000"/>
                <w:szCs w:val="20"/>
              </w:rPr>
              <w:t xml:space="preserve"> Costs</w:t>
            </w:r>
          </w:p>
        </w:tc>
        <w:tc>
          <w:tcPr>
            <w:tcW w:w="2268" w:type="dxa"/>
            <w:vAlign w:val="center"/>
          </w:tcPr>
          <w:p w14:paraId="14E9BF49" w14:textId="77777777" w:rsidR="00DF73C0" w:rsidRPr="00654E3F" w:rsidRDefault="00DF73C0" w:rsidP="00654E3F">
            <w:pPr>
              <w:pStyle w:val="tabletext"/>
              <w:jc w:val="right"/>
              <w:rPr>
                <w:szCs w:val="20"/>
              </w:rPr>
            </w:pPr>
            <w:r w:rsidRPr="00654E3F">
              <w:rPr>
                <w:rFonts w:cs="Arial"/>
                <w:szCs w:val="20"/>
              </w:rPr>
              <w:t>1,700</w:t>
            </w:r>
          </w:p>
        </w:tc>
        <w:tc>
          <w:tcPr>
            <w:tcW w:w="2447" w:type="dxa"/>
            <w:vAlign w:val="center"/>
          </w:tcPr>
          <w:p w14:paraId="665C0E0A" w14:textId="77777777" w:rsidR="00DF73C0" w:rsidRPr="00654E3F" w:rsidRDefault="00DF73C0" w:rsidP="00654E3F">
            <w:pPr>
              <w:pStyle w:val="tabletext"/>
              <w:jc w:val="right"/>
              <w:rPr>
                <w:szCs w:val="20"/>
              </w:rPr>
            </w:pPr>
            <w:r w:rsidRPr="00654E3F">
              <w:rPr>
                <w:rFonts w:cs="Arial"/>
                <w:szCs w:val="20"/>
              </w:rPr>
              <w:t>18,770</w:t>
            </w:r>
          </w:p>
        </w:tc>
      </w:tr>
      <w:tr w:rsidR="00DF73C0" w:rsidRPr="00654E3F" w14:paraId="22BE833C" w14:textId="77777777" w:rsidTr="00654E3F">
        <w:tc>
          <w:tcPr>
            <w:tcW w:w="4786" w:type="dxa"/>
            <w:vAlign w:val="center"/>
          </w:tcPr>
          <w:p w14:paraId="58681039" w14:textId="77777777" w:rsidR="00DF73C0" w:rsidRPr="00654E3F" w:rsidRDefault="00DF73C0" w:rsidP="00E67800">
            <w:pPr>
              <w:pStyle w:val="tabletext"/>
              <w:rPr>
                <w:szCs w:val="20"/>
              </w:rPr>
            </w:pPr>
            <w:r w:rsidRPr="00654E3F">
              <w:rPr>
                <w:rFonts w:cs="Arial"/>
                <w:color w:val="000000"/>
                <w:szCs w:val="20"/>
              </w:rPr>
              <w:t>Building running costs</w:t>
            </w:r>
          </w:p>
        </w:tc>
        <w:tc>
          <w:tcPr>
            <w:tcW w:w="2268" w:type="dxa"/>
            <w:vAlign w:val="center"/>
          </w:tcPr>
          <w:p w14:paraId="2B43343F" w14:textId="77777777" w:rsidR="00DF73C0" w:rsidRPr="00654E3F" w:rsidRDefault="00DF73C0" w:rsidP="00654E3F">
            <w:pPr>
              <w:pStyle w:val="tabletext"/>
              <w:jc w:val="right"/>
              <w:rPr>
                <w:szCs w:val="20"/>
              </w:rPr>
            </w:pPr>
            <w:r w:rsidRPr="00654E3F">
              <w:rPr>
                <w:rFonts w:cs="Arial"/>
                <w:szCs w:val="20"/>
              </w:rPr>
              <w:t>0</w:t>
            </w:r>
          </w:p>
        </w:tc>
        <w:tc>
          <w:tcPr>
            <w:tcW w:w="2447" w:type="dxa"/>
            <w:vAlign w:val="center"/>
          </w:tcPr>
          <w:p w14:paraId="4C38310C" w14:textId="77777777" w:rsidR="00DF73C0" w:rsidRPr="00654E3F" w:rsidRDefault="00DF73C0" w:rsidP="00654E3F">
            <w:pPr>
              <w:pStyle w:val="tabletext"/>
              <w:jc w:val="right"/>
              <w:rPr>
                <w:szCs w:val="20"/>
              </w:rPr>
            </w:pPr>
            <w:r w:rsidRPr="00654E3F">
              <w:rPr>
                <w:rFonts w:cs="Arial"/>
                <w:szCs w:val="20"/>
              </w:rPr>
              <w:t>2,976</w:t>
            </w:r>
          </w:p>
        </w:tc>
      </w:tr>
      <w:tr w:rsidR="00DF73C0" w:rsidRPr="00654E3F" w14:paraId="707E004D" w14:textId="77777777" w:rsidTr="00654E3F">
        <w:tc>
          <w:tcPr>
            <w:tcW w:w="4786" w:type="dxa"/>
            <w:shd w:val="clear" w:color="auto" w:fill="F2F2F2" w:themeFill="background1" w:themeFillShade="F2"/>
            <w:vAlign w:val="center"/>
          </w:tcPr>
          <w:p w14:paraId="01BD6187" w14:textId="77777777" w:rsidR="00DF73C0" w:rsidRPr="00654E3F" w:rsidRDefault="00DF73C0" w:rsidP="00E67800">
            <w:pPr>
              <w:pStyle w:val="tabletext"/>
              <w:rPr>
                <w:szCs w:val="20"/>
              </w:rPr>
            </w:pPr>
            <w:r w:rsidRPr="00654E3F">
              <w:rPr>
                <w:rFonts w:cs="Arial"/>
                <w:b/>
                <w:bCs/>
                <w:szCs w:val="20"/>
              </w:rPr>
              <w:t>Total HVLC Orthopaedic Inpatient unit costs</w:t>
            </w:r>
          </w:p>
        </w:tc>
        <w:tc>
          <w:tcPr>
            <w:tcW w:w="2268" w:type="dxa"/>
            <w:shd w:val="clear" w:color="auto" w:fill="F2F2F2" w:themeFill="background1" w:themeFillShade="F2"/>
            <w:vAlign w:val="center"/>
          </w:tcPr>
          <w:p w14:paraId="59532B84" w14:textId="77777777" w:rsidR="00DF73C0" w:rsidRPr="00654E3F" w:rsidRDefault="00DF73C0" w:rsidP="00654E3F">
            <w:pPr>
              <w:pStyle w:val="tabletext"/>
              <w:jc w:val="right"/>
              <w:rPr>
                <w:szCs w:val="20"/>
              </w:rPr>
            </w:pPr>
            <w:r w:rsidRPr="00654E3F">
              <w:rPr>
                <w:rFonts w:cs="Arial"/>
                <w:b/>
                <w:bCs/>
                <w:szCs w:val="20"/>
              </w:rPr>
              <w:t>7,298</w:t>
            </w:r>
          </w:p>
        </w:tc>
        <w:tc>
          <w:tcPr>
            <w:tcW w:w="2447" w:type="dxa"/>
            <w:shd w:val="clear" w:color="auto" w:fill="F2F2F2" w:themeFill="background1" w:themeFillShade="F2"/>
            <w:vAlign w:val="center"/>
          </w:tcPr>
          <w:p w14:paraId="66B95EFD" w14:textId="77777777" w:rsidR="00DF73C0" w:rsidRPr="00654E3F" w:rsidRDefault="00DF73C0" w:rsidP="00654E3F">
            <w:pPr>
              <w:pStyle w:val="tabletext"/>
              <w:jc w:val="right"/>
              <w:rPr>
                <w:szCs w:val="20"/>
              </w:rPr>
            </w:pPr>
            <w:r w:rsidRPr="00654E3F">
              <w:rPr>
                <w:rFonts w:cs="Arial"/>
                <w:b/>
                <w:bCs/>
                <w:szCs w:val="20"/>
              </w:rPr>
              <w:t>36,781</w:t>
            </w:r>
          </w:p>
        </w:tc>
      </w:tr>
      <w:tr w:rsidR="00DF73C0" w:rsidRPr="00654E3F" w14:paraId="7190088E" w14:textId="77777777" w:rsidTr="00654E3F">
        <w:tc>
          <w:tcPr>
            <w:tcW w:w="4786" w:type="dxa"/>
            <w:shd w:val="clear" w:color="auto" w:fill="D7DBE9"/>
            <w:vAlign w:val="center"/>
          </w:tcPr>
          <w:p w14:paraId="2CDE757F" w14:textId="77777777" w:rsidR="00DF73C0" w:rsidRPr="00654E3F" w:rsidRDefault="00DF73C0" w:rsidP="00E67800">
            <w:pPr>
              <w:pStyle w:val="tabletext"/>
              <w:rPr>
                <w:rFonts w:cs="Arial"/>
                <w:b/>
                <w:bCs/>
                <w:szCs w:val="20"/>
              </w:rPr>
            </w:pPr>
            <w:r w:rsidRPr="00654E3F">
              <w:rPr>
                <w:rFonts w:cs="Arial"/>
                <w:b/>
                <w:bCs/>
                <w:szCs w:val="20"/>
              </w:rPr>
              <w:t>Incremental impact on annual revenue costs</w:t>
            </w:r>
          </w:p>
        </w:tc>
        <w:tc>
          <w:tcPr>
            <w:tcW w:w="2268" w:type="dxa"/>
            <w:shd w:val="clear" w:color="auto" w:fill="D7DBE9"/>
            <w:vAlign w:val="center"/>
          </w:tcPr>
          <w:p w14:paraId="6D4E55C9" w14:textId="77777777" w:rsidR="00DF73C0" w:rsidRPr="00654E3F" w:rsidRDefault="00DF73C0" w:rsidP="00654E3F">
            <w:pPr>
              <w:pStyle w:val="tabletext"/>
              <w:jc w:val="right"/>
              <w:rPr>
                <w:rFonts w:cs="Arial"/>
                <w:b/>
                <w:bCs/>
                <w:szCs w:val="20"/>
              </w:rPr>
            </w:pPr>
            <w:r w:rsidRPr="00654E3F">
              <w:rPr>
                <w:rFonts w:cs="Arial"/>
                <w:b/>
                <w:bCs/>
                <w:szCs w:val="20"/>
              </w:rPr>
              <w:t>0</w:t>
            </w:r>
          </w:p>
        </w:tc>
        <w:tc>
          <w:tcPr>
            <w:tcW w:w="2447" w:type="dxa"/>
            <w:shd w:val="clear" w:color="auto" w:fill="D7DBE9"/>
            <w:vAlign w:val="center"/>
          </w:tcPr>
          <w:p w14:paraId="713DF940" w14:textId="77777777" w:rsidR="00DF73C0" w:rsidRPr="00654E3F" w:rsidRDefault="00DF73C0" w:rsidP="00654E3F">
            <w:pPr>
              <w:pStyle w:val="tabletext"/>
              <w:jc w:val="right"/>
              <w:rPr>
                <w:rFonts w:cs="Arial"/>
                <w:b/>
                <w:bCs/>
                <w:szCs w:val="20"/>
              </w:rPr>
            </w:pPr>
            <w:r w:rsidRPr="00654E3F">
              <w:rPr>
                <w:rFonts w:cs="Arial"/>
                <w:b/>
                <w:bCs/>
                <w:szCs w:val="20"/>
              </w:rPr>
              <w:t>29,483</w:t>
            </w:r>
          </w:p>
        </w:tc>
      </w:tr>
    </w:tbl>
    <w:p w14:paraId="3DA5169D" w14:textId="77777777" w:rsidR="00DF73C0" w:rsidRPr="00CB4ED1" w:rsidRDefault="00DF73C0" w:rsidP="00DF73C0">
      <w:pPr>
        <w:pStyle w:val="NoSpacing"/>
      </w:pPr>
    </w:p>
    <w:p w14:paraId="01615596" w14:textId="77777777" w:rsidR="00DF73C0" w:rsidRPr="00CB4ED1" w:rsidRDefault="00DF73C0" w:rsidP="00DF73C0">
      <w:r w:rsidRPr="00CB4ED1">
        <w:t>It should be noted that, in accordance with HM Treasury Green Book guidance, these costs exclude capital charges such as depreciation and therefore differ from the total figures in the Economic Case.</w:t>
      </w:r>
    </w:p>
    <w:p w14:paraId="0E1D1916" w14:textId="77777777" w:rsidR="00DF73C0" w:rsidRPr="00CB4ED1" w:rsidRDefault="00DF73C0" w:rsidP="00DF73C0">
      <w:pPr>
        <w:pStyle w:val="NoSpacing"/>
      </w:pPr>
    </w:p>
    <w:p w14:paraId="0D582050" w14:textId="77777777" w:rsidR="00DF73C0" w:rsidRPr="00CB4ED1" w:rsidRDefault="00DF73C0" w:rsidP="00DF73C0">
      <w:pPr>
        <w:pStyle w:val="Heading2"/>
        <w:snapToGrid w:val="0"/>
      </w:pPr>
      <w:bookmarkStart w:id="174" w:name="_Toc213775092"/>
      <w:bookmarkStart w:id="175" w:name="_Toc213865241"/>
      <w:bookmarkStart w:id="176" w:name="_Toc99649064"/>
      <w:bookmarkStart w:id="177" w:name="_Toc158977996"/>
      <w:bookmarkStart w:id="178" w:name="_Toc498075073"/>
      <w:r w:rsidRPr="00CB4ED1">
        <w:t>Benefits analysis</w:t>
      </w:r>
      <w:bookmarkEnd w:id="174"/>
      <w:bookmarkEnd w:id="175"/>
    </w:p>
    <w:p w14:paraId="08DC4856" w14:textId="77777777" w:rsidR="00DF73C0" w:rsidRPr="00CB4ED1" w:rsidRDefault="00DF73C0" w:rsidP="00DF73C0">
      <w:pPr>
        <w:pStyle w:val="Heading3"/>
      </w:pPr>
      <w:r w:rsidRPr="00CB4ED1">
        <w:t>Benefits analysis approach</w:t>
      </w:r>
    </w:p>
    <w:p w14:paraId="05CFCDF8" w14:textId="77777777" w:rsidR="00DF73C0" w:rsidRPr="00CB4ED1" w:rsidRDefault="00DF73C0" w:rsidP="00DF73C0">
      <w:pPr>
        <w:rPr>
          <w:rFonts w:cs="Arial"/>
        </w:rPr>
      </w:pPr>
      <w:r w:rsidRPr="00CB4ED1">
        <w:t xml:space="preserve">As outlined in sections 5.2-5.3 of the Strategic Case, </w:t>
      </w:r>
      <w:r w:rsidRPr="00CB4ED1">
        <w:rPr>
          <w:rFonts w:cs="Arial"/>
        </w:rPr>
        <w:t xml:space="preserve">a systematic approach has been undertaken to develop the benefits analysis, which involved establishing the benefits case and identifying measurable benefits, and metrics. </w:t>
      </w:r>
    </w:p>
    <w:p w14:paraId="101D6033" w14:textId="307F5D17" w:rsidR="00DF73C0" w:rsidRPr="00CB4ED1" w:rsidRDefault="00DF73C0" w:rsidP="00DF73C0">
      <w:pPr>
        <w:pStyle w:val="Caption"/>
        <w:rPr>
          <w:rFonts w:cs="Arial"/>
          <w:noProof w:val="0"/>
        </w:rPr>
      </w:pPr>
      <w:bookmarkStart w:id="179" w:name="_Toc213775175"/>
      <w:bookmarkStart w:id="180" w:name="_Toc213865325"/>
      <w:r w:rsidRPr="00CB4ED1">
        <w:rPr>
          <w:noProof w:val="0"/>
        </w:rPr>
        <w:t xml:space="preserve">Figure </w:t>
      </w:r>
      <w:r w:rsidR="009C05F7">
        <w:rPr>
          <w:noProof w:val="0"/>
        </w:rPr>
        <w:fldChar w:fldCharType="begin"/>
      </w:r>
      <w:r w:rsidR="009C05F7">
        <w:rPr>
          <w:noProof w:val="0"/>
        </w:rPr>
        <w:instrText xml:space="preserve"> SEQ Figure \* ARABIC </w:instrText>
      </w:r>
      <w:r w:rsidR="009C05F7">
        <w:rPr>
          <w:noProof w:val="0"/>
        </w:rPr>
        <w:fldChar w:fldCharType="separate"/>
      </w:r>
      <w:r w:rsidR="00376786">
        <w:t>12</w:t>
      </w:r>
      <w:r w:rsidR="009C05F7">
        <w:rPr>
          <w:noProof w:val="0"/>
        </w:rPr>
        <w:fldChar w:fldCharType="end"/>
      </w:r>
      <w:r w:rsidRPr="00CB4ED1">
        <w:rPr>
          <w:noProof w:val="0"/>
        </w:rPr>
        <w:t xml:space="preserve"> – Benefits approach</w:t>
      </w:r>
      <w:bookmarkEnd w:id="179"/>
      <w:bookmarkEnd w:id="180"/>
    </w:p>
    <w:p w14:paraId="52005017" w14:textId="77777777" w:rsidR="00DF73C0" w:rsidRPr="00CB4ED1" w:rsidRDefault="00DF73C0" w:rsidP="00DF73C0">
      <w:pPr>
        <w:rPr>
          <w:rFonts w:cs="Arial"/>
        </w:rPr>
      </w:pPr>
      <w:r w:rsidRPr="00CB4ED1">
        <w:rPr>
          <w:rFonts w:cs="Arial"/>
          <w:noProof/>
        </w:rPr>
        <w:drawing>
          <wp:inline distT="0" distB="0" distL="0" distR="0" wp14:anchorId="0AF47140" wp14:editId="5EA94D4F">
            <wp:extent cx="6119878" cy="2419912"/>
            <wp:effectExtent l="0" t="0" r="0" b="0"/>
            <wp:docPr id="1686744526" name="Picture 10" descr="A close-up of a list of benefi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744526" name="Picture 10" descr="A close-up of a list of benefits&#10;&#10;AI-generated content may be incorrect."/>
                    <pic:cNvPicPr/>
                  </pic:nvPicPr>
                  <pic:blipFill>
                    <a:blip r:embed="rId49">
                      <a:extLst>
                        <a:ext uri="{28A0092B-C50C-407E-A947-70E740481C1C}">
                          <a14:useLocalDpi xmlns:a14="http://schemas.microsoft.com/office/drawing/2010/main" val="0"/>
                        </a:ext>
                      </a:extLst>
                    </a:blip>
                    <a:stretch>
                      <a:fillRect/>
                    </a:stretch>
                  </pic:blipFill>
                  <pic:spPr>
                    <a:xfrm>
                      <a:off x="0" y="0"/>
                      <a:ext cx="6119878" cy="2419912"/>
                    </a:xfrm>
                    <a:prstGeom prst="rect">
                      <a:avLst/>
                    </a:prstGeom>
                  </pic:spPr>
                </pic:pic>
              </a:graphicData>
            </a:graphic>
          </wp:inline>
        </w:drawing>
      </w:r>
    </w:p>
    <w:p w14:paraId="710D7674" w14:textId="77777777" w:rsidR="00DF73C0" w:rsidRPr="00CB4ED1" w:rsidRDefault="00DF73C0" w:rsidP="00DF73C0">
      <w:pPr>
        <w:rPr>
          <w:rFonts w:cs="Arial"/>
        </w:rPr>
      </w:pPr>
      <w:r w:rsidRPr="00CB4ED1">
        <w:rPr>
          <w:rFonts w:cs="Arial"/>
        </w:rPr>
        <w:t>As part of the Economic Case, these benefits must be quantified to enable a robust value for money analysis to be undertaken, using the following categories.</w:t>
      </w:r>
    </w:p>
    <w:p w14:paraId="2C863E79" w14:textId="13A6938D" w:rsidR="00DF73C0" w:rsidRPr="00CB4ED1" w:rsidRDefault="00DF73C0" w:rsidP="00DF73C0">
      <w:pPr>
        <w:pStyle w:val="Caption"/>
        <w:rPr>
          <w:noProof w:val="0"/>
        </w:rPr>
      </w:pPr>
      <w:bookmarkStart w:id="181" w:name="_Toc213775176"/>
      <w:bookmarkStart w:id="182" w:name="_Toc213865326"/>
      <w:r w:rsidRPr="00CB4ED1">
        <w:rPr>
          <w:noProof w:val="0"/>
        </w:rPr>
        <w:t xml:space="preserve">Figure </w:t>
      </w:r>
      <w:r w:rsidR="009C05F7">
        <w:rPr>
          <w:noProof w:val="0"/>
        </w:rPr>
        <w:fldChar w:fldCharType="begin"/>
      </w:r>
      <w:r w:rsidR="009C05F7">
        <w:rPr>
          <w:noProof w:val="0"/>
        </w:rPr>
        <w:instrText xml:space="preserve"> SEQ Figure \* ARABIC </w:instrText>
      </w:r>
      <w:r w:rsidR="009C05F7">
        <w:rPr>
          <w:noProof w:val="0"/>
        </w:rPr>
        <w:fldChar w:fldCharType="separate"/>
      </w:r>
      <w:r w:rsidR="00376786">
        <w:t>13</w:t>
      </w:r>
      <w:r w:rsidR="009C05F7">
        <w:rPr>
          <w:noProof w:val="0"/>
        </w:rPr>
        <w:fldChar w:fldCharType="end"/>
      </w:r>
      <w:r w:rsidRPr="00CB4ED1">
        <w:rPr>
          <w:noProof w:val="0"/>
        </w:rPr>
        <w:t xml:space="preserve"> – Benefits categories</w:t>
      </w:r>
      <w:bookmarkEnd w:id="181"/>
      <w:bookmarkEnd w:id="182"/>
    </w:p>
    <w:p w14:paraId="35176506" w14:textId="77777777" w:rsidR="00DF73C0" w:rsidRPr="00CB4ED1" w:rsidRDefault="00DF73C0" w:rsidP="00DF73C0">
      <w:r w:rsidRPr="00CB4ED1">
        <w:rPr>
          <w:noProof/>
        </w:rPr>
        <w:drawing>
          <wp:inline distT="0" distB="0" distL="0" distR="0" wp14:anchorId="2007BE39" wp14:editId="6419411C">
            <wp:extent cx="6119878" cy="2395530"/>
            <wp:effectExtent l="0" t="0" r="0" b="5080"/>
            <wp:docPr id="1041479216" name="Picture 11" descr="A diagram of a cost reductio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1479216" name="Picture 11" descr="A diagram of a cost reduction&#10;&#10;AI-generated content may be incorrect."/>
                    <pic:cNvPicPr/>
                  </pic:nvPicPr>
                  <pic:blipFill>
                    <a:blip r:embed="rId50">
                      <a:extLst>
                        <a:ext uri="{28A0092B-C50C-407E-A947-70E740481C1C}">
                          <a14:useLocalDpi xmlns:a14="http://schemas.microsoft.com/office/drawing/2010/main" val="0"/>
                        </a:ext>
                      </a:extLst>
                    </a:blip>
                    <a:stretch>
                      <a:fillRect/>
                    </a:stretch>
                  </pic:blipFill>
                  <pic:spPr>
                    <a:xfrm>
                      <a:off x="0" y="0"/>
                      <a:ext cx="6119878" cy="2395530"/>
                    </a:xfrm>
                    <a:prstGeom prst="rect">
                      <a:avLst/>
                    </a:prstGeom>
                  </pic:spPr>
                </pic:pic>
              </a:graphicData>
            </a:graphic>
          </wp:inline>
        </w:drawing>
      </w:r>
    </w:p>
    <w:p w14:paraId="5D8B7271" w14:textId="77777777" w:rsidR="00DF73C0" w:rsidRPr="00CB4ED1" w:rsidRDefault="00DF73C0" w:rsidP="00DF73C0">
      <w:r w:rsidRPr="00CB4ED1">
        <w:t>An initial quantified benefits analysis has therefore been prepared based on the baseline and benchmarking data that is available at this stage. Every effort has been made to quantify the benefits for the OBC and, where possible, they have been stated in monetary equivalent values. Further work will continue into the FBC stage to validate assumptions, collate missing data and identify key baselines, as well as exploring benefits which have not yet been quantified.</w:t>
      </w:r>
    </w:p>
    <w:p w14:paraId="49B23C08" w14:textId="77777777" w:rsidR="00DF73C0" w:rsidRPr="00CB4ED1" w:rsidRDefault="00DF73C0" w:rsidP="00DF73C0">
      <w:pPr>
        <w:pStyle w:val="Heading3"/>
      </w:pPr>
      <w:r w:rsidRPr="00CB4ED1">
        <w:lastRenderedPageBreak/>
        <w:t>Benefits assumptions</w:t>
      </w:r>
    </w:p>
    <w:p w14:paraId="3BFB4C8D" w14:textId="07B5DD36" w:rsidR="00DF73C0" w:rsidRPr="00CB4ED1" w:rsidRDefault="00DF73C0" w:rsidP="00DF73C0">
      <w:r w:rsidRPr="00CB4ED1">
        <w:t xml:space="preserve">An overview of the main benefits that it is anticipated will be delivered as a result of the LHP, along with the key assumptions used to quantify them, is provided in the table overleaf. Detailed calculations are available in </w:t>
      </w:r>
      <w:r w:rsidRPr="00F338F9">
        <w:t>Appendix 5.</w:t>
      </w:r>
    </w:p>
    <w:p w14:paraId="32B492CB" w14:textId="77777777" w:rsidR="00DF73C0" w:rsidRPr="00CB4ED1" w:rsidRDefault="00DF73C0" w:rsidP="00DF73C0">
      <w:pPr>
        <w:sectPr w:rsidR="00DF73C0" w:rsidRPr="00CB4ED1" w:rsidSect="00DF73C0">
          <w:type w:val="continuous"/>
          <w:pgSz w:w="11906" w:h="16838" w:code="9"/>
          <w:pgMar w:top="964" w:right="1134" w:bottom="1531" w:left="1134" w:header="284" w:footer="454" w:gutter="0"/>
          <w:cols w:space="708"/>
          <w:docGrid w:linePitch="360"/>
        </w:sectPr>
      </w:pPr>
    </w:p>
    <w:p w14:paraId="547039DB" w14:textId="6CFCEABB" w:rsidR="00DF73C0" w:rsidRPr="00CB4ED1" w:rsidRDefault="00DF73C0" w:rsidP="00DF73C0">
      <w:pPr>
        <w:pStyle w:val="Caption"/>
        <w:rPr>
          <w:noProof w:val="0"/>
        </w:rPr>
      </w:pPr>
      <w:bookmarkStart w:id="183" w:name="_Toc213775144"/>
      <w:bookmarkStart w:id="184" w:name="_Toc213865295"/>
      <w:r w:rsidRPr="00CB4ED1">
        <w:rPr>
          <w:noProof w:val="0"/>
        </w:rPr>
        <w:lastRenderedPageBreak/>
        <w:t xml:space="preserve">Table </w:t>
      </w:r>
      <w:r w:rsidRPr="00CB4ED1">
        <w:rPr>
          <w:noProof w:val="0"/>
        </w:rPr>
        <w:fldChar w:fldCharType="begin"/>
      </w:r>
      <w:r w:rsidRPr="00CB4ED1">
        <w:rPr>
          <w:noProof w:val="0"/>
        </w:rPr>
        <w:instrText xml:space="preserve"> SEQ Table \* ARABIC </w:instrText>
      </w:r>
      <w:r w:rsidRPr="00CB4ED1">
        <w:rPr>
          <w:noProof w:val="0"/>
        </w:rPr>
        <w:fldChar w:fldCharType="separate"/>
      </w:r>
      <w:r w:rsidR="004A33ED">
        <w:t>15</w:t>
      </w:r>
      <w:r w:rsidRPr="00CB4ED1">
        <w:rPr>
          <w:noProof w:val="0"/>
        </w:rPr>
        <w:fldChar w:fldCharType="end"/>
      </w:r>
      <w:r w:rsidRPr="00CB4ED1">
        <w:rPr>
          <w:noProof w:val="0"/>
        </w:rPr>
        <w:t xml:space="preserve"> - Overview of </w:t>
      </w:r>
      <w:r>
        <w:rPr>
          <w:noProof w:val="0"/>
        </w:rPr>
        <w:t xml:space="preserve">Phase 2 (Orthopaedic) </w:t>
      </w:r>
      <w:r w:rsidRPr="00CB4ED1">
        <w:rPr>
          <w:noProof w:val="0"/>
        </w:rPr>
        <w:t>LHP benefits</w:t>
      </w:r>
      <w:bookmarkEnd w:id="183"/>
      <w:bookmarkEnd w:id="184"/>
      <w:r w:rsidRPr="00CB4ED1">
        <w:rPr>
          <w:noProof w:val="0"/>
        </w:rPr>
        <w:t xml:space="preserve"> </w:t>
      </w:r>
    </w:p>
    <w:tbl>
      <w:tblPr>
        <w:tblStyle w:val="TableGrid"/>
        <w:tblW w:w="5100" w:type="pct"/>
        <w:tblInd w:w="-113"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660"/>
        <w:gridCol w:w="1701"/>
        <w:gridCol w:w="1843"/>
        <w:gridCol w:w="2409"/>
        <w:gridCol w:w="1418"/>
        <w:gridCol w:w="4536"/>
        <w:gridCol w:w="862"/>
      </w:tblGrid>
      <w:tr w:rsidR="00DF73C0" w:rsidRPr="00CB4ED1" w14:paraId="56C42AAA" w14:textId="77777777" w:rsidTr="00E67800">
        <w:trPr>
          <w:tblHeader/>
        </w:trPr>
        <w:tc>
          <w:tcPr>
            <w:tcW w:w="2660" w:type="dxa"/>
            <w:shd w:val="clear" w:color="auto" w:fill="374264" w:themeFill="text2"/>
          </w:tcPr>
          <w:p w14:paraId="706864AA" w14:textId="77777777" w:rsidR="00DF73C0" w:rsidRPr="00CB4ED1" w:rsidRDefault="00DF73C0" w:rsidP="00E67800">
            <w:pPr>
              <w:pStyle w:val="tabletext"/>
              <w:rPr>
                <w:b/>
                <w:bCs/>
                <w:color w:val="FFFFFF" w:themeColor="background1"/>
                <w:sz w:val="18"/>
                <w:szCs w:val="20"/>
              </w:rPr>
            </w:pPr>
            <w:r w:rsidRPr="00CB4ED1">
              <w:rPr>
                <w:b/>
                <w:bCs/>
                <w:color w:val="FFFFFF" w:themeColor="background1"/>
                <w:sz w:val="18"/>
                <w:szCs w:val="20"/>
              </w:rPr>
              <w:t>Benefit</w:t>
            </w:r>
          </w:p>
        </w:tc>
        <w:tc>
          <w:tcPr>
            <w:tcW w:w="1701" w:type="dxa"/>
            <w:shd w:val="clear" w:color="auto" w:fill="374264" w:themeFill="text2"/>
          </w:tcPr>
          <w:p w14:paraId="6FEAD35A" w14:textId="77777777" w:rsidR="00DF73C0" w:rsidRPr="00CB4ED1" w:rsidRDefault="00DF73C0" w:rsidP="00E67800">
            <w:pPr>
              <w:pStyle w:val="tabletext"/>
              <w:rPr>
                <w:b/>
                <w:bCs/>
                <w:color w:val="FFFFFF" w:themeColor="background1"/>
                <w:sz w:val="18"/>
                <w:szCs w:val="20"/>
              </w:rPr>
            </w:pPr>
            <w:r w:rsidRPr="00CB4ED1">
              <w:rPr>
                <w:b/>
                <w:bCs/>
                <w:color w:val="FFFFFF" w:themeColor="background1"/>
                <w:sz w:val="18"/>
                <w:szCs w:val="20"/>
              </w:rPr>
              <w:t>Measure</w:t>
            </w:r>
          </w:p>
        </w:tc>
        <w:tc>
          <w:tcPr>
            <w:tcW w:w="1843" w:type="dxa"/>
            <w:shd w:val="clear" w:color="auto" w:fill="374264" w:themeFill="text2"/>
          </w:tcPr>
          <w:p w14:paraId="1EBB1ECE" w14:textId="77777777" w:rsidR="00DF73C0" w:rsidRPr="00CB4ED1" w:rsidRDefault="00DF73C0" w:rsidP="00E67800">
            <w:pPr>
              <w:pStyle w:val="tabletext"/>
              <w:rPr>
                <w:b/>
                <w:bCs/>
                <w:color w:val="FFFFFF" w:themeColor="background1"/>
                <w:sz w:val="18"/>
                <w:szCs w:val="20"/>
              </w:rPr>
            </w:pPr>
            <w:r w:rsidRPr="00CB4ED1">
              <w:rPr>
                <w:b/>
                <w:bCs/>
                <w:color w:val="FFFFFF" w:themeColor="background1"/>
                <w:sz w:val="18"/>
                <w:szCs w:val="20"/>
              </w:rPr>
              <w:t>Baseline</w:t>
            </w:r>
          </w:p>
        </w:tc>
        <w:tc>
          <w:tcPr>
            <w:tcW w:w="2409" w:type="dxa"/>
            <w:shd w:val="clear" w:color="auto" w:fill="374264" w:themeFill="text2"/>
          </w:tcPr>
          <w:p w14:paraId="0B998919" w14:textId="77777777" w:rsidR="00DF73C0" w:rsidRPr="00CB4ED1" w:rsidRDefault="00DF73C0" w:rsidP="00E67800">
            <w:pPr>
              <w:pStyle w:val="tabletext"/>
              <w:rPr>
                <w:b/>
                <w:bCs/>
                <w:color w:val="FFFFFF" w:themeColor="background1"/>
                <w:sz w:val="18"/>
                <w:szCs w:val="20"/>
              </w:rPr>
            </w:pPr>
            <w:r w:rsidRPr="00CB4ED1">
              <w:rPr>
                <w:b/>
                <w:bCs/>
                <w:color w:val="FFFFFF" w:themeColor="background1"/>
                <w:sz w:val="18"/>
                <w:szCs w:val="20"/>
              </w:rPr>
              <w:t>Target Improvement</w:t>
            </w:r>
          </w:p>
        </w:tc>
        <w:tc>
          <w:tcPr>
            <w:tcW w:w="1418" w:type="dxa"/>
            <w:shd w:val="clear" w:color="auto" w:fill="374264" w:themeFill="text2"/>
          </w:tcPr>
          <w:p w14:paraId="1C2D49C5" w14:textId="77777777" w:rsidR="00DF73C0" w:rsidRPr="00CB4ED1" w:rsidRDefault="00DF73C0" w:rsidP="00E67800">
            <w:pPr>
              <w:pStyle w:val="tabletext"/>
              <w:rPr>
                <w:b/>
                <w:bCs/>
                <w:color w:val="FFFFFF" w:themeColor="background1"/>
                <w:sz w:val="18"/>
                <w:szCs w:val="20"/>
              </w:rPr>
            </w:pPr>
            <w:r w:rsidRPr="00CB4ED1">
              <w:rPr>
                <w:b/>
                <w:bCs/>
                <w:color w:val="FFFFFF" w:themeColor="background1"/>
                <w:sz w:val="18"/>
                <w:szCs w:val="20"/>
              </w:rPr>
              <w:t>Value</w:t>
            </w:r>
          </w:p>
        </w:tc>
        <w:tc>
          <w:tcPr>
            <w:tcW w:w="4536" w:type="dxa"/>
            <w:shd w:val="clear" w:color="auto" w:fill="374264" w:themeFill="text2"/>
          </w:tcPr>
          <w:p w14:paraId="1073BB33" w14:textId="77777777" w:rsidR="00DF73C0" w:rsidRPr="00CB4ED1" w:rsidRDefault="00DF73C0" w:rsidP="00E67800">
            <w:pPr>
              <w:pStyle w:val="tabletext"/>
              <w:rPr>
                <w:b/>
                <w:bCs/>
                <w:color w:val="FFFFFF" w:themeColor="background1"/>
                <w:sz w:val="18"/>
                <w:szCs w:val="20"/>
              </w:rPr>
            </w:pPr>
            <w:r w:rsidRPr="00CB4ED1">
              <w:rPr>
                <w:b/>
                <w:bCs/>
                <w:color w:val="FFFFFF" w:themeColor="background1"/>
                <w:sz w:val="18"/>
                <w:szCs w:val="20"/>
              </w:rPr>
              <w:t>Assumptions</w:t>
            </w:r>
          </w:p>
        </w:tc>
        <w:tc>
          <w:tcPr>
            <w:tcW w:w="862" w:type="dxa"/>
            <w:shd w:val="clear" w:color="auto" w:fill="374264" w:themeFill="text2"/>
          </w:tcPr>
          <w:p w14:paraId="42E14295" w14:textId="77777777" w:rsidR="00DF73C0" w:rsidRPr="00CB4ED1" w:rsidRDefault="00DF73C0" w:rsidP="00E67800">
            <w:pPr>
              <w:pStyle w:val="tabletext"/>
              <w:rPr>
                <w:b/>
                <w:bCs/>
                <w:color w:val="FFFFFF" w:themeColor="background1"/>
                <w:sz w:val="18"/>
                <w:szCs w:val="20"/>
              </w:rPr>
            </w:pPr>
            <w:r w:rsidRPr="00CB4ED1">
              <w:rPr>
                <w:b/>
                <w:bCs/>
                <w:color w:val="FFFFFF" w:themeColor="background1"/>
                <w:sz w:val="18"/>
                <w:szCs w:val="20"/>
              </w:rPr>
              <w:t>Ref</w:t>
            </w:r>
          </w:p>
        </w:tc>
      </w:tr>
      <w:tr w:rsidR="00DF73C0" w:rsidRPr="00CB4ED1" w14:paraId="7348EAA7" w14:textId="77777777" w:rsidTr="00E67800">
        <w:tc>
          <w:tcPr>
            <w:tcW w:w="15429" w:type="dxa"/>
            <w:gridSpan w:val="7"/>
            <w:shd w:val="clear" w:color="auto" w:fill="D9F0FA" w:themeFill="background2" w:themeFillTint="33"/>
          </w:tcPr>
          <w:p w14:paraId="3EA5A21C" w14:textId="77777777" w:rsidR="00DF73C0" w:rsidRPr="00CB4ED1" w:rsidRDefault="00DF73C0" w:rsidP="00E67800">
            <w:pPr>
              <w:pStyle w:val="tabletext"/>
              <w:keepNext/>
              <w:rPr>
                <w:b/>
                <w:sz w:val="18"/>
                <w:szCs w:val="20"/>
              </w:rPr>
            </w:pPr>
            <w:r w:rsidRPr="00CB4ED1">
              <w:rPr>
                <w:b/>
                <w:sz w:val="18"/>
                <w:szCs w:val="20"/>
              </w:rPr>
              <w:t>Creation of surgical hub</w:t>
            </w:r>
          </w:p>
        </w:tc>
      </w:tr>
      <w:tr w:rsidR="00DF73C0" w:rsidRPr="00CB4ED1" w14:paraId="0D18E952" w14:textId="77777777" w:rsidTr="00E67800">
        <w:tc>
          <w:tcPr>
            <w:tcW w:w="2660" w:type="dxa"/>
          </w:tcPr>
          <w:p w14:paraId="4F5F0ABE" w14:textId="77777777" w:rsidR="00DF73C0" w:rsidRPr="00CB4ED1" w:rsidRDefault="00DF73C0" w:rsidP="00E67800">
            <w:pPr>
              <w:pStyle w:val="tabletext"/>
              <w:rPr>
                <w:bCs/>
                <w:sz w:val="18"/>
                <w:szCs w:val="20"/>
              </w:rPr>
            </w:pPr>
            <w:r w:rsidRPr="00CB4ED1">
              <w:rPr>
                <w:bCs/>
                <w:sz w:val="18"/>
                <w:szCs w:val="20"/>
              </w:rPr>
              <w:t xml:space="preserve">Reduced arthroplasty waiting times </w:t>
            </w:r>
            <w:r w:rsidRPr="00CB4ED1">
              <w:rPr>
                <w:rFonts w:asciiTheme="minorHAnsi" w:hAnsiTheme="minorHAnsi" w:cstheme="minorBidi"/>
                <w:sz w:val="18"/>
                <w:szCs w:val="18"/>
              </w:rPr>
              <w:t>as a result of additional capacity provided by the surgical hub</w:t>
            </w:r>
          </w:p>
        </w:tc>
        <w:tc>
          <w:tcPr>
            <w:tcW w:w="1701" w:type="dxa"/>
          </w:tcPr>
          <w:p w14:paraId="0C2C0174" w14:textId="77777777" w:rsidR="00DF73C0" w:rsidRPr="00CB4ED1" w:rsidRDefault="00DF73C0" w:rsidP="00E67800">
            <w:pPr>
              <w:pStyle w:val="tabletext"/>
              <w:rPr>
                <w:sz w:val="18"/>
                <w:szCs w:val="20"/>
              </w:rPr>
            </w:pPr>
            <w:r w:rsidRPr="00CB4ED1">
              <w:rPr>
                <w:sz w:val="18"/>
                <w:szCs w:val="20"/>
              </w:rPr>
              <w:t xml:space="preserve">Arthroplasty Referral to treatment times (RTT) </w:t>
            </w:r>
          </w:p>
        </w:tc>
        <w:tc>
          <w:tcPr>
            <w:tcW w:w="1843" w:type="dxa"/>
          </w:tcPr>
          <w:p w14:paraId="0F407E3C" w14:textId="77777777" w:rsidR="00DF73C0" w:rsidRPr="00CB4ED1" w:rsidRDefault="00DF73C0" w:rsidP="00E67800">
            <w:pPr>
              <w:pStyle w:val="tabletext"/>
              <w:rPr>
                <w:sz w:val="18"/>
                <w:szCs w:val="20"/>
              </w:rPr>
            </w:pPr>
            <w:r w:rsidRPr="00CB4ED1">
              <w:rPr>
                <w:sz w:val="18"/>
                <w:szCs w:val="20"/>
              </w:rPr>
              <w:t>Average of 53 weeks</w:t>
            </w:r>
          </w:p>
          <w:p w14:paraId="38377507" w14:textId="77777777" w:rsidR="00DF73C0" w:rsidRPr="00CB4ED1" w:rsidRDefault="00DF73C0" w:rsidP="00E67800">
            <w:pPr>
              <w:pStyle w:val="tabletext"/>
              <w:rPr>
                <w:sz w:val="18"/>
                <w:szCs w:val="20"/>
              </w:rPr>
            </w:pPr>
            <w:r w:rsidRPr="00CB4ED1">
              <w:rPr>
                <w:sz w:val="16"/>
                <w:szCs w:val="18"/>
              </w:rPr>
              <w:t>(Based on average waiting times across the 3 UHBs from January 2024).</w:t>
            </w:r>
          </w:p>
        </w:tc>
        <w:tc>
          <w:tcPr>
            <w:tcW w:w="2409" w:type="dxa"/>
          </w:tcPr>
          <w:p w14:paraId="42914DFB" w14:textId="77777777" w:rsidR="00DF73C0" w:rsidRPr="00CB4ED1" w:rsidRDefault="00DF73C0" w:rsidP="00E67800">
            <w:pPr>
              <w:pStyle w:val="tabletext"/>
              <w:rPr>
                <w:sz w:val="18"/>
                <w:szCs w:val="20"/>
              </w:rPr>
            </w:pPr>
            <w:r w:rsidRPr="00CB4ED1">
              <w:rPr>
                <w:sz w:val="18"/>
                <w:szCs w:val="20"/>
              </w:rPr>
              <w:t>Preliminary target will be to achieve 36 weeks and then reduce to 26 weeks.</w:t>
            </w:r>
          </w:p>
          <w:p w14:paraId="5B69781D" w14:textId="77777777" w:rsidR="00DF73C0" w:rsidRPr="00CB4ED1" w:rsidRDefault="00DF73C0" w:rsidP="00E67800">
            <w:pPr>
              <w:pStyle w:val="tabletext"/>
              <w:rPr>
                <w:sz w:val="18"/>
                <w:szCs w:val="20"/>
              </w:rPr>
            </w:pPr>
            <w:r w:rsidRPr="00CB4ED1">
              <w:rPr>
                <w:sz w:val="16"/>
                <w:szCs w:val="18"/>
              </w:rPr>
              <w:t>(In line with NHS Wales Waiting time objectives that all patients whose care is too complex to be undertaken within 26 weeks or those who choose to wait longer receive their definitive treatment within maximum of 36 weeks)</w:t>
            </w:r>
          </w:p>
        </w:tc>
        <w:tc>
          <w:tcPr>
            <w:tcW w:w="1418" w:type="dxa"/>
          </w:tcPr>
          <w:p w14:paraId="7831D9E2" w14:textId="77777777" w:rsidR="00DF73C0" w:rsidRPr="00CB4ED1" w:rsidRDefault="00DF73C0" w:rsidP="00E67800">
            <w:pPr>
              <w:pStyle w:val="tabletext"/>
              <w:rPr>
                <w:sz w:val="18"/>
                <w:szCs w:val="20"/>
              </w:rPr>
            </w:pPr>
            <w:r w:rsidRPr="00CB4ED1">
              <w:rPr>
                <w:sz w:val="18"/>
                <w:szCs w:val="20"/>
              </w:rPr>
              <w:t xml:space="preserve">Not </w:t>
            </w:r>
            <w:proofErr w:type="spellStart"/>
            <w:r w:rsidRPr="00CB4ED1">
              <w:rPr>
                <w:sz w:val="18"/>
                <w:szCs w:val="20"/>
              </w:rPr>
              <w:t>monetisable</w:t>
            </w:r>
            <w:proofErr w:type="spellEnd"/>
          </w:p>
        </w:tc>
        <w:tc>
          <w:tcPr>
            <w:tcW w:w="4536" w:type="dxa"/>
          </w:tcPr>
          <w:p w14:paraId="2B809BC7" w14:textId="26438505" w:rsidR="00DF73C0" w:rsidRPr="00CB4ED1" w:rsidRDefault="00DF73C0" w:rsidP="00E67800">
            <w:pPr>
              <w:pStyle w:val="tabletext"/>
              <w:rPr>
                <w:sz w:val="18"/>
                <w:szCs w:val="20"/>
              </w:rPr>
            </w:pPr>
            <w:r w:rsidRPr="00CB4ED1">
              <w:rPr>
                <w:sz w:val="18"/>
                <w:szCs w:val="20"/>
              </w:rPr>
              <w:t xml:space="preserve">NHS Wales waiting time objectives taken from: </w:t>
            </w:r>
            <w:hyperlink r:id="rId51" w:anchor=":~:text=The%20key%20objectives%20are%20to%20ensure%20that:&amp;text=95%25%20of%20patients%20referred%20will%20start%20their%20treatment%20within%2026%20weeks;&amp;text=All%20patients%20whose%20care%20is,within%20maximum%20of%2036%20weeks;" w:history="1">
              <w:r w:rsidRPr="00CB4ED1">
                <w:rPr>
                  <w:rStyle w:val="Hyperlink"/>
                  <w:rFonts w:cstheme="minorHAnsi"/>
                  <w:sz w:val="18"/>
                  <w:szCs w:val="20"/>
                </w:rPr>
                <w:t>Waiting times</w:t>
              </w:r>
            </w:hyperlink>
          </w:p>
        </w:tc>
        <w:tc>
          <w:tcPr>
            <w:tcW w:w="862" w:type="dxa"/>
          </w:tcPr>
          <w:p w14:paraId="7FE4F1B0" w14:textId="77777777" w:rsidR="00DF73C0" w:rsidRPr="00CB4ED1" w:rsidRDefault="00DF73C0" w:rsidP="00E67800">
            <w:pPr>
              <w:pStyle w:val="tabletext"/>
              <w:rPr>
                <w:sz w:val="18"/>
                <w:szCs w:val="20"/>
              </w:rPr>
            </w:pPr>
            <w:r w:rsidRPr="00CB4ED1">
              <w:rPr>
                <w:sz w:val="18"/>
                <w:szCs w:val="20"/>
              </w:rPr>
              <w:t>UB</w:t>
            </w:r>
            <w:r>
              <w:rPr>
                <w:sz w:val="18"/>
                <w:szCs w:val="20"/>
              </w:rPr>
              <w:t>1</w:t>
            </w:r>
          </w:p>
        </w:tc>
      </w:tr>
      <w:tr w:rsidR="00DF73C0" w:rsidRPr="00CB4ED1" w14:paraId="074A8585" w14:textId="77777777" w:rsidTr="00E67800">
        <w:tc>
          <w:tcPr>
            <w:tcW w:w="2660" w:type="dxa"/>
          </w:tcPr>
          <w:p w14:paraId="0FBBB659" w14:textId="77777777" w:rsidR="00DF73C0" w:rsidRPr="00CB4ED1" w:rsidRDefault="00DF73C0" w:rsidP="00E67800">
            <w:pPr>
              <w:pStyle w:val="tabletext"/>
              <w:rPr>
                <w:sz w:val="18"/>
                <w:szCs w:val="20"/>
              </w:rPr>
            </w:pPr>
            <w:r w:rsidRPr="00CB4ED1">
              <w:rPr>
                <w:bCs/>
                <w:sz w:val="18"/>
                <w:szCs w:val="20"/>
              </w:rPr>
              <w:t xml:space="preserve">Reduced length of stay: </w:t>
            </w:r>
            <w:r w:rsidRPr="00CB4ED1">
              <w:rPr>
                <w:sz w:val="18"/>
                <w:szCs w:val="20"/>
              </w:rPr>
              <w:t>Delivery of a high volume, low acuity model of care allows standardisation of the pathway with more surgical procedures delivered as day cases</w:t>
            </w:r>
          </w:p>
        </w:tc>
        <w:tc>
          <w:tcPr>
            <w:tcW w:w="1701" w:type="dxa"/>
          </w:tcPr>
          <w:p w14:paraId="2F4F39B8" w14:textId="77777777" w:rsidR="00DF73C0" w:rsidRPr="00CB4ED1" w:rsidRDefault="00DF73C0" w:rsidP="00E67800">
            <w:pPr>
              <w:pStyle w:val="tabletext"/>
              <w:rPr>
                <w:sz w:val="18"/>
                <w:szCs w:val="20"/>
              </w:rPr>
            </w:pPr>
            <w:r w:rsidRPr="00CB4ED1">
              <w:rPr>
                <w:sz w:val="18"/>
                <w:szCs w:val="20"/>
              </w:rPr>
              <w:t>Average length of stay (ALOS) for arthroplasty</w:t>
            </w:r>
          </w:p>
        </w:tc>
        <w:tc>
          <w:tcPr>
            <w:tcW w:w="1843" w:type="dxa"/>
          </w:tcPr>
          <w:p w14:paraId="0D6602F7" w14:textId="77777777" w:rsidR="00DF73C0" w:rsidRPr="00CB4ED1" w:rsidRDefault="00DF73C0" w:rsidP="00E67800">
            <w:pPr>
              <w:pStyle w:val="tabletext"/>
              <w:rPr>
                <w:bCs/>
                <w:sz w:val="18"/>
                <w:szCs w:val="20"/>
              </w:rPr>
            </w:pPr>
            <w:r>
              <w:rPr>
                <w:bCs/>
                <w:sz w:val="18"/>
                <w:szCs w:val="20"/>
              </w:rPr>
              <w:t>4.93</w:t>
            </w:r>
            <w:r w:rsidRPr="00CB4ED1">
              <w:rPr>
                <w:bCs/>
                <w:sz w:val="18"/>
                <w:szCs w:val="20"/>
              </w:rPr>
              <w:t xml:space="preserve"> days</w:t>
            </w:r>
          </w:p>
          <w:p w14:paraId="1D8C7D46" w14:textId="77777777" w:rsidR="00DF73C0" w:rsidRPr="00CB4ED1" w:rsidRDefault="00DF73C0" w:rsidP="00E67800">
            <w:pPr>
              <w:pStyle w:val="tabletext"/>
              <w:rPr>
                <w:sz w:val="18"/>
                <w:szCs w:val="20"/>
              </w:rPr>
            </w:pPr>
            <w:r w:rsidRPr="00CB4ED1">
              <w:rPr>
                <w:sz w:val="16"/>
                <w:szCs w:val="18"/>
              </w:rPr>
              <w:t>(</w:t>
            </w:r>
            <w:r>
              <w:rPr>
                <w:sz w:val="16"/>
                <w:szCs w:val="18"/>
              </w:rPr>
              <w:t xml:space="preserve">From September </w:t>
            </w:r>
            <w:r w:rsidRPr="00CB4ED1">
              <w:rPr>
                <w:sz w:val="16"/>
                <w:szCs w:val="18"/>
              </w:rPr>
              <w:t>2025</w:t>
            </w:r>
            <w:r>
              <w:rPr>
                <w:sz w:val="16"/>
                <w:szCs w:val="18"/>
              </w:rPr>
              <w:t xml:space="preserve"> data</w:t>
            </w:r>
            <w:r w:rsidRPr="00CB4ED1">
              <w:rPr>
                <w:sz w:val="16"/>
                <w:szCs w:val="18"/>
              </w:rPr>
              <w:t xml:space="preserve"> for CTMUHB)</w:t>
            </w:r>
          </w:p>
        </w:tc>
        <w:tc>
          <w:tcPr>
            <w:tcW w:w="2409" w:type="dxa"/>
          </w:tcPr>
          <w:p w14:paraId="31AE9B1B" w14:textId="77777777" w:rsidR="00DF73C0" w:rsidRPr="00CB4ED1" w:rsidRDefault="00DF73C0" w:rsidP="00E67800">
            <w:pPr>
              <w:pStyle w:val="tabletext"/>
              <w:rPr>
                <w:bCs/>
                <w:sz w:val="18"/>
                <w:szCs w:val="20"/>
              </w:rPr>
            </w:pPr>
            <w:r w:rsidRPr="00CB4ED1">
              <w:rPr>
                <w:sz w:val="18"/>
                <w:szCs w:val="20"/>
              </w:rPr>
              <w:t>1.</w:t>
            </w:r>
            <w:r>
              <w:rPr>
                <w:sz w:val="18"/>
                <w:szCs w:val="20"/>
              </w:rPr>
              <w:t>4</w:t>
            </w:r>
            <w:r w:rsidRPr="00CB4ED1">
              <w:rPr>
                <w:sz w:val="18"/>
                <w:szCs w:val="20"/>
              </w:rPr>
              <w:t xml:space="preserve"> days</w:t>
            </w:r>
            <w:r>
              <w:rPr>
                <w:sz w:val="18"/>
                <w:szCs w:val="20"/>
              </w:rPr>
              <w:t xml:space="preserve"> (</w:t>
            </w:r>
            <w:proofErr w:type="gramStart"/>
            <w:r>
              <w:rPr>
                <w:sz w:val="18"/>
                <w:szCs w:val="20"/>
              </w:rPr>
              <w:t>3.53 day</w:t>
            </w:r>
            <w:proofErr w:type="gramEnd"/>
            <w:r>
              <w:rPr>
                <w:sz w:val="18"/>
                <w:szCs w:val="20"/>
              </w:rPr>
              <w:t xml:space="preserve"> improvement)</w:t>
            </w:r>
          </w:p>
          <w:p w14:paraId="128128E3" w14:textId="77777777" w:rsidR="00DF73C0" w:rsidRPr="00CB4ED1" w:rsidRDefault="00DF73C0" w:rsidP="00E67800">
            <w:pPr>
              <w:pStyle w:val="tabletext"/>
              <w:rPr>
                <w:sz w:val="18"/>
                <w:szCs w:val="20"/>
              </w:rPr>
            </w:pPr>
            <w:r w:rsidRPr="00CB4ED1">
              <w:rPr>
                <w:sz w:val="16"/>
                <w:szCs w:val="18"/>
              </w:rPr>
              <w:t>(</w:t>
            </w:r>
            <w:r>
              <w:rPr>
                <w:sz w:val="16"/>
                <w:szCs w:val="18"/>
              </w:rPr>
              <w:t>In line with perfect month ALOS that was achieved at CTMUHB)</w:t>
            </w:r>
          </w:p>
        </w:tc>
        <w:tc>
          <w:tcPr>
            <w:tcW w:w="1418" w:type="dxa"/>
          </w:tcPr>
          <w:p w14:paraId="000A4A49" w14:textId="77777777" w:rsidR="00DF73C0" w:rsidRPr="00CB4ED1" w:rsidRDefault="00DF73C0" w:rsidP="00E67800">
            <w:pPr>
              <w:pStyle w:val="tabletext"/>
              <w:rPr>
                <w:bCs/>
                <w:sz w:val="18"/>
                <w:szCs w:val="20"/>
              </w:rPr>
            </w:pPr>
            <w:r w:rsidRPr="00CB4ED1">
              <w:rPr>
                <w:bCs/>
                <w:sz w:val="18"/>
                <w:szCs w:val="20"/>
              </w:rPr>
              <w:t>£0.7m p.a.</w:t>
            </w:r>
          </w:p>
          <w:p w14:paraId="25D08061" w14:textId="77777777" w:rsidR="00DF73C0" w:rsidRPr="00CB4ED1" w:rsidRDefault="00DF73C0" w:rsidP="00E67800">
            <w:pPr>
              <w:pStyle w:val="tabletext"/>
              <w:rPr>
                <w:bCs/>
                <w:sz w:val="18"/>
                <w:szCs w:val="20"/>
              </w:rPr>
            </w:pPr>
            <w:r w:rsidRPr="00CB4ED1">
              <w:rPr>
                <w:sz w:val="18"/>
                <w:szCs w:val="20"/>
              </w:rPr>
              <w:t>after confidence rating applied</w:t>
            </w:r>
          </w:p>
        </w:tc>
        <w:tc>
          <w:tcPr>
            <w:tcW w:w="4536" w:type="dxa"/>
          </w:tcPr>
          <w:p w14:paraId="4AD9C302" w14:textId="77777777" w:rsidR="00DF73C0" w:rsidRDefault="00DF73C0" w:rsidP="00E67800">
            <w:pPr>
              <w:pStyle w:val="tabletext"/>
              <w:rPr>
                <w:sz w:val="18"/>
                <w:szCs w:val="20"/>
              </w:rPr>
            </w:pPr>
            <w:r>
              <w:rPr>
                <w:sz w:val="18"/>
                <w:szCs w:val="20"/>
              </w:rPr>
              <w:t xml:space="preserve">The target average length of stay for Arthroplasty is based on the ALOS that was achieved at CTMUHB during a perfect month. It is expected that this would be achievable at LHP due to it providing elective high-volume, low complexity arthroplasty procedures in </w:t>
            </w:r>
            <w:proofErr w:type="spellStart"/>
            <w:proofErr w:type="gramStart"/>
            <w:r>
              <w:rPr>
                <w:sz w:val="18"/>
                <w:szCs w:val="20"/>
              </w:rPr>
              <w:t>a</w:t>
            </w:r>
            <w:proofErr w:type="spellEnd"/>
            <w:proofErr w:type="gramEnd"/>
            <w:r>
              <w:rPr>
                <w:sz w:val="18"/>
                <w:szCs w:val="20"/>
              </w:rPr>
              <w:t xml:space="preserve"> Orthopaedic protected surgical unit.</w:t>
            </w:r>
          </w:p>
          <w:p w14:paraId="1F1B0CEE" w14:textId="77777777" w:rsidR="00DF73C0" w:rsidRDefault="00DF73C0" w:rsidP="00E67800">
            <w:pPr>
              <w:pStyle w:val="tabletext"/>
              <w:rPr>
                <w:sz w:val="18"/>
                <w:szCs w:val="20"/>
              </w:rPr>
            </w:pPr>
          </w:p>
          <w:p w14:paraId="6BCBBAD5" w14:textId="77777777" w:rsidR="00DF73C0" w:rsidRPr="00CB4ED1" w:rsidRDefault="00DF73C0" w:rsidP="00E67800">
            <w:pPr>
              <w:pStyle w:val="tabletext"/>
              <w:rPr>
                <w:sz w:val="18"/>
                <w:szCs w:val="20"/>
              </w:rPr>
            </w:pPr>
            <w:r>
              <w:rPr>
                <w:sz w:val="18"/>
                <w:szCs w:val="20"/>
              </w:rPr>
              <w:t>The m</w:t>
            </w:r>
            <w:r w:rsidRPr="00CB4ED1">
              <w:rPr>
                <w:sz w:val="18"/>
                <w:szCs w:val="20"/>
              </w:rPr>
              <w:t>ethodology for calculating monetary value</w:t>
            </w:r>
            <w:r>
              <w:rPr>
                <w:sz w:val="18"/>
                <w:szCs w:val="20"/>
              </w:rPr>
              <w:t xml:space="preserve"> of this benefit is</w:t>
            </w:r>
            <w:r w:rsidRPr="00CB4ED1">
              <w:rPr>
                <w:sz w:val="18"/>
                <w:szCs w:val="20"/>
              </w:rPr>
              <w:t>:</w:t>
            </w:r>
          </w:p>
          <w:p w14:paraId="01CB7C50" w14:textId="77777777" w:rsidR="00DF73C0" w:rsidRPr="00CB4ED1" w:rsidRDefault="00DF73C0" w:rsidP="00E67800">
            <w:pPr>
              <w:pStyle w:val="tablebullets9pt"/>
            </w:pPr>
            <w:r w:rsidRPr="00CB4ED1">
              <w:t xml:space="preserve">Apply </w:t>
            </w:r>
            <w:r>
              <w:t>3.53</w:t>
            </w:r>
            <w:r w:rsidRPr="00CB4ED1">
              <w:t xml:space="preserve"> reduction in ALOS to </w:t>
            </w:r>
            <w:r>
              <w:t>5,760</w:t>
            </w:r>
            <w:r w:rsidRPr="00CB4ED1">
              <w:t xml:space="preserve"> projected arthroplasty procedures p.a. equates to </w:t>
            </w:r>
            <w:r>
              <w:t>20</w:t>
            </w:r>
            <w:r w:rsidRPr="00CB4ED1">
              <w:t>,</w:t>
            </w:r>
            <w:r>
              <w:t>32</w:t>
            </w:r>
            <w:r w:rsidRPr="00CB4ED1">
              <w:t xml:space="preserve">1 fewer bed days p.a. </w:t>
            </w:r>
          </w:p>
          <w:p w14:paraId="766CB125" w14:textId="77777777" w:rsidR="00DF73C0" w:rsidRPr="00CB4ED1" w:rsidRDefault="00DF73C0" w:rsidP="00E67800">
            <w:pPr>
              <w:pStyle w:val="tablebullets9pt"/>
            </w:pPr>
            <w:r w:rsidRPr="00CB4ED1">
              <w:t xml:space="preserve">At a </w:t>
            </w:r>
            <w:r>
              <w:t xml:space="preserve">variable </w:t>
            </w:r>
            <w:r w:rsidRPr="00CB4ED1">
              <w:t>cost per bed day of £</w:t>
            </w:r>
            <w:r>
              <w:t>73</w:t>
            </w:r>
            <w:r w:rsidRPr="00CB4ED1">
              <w:t>, this equates to £</w:t>
            </w:r>
            <w:r>
              <w:t>1</w:t>
            </w:r>
            <w:r w:rsidRPr="00CB4ED1">
              <w:t>.</w:t>
            </w:r>
            <w:r>
              <w:t>5</w:t>
            </w:r>
            <w:r w:rsidRPr="00CB4ED1">
              <w:t>m p.a.</w:t>
            </w:r>
            <w:r>
              <w:t xml:space="preserve"> (note only the variable cost per bed day has been applied instead of the full cost per bed day).</w:t>
            </w:r>
          </w:p>
          <w:p w14:paraId="42D4DF77" w14:textId="77777777" w:rsidR="00DF73C0" w:rsidRDefault="00DF73C0" w:rsidP="00E67800">
            <w:pPr>
              <w:pStyle w:val="tablebullets9pt"/>
            </w:pPr>
            <w:r w:rsidRPr="00CB4ED1">
              <w:t xml:space="preserve">A </w:t>
            </w:r>
            <w:r>
              <w:t>50</w:t>
            </w:r>
            <w:r w:rsidRPr="00CB4ED1">
              <w:t>% confidence rating has then been applied, noting th</w:t>
            </w:r>
            <w:r>
              <w:t>at there is evidence from multiple sources suggesting this</w:t>
            </w:r>
            <w:r w:rsidRPr="00CB4ED1">
              <w:t xml:space="preserve"> level of improvement is </w:t>
            </w:r>
            <w:r>
              <w:t>achievable</w:t>
            </w:r>
            <w:r w:rsidRPr="00CB4ED1">
              <w:t>.</w:t>
            </w:r>
          </w:p>
          <w:p w14:paraId="7B8DAEEB" w14:textId="77777777" w:rsidR="00DF73C0" w:rsidRDefault="00DF73C0" w:rsidP="00E67800">
            <w:pPr>
              <w:pStyle w:val="tablebullets9pt"/>
              <w:numPr>
                <w:ilvl w:val="0"/>
                <w:numId w:val="0"/>
              </w:numPr>
              <w:ind w:left="227" w:hanging="227"/>
            </w:pPr>
          </w:p>
          <w:p w14:paraId="057C73A6" w14:textId="77777777" w:rsidR="00DF73C0" w:rsidRDefault="00DF73C0" w:rsidP="00E67800">
            <w:pPr>
              <w:pStyle w:val="tablebullets9pt"/>
              <w:numPr>
                <w:ilvl w:val="0"/>
                <w:numId w:val="0"/>
              </w:numPr>
              <w:ind w:left="227" w:hanging="227"/>
            </w:pPr>
            <w:r>
              <w:t>Further evidence to support this benefit includes:</w:t>
            </w:r>
          </w:p>
          <w:p w14:paraId="126D479A" w14:textId="77777777" w:rsidR="00DF73C0" w:rsidRPr="00486AC0" w:rsidRDefault="00DF73C0" w:rsidP="00DF73C0">
            <w:pPr>
              <w:pStyle w:val="tabletext"/>
              <w:numPr>
                <w:ilvl w:val="0"/>
                <w:numId w:val="45"/>
              </w:numPr>
              <w:rPr>
                <w:sz w:val="18"/>
                <w:szCs w:val="20"/>
              </w:rPr>
            </w:pPr>
            <w:r>
              <w:rPr>
                <w:sz w:val="18"/>
                <w:szCs w:val="20"/>
              </w:rPr>
              <w:t xml:space="preserve">The principles underlying the service to be provided at LHP have begun being implemented at the Princess of Wales Hospital, and this has seen ALOS for Arthroplasty reduce to 2.08 on a sustained </w:t>
            </w:r>
            <w:r>
              <w:rPr>
                <w:sz w:val="18"/>
                <w:szCs w:val="20"/>
              </w:rPr>
              <w:lastRenderedPageBreak/>
              <w:t>basis. This shows that even at Princess of Wales Hospital which would likely have to deal with more complex procedures a low ALOS is achievable, as such it is expected that LHP would be able to achieve an even further improved ALOS.</w:t>
            </w:r>
          </w:p>
          <w:p w14:paraId="05609D70" w14:textId="77777777" w:rsidR="00DF73C0" w:rsidRDefault="00DF73C0" w:rsidP="00DF73C0">
            <w:pPr>
              <w:pStyle w:val="tabletext"/>
              <w:numPr>
                <w:ilvl w:val="0"/>
                <w:numId w:val="45"/>
              </w:numPr>
              <w:rPr>
                <w:sz w:val="18"/>
                <w:szCs w:val="20"/>
              </w:rPr>
            </w:pPr>
            <w:r>
              <w:rPr>
                <w:sz w:val="18"/>
                <w:szCs w:val="20"/>
              </w:rPr>
              <w:t>T</w:t>
            </w:r>
            <w:r w:rsidRPr="007236AC">
              <w:rPr>
                <w:sz w:val="18"/>
                <w:szCs w:val="20"/>
              </w:rPr>
              <w:t>he LOS at Essex and Suffolk Orthopaedic Elective Surgical Hub for total knee replacement was 1.9 days, suggesting 1.</w:t>
            </w:r>
            <w:r>
              <w:rPr>
                <w:sz w:val="18"/>
                <w:szCs w:val="20"/>
              </w:rPr>
              <w:t>4</w:t>
            </w:r>
            <w:r w:rsidRPr="007236AC">
              <w:rPr>
                <w:sz w:val="18"/>
                <w:szCs w:val="20"/>
              </w:rPr>
              <w:t xml:space="preserve"> days is a reasonable target (especially after factoring in confidence rating).</w:t>
            </w:r>
          </w:p>
          <w:p w14:paraId="668497E5" w14:textId="77777777" w:rsidR="00DF73C0" w:rsidRPr="00486AC0" w:rsidRDefault="00DF73C0" w:rsidP="00DF73C0">
            <w:pPr>
              <w:pStyle w:val="tabletext"/>
              <w:numPr>
                <w:ilvl w:val="0"/>
                <w:numId w:val="45"/>
              </w:numPr>
              <w:rPr>
                <w:sz w:val="18"/>
                <w:szCs w:val="20"/>
              </w:rPr>
            </w:pPr>
            <w:r w:rsidRPr="00CB4ED1">
              <w:rPr>
                <w:sz w:val="18"/>
                <w:szCs w:val="20"/>
              </w:rPr>
              <w:t>At an Orthopaedic protected elective surgical unit (PESU), a single surgeon’s hip replacements length of stay reduced by 38% compared to a pre-pandemic ward (4.8-day ALOS to 3.0 days)</w:t>
            </w:r>
            <w:r>
              <w:rPr>
                <w:sz w:val="18"/>
                <w:szCs w:val="20"/>
              </w:rPr>
              <w:t xml:space="preserve">. </w:t>
            </w:r>
            <w:r w:rsidRPr="00486AC0">
              <w:rPr>
                <w:szCs w:val="20"/>
              </w:rPr>
              <w:t>This is from a study</w:t>
            </w:r>
            <w:r w:rsidRPr="00CB4ED1">
              <w:rPr>
                <w:rStyle w:val="FootnoteReference"/>
                <w:sz w:val="18"/>
                <w:szCs w:val="20"/>
              </w:rPr>
              <w:footnoteReference w:id="2"/>
            </w:r>
            <w:r w:rsidRPr="00486AC0">
              <w:rPr>
                <w:szCs w:val="20"/>
              </w:rPr>
              <w:t xml:space="preserve"> of 2022.</w:t>
            </w:r>
          </w:p>
        </w:tc>
        <w:tc>
          <w:tcPr>
            <w:tcW w:w="862" w:type="dxa"/>
          </w:tcPr>
          <w:p w14:paraId="07C40D9A" w14:textId="77777777" w:rsidR="00DF73C0" w:rsidRPr="00CB4ED1" w:rsidRDefault="00DF73C0" w:rsidP="00E67800">
            <w:pPr>
              <w:pStyle w:val="tabletext"/>
              <w:rPr>
                <w:sz w:val="18"/>
                <w:szCs w:val="20"/>
              </w:rPr>
            </w:pPr>
            <w:r w:rsidRPr="00CB4ED1">
              <w:rPr>
                <w:sz w:val="18"/>
                <w:szCs w:val="20"/>
              </w:rPr>
              <w:lastRenderedPageBreak/>
              <w:t>NCRB1</w:t>
            </w:r>
          </w:p>
        </w:tc>
      </w:tr>
      <w:tr w:rsidR="00DF73C0" w:rsidRPr="00CB4ED1" w14:paraId="5EC2A3A0" w14:textId="77777777" w:rsidTr="00E67800">
        <w:tc>
          <w:tcPr>
            <w:tcW w:w="2660" w:type="dxa"/>
          </w:tcPr>
          <w:p w14:paraId="50F0F81D" w14:textId="77777777" w:rsidR="00DF73C0" w:rsidRPr="00CB4ED1" w:rsidRDefault="00DF73C0" w:rsidP="00E67800">
            <w:pPr>
              <w:pStyle w:val="tabletext"/>
              <w:rPr>
                <w:sz w:val="18"/>
                <w:szCs w:val="20"/>
              </w:rPr>
            </w:pPr>
            <w:r w:rsidRPr="00CB4ED1">
              <w:rPr>
                <w:bCs/>
                <w:sz w:val="18"/>
                <w:szCs w:val="20"/>
              </w:rPr>
              <w:t xml:space="preserve">Improved patient recovery time: </w:t>
            </w:r>
            <w:r w:rsidRPr="00CB4ED1">
              <w:rPr>
                <w:sz w:val="18"/>
                <w:szCs w:val="20"/>
              </w:rPr>
              <w:t>Reduced length of stay allows patient to return home earlier and resume daily activities</w:t>
            </w:r>
          </w:p>
        </w:tc>
        <w:tc>
          <w:tcPr>
            <w:tcW w:w="1701" w:type="dxa"/>
          </w:tcPr>
          <w:p w14:paraId="476B3E3C" w14:textId="77777777" w:rsidR="00DF73C0" w:rsidRPr="00CB4ED1" w:rsidRDefault="00DF73C0" w:rsidP="00E67800">
            <w:pPr>
              <w:pStyle w:val="tabletext"/>
              <w:rPr>
                <w:sz w:val="18"/>
                <w:szCs w:val="20"/>
              </w:rPr>
            </w:pPr>
            <w:r w:rsidRPr="00CB4ED1">
              <w:rPr>
                <w:sz w:val="18"/>
                <w:szCs w:val="20"/>
              </w:rPr>
              <w:t>Average length of stay (ALOS) for arthroplasty</w:t>
            </w:r>
          </w:p>
        </w:tc>
        <w:tc>
          <w:tcPr>
            <w:tcW w:w="1843" w:type="dxa"/>
          </w:tcPr>
          <w:p w14:paraId="783F6B7F" w14:textId="77777777" w:rsidR="00DF73C0" w:rsidRPr="00CB4ED1" w:rsidRDefault="00DF73C0" w:rsidP="00E67800">
            <w:pPr>
              <w:pStyle w:val="tabletext"/>
              <w:rPr>
                <w:sz w:val="18"/>
                <w:szCs w:val="20"/>
              </w:rPr>
            </w:pPr>
            <w:r w:rsidRPr="00CB4ED1">
              <w:rPr>
                <w:sz w:val="18"/>
                <w:szCs w:val="20"/>
              </w:rPr>
              <w:t>N/A</w:t>
            </w:r>
          </w:p>
        </w:tc>
        <w:tc>
          <w:tcPr>
            <w:tcW w:w="2409" w:type="dxa"/>
          </w:tcPr>
          <w:p w14:paraId="340BCFF6" w14:textId="77777777" w:rsidR="00DF73C0" w:rsidRPr="00CB4ED1" w:rsidRDefault="00DF73C0" w:rsidP="00E67800">
            <w:pPr>
              <w:pStyle w:val="tabletext"/>
              <w:rPr>
                <w:rFonts w:cstheme="minorBidi"/>
                <w:sz w:val="18"/>
                <w:szCs w:val="20"/>
              </w:rPr>
            </w:pPr>
            <w:r w:rsidRPr="00CB4ED1">
              <w:rPr>
                <w:rFonts w:cstheme="minorBidi"/>
                <w:sz w:val="18"/>
                <w:szCs w:val="20"/>
              </w:rPr>
              <w:t xml:space="preserve">Patients are discharged </w:t>
            </w:r>
            <w:r>
              <w:rPr>
                <w:rFonts w:cstheme="minorBidi"/>
                <w:sz w:val="18"/>
                <w:szCs w:val="20"/>
              </w:rPr>
              <w:t>3</w:t>
            </w:r>
            <w:r w:rsidRPr="00CB4ED1">
              <w:rPr>
                <w:rFonts w:cstheme="minorBidi"/>
                <w:sz w:val="18"/>
                <w:szCs w:val="20"/>
              </w:rPr>
              <w:t>.</w:t>
            </w:r>
            <w:r>
              <w:rPr>
                <w:rFonts w:cstheme="minorBidi"/>
                <w:sz w:val="18"/>
                <w:szCs w:val="20"/>
              </w:rPr>
              <w:t>53</w:t>
            </w:r>
            <w:r w:rsidRPr="00CB4ED1">
              <w:rPr>
                <w:rFonts w:cstheme="minorBidi"/>
                <w:sz w:val="18"/>
                <w:szCs w:val="20"/>
              </w:rPr>
              <w:t xml:space="preserve"> days earlier on average</w:t>
            </w:r>
          </w:p>
          <w:p w14:paraId="4435EEB4" w14:textId="77777777" w:rsidR="00DF73C0" w:rsidRPr="00CB4ED1" w:rsidRDefault="00DF73C0" w:rsidP="00E67800">
            <w:pPr>
              <w:pStyle w:val="tabletext"/>
              <w:rPr>
                <w:rFonts w:cstheme="minorBidi"/>
                <w:sz w:val="18"/>
                <w:szCs w:val="20"/>
              </w:rPr>
            </w:pPr>
            <w:r w:rsidRPr="00CB4ED1">
              <w:rPr>
                <w:rFonts w:cstheme="minorBidi"/>
                <w:sz w:val="18"/>
                <w:szCs w:val="20"/>
              </w:rPr>
              <w:t>(Based on achievement of ALOS outlined in outlined in NCRB1)</w:t>
            </w:r>
          </w:p>
        </w:tc>
        <w:tc>
          <w:tcPr>
            <w:tcW w:w="1418" w:type="dxa"/>
          </w:tcPr>
          <w:p w14:paraId="64133D2A" w14:textId="77777777" w:rsidR="00DF73C0" w:rsidRPr="00CB4ED1" w:rsidRDefault="00DF73C0" w:rsidP="00E67800">
            <w:pPr>
              <w:pStyle w:val="tabletext"/>
              <w:rPr>
                <w:bCs/>
                <w:sz w:val="18"/>
                <w:szCs w:val="20"/>
              </w:rPr>
            </w:pPr>
            <w:r w:rsidRPr="00CB4ED1">
              <w:rPr>
                <w:bCs/>
                <w:sz w:val="18"/>
                <w:szCs w:val="20"/>
              </w:rPr>
              <w:t>£0.</w:t>
            </w:r>
            <w:r>
              <w:rPr>
                <w:bCs/>
                <w:sz w:val="18"/>
                <w:szCs w:val="20"/>
              </w:rPr>
              <w:t>8</w:t>
            </w:r>
            <w:r w:rsidRPr="00CB4ED1">
              <w:rPr>
                <w:bCs/>
                <w:sz w:val="18"/>
                <w:szCs w:val="20"/>
              </w:rPr>
              <w:t>m p.a.</w:t>
            </w:r>
          </w:p>
          <w:p w14:paraId="511E62ED" w14:textId="77777777" w:rsidR="00DF73C0" w:rsidRPr="00CB4ED1" w:rsidRDefault="00DF73C0" w:rsidP="00E67800">
            <w:pPr>
              <w:pStyle w:val="tabletext"/>
              <w:rPr>
                <w:bCs/>
                <w:sz w:val="18"/>
                <w:szCs w:val="20"/>
              </w:rPr>
            </w:pPr>
            <w:r w:rsidRPr="00CB4ED1">
              <w:rPr>
                <w:sz w:val="18"/>
                <w:szCs w:val="20"/>
              </w:rPr>
              <w:t>after confidence rating applied</w:t>
            </w:r>
          </w:p>
        </w:tc>
        <w:tc>
          <w:tcPr>
            <w:tcW w:w="4536" w:type="dxa"/>
          </w:tcPr>
          <w:p w14:paraId="15C602CE" w14:textId="77777777" w:rsidR="00DF73C0" w:rsidRPr="00CB4ED1" w:rsidRDefault="00DF73C0" w:rsidP="00E67800">
            <w:pPr>
              <w:pStyle w:val="tabletext"/>
              <w:rPr>
                <w:sz w:val="18"/>
                <w:szCs w:val="20"/>
              </w:rPr>
            </w:pPr>
            <w:r w:rsidRPr="00CB4ED1">
              <w:rPr>
                <w:sz w:val="18"/>
                <w:szCs w:val="20"/>
              </w:rPr>
              <w:t>Methodology for calculating monetary value:</w:t>
            </w:r>
          </w:p>
          <w:p w14:paraId="6866511B" w14:textId="77777777" w:rsidR="00DF73C0" w:rsidRPr="00CB4ED1" w:rsidRDefault="00DF73C0" w:rsidP="00E67800">
            <w:pPr>
              <w:pStyle w:val="tabletext"/>
              <w:rPr>
                <w:rFonts w:cstheme="minorBidi"/>
                <w:sz w:val="18"/>
                <w:szCs w:val="20"/>
              </w:rPr>
            </w:pPr>
            <w:r w:rsidRPr="00CB4ED1">
              <w:rPr>
                <w:rFonts w:cstheme="minorBidi"/>
                <w:sz w:val="18"/>
                <w:szCs w:val="20"/>
              </w:rPr>
              <w:t>Assume o</w:t>
            </w:r>
            <w:r>
              <w:rPr>
                <w:rFonts w:cstheme="minorBidi"/>
                <w:sz w:val="18"/>
                <w:szCs w:val="20"/>
              </w:rPr>
              <w:t>f</w:t>
            </w:r>
            <w:r w:rsidRPr="00CB4ED1">
              <w:rPr>
                <w:rFonts w:cstheme="minorBidi"/>
                <w:sz w:val="18"/>
                <w:szCs w:val="20"/>
              </w:rPr>
              <w:t xml:space="preserve"> the </w:t>
            </w:r>
            <w:r>
              <w:rPr>
                <w:rFonts w:cstheme="minorBidi"/>
                <w:sz w:val="18"/>
                <w:szCs w:val="20"/>
              </w:rPr>
              <w:t>20</w:t>
            </w:r>
            <w:r w:rsidRPr="00CB4ED1">
              <w:rPr>
                <w:rFonts w:cstheme="minorBidi"/>
                <w:sz w:val="18"/>
                <w:szCs w:val="20"/>
              </w:rPr>
              <w:t>,</w:t>
            </w:r>
            <w:r>
              <w:rPr>
                <w:rFonts w:cstheme="minorBidi"/>
                <w:sz w:val="18"/>
                <w:szCs w:val="20"/>
              </w:rPr>
              <w:t>321</w:t>
            </w:r>
            <w:r w:rsidRPr="00CB4ED1">
              <w:rPr>
                <w:rFonts w:cstheme="minorBidi"/>
                <w:sz w:val="18"/>
                <w:szCs w:val="20"/>
              </w:rPr>
              <w:t xml:space="preserve"> reduction in bed days, 75% of these apply to patients in current employment </w:t>
            </w:r>
          </w:p>
          <w:p w14:paraId="38426275" w14:textId="11CD6E8B" w:rsidR="00DF73C0" w:rsidRPr="00CB4ED1" w:rsidRDefault="00DF73C0" w:rsidP="00E67800">
            <w:pPr>
              <w:pStyle w:val="tabletext"/>
              <w:rPr>
                <w:rFonts w:cstheme="minorBidi"/>
                <w:sz w:val="18"/>
                <w:szCs w:val="20"/>
              </w:rPr>
            </w:pPr>
            <w:r w:rsidRPr="00CB4ED1">
              <w:rPr>
                <w:sz w:val="18"/>
                <w:szCs w:val="20"/>
              </w:rPr>
              <w:t xml:space="preserve">Applying cost per day £109.25 per day (Source: Cost of an employed person sourced from </w:t>
            </w:r>
            <w:hyperlink r:id="rId52" w:history="1">
              <w:r w:rsidRPr="00CB4ED1">
                <w:rPr>
                  <w:rStyle w:val="Hyperlink"/>
                  <w:rFonts w:asciiTheme="majorHAnsi" w:hAnsiTheme="majorHAnsi" w:cstheme="majorHAnsi"/>
                  <w:sz w:val="18"/>
                  <w:szCs w:val="20"/>
                </w:rPr>
                <w:t>Hidden costs of employee medical appointments and work (benenden.co.uk)</w:t>
              </w:r>
            </w:hyperlink>
            <w:r w:rsidRPr="00CB4ED1">
              <w:rPr>
                <w:sz w:val="18"/>
                <w:szCs w:val="20"/>
              </w:rPr>
              <w:t>) = £</w:t>
            </w:r>
            <w:r>
              <w:rPr>
                <w:sz w:val="18"/>
                <w:szCs w:val="20"/>
              </w:rPr>
              <w:t>1.67</w:t>
            </w:r>
            <w:r w:rsidRPr="00CB4ED1">
              <w:rPr>
                <w:sz w:val="18"/>
                <w:szCs w:val="20"/>
              </w:rPr>
              <w:t>m of societal benefit</w:t>
            </w:r>
          </w:p>
          <w:p w14:paraId="65C800B0" w14:textId="77777777" w:rsidR="00DF73C0" w:rsidRPr="00CB4ED1" w:rsidRDefault="00DF73C0" w:rsidP="00E67800">
            <w:pPr>
              <w:pStyle w:val="tabletext"/>
              <w:rPr>
                <w:sz w:val="18"/>
                <w:szCs w:val="20"/>
              </w:rPr>
            </w:pPr>
            <w:r w:rsidRPr="00CB4ED1">
              <w:rPr>
                <w:sz w:val="18"/>
                <w:szCs w:val="20"/>
              </w:rPr>
              <w:t xml:space="preserve">A </w:t>
            </w:r>
            <w:r>
              <w:rPr>
                <w:sz w:val="18"/>
                <w:szCs w:val="20"/>
              </w:rPr>
              <w:t>50</w:t>
            </w:r>
            <w:r w:rsidRPr="00CB4ED1">
              <w:rPr>
                <w:sz w:val="18"/>
                <w:szCs w:val="20"/>
              </w:rPr>
              <w:t>% confidence rating has then been applied in line with NCRB1.</w:t>
            </w:r>
          </w:p>
        </w:tc>
        <w:tc>
          <w:tcPr>
            <w:tcW w:w="862" w:type="dxa"/>
          </w:tcPr>
          <w:p w14:paraId="44CF4624" w14:textId="77777777" w:rsidR="00DF73C0" w:rsidRPr="00CB4ED1" w:rsidRDefault="00DF73C0" w:rsidP="00E67800">
            <w:pPr>
              <w:pStyle w:val="tabletext"/>
              <w:rPr>
                <w:sz w:val="18"/>
                <w:szCs w:val="20"/>
              </w:rPr>
            </w:pPr>
            <w:r w:rsidRPr="00CB4ED1">
              <w:rPr>
                <w:sz w:val="18"/>
                <w:szCs w:val="20"/>
              </w:rPr>
              <w:t>SB</w:t>
            </w:r>
            <w:r>
              <w:rPr>
                <w:sz w:val="18"/>
                <w:szCs w:val="20"/>
              </w:rPr>
              <w:t>1</w:t>
            </w:r>
          </w:p>
        </w:tc>
      </w:tr>
      <w:tr w:rsidR="00DF73C0" w:rsidRPr="00CB4ED1" w14:paraId="775ABA3E" w14:textId="77777777" w:rsidTr="00E67800">
        <w:trPr>
          <w:cantSplit/>
        </w:trPr>
        <w:tc>
          <w:tcPr>
            <w:tcW w:w="2660" w:type="dxa"/>
          </w:tcPr>
          <w:p w14:paraId="6C0C1514" w14:textId="77777777" w:rsidR="00DF73C0" w:rsidRPr="00CB4ED1" w:rsidRDefault="00DF73C0" w:rsidP="00E67800">
            <w:pPr>
              <w:pStyle w:val="tabletext"/>
              <w:rPr>
                <w:bCs/>
                <w:sz w:val="18"/>
                <w:szCs w:val="20"/>
              </w:rPr>
            </w:pPr>
            <w:r w:rsidRPr="00CB4ED1">
              <w:rPr>
                <w:bCs/>
                <w:sz w:val="18"/>
                <w:szCs w:val="20"/>
              </w:rPr>
              <w:lastRenderedPageBreak/>
              <w:t xml:space="preserve">Improved patient outcomes: </w:t>
            </w:r>
            <w:r w:rsidRPr="00CB4ED1">
              <w:rPr>
                <w:sz w:val="18"/>
                <w:szCs w:val="20"/>
              </w:rPr>
              <w:t>Earlier surgical interventions and reduced length of stay, reducing complications and improving recovery, reduce pain leading to an overall improvement on patients’ quality of life</w:t>
            </w:r>
          </w:p>
        </w:tc>
        <w:tc>
          <w:tcPr>
            <w:tcW w:w="1701" w:type="dxa"/>
          </w:tcPr>
          <w:p w14:paraId="269185F2" w14:textId="77777777" w:rsidR="00DF73C0" w:rsidRPr="00CB4ED1" w:rsidRDefault="00DF73C0" w:rsidP="00E67800">
            <w:pPr>
              <w:pStyle w:val="tabletext"/>
              <w:rPr>
                <w:sz w:val="18"/>
                <w:szCs w:val="20"/>
              </w:rPr>
            </w:pPr>
            <w:r w:rsidRPr="00CB4ED1">
              <w:rPr>
                <w:sz w:val="18"/>
                <w:szCs w:val="20"/>
              </w:rPr>
              <w:t>QALYs</w:t>
            </w:r>
          </w:p>
          <w:p w14:paraId="37CC5B1F" w14:textId="77777777" w:rsidR="00DF73C0" w:rsidRPr="00CB4ED1" w:rsidRDefault="00DF73C0" w:rsidP="00E67800">
            <w:pPr>
              <w:pStyle w:val="tabletext"/>
              <w:rPr>
                <w:sz w:val="18"/>
                <w:szCs w:val="20"/>
              </w:rPr>
            </w:pPr>
            <w:r w:rsidRPr="00CB4ED1">
              <w:rPr>
                <w:sz w:val="18"/>
                <w:szCs w:val="20"/>
              </w:rPr>
              <w:t>(Based on reduced waiting times)</w:t>
            </w:r>
          </w:p>
        </w:tc>
        <w:tc>
          <w:tcPr>
            <w:tcW w:w="1843" w:type="dxa"/>
          </w:tcPr>
          <w:p w14:paraId="35D095AB" w14:textId="77777777" w:rsidR="00DF73C0" w:rsidRPr="00CB4ED1" w:rsidRDefault="00DF73C0" w:rsidP="00E67800">
            <w:pPr>
              <w:pStyle w:val="tabletext"/>
              <w:rPr>
                <w:sz w:val="18"/>
                <w:szCs w:val="20"/>
              </w:rPr>
            </w:pPr>
            <w:r w:rsidRPr="00CB4ED1">
              <w:rPr>
                <w:sz w:val="18"/>
                <w:szCs w:val="20"/>
              </w:rPr>
              <w:t>N/A</w:t>
            </w:r>
          </w:p>
        </w:tc>
        <w:tc>
          <w:tcPr>
            <w:tcW w:w="2409" w:type="dxa"/>
          </w:tcPr>
          <w:p w14:paraId="1E0AA00F" w14:textId="77777777" w:rsidR="00DF73C0" w:rsidRPr="00CB4ED1" w:rsidRDefault="00DF73C0" w:rsidP="00E67800">
            <w:pPr>
              <w:pStyle w:val="tabletext"/>
              <w:rPr>
                <w:sz w:val="18"/>
                <w:szCs w:val="20"/>
              </w:rPr>
            </w:pPr>
            <w:r w:rsidRPr="00CB4ED1">
              <w:rPr>
                <w:sz w:val="18"/>
                <w:szCs w:val="20"/>
              </w:rPr>
              <w:t>1,708 QALYs p.a.</w:t>
            </w:r>
          </w:p>
          <w:p w14:paraId="18AB183F" w14:textId="77777777" w:rsidR="00DF73C0" w:rsidRPr="00CB4ED1" w:rsidRDefault="00DF73C0" w:rsidP="00E67800">
            <w:pPr>
              <w:pStyle w:val="tabletext"/>
              <w:rPr>
                <w:sz w:val="18"/>
                <w:szCs w:val="20"/>
              </w:rPr>
            </w:pPr>
            <w:r w:rsidRPr="00CB4ED1">
              <w:rPr>
                <w:sz w:val="18"/>
                <w:szCs w:val="20"/>
              </w:rPr>
              <w:t>(Based on 11,556 patients undergoing arthroplasty surgery 17 weeks earlier on average achievement of preliminary RTT targets outlined in UB4)</w:t>
            </w:r>
          </w:p>
        </w:tc>
        <w:tc>
          <w:tcPr>
            <w:tcW w:w="1418" w:type="dxa"/>
          </w:tcPr>
          <w:p w14:paraId="76CDF696" w14:textId="77777777" w:rsidR="00DF73C0" w:rsidRPr="00CB4ED1" w:rsidRDefault="00DF73C0" w:rsidP="00E67800">
            <w:pPr>
              <w:pStyle w:val="tabletext"/>
              <w:rPr>
                <w:sz w:val="18"/>
                <w:szCs w:val="20"/>
              </w:rPr>
            </w:pPr>
            <w:r w:rsidRPr="00CB4ED1">
              <w:rPr>
                <w:sz w:val="18"/>
                <w:szCs w:val="20"/>
              </w:rPr>
              <w:t>£35.9m p.a.</w:t>
            </w:r>
          </w:p>
          <w:p w14:paraId="5679C031" w14:textId="77777777" w:rsidR="00DF73C0" w:rsidRPr="00CB4ED1" w:rsidRDefault="00DF73C0" w:rsidP="00E67800">
            <w:pPr>
              <w:pStyle w:val="tabletext"/>
              <w:rPr>
                <w:sz w:val="18"/>
                <w:szCs w:val="20"/>
              </w:rPr>
            </w:pPr>
            <w:r w:rsidRPr="00CB4ED1">
              <w:rPr>
                <w:sz w:val="18"/>
                <w:szCs w:val="20"/>
              </w:rPr>
              <w:t>after confidence rating applied</w:t>
            </w:r>
          </w:p>
        </w:tc>
        <w:tc>
          <w:tcPr>
            <w:tcW w:w="4536" w:type="dxa"/>
          </w:tcPr>
          <w:p w14:paraId="17CF00A1" w14:textId="77777777" w:rsidR="00DF73C0" w:rsidRPr="00CB4ED1" w:rsidRDefault="00DF73C0" w:rsidP="00E67800">
            <w:pPr>
              <w:pStyle w:val="tabletext"/>
              <w:rPr>
                <w:rFonts w:cstheme="minorBidi"/>
                <w:sz w:val="18"/>
                <w:szCs w:val="20"/>
              </w:rPr>
            </w:pPr>
            <w:r w:rsidRPr="00CB4ED1">
              <w:rPr>
                <w:rFonts w:cstheme="minorBidi"/>
                <w:sz w:val="18"/>
                <w:szCs w:val="20"/>
              </w:rPr>
              <w:t xml:space="preserve">Value of a quality adjusted life year for a person with Movement disorder (proxy for someone requiring Arthroplasty) is </w:t>
            </w:r>
            <w:r w:rsidRPr="00CB4ED1">
              <w:rPr>
                <w:rFonts w:cstheme="minorBidi"/>
                <w:bCs/>
                <w:sz w:val="18"/>
                <w:szCs w:val="20"/>
              </w:rPr>
              <w:t>0.548</w:t>
            </w:r>
            <w:r w:rsidRPr="00CB4ED1">
              <w:rPr>
                <w:rFonts w:cstheme="minorBidi"/>
                <w:sz w:val="18"/>
                <w:szCs w:val="20"/>
              </w:rPr>
              <w:t xml:space="preserve"> as per WHO’s QALY health state ratings</w:t>
            </w:r>
            <w:r w:rsidRPr="00CB4ED1">
              <w:rPr>
                <w:rStyle w:val="FootnoteReference"/>
                <w:rFonts w:cstheme="minorBidi"/>
                <w:sz w:val="18"/>
                <w:szCs w:val="20"/>
              </w:rPr>
              <w:footnoteReference w:id="3"/>
            </w:r>
            <w:r w:rsidRPr="00CB4ED1">
              <w:rPr>
                <w:rFonts w:cstheme="minorBidi"/>
                <w:sz w:val="18"/>
                <w:szCs w:val="20"/>
              </w:rPr>
              <w:t xml:space="preserve"> - Improvement in QALY from surgical procedure = 1-0.548 = 0.452</w:t>
            </w:r>
          </w:p>
          <w:p w14:paraId="7B57D862" w14:textId="77777777" w:rsidR="00DF73C0" w:rsidRPr="00CB4ED1" w:rsidRDefault="00DF73C0" w:rsidP="00E67800">
            <w:pPr>
              <w:pStyle w:val="tabletext"/>
              <w:rPr>
                <w:rFonts w:cstheme="minorBidi"/>
                <w:sz w:val="18"/>
                <w:szCs w:val="20"/>
              </w:rPr>
            </w:pPr>
            <w:r w:rsidRPr="00CB4ED1">
              <w:rPr>
                <w:rFonts w:cstheme="minorBidi"/>
                <w:sz w:val="18"/>
                <w:szCs w:val="20"/>
              </w:rPr>
              <w:t>Assumed preliminary improvement in wait times is 17 weeks (or 0.33 of a year) – so they receive the improvement in QALYs earlier.</w:t>
            </w:r>
          </w:p>
          <w:p w14:paraId="741514C5" w14:textId="77777777" w:rsidR="00DF73C0" w:rsidRPr="00CB4ED1" w:rsidRDefault="00DF73C0" w:rsidP="00E67800">
            <w:pPr>
              <w:pStyle w:val="tabletext"/>
              <w:rPr>
                <w:rFonts w:cstheme="minorBidi"/>
                <w:sz w:val="18"/>
                <w:szCs w:val="20"/>
              </w:rPr>
            </w:pPr>
            <w:r w:rsidRPr="00CB4ED1">
              <w:rPr>
                <w:rFonts w:cstheme="minorBidi"/>
                <w:sz w:val="18"/>
                <w:szCs w:val="20"/>
              </w:rPr>
              <w:t xml:space="preserve">Apply reduced wait times to improvement in QALY across the 11,556 patients currently waiting for Arthroplasty </w:t>
            </w:r>
          </w:p>
          <w:p w14:paraId="67CABC6E" w14:textId="77777777" w:rsidR="00DF73C0" w:rsidRPr="00CB4ED1" w:rsidRDefault="00DF73C0" w:rsidP="00E67800">
            <w:pPr>
              <w:pStyle w:val="tabletext"/>
              <w:rPr>
                <w:rFonts w:cstheme="minorBidi"/>
                <w:sz w:val="18"/>
                <w:szCs w:val="20"/>
              </w:rPr>
            </w:pPr>
            <w:r w:rsidRPr="00CB4ED1">
              <w:rPr>
                <w:rFonts w:cstheme="minorBidi"/>
                <w:sz w:val="18"/>
                <w:szCs w:val="20"/>
              </w:rPr>
              <w:t>Apply QALY value of £70,000 as per HM Treasury Green Book (uplifted to base year prices)</w:t>
            </w:r>
          </w:p>
          <w:p w14:paraId="67ABB355" w14:textId="77777777" w:rsidR="00DF73C0" w:rsidRPr="00CB4ED1" w:rsidRDefault="00DF73C0" w:rsidP="00E67800">
            <w:pPr>
              <w:pStyle w:val="tabletext"/>
              <w:rPr>
                <w:rFonts w:cstheme="minorBidi"/>
                <w:sz w:val="18"/>
                <w:szCs w:val="20"/>
              </w:rPr>
            </w:pPr>
            <w:r w:rsidRPr="00CB4ED1">
              <w:rPr>
                <w:rFonts w:cstheme="minorBidi"/>
                <w:sz w:val="18"/>
                <w:szCs w:val="20"/>
              </w:rPr>
              <w:t>A prudent 25% confidence rating is applied, noting there are significant assumptions used in the calculation (e.g. the current run rate of average wait times would continue without LHP and that the patient seeing full improvement in QALY, where there may be other factors that influence this.)</w:t>
            </w:r>
          </w:p>
        </w:tc>
        <w:tc>
          <w:tcPr>
            <w:tcW w:w="862" w:type="dxa"/>
          </w:tcPr>
          <w:p w14:paraId="410BA8E2" w14:textId="77777777" w:rsidR="00DF73C0" w:rsidRPr="00CB4ED1" w:rsidRDefault="00DF73C0" w:rsidP="00E67800">
            <w:pPr>
              <w:pStyle w:val="tabletext"/>
              <w:rPr>
                <w:sz w:val="18"/>
                <w:szCs w:val="20"/>
              </w:rPr>
            </w:pPr>
            <w:r w:rsidRPr="00CB4ED1">
              <w:rPr>
                <w:sz w:val="18"/>
                <w:szCs w:val="20"/>
              </w:rPr>
              <w:t>SB</w:t>
            </w:r>
            <w:r>
              <w:rPr>
                <w:sz w:val="18"/>
                <w:szCs w:val="20"/>
              </w:rPr>
              <w:t>2</w:t>
            </w:r>
          </w:p>
        </w:tc>
      </w:tr>
      <w:tr w:rsidR="00DF73C0" w:rsidRPr="00CB4ED1" w14:paraId="7CD55D91" w14:textId="77777777" w:rsidTr="00E67800">
        <w:tc>
          <w:tcPr>
            <w:tcW w:w="2660" w:type="dxa"/>
          </w:tcPr>
          <w:p w14:paraId="6EA7DC0D" w14:textId="77777777" w:rsidR="00DF73C0" w:rsidRPr="00CB4ED1" w:rsidRDefault="00DF73C0" w:rsidP="00E67800">
            <w:pPr>
              <w:pStyle w:val="tabletext"/>
              <w:rPr>
                <w:rFonts w:cstheme="minorBidi"/>
                <w:sz w:val="18"/>
                <w:szCs w:val="20"/>
              </w:rPr>
            </w:pPr>
            <w:r w:rsidRPr="00CB4ED1">
              <w:rPr>
                <w:rFonts w:cstheme="minorBidi"/>
                <w:sz w:val="18"/>
                <w:szCs w:val="20"/>
              </w:rPr>
              <w:t>Reduced reliance on external surgical capacity: Reduced outsourcing, insourcing and waiting list initiatives as a result of additional capacity provided by the surgical hub</w:t>
            </w:r>
          </w:p>
        </w:tc>
        <w:tc>
          <w:tcPr>
            <w:tcW w:w="1701" w:type="dxa"/>
          </w:tcPr>
          <w:p w14:paraId="38B1BE8F" w14:textId="77777777" w:rsidR="00DF73C0" w:rsidRPr="00CB4ED1" w:rsidRDefault="00DF73C0" w:rsidP="00E67800">
            <w:pPr>
              <w:pStyle w:val="tabletext"/>
              <w:rPr>
                <w:sz w:val="18"/>
                <w:szCs w:val="20"/>
              </w:rPr>
            </w:pPr>
            <w:r w:rsidRPr="00CB4ED1">
              <w:rPr>
                <w:sz w:val="18"/>
                <w:szCs w:val="20"/>
              </w:rPr>
              <w:t>Expenditure on surgical outsourcing, insourcing and waiting list initiatives</w:t>
            </w:r>
          </w:p>
        </w:tc>
        <w:tc>
          <w:tcPr>
            <w:tcW w:w="1843" w:type="dxa"/>
          </w:tcPr>
          <w:p w14:paraId="15E833B7" w14:textId="77777777" w:rsidR="00DF73C0" w:rsidRPr="00CB4ED1" w:rsidRDefault="00DF73C0" w:rsidP="00E67800">
            <w:pPr>
              <w:pStyle w:val="tabletext"/>
              <w:rPr>
                <w:sz w:val="18"/>
                <w:szCs w:val="20"/>
              </w:rPr>
            </w:pPr>
            <w:r w:rsidRPr="00CB4ED1">
              <w:rPr>
                <w:sz w:val="18"/>
                <w:szCs w:val="20"/>
              </w:rPr>
              <w:t>N/A</w:t>
            </w:r>
          </w:p>
        </w:tc>
        <w:tc>
          <w:tcPr>
            <w:tcW w:w="2409" w:type="dxa"/>
          </w:tcPr>
          <w:p w14:paraId="0814BD10" w14:textId="77777777" w:rsidR="00DF73C0" w:rsidRPr="00CB4ED1" w:rsidRDefault="00DF73C0" w:rsidP="00E67800">
            <w:pPr>
              <w:pStyle w:val="tabletext"/>
              <w:rPr>
                <w:sz w:val="18"/>
                <w:szCs w:val="20"/>
              </w:rPr>
            </w:pPr>
            <w:r w:rsidRPr="00CB4ED1">
              <w:rPr>
                <w:sz w:val="18"/>
                <w:szCs w:val="20"/>
              </w:rPr>
              <w:t>N/A</w:t>
            </w:r>
          </w:p>
        </w:tc>
        <w:tc>
          <w:tcPr>
            <w:tcW w:w="1418" w:type="dxa"/>
          </w:tcPr>
          <w:p w14:paraId="1EA5D087" w14:textId="77777777" w:rsidR="00DF73C0" w:rsidRPr="00CB4ED1" w:rsidRDefault="00DF73C0" w:rsidP="00E67800">
            <w:pPr>
              <w:pStyle w:val="tabletext"/>
              <w:rPr>
                <w:sz w:val="18"/>
                <w:szCs w:val="20"/>
              </w:rPr>
            </w:pPr>
            <w:r w:rsidRPr="00CB4ED1">
              <w:rPr>
                <w:sz w:val="18"/>
                <w:szCs w:val="20"/>
              </w:rPr>
              <w:t>Included in BAU costs</w:t>
            </w:r>
          </w:p>
        </w:tc>
        <w:tc>
          <w:tcPr>
            <w:tcW w:w="4536" w:type="dxa"/>
          </w:tcPr>
          <w:p w14:paraId="5A3D89FB" w14:textId="77777777" w:rsidR="00DF73C0" w:rsidRPr="00CB4ED1" w:rsidRDefault="00DF73C0" w:rsidP="00E67800">
            <w:pPr>
              <w:pStyle w:val="tabletext"/>
              <w:rPr>
                <w:sz w:val="18"/>
                <w:szCs w:val="20"/>
              </w:rPr>
            </w:pPr>
            <w:r w:rsidRPr="00CB4ED1">
              <w:rPr>
                <w:sz w:val="18"/>
                <w:szCs w:val="20"/>
              </w:rPr>
              <w:t>Included in the transfer of costs associated with substitution of services at CTM UHB.</w:t>
            </w:r>
          </w:p>
        </w:tc>
        <w:tc>
          <w:tcPr>
            <w:tcW w:w="862" w:type="dxa"/>
          </w:tcPr>
          <w:p w14:paraId="05E35235" w14:textId="77777777" w:rsidR="00DF73C0" w:rsidRPr="00CB4ED1" w:rsidRDefault="00DF73C0" w:rsidP="00E67800">
            <w:pPr>
              <w:pStyle w:val="tabletext"/>
              <w:rPr>
                <w:sz w:val="18"/>
                <w:szCs w:val="20"/>
              </w:rPr>
            </w:pPr>
            <w:r w:rsidRPr="00CB4ED1">
              <w:rPr>
                <w:sz w:val="18"/>
                <w:szCs w:val="20"/>
              </w:rPr>
              <w:t>N/A</w:t>
            </w:r>
          </w:p>
        </w:tc>
      </w:tr>
      <w:tr w:rsidR="00DF73C0" w:rsidRPr="00CB4ED1" w14:paraId="0BB0D3D1" w14:textId="77777777" w:rsidTr="00E67800">
        <w:tc>
          <w:tcPr>
            <w:tcW w:w="15429" w:type="dxa"/>
            <w:gridSpan w:val="7"/>
            <w:shd w:val="clear" w:color="auto" w:fill="D9F0FA" w:themeFill="background2" w:themeFillTint="33"/>
          </w:tcPr>
          <w:p w14:paraId="20738B39" w14:textId="77777777" w:rsidR="00DF73C0" w:rsidRPr="00CB4ED1" w:rsidRDefault="00DF73C0" w:rsidP="00E67800">
            <w:pPr>
              <w:pStyle w:val="tabletext"/>
              <w:keepNext/>
              <w:rPr>
                <w:b/>
                <w:sz w:val="18"/>
                <w:szCs w:val="20"/>
              </w:rPr>
            </w:pPr>
            <w:r w:rsidRPr="00CB4ED1">
              <w:rPr>
                <w:b/>
                <w:sz w:val="18"/>
                <w:szCs w:val="20"/>
              </w:rPr>
              <w:t xml:space="preserve">Model of care transformation </w:t>
            </w:r>
          </w:p>
        </w:tc>
      </w:tr>
      <w:tr w:rsidR="00DF73C0" w:rsidRPr="00CB4ED1" w14:paraId="144D25F6" w14:textId="77777777" w:rsidTr="00E67800">
        <w:tc>
          <w:tcPr>
            <w:tcW w:w="2660" w:type="dxa"/>
          </w:tcPr>
          <w:p w14:paraId="19BA9EB1" w14:textId="77777777" w:rsidR="00DF73C0" w:rsidRPr="00CB4ED1" w:rsidRDefault="00DF73C0" w:rsidP="00E67800">
            <w:pPr>
              <w:pStyle w:val="tabletext"/>
              <w:rPr>
                <w:sz w:val="18"/>
                <w:szCs w:val="20"/>
              </w:rPr>
            </w:pPr>
            <w:r w:rsidRPr="00CB4ED1">
              <w:rPr>
                <w:bCs/>
                <w:sz w:val="18"/>
                <w:szCs w:val="20"/>
              </w:rPr>
              <w:t>Increased throughput and better use of resources:</w:t>
            </w:r>
            <w:r w:rsidRPr="00CB4ED1">
              <w:rPr>
                <w:sz w:val="18"/>
                <w:szCs w:val="20"/>
              </w:rPr>
              <w:t xml:space="preserve"> High volume, low acuity model with a standardised pathway will optimise throughput allowing for better use of resources</w:t>
            </w:r>
          </w:p>
        </w:tc>
        <w:tc>
          <w:tcPr>
            <w:tcW w:w="1701" w:type="dxa"/>
          </w:tcPr>
          <w:p w14:paraId="2766B4C2" w14:textId="77777777" w:rsidR="00DF73C0" w:rsidRPr="00CB4ED1" w:rsidRDefault="00DF73C0" w:rsidP="00E67800">
            <w:pPr>
              <w:pStyle w:val="tabletext"/>
              <w:rPr>
                <w:sz w:val="18"/>
                <w:szCs w:val="20"/>
              </w:rPr>
            </w:pPr>
            <w:r w:rsidRPr="00CB4ED1">
              <w:rPr>
                <w:sz w:val="18"/>
                <w:szCs w:val="20"/>
              </w:rPr>
              <w:t xml:space="preserve">Average cost per </w:t>
            </w:r>
            <w:r>
              <w:rPr>
                <w:sz w:val="18"/>
                <w:szCs w:val="20"/>
              </w:rPr>
              <w:t xml:space="preserve">Arthroplasty </w:t>
            </w:r>
            <w:r w:rsidRPr="00CB4ED1">
              <w:rPr>
                <w:sz w:val="18"/>
                <w:szCs w:val="20"/>
              </w:rPr>
              <w:t>procedure compared to benchmarks</w:t>
            </w:r>
          </w:p>
        </w:tc>
        <w:tc>
          <w:tcPr>
            <w:tcW w:w="1843" w:type="dxa"/>
          </w:tcPr>
          <w:p w14:paraId="2A3142C1" w14:textId="77777777" w:rsidR="00DF73C0" w:rsidRPr="00CB4ED1" w:rsidRDefault="00DF73C0" w:rsidP="00E67800">
            <w:pPr>
              <w:pStyle w:val="tabletext"/>
              <w:rPr>
                <w:rFonts w:cstheme="minorBidi"/>
                <w:sz w:val="18"/>
                <w:szCs w:val="20"/>
                <w:highlight w:val="yellow"/>
              </w:rPr>
            </w:pPr>
            <w:r w:rsidRPr="00CB4ED1">
              <w:rPr>
                <w:rFonts w:cstheme="minorBidi"/>
                <w:sz w:val="18"/>
                <w:szCs w:val="20"/>
              </w:rPr>
              <w:t>N/A</w:t>
            </w:r>
          </w:p>
        </w:tc>
        <w:tc>
          <w:tcPr>
            <w:tcW w:w="2409" w:type="dxa"/>
          </w:tcPr>
          <w:p w14:paraId="3EDABC82" w14:textId="77777777" w:rsidR="00DF73C0" w:rsidRPr="00CB4ED1" w:rsidRDefault="00DF73C0" w:rsidP="00E67800">
            <w:pPr>
              <w:pStyle w:val="tabletext"/>
              <w:rPr>
                <w:sz w:val="18"/>
                <w:szCs w:val="20"/>
                <w:highlight w:val="yellow"/>
              </w:rPr>
            </w:pPr>
            <w:r w:rsidRPr="0001168C">
              <w:rPr>
                <w:rFonts w:cstheme="minorBidi"/>
                <w:sz w:val="18"/>
                <w:szCs w:val="20"/>
              </w:rPr>
              <w:t>£6,907 per arthroplasty</w:t>
            </w:r>
            <w:r>
              <w:rPr>
                <w:rFonts w:cstheme="minorBidi"/>
                <w:sz w:val="18"/>
                <w:szCs w:val="20"/>
              </w:rPr>
              <w:t xml:space="preserve"> procedure</w:t>
            </w:r>
            <w:r w:rsidRPr="0001168C">
              <w:rPr>
                <w:rFonts w:cstheme="minorBidi"/>
                <w:sz w:val="18"/>
                <w:szCs w:val="20"/>
              </w:rPr>
              <w:t xml:space="preserve"> (vs NHS England £7,910)</w:t>
            </w:r>
          </w:p>
        </w:tc>
        <w:tc>
          <w:tcPr>
            <w:tcW w:w="1418" w:type="dxa"/>
          </w:tcPr>
          <w:p w14:paraId="687E8B42" w14:textId="77777777" w:rsidR="00DF73C0" w:rsidRPr="00CB4ED1" w:rsidRDefault="00DF73C0" w:rsidP="00E67800">
            <w:pPr>
              <w:pStyle w:val="tabletext"/>
              <w:rPr>
                <w:sz w:val="18"/>
                <w:szCs w:val="20"/>
              </w:rPr>
            </w:pPr>
            <w:r w:rsidRPr="00CB4ED1">
              <w:rPr>
                <w:sz w:val="18"/>
                <w:szCs w:val="20"/>
              </w:rPr>
              <w:t>N/A</w:t>
            </w:r>
          </w:p>
          <w:p w14:paraId="59B1607B" w14:textId="77777777" w:rsidR="00DF73C0" w:rsidRPr="00CB4ED1" w:rsidRDefault="00DF73C0" w:rsidP="00E67800">
            <w:pPr>
              <w:pStyle w:val="tabletext"/>
              <w:rPr>
                <w:sz w:val="18"/>
                <w:szCs w:val="20"/>
              </w:rPr>
            </w:pPr>
            <w:r w:rsidRPr="00CB4ED1">
              <w:rPr>
                <w:sz w:val="18"/>
                <w:szCs w:val="20"/>
              </w:rPr>
              <w:t>Inherent within revenue model</w:t>
            </w:r>
          </w:p>
        </w:tc>
        <w:tc>
          <w:tcPr>
            <w:tcW w:w="4536" w:type="dxa"/>
          </w:tcPr>
          <w:p w14:paraId="04CF320B" w14:textId="77777777" w:rsidR="00DF73C0" w:rsidRPr="00CB4ED1" w:rsidRDefault="00DF73C0" w:rsidP="00E67800">
            <w:pPr>
              <w:pStyle w:val="tabletext"/>
              <w:rPr>
                <w:rFonts w:cstheme="minorBidi"/>
                <w:sz w:val="18"/>
                <w:szCs w:val="20"/>
              </w:rPr>
            </w:pPr>
            <w:r w:rsidRPr="00CB4ED1">
              <w:rPr>
                <w:rFonts w:cstheme="minorBidi"/>
                <w:sz w:val="18"/>
                <w:szCs w:val="20"/>
              </w:rPr>
              <w:t>NHS England arthroplasty tariff based on 202</w:t>
            </w:r>
            <w:r>
              <w:rPr>
                <w:rFonts w:cstheme="minorBidi"/>
                <w:sz w:val="18"/>
                <w:szCs w:val="20"/>
              </w:rPr>
              <w:t>5</w:t>
            </w:r>
            <w:r w:rsidRPr="00CB4ED1">
              <w:rPr>
                <w:rFonts w:cstheme="minorBidi"/>
                <w:sz w:val="18"/>
                <w:szCs w:val="20"/>
              </w:rPr>
              <w:t>-2</w:t>
            </w:r>
            <w:r>
              <w:rPr>
                <w:rFonts w:cstheme="minorBidi"/>
                <w:sz w:val="18"/>
                <w:szCs w:val="20"/>
              </w:rPr>
              <w:t>6</w:t>
            </w:r>
            <w:r w:rsidRPr="00CB4ED1">
              <w:rPr>
                <w:rFonts w:cstheme="minorBidi"/>
                <w:sz w:val="18"/>
                <w:szCs w:val="20"/>
              </w:rPr>
              <w:t xml:space="preserve"> prices with a 5% MFF for the following codes:</w:t>
            </w:r>
          </w:p>
          <w:p w14:paraId="1BBF7DEE" w14:textId="77777777" w:rsidR="00DF73C0" w:rsidRPr="00CB4ED1" w:rsidRDefault="00DF73C0" w:rsidP="00E67800">
            <w:pPr>
              <w:pStyle w:val="tabletext"/>
              <w:rPr>
                <w:rFonts w:cstheme="minorBidi"/>
                <w:sz w:val="18"/>
                <w:szCs w:val="20"/>
              </w:rPr>
            </w:pPr>
            <w:r w:rsidRPr="00CB4ED1">
              <w:rPr>
                <w:rFonts w:cstheme="minorBidi"/>
                <w:sz w:val="18"/>
                <w:szCs w:val="20"/>
              </w:rPr>
              <w:t xml:space="preserve">Very Major Hip Procedures for Non-Trauma with CC Score 2-3 </w:t>
            </w:r>
          </w:p>
          <w:p w14:paraId="1C4ED434" w14:textId="77777777" w:rsidR="00DF73C0" w:rsidRPr="00CB4ED1" w:rsidRDefault="00DF73C0" w:rsidP="00E67800">
            <w:pPr>
              <w:pStyle w:val="tabletext"/>
              <w:rPr>
                <w:sz w:val="18"/>
                <w:szCs w:val="20"/>
              </w:rPr>
            </w:pPr>
            <w:r w:rsidRPr="00CB4ED1">
              <w:rPr>
                <w:sz w:val="18"/>
                <w:szCs w:val="20"/>
              </w:rPr>
              <w:t>Very Major Knee Procedures for Non-Trauma with CC Score 2-3</w:t>
            </w:r>
          </w:p>
        </w:tc>
        <w:tc>
          <w:tcPr>
            <w:tcW w:w="862" w:type="dxa"/>
          </w:tcPr>
          <w:p w14:paraId="172F7FF9" w14:textId="77777777" w:rsidR="00DF73C0" w:rsidRPr="00CB4ED1" w:rsidRDefault="00DF73C0" w:rsidP="00E67800">
            <w:pPr>
              <w:pStyle w:val="tabletext"/>
              <w:rPr>
                <w:sz w:val="18"/>
                <w:szCs w:val="20"/>
              </w:rPr>
            </w:pPr>
            <w:r w:rsidRPr="00CB4ED1">
              <w:rPr>
                <w:sz w:val="18"/>
                <w:szCs w:val="20"/>
              </w:rPr>
              <w:t>UB</w:t>
            </w:r>
            <w:r>
              <w:rPr>
                <w:sz w:val="18"/>
                <w:szCs w:val="20"/>
              </w:rPr>
              <w:t>2</w:t>
            </w:r>
          </w:p>
        </w:tc>
      </w:tr>
      <w:tr w:rsidR="00DF73C0" w:rsidRPr="00CB4ED1" w14:paraId="05BB27F2" w14:textId="77777777" w:rsidTr="00E67800">
        <w:tc>
          <w:tcPr>
            <w:tcW w:w="2660" w:type="dxa"/>
          </w:tcPr>
          <w:p w14:paraId="6EB6122D" w14:textId="77777777" w:rsidR="00DF73C0" w:rsidRPr="00CB4ED1" w:rsidRDefault="00DF73C0" w:rsidP="00E67800">
            <w:pPr>
              <w:pStyle w:val="tabletext"/>
              <w:rPr>
                <w:bCs/>
                <w:sz w:val="18"/>
                <w:szCs w:val="20"/>
              </w:rPr>
            </w:pPr>
            <w:r w:rsidRPr="00CB4ED1">
              <w:rPr>
                <w:bCs/>
                <w:sz w:val="18"/>
                <w:szCs w:val="20"/>
              </w:rPr>
              <w:t>More efficient procurement:</w:t>
            </w:r>
            <w:r w:rsidRPr="00CB4ED1">
              <w:rPr>
                <w:sz w:val="18"/>
                <w:szCs w:val="20"/>
              </w:rPr>
              <w:t xml:space="preserve"> Increased standardisation of the pathway will provide opportunities for more </w:t>
            </w:r>
            <w:r w:rsidRPr="00CB4ED1">
              <w:rPr>
                <w:sz w:val="18"/>
                <w:szCs w:val="20"/>
              </w:rPr>
              <w:lastRenderedPageBreak/>
              <w:t>standardised products and consolidation of stores</w:t>
            </w:r>
          </w:p>
        </w:tc>
        <w:tc>
          <w:tcPr>
            <w:tcW w:w="1701" w:type="dxa"/>
          </w:tcPr>
          <w:p w14:paraId="59E430F2" w14:textId="77777777" w:rsidR="00DF73C0" w:rsidRPr="00CB4ED1" w:rsidRDefault="00DF73C0" w:rsidP="00E67800">
            <w:pPr>
              <w:pStyle w:val="tabletext"/>
              <w:rPr>
                <w:sz w:val="18"/>
                <w:szCs w:val="20"/>
              </w:rPr>
            </w:pPr>
            <w:r w:rsidRPr="00CB4ED1">
              <w:rPr>
                <w:sz w:val="18"/>
                <w:szCs w:val="20"/>
              </w:rPr>
              <w:lastRenderedPageBreak/>
              <w:t>Consumables and supplies expenditure</w:t>
            </w:r>
          </w:p>
        </w:tc>
        <w:tc>
          <w:tcPr>
            <w:tcW w:w="1843" w:type="dxa"/>
          </w:tcPr>
          <w:p w14:paraId="2236A3A2" w14:textId="77777777" w:rsidR="00DF73C0" w:rsidRPr="00CB4ED1" w:rsidRDefault="00DF73C0" w:rsidP="00E67800">
            <w:pPr>
              <w:pStyle w:val="tabletext"/>
              <w:rPr>
                <w:sz w:val="18"/>
                <w:szCs w:val="20"/>
              </w:rPr>
            </w:pPr>
            <w:r w:rsidRPr="00CB4ED1">
              <w:rPr>
                <w:sz w:val="18"/>
                <w:szCs w:val="20"/>
              </w:rPr>
              <w:t>To be confirmed at FBC</w:t>
            </w:r>
          </w:p>
        </w:tc>
        <w:tc>
          <w:tcPr>
            <w:tcW w:w="2409" w:type="dxa"/>
          </w:tcPr>
          <w:p w14:paraId="25305106" w14:textId="77777777" w:rsidR="00DF73C0" w:rsidRPr="00CB4ED1" w:rsidRDefault="00DF73C0" w:rsidP="00E67800">
            <w:pPr>
              <w:pStyle w:val="tabletext"/>
              <w:rPr>
                <w:sz w:val="18"/>
                <w:szCs w:val="20"/>
              </w:rPr>
            </w:pPr>
            <w:r w:rsidRPr="00CB4ED1">
              <w:rPr>
                <w:sz w:val="18"/>
                <w:szCs w:val="20"/>
              </w:rPr>
              <w:t>To be confirmed at FBC</w:t>
            </w:r>
          </w:p>
        </w:tc>
        <w:tc>
          <w:tcPr>
            <w:tcW w:w="1418" w:type="dxa"/>
          </w:tcPr>
          <w:p w14:paraId="49A11E7B" w14:textId="77777777" w:rsidR="00DF73C0" w:rsidRPr="00CB4ED1" w:rsidRDefault="00DF73C0" w:rsidP="00E67800">
            <w:pPr>
              <w:pStyle w:val="tabletext"/>
              <w:rPr>
                <w:sz w:val="18"/>
                <w:szCs w:val="20"/>
              </w:rPr>
            </w:pPr>
            <w:r w:rsidRPr="00CB4ED1">
              <w:rPr>
                <w:sz w:val="18"/>
                <w:szCs w:val="20"/>
              </w:rPr>
              <w:t>To be confirmed at FBC</w:t>
            </w:r>
          </w:p>
        </w:tc>
        <w:tc>
          <w:tcPr>
            <w:tcW w:w="4536" w:type="dxa"/>
          </w:tcPr>
          <w:p w14:paraId="451B4394" w14:textId="77777777" w:rsidR="00DF73C0" w:rsidRDefault="00DF73C0" w:rsidP="00E67800">
            <w:pPr>
              <w:pStyle w:val="tabletext"/>
              <w:rPr>
                <w:sz w:val="18"/>
                <w:szCs w:val="20"/>
              </w:rPr>
            </w:pPr>
            <w:r w:rsidRPr="00CB4ED1">
              <w:rPr>
                <w:sz w:val="18"/>
                <w:szCs w:val="20"/>
              </w:rPr>
              <w:t xml:space="preserve">FBC Actions – establish </w:t>
            </w:r>
            <w:r>
              <w:rPr>
                <w:sz w:val="18"/>
                <w:szCs w:val="20"/>
              </w:rPr>
              <w:t xml:space="preserve">the level of </w:t>
            </w:r>
            <w:r w:rsidRPr="00CB4ED1">
              <w:rPr>
                <w:sz w:val="18"/>
                <w:szCs w:val="20"/>
              </w:rPr>
              <w:t>opportunities</w:t>
            </w:r>
            <w:r>
              <w:rPr>
                <w:sz w:val="18"/>
                <w:szCs w:val="20"/>
              </w:rPr>
              <w:t xml:space="preserve"> there are</w:t>
            </w:r>
            <w:r w:rsidRPr="00CB4ED1">
              <w:rPr>
                <w:sz w:val="18"/>
                <w:szCs w:val="20"/>
              </w:rPr>
              <w:t xml:space="preserve"> to standardise procurement</w:t>
            </w:r>
            <w:r>
              <w:rPr>
                <w:sz w:val="18"/>
                <w:szCs w:val="20"/>
              </w:rPr>
              <w:t xml:space="preserve">. </w:t>
            </w:r>
          </w:p>
          <w:p w14:paraId="41FC5803" w14:textId="77777777" w:rsidR="00DF73C0" w:rsidRDefault="00DF73C0" w:rsidP="00E67800">
            <w:pPr>
              <w:pStyle w:val="tabletext"/>
              <w:rPr>
                <w:sz w:val="18"/>
                <w:szCs w:val="20"/>
              </w:rPr>
            </w:pPr>
          </w:p>
          <w:p w14:paraId="08C93D5D" w14:textId="77777777" w:rsidR="00DF73C0" w:rsidRDefault="00DF73C0" w:rsidP="00E67800">
            <w:pPr>
              <w:pStyle w:val="tabletext"/>
              <w:rPr>
                <w:sz w:val="18"/>
                <w:szCs w:val="20"/>
              </w:rPr>
            </w:pPr>
            <w:r>
              <w:rPr>
                <w:sz w:val="18"/>
                <w:szCs w:val="20"/>
              </w:rPr>
              <w:t xml:space="preserve">To give an indication however, it is estimated that there could be potentially a 10% improvement on </w:t>
            </w:r>
            <w:r>
              <w:rPr>
                <w:sz w:val="18"/>
                <w:szCs w:val="20"/>
              </w:rPr>
              <w:lastRenderedPageBreak/>
              <w:t>purchase prices from buying in bulk and standardisation. Based on estimated non-pay costs for Phase 2 of the LHP, would equate to a £1.9m reduction in costs per year.</w:t>
            </w:r>
          </w:p>
          <w:p w14:paraId="2B43DD32" w14:textId="77777777" w:rsidR="00DF73C0" w:rsidRDefault="00DF73C0" w:rsidP="00E67800">
            <w:pPr>
              <w:pStyle w:val="tabletext"/>
              <w:rPr>
                <w:sz w:val="18"/>
                <w:szCs w:val="20"/>
              </w:rPr>
            </w:pPr>
          </w:p>
          <w:p w14:paraId="65899AC8" w14:textId="77777777" w:rsidR="00DF73C0" w:rsidRPr="00964BDE" w:rsidRDefault="00DF73C0" w:rsidP="00E67800">
            <w:pPr>
              <w:pStyle w:val="tabletext"/>
              <w:rPr>
                <w:sz w:val="18"/>
                <w:szCs w:val="20"/>
              </w:rPr>
            </w:pPr>
            <w:r>
              <w:rPr>
                <w:sz w:val="18"/>
                <w:szCs w:val="20"/>
              </w:rPr>
              <w:t xml:space="preserve">This level of savings does seem reasonable based on other evidence such as the </w:t>
            </w:r>
            <w:r w:rsidRPr="00964BDE">
              <w:rPr>
                <w:sz w:val="18"/>
                <w:szCs w:val="20"/>
              </w:rPr>
              <w:t>S</w:t>
            </w:r>
            <w:r>
              <w:rPr>
                <w:sz w:val="18"/>
                <w:szCs w:val="20"/>
              </w:rPr>
              <w:t xml:space="preserve">uffolk and Northeast </w:t>
            </w:r>
            <w:r w:rsidRPr="00964BDE">
              <w:rPr>
                <w:sz w:val="18"/>
                <w:szCs w:val="20"/>
              </w:rPr>
              <w:t>E</w:t>
            </w:r>
            <w:r>
              <w:rPr>
                <w:sz w:val="18"/>
                <w:szCs w:val="20"/>
              </w:rPr>
              <w:t>ssex</w:t>
            </w:r>
            <w:r w:rsidRPr="00964BDE">
              <w:rPr>
                <w:sz w:val="18"/>
                <w:szCs w:val="20"/>
              </w:rPr>
              <w:t xml:space="preserve"> wide implant rationalisation project (clinically led)</w:t>
            </w:r>
            <w:r>
              <w:rPr>
                <w:sz w:val="18"/>
                <w:szCs w:val="20"/>
              </w:rPr>
              <w:t xml:space="preserve"> for</w:t>
            </w:r>
            <w:r w:rsidRPr="00964BDE">
              <w:rPr>
                <w:sz w:val="18"/>
                <w:szCs w:val="20"/>
              </w:rPr>
              <w:t xml:space="preserve"> Foot and Ankle, Hip, Knee, Shoulder and Sports Medicine</w:t>
            </w:r>
            <w:r>
              <w:rPr>
                <w:sz w:val="18"/>
                <w:szCs w:val="20"/>
              </w:rPr>
              <w:t xml:space="preserve"> which saw</w:t>
            </w:r>
            <w:r w:rsidRPr="00964BDE">
              <w:rPr>
                <w:sz w:val="18"/>
                <w:szCs w:val="20"/>
              </w:rPr>
              <w:t xml:space="preserve"> savings </w:t>
            </w:r>
            <w:r>
              <w:rPr>
                <w:sz w:val="18"/>
                <w:szCs w:val="20"/>
              </w:rPr>
              <w:t xml:space="preserve">on contracts </w:t>
            </w:r>
            <w:r w:rsidRPr="00964BDE">
              <w:rPr>
                <w:sz w:val="18"/>
                <w:szCs w:val="20"/>
              </w:rPr>
              <w:t>of £2</w:t>
            </w:r>
            <w:r>
              <w:rPr>
                <w:sz w:val="18"/>
                <w:szCs w:val="20"/>
              </w:rPr>
              <w:t>m - £</w:t>
            </w:r>
            <w:r w:rsidRPr="00964BDE">
              <w:rPr>
                <w:sz w:val="18"/>
                <w:szCs w:val="20"/>
              </w:rPr>
              <w:t>4</w:t>
            </w:r>
            <w:r>
              <w:rPr>
                <w:sz w:val="18"/>
                <w:szCs w:val="20"/>
              </w:rPr>
              <w:t>m</w:t>
            </w:r>
            <w:r w:rsidRPr="00964BDE">
              <w:rPr>
                <w:sz w:val="18"/>
                <w:szCs w:val="20"/>
              </w:rPr>
              <w:t xml:space="preserve"> year</w:t>
            </w:r>
            <w:r>
              <w:rPr>
                <w:sz w:val="18"/>
                <w:szCs w:val="20"/>
              </w:rPr>
              <w:t>.</w:t>
            </w:r>
          </w:p>
          <w:p w14:paraId="6B03DFC4" w14:textId="77777777" w:rsidR="00DF73C0" w:rsidRPr="00CB4ED1" w:rsidRDefault="00DF73C0" w:rsidP="00E67800">
            <w:pPr>
              <w:pStyle w:val="tabletext"/>
              <w:rPr>
                <w:sz w:val="18"/>
                <w:szCs w:val="20"/>
              </w:rPr>
            </w:pPr>
          </w:p>
        </w:tc>
        <w:tc>
          <w:tcPr>
            <w:tcW w:w="862" w:type="dxa"/>
          </w:tcPr>
          <w:p w14:paraId="0EAC5EBD" w14:textId="77777777" w:rsidR="00DF73C0" w:rsidRPr="00CB4ED1" w:rsidRDefault="00DF73C0" w:rsidP="00E67800">
            <w:pPr>
              <w:pStyle w:val="tabletext"/>
              <w:rPr>
                <w:sz w:val="18"/>
                <w:szCs w:val="20"/>
              </w:rPr>
            </w:pPr>
            <w:r w:rsidRPr="00CB4ED1">
              <w:rPr>
                <w:sz w:val="18"/>
                <w:szCs w:val="20"/>
              </w:rPr>
              <w:lastRenderedPageBreak/>
              <w:t>CRB</w:t>
            </w:r>
            <w:r>
              <w:rPr>
                <w:sz w:val="18"/>
                <w:szCs w:val="20"/>
              </w:rPr>
              <w:t>1</w:t>
            </w:r>
          </w:p>
        </w:tc>
      </w:tr>
      <w:tr w:rsidR="00DF73C0" w:rsidRPr="00CB4ED1" w14:paraId="770E8B1D" w14:textId="77777777" w:rsidTr="00E67800">
        <w:tc>
          <w:tcPr>
            <w:tcW w:w="2660" w:type="dxa"/>
          </w:tcPr>
          <w:p w14:paraId="77F813A0" w14:textId="77777777" w:rsidR="00DF73C0" w:rsidRPr="00CB4ED1" w:rsidRDefault="00DF73C0" w:rsidP="00E67800">
            <w:pPr>
              <w:pStyle w:val="tabletext"/>
              <w:rPr>
                <w:bCs/>
                <w:sz w:val="18"/>
                <w:szCs w:val="20"/>
              </w:rPr>
            </w:pPr>
            <w:r>
              <w:rPr>
                <w:bCs/>
                <w:sz w:val="18"/>
                <w:szCs w:val="20"/>
              </w:rPr>
              <w:t>Learnings and good practices identified from CRB1 can be passed on to other acute sites across the region, leading to better procurement practices throughout the region.</w:t>
            </w:r>
          </w:p>
        </w:tc>
        <w:tc>
          <w:tcPr>
            <w:tcW w:w="1701" w:type="dxa"/>
          </w:tcPr>
          <w:p w14:paraId="0315E17B" w14:textId="77777777" w:rsidR="00DF73C0" w:rsidRPr="00CB4ED1" w:rsidRDefault="00DF73C0" w:rsidP="00E67800">
            <w:pPr>
              <w:pStyle w:val="tabletext"/>
              <w:rPr>
                <w:sz w:val="18"/>
                <w:szCs w:val="20"/>
              </w:rPr>
            </w:pPr>
            <w:r w:rsidRPr="00CB4ED1">
              <w:rPr>
                <w:sz w:val="18"/>
                <w:szCs w:val="20"/>
              </w:rPr>
              <w:t>Qualitative</w:t>
            </w:r>
          </w:p>
        </w:tc>
        <w:tc>
          <w:tcPr>
            <w:tcW w:w="1843" w:type="dxa"/>
          </w:tcPr>
          <w:p w14:paraId="7977E500" w14:textId="77777777" w:rsidR="00DF73C0" w:rsidRPr="00CB4ED1" w:rsidRDefault="00DF73C0" w:rsidP="00E67800">
            <w:pPr>
              <w:pStyle w:val="tabletext"/>
              <w:rPr>
                <w:sz w:val="18"/>
                <w:szCs w:val="20"/>
              </w:rPr>
            </w:pPr>
            <w:r w:rsidRPr="00CB4ED1">
              <w:rPr>
                <w:sz w:val="18"/>
                <w:szCs w:val="20"/>
              </w:rPr>
              <w:t>N/A</w:t>
            </w:r>
          </w:p>
        </w:tc>
        <w:tc>
          <w:tcPr>
            <w:tcW w:w="2409" w:type="dxa"/>
          </w:tcPr>
          <w:p w14:paraId="07992F7C" w14:textId="77777777" w:rsidR="00DF73C0" w:rsidRPr="00CB4ED1" w:rsidRDefault="00DF73C0" w:rsidP="00E67800">
            <w:pPr>
              <w:pStyle w:val="tabletext"/>
              <w:rPr>
                <w:sz w:val="18"/>
                <w:szCs w:val="20"/>
              </w:rPr>
            </w:pPr>
            <w:r w:rsidRPr="00CB4ED1">
              <w:rPr>
                <w:sz w:val="18"/>
                <w:szCs w:val="20"/>
              </w:rPr>
              <w:t>N/A</w:t>
            </w:r>
          </w:p>
        </w:tc>
        <w:tc>
          <w:tcPr>
            <w:tcW w:w="1418" w:type="dxa"/>
          </w:tcPr>
          <w:p w14:paraId="1ABF639E" w14:textId="77777777" w:rsidR="00DF73C0" w:rsidRPr="00CB4ED1" w:rsidRDefault="00DF73C0" w:rsidP="00E67800">
            <w:pPr>
              <w:pStyle w:val="tabletext"/>
              <w:rPr>
                <w:sz w:val="18"/>
                <w:szCs w:val="20"/>
              </w:rPr>
            </w:pPr>
            <w:r w:rsidRPr="00CB4ED1">
              <w:rPr>
                <w:sz w:val="18"/>
                <w:szCs w:val="20"/>
              </w:rPr>
              <w:t>N/A</w:t>
            </w:r>
          </w:p>
        </w:tc>
        <w:tc>
          <w:tcPr>
            <w:tcW w:w="4536" w:type="dxa"/>
          </w:tcPr>
          <w:p w14:paraId="3B5D6763" w14:textId="77777777" w:rsidR="00DF73C0" w:rsidRPr="00CB4ED1" w:rsidRDefault="00DF73C0" w:rsidP="00E67800">
            <w:pPr>
              <w:pStyle w:val="tabletext"/>
              <w:rPr>
                <w:sz w:val="18"/>
                <w:szCs w:val="20"/>
              </w:rPr>
            </w:pPr>
            <w:r w:rsidRPr="00CB4ED1">
              <w:rPr>
                <w:sz w:val="18"/>
                <w:szCs w:val="20"/>
              </w:rPr>
              <w:t>Not possible to quantify in a meaningful way</w:t>
            </w:r>
          </w:p>
        </w:tc>
        <w:tc>
          <w:tcPr>
            <w:tcW w:w="862" w:type="dxa"/>
          </w:tcPr>
          <w:p w14:paraId="09540348" w14:textId="77777777" w:rsidR="00DF73C0" w:rsidRPr="00CB4ED1" w:rsidRDefault="00DF73C0" w:rsidP="00E67800">
            <w:pPr>
              <w:pStyle w:val="tabletext"/>
              <w:rPr>
                <w:sz w:val="18"/>
                <w:szCs w:val="20"/>
              </w:rPr>
            </w:pPr>
            <w:r>
              <w:rPr>
                <w:sz w:val="18"/>
                <w:szCs w:val="20"/>
              </w:rPr>
              <w:t>UB3</w:t>
            </w:r>
          </w:p>
        </w:tc>
      </w:tr>
      <w:tr w:rsidR="00DF73C0" w:rsidRPr="00CB4ED1" w14:paraId="58315CE0" w14:textId="77777777" w:rsidTr="00E67800">
        <w:tc>
          <w:tcPr>
            <w:tcW w:w="2660" w:type="dxa"/>
          </w:tcPr>
          <w:p w14:paraId="03FBCCF4" w14:textId="77777777" w:rsidR="00DF73C0" w:rsidRPr="00CB4ED1" w:rsidRDefault="00DF73C0" w:rsidP="00E67800">
            <w:pPr>
              <w:pStyle w:val="tabletext"/>
              <w:rPr>
                <w:sz w:val="18"/>
                <w:szCs w:val="20"/>
              </w:rPr>
            </w:pPr>
            <w:r w:rsidRPr="00CB4ED1">
              <w:rPr>
                <w:bCs/>
                <w:sz w:val="18"/>
                <w:szCs w:val="20"/>
              </w:rPr>
              <w:t>Improved performance and cost reporting:</w:t>
            </w:r>
            <w:r w:rsidRPr="00CB4ED1">
              <w:rPr>
                <w:sz w:val="18"/>
                <w:szCs w:val="20"/>
              </w:rPr>
              <w:t xml:space="preserve"> A dedicated surgical unit with standardised pathway will provide opportunities to increase transparency, reporting and understanding of performance and costing metrics</w:t>
            </w:r>
          </w:p>
        </w:tc>
        <w:tc>
          <w:tcPr>
            <w:tcW w:w="1701" w:type="dxa"/>
          </w:tcPr>
          <w:p w14:paraId="6DF25207" w14:textId="77777777" w:rsidR="00DF73C0" w:rsidRPr="00CB4ED1" w:rsidRDefault="00DF73C0" w:rsidP="00E67800">
            <w:pPr>
              <w:pStyle w:val="tabletext"/>
              <w:rPr>
                <w:sz w:val="18"/>
                <w:szCs w:val="20"/>
              </w:rPr>
            </w:pPr>
            <w:r w:rsidRPr="00CB4ED1">
              <w:rPr>
                <w:sz w:val="18"/>
                <w:szCs w:val="20"/>
              </w:rPr>
              <w:t>Qualitative</w:t>
            </w:r>
          </w:p>
        </w:tc>
        <w:tc>
          <w:tcPr>
            <w:tcW w:w="1843" w:type="dxa"/>
          </w:tcPr>
          <w:p w14:paraId="0441C8E3" w14:textId="77777777" w:rsidR="00DF73C0" w:rsidRPr="00CB4ED1" w:rsidRDefault="00DF73C0" w:rsidP="00E67800">
            <w:pPr>
              <w:pStyle w:val="tabletext"/>
              <w:rPr>
                <w:sz w:val="18"/>
                <w:szCs w:val="20"/>
              </w:rPr>
            </w:pPr>
            <w:r w:rsidRPr="00CB4ED1">
              <w:rPr>
                <w:sz w:val="18"/>
                <w:szCs w:val="20"/>
              </w:rPr>
              <w:t>N/A</w:t>
            </w:r>
          </w:p>
        </w:tc>
        <w:tc>
          <w:tcPr>
            <w:tcW w:w="2409" w:type="dxa"/>
          </w:tcPr>
          <w:p w14:paraId="6AC46722" w14:textId="77777777" w:rsidR="00DF73C0" w:rsidRPr="00CB4ED1" w:rsidRDefault="00DF73C0" w:rsidP="00E67800">
            <w:pPr>
              <w:pStyle w:val="tabletext"/>
              <w:rPr>
                <w:sz w:val="18"/>
                <w:szCs w:val="20"/>
              </w:rPr>
            </w:pPr>
            <w:r w:rsidRPr="00CB4ED1">
              <w:rPr>
                <w:sz w:val="18"/>
                <w:szCs w:val="20"/>
              </w:rPr>
              <w:t>N/A</w:t>
            </w:r>
          </w:p>
        </w:tc>
        <w:tc>
          <w:tcPr>
            <w:tcW w:w="1418" w:type="dxa"/>
          </w:tcPr>
          <w:p w14:paraId="0BB565D0" w14:textId="77777777" w:rsidR="00DF73C0" w:rsidRPr="00CB4ED1" w:rsidRDefault="00DF73C0" w:rsidP="00E67800">
            <w:pPr>
              <w:pStyle w:val="tabletext"/>
              <w:rPr>
                <w:sz w:val="18"/>
                <w:szCs w:val="20"/>
              </w:rPr>
            </w:pPr>
            <w:r w:rsidRPr="00CB4ED1">
              <w:rPr>
                <w:sz w:val="18"/>
                <w:szCs w:val="20"/>
              </w:rPr>
              <w:t>N/A</w:t>
            </w:r>
          </w:p>
        </w:tc>
        <w:tc>
          <w:tcPr>
            <w:tcW w:w="4536" w:type="dxa"/>
          </w:tcPr>
          <w:p w14:paraId="490F839A" w14:textId="77777777" w:rsidR="00DF73C0" w:rsidRPr="00CB4ED1" w:rsidRDefault="00DF73C0" w:rsidP="00E67800">
            <w:pPr>
              <w:pStyle w:val="tabletext"/>
              <w:rPr>
                <w:sz w:val="18"/>
                <w:szCs w:val="20"/>
              </w:rPr>
            </w:pPr>
            <w:r w:rsidRPr="00CB4ED1">
              <w:rPr>
                <w:sz w:val="18"/>
                <w:szCs w:val="20"/>
              </w:rPr>
              <w:t>Not possible to quantify in a meaningful way</w:t>
            </w:r>
          </w:p>
        </w:tc>
        <w:tc>
          <w:tcPr>
            <w:tcW w:w="862" w:type="dxa"/>
          </w:tcPr>
          <w:p w14:paraId="733876C5" w14:textId="77777777" w:rsidR="00DF73C0" w:rsidRPr="00CB4ED1" w:rsidRDefault="00DF73C0" w:rsidP="00E67800">
            <w:pPr>
              <w:pStyle w:val="tabletext"/>
              <w:rPr>
                <w:sz w:val="18"/>
                <w:szCs w:val="20"/>
              </w:rPr>
            </w:pPr>
            <w:r w:rsidRPr="00CB4ED1">
              <w:rPr>
                <w:sz w:val="18"/>
                <w:szCs w:val="20"/>
              </w:rPr>
              <w:t>UB</w:t>
            </w:r>
            <w:r>
              <w:rPr>
                <w:sz w:val="18"/>
                <w:szCs w:val="20"/>
              </w:rPr>
              <w:t>4</w:t>
            </w:r>
          </w:p>
        </w:tc>
      </w:tr>
      <w:tr w:rsidR="00DF73C0" w:rsidRPr="00CB4ED1" w14:paraId="2488A26B" w14:textId="77777777" w:rsidTr="00E67800">
        <w:tc>
          <w:tcPr>
            <w:tcW w:w="2660" w:type="dxa"/>
          </w:tcPr>
          <w:p w14:paraId="78C4DA35" w14:textId="77777777" w:rsidR="00DF73C0" w:rsidRPr="00CB4ED1" w:rsidRDefault="00DF73C0" w:rsidP="00E67800">
            <w:pPr>
              <w:pStyle w:val="tabletext"/>
              <w:rPr>
                <w:sz w:val="18"/>
                <w:szCs w:val="20"/>
              </w:rPr>
            </w:pPr>
            <w:r w:rsidRPr="00CB4ED1">
              <w:rPr>
                <w:bCs/>
                <w:sz w:val="18"/>
                <w:szCs w:val="20"/>
              </w:rPr>
              <w:t>Greater alignment</w:t>
            </w:r>
            <w:r w:rsidRPr="00CB4ED1">
              <w:rPr>
                <w:sz w:val="18"/>
                <w:szCs w:val="20"/>
              </w:rPr>
              <w:t xml:space="preserve"> with GIRFT principles</w:t>
            </w:r>
          </w:p>
        </w:tc>
        <w:tc>
          <w:tcPr>
            <w:tcW w:w="1701" w:type="dxa"/>
          </w:tcPr>
          <w:p w14:paraId="32F4257B" w14:textId="77777777" w:rsidR="00DF73C0" w:rsidRPr="00CB4ED1" w:rsidRDefault="00DF73C0" w:rsidP="00E67800">
            <w:pPr>
              <w:pStyle w:val="tabletext"/>
              <w:rPr>
                <w:sz w:val="18"/>
                <w:szCs w:val="20"/>
              </w:rPr>
            </w:pPr>
            <w:r w:rsidRPr="00CB4ED1">
              <w:rPr>
                <w:sz w:val="18"/>
                <w:szCs w:val="20"/>
              </w:rPr>
              <w:t>GIRFT principles</w:t>
            </w:r>
          </w:p>
        </w:tc>
        <w:tc>
          <w:tcPr>
            <w:tcW w:w="1843" w:type="dxa"/>
          </w:tcPr>
          <w:p w14:paraId="5B4EADD5" w14:textId="77777777" w:rsidR="00DF73C0" w:rsidRPr="00CB4ED1" w:rsidRDefault="00DF73C0" w:rsidP="00E67800">
            <w:pPr>
              <w:pStyle w:val="tabletext"/>
              <w:rPr>
                <w:sz w:val="18"/>
                <w:szCs w:val="20"/>
                <w:highlight w:val="yellow"/>
              </w:rPr>
            </w:pPr>
            <w:r w:rsidRPr="00D757E4">
              <w:rPr>
                <w:rFonts w:cs="Arial"/>
                <w:sz w:val="18"/>
                <w:szCs w:val="20"/>
              </w:rPr>
              <w:t>N/A</w:t>
            </w:r>
          </w:p>
        </w:tc>
        <w:tc>
          <w:tcPr>
            <w:tcW w:w="2409" w:type="dxa"/>
          </w:tcPr>
          <w:p w14:paraId="746FAF86" w14:textId="77777777" w:rsidR="00DF73C0" w:rsidRPr="00CB4ED1" w:rsidRDefault="00DF73C0" w:rsidP="00E67800">
            <w:pPr>
              <w:pStyle w:val="tabletext"/>
              <w:rPr>
                <w:sz w:val="18"/>
                <w:szCs w:val="20"/>
                <w:highlight w:val="yellow"/>
              </w:rPr>
            </w:pPr>
            <w:r w:rsidRPr="00D757E4">
              <w:rPr>
                <w:rFonts w:cs="Arial"/>
                <w:sz w:val="18"/>
                <w:szCs w:val="20"/>
              </w:rPr>
              <w:t>Alignment with GIRFT principles</w:t>
            </w:r>
          </w:p>
        </w:tc>
        <w:tc>
          <w:tcPr>
            <w:tcW w:w="1418" w:type="dxa"/>
          </w:tcPr>
          <w:p w14:paraId="7BAD9E23"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4E98ABA9" w14:textId="77777777" w:rsidR="00DF73C0" w:rsidRPr="00CB4ED1" w:rsidRDefault="00DF73C0" w:rsidP="00E67800">
            <w:pPr>
              <w:pStyle w:val="tabletext"/>
              <w:rPr>
                <w:sz w:val="18"/>
                <w:szCs w:val="20"/>
              </w:rPr>
            </w:pPr>
            <w:r w:rsidRPr="00CB4ED1">
              <w:rPr>
                <w:sz w:val="18"/>
                <w:szCs w:val="20"/>
              </w:rPr>
              <w:t>N/A</w:t>
            </w:r>
          </w:p>
        </w:tc>
        <w:tc>
          <w:tcPr>
            <w:tcW w:w="862" w:type="dxa"/>
          </w:tcPr>
          <w:p w14:paraId="51FE517A" w14:textId="77777777" w:rsidR="00DF73C0" w:rsidRPr="00CB4ED1" w:rsidRDefault="00DF73C0" w:rsidP="00E67800">
            <w:pPr>
              <w:pStyle w:val="tabletext"/>
              <w:rPr>
                <w:sz w:val="18"/>
                <w:szCs w:val="20"/>
              </w:rPr>
            </w:pPr>
            <w:r w:rsidRPr="00CB4ED1">
              <w:rPr>
                <w:sz w:val="18"/>
                <w:szCs w:val="20"/>
              </w:rPr>
              <w:t>UB</w:t>
            </w:r>
            <w:r>
              <w:rPr>
                <w:sz w:val="18"/>
                <w:szCs w:val="20"/>
              </w:rPr>
              <w:t>5</w:t>
            </w:r>
          </w:p>
        </w:tc>
      </w:tr>
      <w:tr w:rsidR="00DF73C0" w:rsidRPr="00CB4ED1" w14:paraId="523B1740" w14:textId="77777777" w:rsidTr="00E67800">
        <w:tc>
          <w:tcPr>
            <w:tcW w:w="2660" w:type="dxa"/>
          </w:tcPr>
          <w:p w14:paraId="28CBA855" w14:textId="77777777" w:rsidR="00DF73C0" w:rsidRPr="00CB4ED1" w:rsidRDefault="00DF73C0" w:rsidP="00E67800">
            <w:pPr>
              <w:pStyle w:val="tabletext"/>
              <w:rPr>
                <w:sz w:val="18"/>
                <w:szCs w:val="20"/>
              </w:rPr>
            </w:pPr>
            <w:r w:rsidRPr="00CB4ED1">
              <w:rPr>
                <w:bCs/>
                <w:sz w:val="18"/>
                <w:szCs w:val="20"/>
              </w:rPr>
              <w:t>Provides opportunities for the future reconfiguration of services of CTM UHB</w:t>
            </w:r>
            <w:r w:rsidRPr="00CB4ED1">
              <w:rPr>
                <w:sz w:val="18"/>
                <w:szCs w:val="20"/>
              </w:rPr>
              <w:t xml:space="preserve"> </w:t>
            </w:r>
            <w:proofErr w:type="gramStart"/>
            <w:r w:rsidRPr="00CB4ED1">
              <w:rPr>
                <w:sz w:val="18"/>
                <w:szCs w:val="20"/>
              </w:rPr>
              <w:t>The</w:t>
            </w:r>
            <w:proofErr w:type="gramEnd"/>
            <w:r w:rsidRPr="00CB4ED1">
              <w:rPr>
                <w:sz w:val="18"/>
                <w:szCs w:val="20"/>
              </w:rPr>
              <w:t xml:space="preserve"> move of existing surgical and diagnostics activity to LHP will release capacity at CTM UHB which provides opportunities to consolidate or reconfigure services with the potential for future rationalisation of the estate </w:t>
            </w:r>
          </w:p>
        </w:tc>
        <w:tc>
          <w:tcPr>
            <w:tcW w:w="1701" w:type="dxa"/>
          </w:tcPr>
          <w:p w14:paraId="280586F8" w14:textId="77777777" w:rsidR="00DF73C0" w:rsidRPr="00CB4ED1" w:rsidRDefault="00DF73C0" w:rsidP="00E67800">
            <w:pPr>
              <w:pStyle w:val="tabletext"/>
              <w:rPr>
                <w:sz w:val="18"/>
                <w:szCs w:val="20"/>
              </w:rPr>
            </w:pPr>
            <w:r w:rsidRPr="00CB4ED1">
              <w:rPr>
                <w:sz w:val="18"/>
                <w:szCs w:val="20"/>
              </w:rPr>
              <w:t>Qualitative</w:t>
            </w:r>
          </w:p>
        </w:tc>
        <w:tc>
          <w:tcPr>
            <w:tcW w:w="1843" w:type="dxa"/>
          </w:tcPr>
          <w:p w14:paraId="77179382" w14:textId="77777777" w:rsidR="00DF73C0" w:rsidRPr="00CB4ED1" w:rsidRDefault="00DF73C0" w:rsidP="00E67800">
            <w:pPr>
              <w:pStyle w:val="tabletext"/>
              <w:rPr>
                <w:sz w:val="18"/>
                <w:szCs w:val="20"/>
              </w:rPr>
            </w:pPr>
            <w:r w:rsidRPr="00CB4ED1">
              <w:rPr>
                <w:sz w:val="18"/>
                <w:szCs w:val="20"/>
              </w:rPr>
              <w:t>N/A</w:t>
            </w:r>
          </w:p>
        </w:tc>
        <w:tc>
          <w:tcPr>
            <w:tcW w:w="2409" w:type="dxa"/>
          </w:tcPr>
          <w:p w14:paraId="5E82E400" w14:textId="77777777" w:rsidR="00DF73C0" w:rsidRPr="00CB4ED1" w:rsidRDefault="00DF73C0" w:rsidP="00E67800">
            <w:pPr>
              <w:pStyle w:val="tabletext"/>
              <w:rPr>
                <w:sz w:val="18"/>
                <w:szCs w:val="20"/>
              </w:rPr>
            </w:pPr>
            <w:r w:rsidRPr="00CB4ED1">
              <w:rPr>
                <w:sz w:val="18"/>
                <w:szCs w:val="20"/>
              </w:rPr>
              <w:t>N/A</w:t>
            </w:r>
          </w:p>
        </w:tc>
        <w:tc>
          <w:tcPr>
            <w:tcW w:w="1418" w:type="dxa"/>
          </w:tcPr>
          <w:p w14:paraId="5E71C4EA" w14:textId="77777777" w:rsidR="00DF73C0" w:rsidRPr="00CB4ED1" w:rsidRDefault="00DF73C0" w:rsidP="00E67800">
            <w:pPr>
              <w:pStyle w:val="tabletext"/>
              <w:rPr>
                <w:sz w:val="18"/>
                <w:szCs w:val="20"/>
              </w:rPr>
            </w:pPr>
            <w:r w:rsidRPr="00CB4ED1">
              <w:rPr>
                <w:sz w:val="18"/>
                <w:szCs w:val="20"/>
              </w:rPr>
              <w:t>N/A</w:t>
            </w:r>
          </w:p>
        </w:tc>
        <w:tc>
          <w:tcPr>
            <w:tcW w:w="4536" w:type="dxa"/>
          </w:tcPr>
          <w:p w14:paraId="4D9C3AF2" w14:textId="77777777" w:rsidR="00DF73C0" w:rsidRPr="00CB4ED1" w:rsidRDefault="00DF73C0" w:rsidP="00E67800">
            <w:pPr>
              <w:pStyle w:val="tabletext"/>
              <w:rPr>
                <w:sz w:val="18"/>
                <w:szCs w:val="20"/>
              </w:rPr>
            </w:pPr>
            <w:r w:rsidRPr="00CB4ED1">
              <w:rPr>
                <w:sz w:val="18"/>
                <w:szCs w:val="20"/>
              </w:rPr>
              <w:t>Not possible to quantify in a meaningful way at this stage</w:t>
            </w:r>
            <w:r>
              <w:rPr>
                <w:sz w:val="18"/>
                <w:szCs w:val="20"/>
              </w:rPr>
              <w:t xml:space="preserve">, please note that this just applies to </w:t>
            </w:r>
            <w:r w:rsidRPr="007B5157">
              <w:rPr>
                <w:sz w:val="18"/>
                <w:szCs w:val="20"/>
              </w:rPr>
              <w:t>CTMUHB, as CTMUHB is the only one that is transferring existing capacity.</w:t>
            </w:r>
          </w:p>
        </w:tc>
        <w:tc>
          <w:tcPr>
            <w:tcW w:w="862" w:type="dxa"/>
          </w:tcPr>
          <w:p w14:paraId="7D8E2C01" w14:textId="77777777" w:rsidR="00DF73C0" w:rsidRPr="00CB4ED1" w:rsidRDefault="00DF73C0" w:rsidP="00E67800">
            <w:pPr>
              <w:pStyle w:val="tabletext"/>
              <w:rPr>
                <w:sz w:val="18"/>
                <w:szCs w:val="20"/>
              </w:rPr>
            </w:pPr>
            <w:r w:rsidRPr="00CB4ED1">
              <w:rPr>
                <w:sz w:val="18"/>
                <w:szCs w:val="20"/>
              </w:rPr>
              <w:t>UB</w:t>
            </w:r>
            <w:r>
              <w:rPr>
                <w:sz w:val="18"/>
                <w:szCs w:val="20"/>
              </w:rPr>
              <w:t>6</w:t>
            </w:r>
          </w:p>
        </w:tc>
      </w:tr>
      <w:tr w:rsidR="00DF73C0" w:rsidRPr="00CB4ED1" w14:paraId="3F034E25" w14:textId="77777777" w:rsidTr="00E67800">
        <w:tc>
          <w:tcPr>
            <w:tcW w:w="2660" w:type="dxa"/>
          </w:tcPr>
          <w:p w14:paraId="3FF7D9E0" w14:textId="77777777" w:rsidR="00DF73C0" w:rsidRPr="00CB4ED1" w:rsidRDefault="00DF73C0" w:rsidP="00E67800">
            <w:pPr>
              <w:pStyle w:val="tabletext"/>
              <w:rPr>
                <w:sz w:val="18"/>
                <w:szCs w:val="20"/>
              </w:rPr>
            </w:pPr>
            <w:r w:rsidRPr="00CB4ED1">
              <w:rPr>
                <w:bCs/>
                <w:sz w:val="18"/>
                <w:szCs w:val="20"/>
              </w:rPr>
              <w:lastRenderedPageBreak/>
              <w:t xml:space="preserve">Supports the future of other regional initiatives </w:t>
            </w:r>
            <w:r w:rsidRPr="00CB4ED1">
              <w:rPr>
                <w:sz w:val="18"/>
                <w:szCs w:val="20"/>
              </w:rPr>
              <w:t>Delivery of a successful regional model provides an evidence-base and acts as a potential exemplar, providing a catalyst for standardising other suitable pathways or centralising other suitable services in the future</w:t>
            </w:r>
          </w:p>
        </w:tc>
        <w:tc>
          <w:tcPr>
            <w:tcW w:w="1701" w:type="dxa"/>
          </w:tcPr>
          <w:p w14:paraId="226E483C" w14:textId="77777777" w:rsidR="00DF73C0" w:rsidRPr="00CB4ED1" w:rsidRDefault="00DF73C0" w:rsidP="00E67800">
            <w:pPr>
              <w:pStyle w:val="tabletext"/>
              <w:rPr>
                <w:sz w:val="18"/>
                <w:szCs w:val="20"/>
              </w:rPr>
            </w:pPr>
            <w:r w:rsidRPr="00CB4ED1">
              <w:rPr>
                <w:sz w:val="18"/>
                <w:szCs w:val="20"/>
              </w:rPr>
              <w:t>Qualitative</w:t>
            </w:r>
          </w:p>
        </w:tc>
        <w:tc>
          <w:tcPr>
            <w:tcW w:w="1843" w:type="dxa"/>
          </w:tcPr>
          <w:p w14:paraId="7BD5E1D0" w14:textId="77777777" w:rsidR="00DF73C0" w:rsidRPr="00CB4ED1" w:rsidRDefault="00DF73C0" w:rsidP="00E67800">
            <w:pPr>
              <w:pStyle w:val="tabletext"/>
              <w:rPr>
                <w:sz w:val="18"/>
                <w:szCs w:val="20"/>
              </w:rPr>
            </w:pPr>
            <w:r w:rsidRPr="00CB4ED1">
              <w:rPr>
                <w:sz w:val="18"/>
                <w:szCs w:val="20"/>
              </w:rPr>
              <w:t>N/A</w:t>
            </w:r>
          </w:p>
        </w:tc>
        <w:tc>
          <w:tcPr>
            <w:tcW w:w="2409" w:type="dxa"/>
          </w:tcPr>
          <w:p w14:paraId="5744D55B" w14:textId="77777777" w:rsidR="00DF73C0" w:rsidRPr="00CB4ED1" w:rsidRDefault="00DF73C0" w:rsidP="00E67800">
            <w:pPr>
              <w:pStyle w:val="tabletext"/>
              <w:rPr>
                <w:sz w:val="18"/>
                <w:szCs w:val="20"/>
              </w:rPr>
            </w:pPr>
            <w:r w:rsidRPr="00CB4ED1">
              <w:rPr>
                <w:sz w:val="18"/>
                <w:szCs w:val="20"/>
              </w:rPr>
              <w:t>N/A</w:t>
            </w:r>
          </w:p>
        </w:tc>
        <w:tc>
          <w:tcPr>
            <w:tcW w:w="1418" w:type="dxa"/>
          </w:tcPr>
          <w:p w14:paraId="06B9FA60"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27C6E116" w14:textId="77777777" w:rsidR="00DF73C0" w:rsidRPr="00CB4ED1" w:rsidRDefault="00DF73C0" w:rsidP="00E67800">
            <w:pPr>
              <w:pStyle w:val="tabletext"/>
              <w:rPr>
                <w:sz w:val="18"/>
                <w:szCs w:val="20"/>
              </w:rPr>
            </w:pPr>
            <w:r w:rsidRPr="00CB4ED1">
              <w:rPr>
                <w:sz w:val="18"/>
                <w:szCs w:val="20"/>
              </w:rPr>
              <w:t>Not possible to quantify in a meaningful way at this stage</w:t>
            </w:r>
          </w:p>
        </w:tc>
        <w:tc>
          <w:tcPr>
            <w:tcW w:w="862" w:type="dxa"/>
          </w:tcPr>
          <w:p w14:paraId="13B5C2EA" w14:textId="77777777" w:rsidR="00DF73C0" w:rsidRPr="00CB4ED1" w:rsidRDefault="00DF73C0" w:rsidP="00E67800">
            <w:pPr>
              <w:pStyle w:val="tabletext"/>
              <w:rPr>
                <w:sz w:val="18"/>
                <w:szCs w:val="20"/>
              </w:rPr>
            </w:pPr>
            <w:r w:rsidRPr="00CB4ED1">
              <w:rPr>
                <w:sz w:val="18"/>
                <w:szCs w:val="20"/>
              </w:rPr>
              <w:t>UB</w:t>
            </w:r>
            <w:r>
              <w:rPr>
                <w:sz w:val="18"/>
                <w:szCs w:val="20"/>
              </w:rPr>
              <w:t>7</w:t>
            </w:r>
          </w:p>
        </w:tc>
      </w:tr>
      <w:tr w:rsidR="00DF73C0" w:rsidRPr="00CB4ED1" w14:paraId="6BD44752" w14:textId="77777777" w:rsidTr="00E67800">
        <w:tc>
          <w:tcPr>
            <w:tcW w:w="2660" w:type="dxa"/>
          </w:tcPr>
          <w:p w14:paraId="7CD9B1B0" w14:textId="77777777" w:rsidR="00DF73C0" w:rsidRPr="00CB4ED1" w:rsidRDefault="00DF73C0" w:rsidP="00E67800">
            <w:pPr>
              <w:pStyle w:val="tabletext"/>
              <w:rPr>
                <w:bCs/>
                <w:sz w:val="18"/>
                <w:szCs w:val="20"/>
              </w:rPr>
            </w:pPr>
            <w:r w:rsidRPr="00A338C5">
              <w:rPr>
                <w:rFonts w:cs="Arial"/>
                <w:sz w:val="18"/>
                <w:szCs w:val="20"/>
              </w:rPr>
              <w:t>Providing regional sustainability and capacity to allow contingency at other sites.</w:t>
            </w:r>
          </w:p>
        </w:tc>
        <w:tc>
          <w:tcPr>
            <w:tcW w:w="1701" w:type="dxa"/>
          </w:tcPr>
          <w:p w14:paraId="46829B62" w14:textId="77777777" w:rsidR="00DF73C0" w:rsidRPr="00CB4ED1" w:rsidRDefault="00DF73C0" w:rsidP="00E67800">
            <w:pPr>
              <w:pStyle w:val="tabletext"/>
              <w:rPr>
                <w:sz w:val="18"/>
                <w:szCs w:val="20"/>
              </w:rPr>
            </w:pPr>
            <w:r>
              <w:rPr>
                <w:rFonts w:cs="Arial"/>
                <w:sz w:val="18"/>
                <w:szCs w:val="20"/>
              </w:rPr>
              <w:t>Increase in the no. of Arthroplasty procedures provided</w:t>
            </w:r>
          </w:p>
        </w:tc>
        <w:tc>
          <w:tcPr>
            <w:tcW w:w="1843" w:type="dxa"/>
          </w:tcPr>
          <w:p w14:paraId="1B8FCE8D" w14:textId="77777777" w:rsidR="00DF73C0" w:rsidRPr="00CB4ED1" w:rsidRDefault="00DF73C0" w:rsidP="00E67800">
            <w:pPr>
              <w:pStyle w:val="tabletext"/>
              <w:rPr>
                <w:sz w:val="18"/>
                <w:szCs w:val="20"/>
              </w:rPr>
            </w:pPr>
            <w:r>
              <w:rPr>
                <w:sz w:val="18"/>
                <w:szCs w:val="20"/>
              </w:rPr>
              <w:t>1,320</w:t>
            </w:r>
          </w:p>
        </w:tc>
        <w:tc>
          <w:tcPr>
            <w:tcW w:w="2409" w:type="dxa"/>
          </w:tcPr>
          <w:p w14:paraId="76F3C9CA" w14:textId="77777777" w:rsidR="00DF73C0" w:rsidRPr="00CB4ED1" w:rsidRDefault="00DF73C0" w:rsidP="00E67800">
            <w:pPr>
              <w:pStyle w:val="tabletext"/>
              <w:rPr>
                <w:sz w:val="18"/>
                <w:szCs w:val="20"/>
              </w:rPr>
            </w:pPr>
            <w:r>
              <w:rPr>
                <w:sz w:val="18"/>
                <w:szCs w:val="20"/>
              </w:rPr>
              <w:t>5,600</w:t>
            </w:r>
          </w:p>
        </w:tc>
        <w:tc>
          <w:tcPr>
            <w:tcW w:w="1418" w:type="dxa"/>
          </w:tcPr>
          <w:p w14:paraId="01915108" w14:textId="77777777" w:rsidR="00DF73C0" w:rsidRPr="00CB4ED1" w:rsidRDefault="00DF73C0" w:rsidP="00E67800">
            <w:pPr>
              <w:pStyle w:val="tabletext"/>
              <w:rPr>
                <w:sz w:val="18"/>
                <w:szCs w:val="20"/>
              </w:rPr>
            </w:pPr>
            <w:r w:rsidRPr="00A338C5">
              <w:rPr>
                <w:rFonts w:cs="Arial"/>
                <w:sz w:val="18"/>
                <w:szCs w:val="20"/>
              </w:rPr>
              <w:t xml:space="preserve">Not </w:t>
            </w:r>
            <w:proofErr w:type="spellStart"/>
            <w:r w:rsidRPr="00A338C5">
              <w:rPr>
                <w:rFonts w:cs="Arial"/>
                <w:sz w:val="18"/>
                <w:szCs w:val="20"/>
              </w:rPr>
              <w:t>monetisable</w:t>
            </w:r>
            <w:proofErr w:type="spellEnd"/>
          </w:p>
        </w:tc>
        <w:tc>
          <w:tcPr>
            <w:tcW w:w="4536" w:type="dxa"/>
          </w:tcPr>
          <w:p w14:paraId="3EDE631E" w14:textId="77777777" w:rsidR="00DF73C0" w:rsidRPr="00CB4ED1" w:rsidRDefault="00DF73C0" w:rsidP="00E67800">
            <w:pPr>
              <w:pStyle w:val="tabletext"/>
              <w:rPr>
                <w:sz w:val="18"/>
                <w:szCs w:val="20"/>
              </w:rPr>
            </w:pPr>
            <w:r w:rsidRPr="00A338C5">
              <w:rPr>
                <w:rFonts w:cs="Arial"/>
                <w:sz w:val="18"/>
                <w:szCs w:val="20"/>
              </w:rPr>
              <w:t>As a result of the increased capacity at LHP it will provide regional sustainability and contingency at other acute sites.</w:t>
            </w:r>
          </w:p>
        </w:tc>
        <w:tc>
          <w:tcPr>
            <w:tcW w:w="862" w:type="dxa"/>
          </w:tcPr>
          <w:p w14:paraId="748D4D1D" w14:textId="77777777" w:rsidR="00DF73C0" w:rsidRPr="00CB4ED1" w:rsidRDefault="00DF73C0" w:rsidP="00E67800">
            <w:pPr>
              <w:pStyle w:val="tabletext"/>
              <w:rPr>
                <w:sz w:val="18"/>
                <w:szCs w:val="20"/>
              </w:rPr>
            </w:pPr>
            <w:r w:rsidRPr="00A338C5">
              <w:rPr>
                <w:rFonts w:cs="Arial"/>
                <w:sz w:val="18"/>
                <w:szCs w:val="20"/>
              </w:rPr>
              <w:t>UB</w:t>
            </w:r>
            <w:r>
              <w:rPr>
                <w:rFonts w:cs="Arial"/>
                <w:sz w:val="18"/>
                <w:szCs w:val="20"/>
              </w:rPr>
              <w:t>8</w:t>
            </w:r>
          </w:p>
        </w:tc>
      </w:tr>
      <w:tr w:rsidR="00DF73C0" w:rsidRPr="00CB4ED1" w14:paraId="71E29EB1" w14:textId="77777777" w:rsidTr="00E67800">
        <w:tc>
          <w:tcPr>
            <w:tcW w:w="2660" w:type="dxa"/>
          </w:tcPr>
          <w:p w14:paraId="49C1034F" w14:textId="77777777" w:rsidR="00DF73C0" w:rsidRPr="00CB4ED1" w:rsidRDefault="00DF73C0" w:rsidP="00E67800">
            <w:pPr>
              <w:pStyle w:val="tabletext"/>
              <w:rPr>
                <w:bCs/>
                <w:sz w:val="18"/>
                <w:szCs w:val="20"/>
              </w:rPr>
            </w:pPr>
            <w:r w:rsidRPr="00A338C5">
              <w:rPr>
                <w:rFonts w:cs="Arial"/>
                <w:sz w:val="18"/>
                <w:szCs w:val="20"/>
              </w:rPr>
              <w:t xml:space="preserve">Positive reputational impact to </w:t>
            </w:r>
            <w:r>
              <w:rPr>
                <w:rFonts w:cs="Arial"/>
                <w:sz w:val="18"/>
                <w:szCs w:val="20"/>
              </w:rPr>
              <w:t>UHBs</w:t>
            </w:r>
            <w:r w:rsidRPr="00A338C5">
              <w:rPr>
                <w:rFonts w:cs="Arial"/>
                <w:sz w:val="18"/>
                <w:szCs w:val="20"/>
              </w:rPr>
              <w:t xml:space="preserve"> from patients and Welsh Government from positive outcomes of the initiative</w:t>
            </w:r>
            <w:r w:rsidRPr="00A338C5">
              <w:rPr>
                <w:rFonts w:cs="Arial"/>
                <w:sz w:val="18"/>
                <w:szCs w:val="20"/>
                <w:highlight w:val="yellow"/>
              </w:rPr>
              <w:t xml:space="preserve"> </w:t>
            </w:r>
          </w:p>
        </w:tc>
        <w:tc>
          <w:tcPr>
            <w:tcW w:w="1701" w:type="dxa"/>
          </w:tcPr>
          <w:p w14:paraId="0CA8C48B" w14:textId="77777777" w:rsidR="00DF73C0" w:rsidRPr="00CB4ED1" w:rsidRDefault="00DF73C0" w:rsidP="00E67800">
            <w:pPr>
              <w:pStyle w:val="tabletext"/>
              <w:rPr>
                <w:sz w:val="18"/>
                <w:szCs w:val="20"/>
              </w:rPr>
            </w:pPr>
            <w:r w:rsidRPr="00A338C5">
              <w:rPr>
                <w:rFonts w:cs="Arial"/>
                <w:sz w:val="18"/>
                <w:szCs w:val="20"/>
              </w:rPr>
              <w:t>Qualitative</w:t>
            </w:r>
          </w:p>
        </w:tc>
        <w:tc>
          <w:tcPr>
            <w:tcW w:w="1843" w:type="dxa"/>
          </w:tcPr>
          <w:p w14:paraId="4188CFFA" w14:textId="77777777" w:rsidR="00DF73C0" w:rsidRPr="00CB4ED1" w:rsidRDefault="00DF73C0" w:rsidP="00E67800">
            <w:pPr>
              <w:pStyle w:val="tabletext"/>
              <w:rPr>
                <w:sz w:val="18"/>
                <w:szCs w:val="20"/>
              </w:rPr>
            </w:pPr>
            <w:r w:rsidRPr="00A338C5">
              <w:rPr>
                <w:rFonts w:cs="Arial"/>
                <w:sz w:val="18"/>
                <w:szCs w:val="20"/>
              </w:rPr>
              <w:t>N/A</w:t>
            </w:r>
          </w:p>
        </w:tc>
        <w:tc>
          <w:tcPr>
            <w:tcW w:w="2409" w:type="dxa"/>
          </w:tcPr>
          <w:p w14:paraId="389F8E9A" w14:textId="77777777" w:rsidR="00DF73C0" w:rsidRPr="00CB4ED1" w:rsidRDefault="00DF73C0" w:rsidP="00E67800">
            <w:pPr>
              <w:pStyle w:val="tabletext"/>
              <w:rPr>
                <w:sz w:val="18"/>
                <w:szCs w:val="20"/>
              </w:rPr>
            </w:pPr>
            <w:r w:rsidRPr="00A338C5">
              <w:rPr>
                <w:rFonts w:cs="Arial"/>
                <w:sz w:val="18"/>
                <w:szCs w:val="20"/>
              </w:rPr>
              <w:t>N/A</w:t>
            </w:r>
          </w:p>
        </w:tc>
        <w:tc>
          <w:tcPr>
            <w:tcW w:w="1418" w:type="dxa"/>
          </w:tcPr>
          <w:p w14:paraId="5C2E692F" w14:textId="77777777" w:rsidR="00DF73C0" w:rsidRPr="00CB4ED1" w:rsidRDefault="00DF73C0" w:rsidP="00E67800">
            <w:pPr>
              <w:pStyle w:val="tabletext"/>
              <w:rPr>
                <w:sz w:val="18"/>
                <w:szCs w:val="20"/>
              </w:rPr>
            </w:pPr>
            <w:r w:rsidRPr="00A338C5">
              <w:rPr>
                <w:rFonts w:cs="Arial"/>
                <w:sz w:val="18"/>
                <w:szCs w:val="20"/>
              </w:rPr>
              <w:t xml:space="preserve">Not </w:t>
            </w:r>
            <w:proofErr w:type="spellStart"/>
            <w:r w:rsidRPr="00A338C5">
              <w:rPr>
                <w:rFonts w:cs="Arial"/>
                <w:sz w:val="18"/>
                <w:szCs w:val="20"/>
              </w:rPr>
              <w:t>Monetisable</w:t>
            </w:r>
            <w:proofErr w:type="spellEnd"/>
          </w:p>
        </w:tc>
        <w:tc>
          <w:tcPr>
            <w:tcW w:w="4536" w:type="dxa"/>
          </w:tcPr>
          <w:p w14:paraId="7B861599" w14:textId="77777777" w:rsidR="00DF73C0" w:rsidRPr="00CB4ED1" w:rsidRDefault="00DF73C0" w:rsidP="00E67800">
            <w:pPr>
              <w:pStyle w:val="tabletext"/>
              <w:rPr>
                <w:sz w:val="18"/>
                <w:szCs w:val="20"/>
              </w:rPr>
            </w:pPr>
            <w:r w:rsidRPr="00A338C5">
              <w:rPr>
                <w:rFonts w:cs="Arial"/>
                <w:sz w:val="18"/>
                <w:szCs w:val="20"/>
              </w:rPr>
              <w:t xml:space="preserve">It is assumed that the investment and service will be delivered in a productive and beneficial manner which will provide positive outcomes for patients, staff and the organisations. This will lead to a positive reputational impact from both patients and Welsh Government. </w:t>
            </w:r>
          </w:p>
        </w:tc>
        <w:tc>
          <w:tcPr>
            <w:tcW w:w="862" w:type="dxa"/>
          </w:tcPr>
          <w:p w14:paraId="61F79381" w14:textId="77777777" w:rsidR="00DF73C0" w:rsidRPr="00CB4ED1" w:rsidRDefault="00DF73C0" w:rsidP="00E67800">
            <w:pPr>
              <w:pStyle w:val="tabletext"/>
              <w:rPr>
                <w:sz w:val="18"/>
                <w:szCs w:val="20"/>
              </w:rPr>
            </w:pPr>
            <w:r w:rsidRPr="00A338C5">
              <w:rPr>
                <w:rFonts w:cs="Arial"/>
                <w:sz w:val="18"/>
                <w:szCs w:val="20"/>
              </w:rPr>
              <w:t>UB</w:t>
            </w:r>
            <w:r>
              <w:rPr>
                <w:rFonts w:cs="Arial"/>
                <w:sz w:val="18"/>
                <w:szCs w:val="20"/>
              </w:rPr>
              <w:t>9</w:t>
            </w:r>
          </w:p>
        </w:tc>
      </w:tr>
      <w:tr w:rsidR="00DF73C0" w:rsidRPr="00CB4ED1" w14:paraId="05B2019F" w14:textId="77777777" w:rsidTr="00E67800">
        <w:tc>
          <w:tcPr>
            <w:tcW w:w="2660" w:type="dxa"/>
          </w:tcPr>
          <w:p w14:paraId="1DEEDC8C" w14:textId="77777777" w:rsidR="00DF73C0" w:rsidRPr="00CB4ED1" w:rsidRDefault="00DF73C0" w:rsidP="00E67800">
            <w:pPr>
              <w:pStyle w:val="tabletext"/>
              <w:rPr>
                <w:bCs/>
                <w:sz w:val="18"/>
                <w:szCs w:val="20"/>
              </w:rPr>
            </w:pPr>
            <w:r>
              <w:rPr>
                <w:rFonts w:cs="Arial"/>
                <w:sz w:val="18"/>
                <w:szCs w:val="20"/>
              </w:rPr>
              <w:t>LHP will be a catalyst for change, improvement and employing best practice and collaboration across the region.</w:t>
            </w:r>
          </w:p>
        </w:tc>
        <w:tc>
          <w:tcPr>
            <w:tcW w:w="1701" w:type="dxa"/>
          </w:tcPr>
          <w:p w14:paraId="6F8F9E3B" w14:textId="77777777" w:rsidR="00DF73C0" w:rsidRPr="00CB4ED1" w:rsidRDefault="00DF73C0" w:rsidP="00E67800">
            <w:pPr>
              <w:pStyle w:val="tabletext"/>
              <w:rPr>
                <w:sz w:val="18"/>
                <w:szCs w:val="20"/>
              </w:rPr>
            </w:pPr>
            <w:r w:rsidRPr="00A338C5">
              <w:rPr>
                <w:rFonts w:cs="Arial"/>
                <w:sz w:val="18"/>
                <w:szCs w:val="20"/>
              </w:rPr>
              <w:t>Qualitative</w:t>
            </w:r>
          </w:p>
        </w:tc>
        <w:tc>
          <w:tcPr>
            <w:tcW w:w="1843" w:type="dxa"/>
          </w:tcPr>
          <w:p w14:paraId="73B62030" w14:textId="77777777" w:rsidR="00DF73C0" w:rsidRPr="00CB4ED1" w:rsidRDefault="00DF73C0" w:rsidP="00E67800">
            <w:pPr>
              <w:pStyle w:val="tabletext"/>
              <w:rPr>
                <w:sz w:val="18"/>
                <w:szCs w:val="20"/>
              </w:rPr>
            </w:pPr>
            <w:r w:rsidRPr="00A338C5">
              <w:rPr>
                <w:rFonts w:cs="Arial"/>
                <w:sz w:val="18"/>
                <w:szCs w:val="20"/>
              </w:rPr>
              <w:t>N/A</w:t>
            </w:r>
          </w:p>
        </w:tc>
        <w:tc>
          <w:tcPr>
            <w:tcW w:w="2409" w:type="dxa"/>
          </w:tcPr>
          <w:p w14:paraId="2CFDBADD" w14:textId="77777777" w:rsidR="00DF73C0" w:rsidRPr="00CB4ED1" w:rsidRDefault="00DF73C0" w:rsidP="00E67800">
            <w:pPr>
              <w:pStyle w:val="tabletext"/>
              <w:rPr>
                <w:sz w:val="18"/>
                <w:szCs w:val="20"/>
              </w:rPr>
            </w:pPr>
            <w:r w:rsidRPr="00A338C5">
              <w:rPr>
                <w:rFonts w:cs="Arial"/>
                <w:sz w:val="18"/>
                <w:szCs w:val="20"/>
              </w:rPr>
              <w:t>N/A</w:t>
            </w:r>
          </w:p>
        </w:tc>
        <w:tc>
          <w:tcPr>
            <w:tcW w:w="1418" w:type="dxa"/>
          </w:tcPr>
          <w:p w14:paraId="1CF679A4" w14:textId="77777777" w:rsidR="00DF73C0" w:rsidRPr="00CB4ED1" w:rsidRDefault="00DF73C0" w:rsidP="00E67800">
            <w:pPr>
              <w:pStyle w:val="tabletext"/>
              <w:rPr>
                <w:sz w:val="18"/>
                <w:szCs w:val="20"/>
              </w:rPr>
            </w:pPr>
            <w:r w:rsidRPr="00A338C5">
              <w:rPr>
                <w:rFonts w:cs="Arial"/>
                <w:sz w:val="18"/>
                <w:szCs w:val="20"/>
              </w:rPr>
              <w:t xml:space="preserve">Not </w:t>
            </w:r>
            <w:proofErr w:type="spellStart"/>
            <w:r w:rsidRPr="00A338C5">
              <w:rPr>
                <w:rFonts w:cs="Arial"/>
                <w:sz w:val="18"/>
                <w:szCs w:val="20"/>
              </w:rPr>
              <w:t>Monetisable</w:t>
            </w:r>
            <w:proofErr w:type="spellEnd"/>
          </w:p>
        </w:tc>
        <w:tc>
          <w:tcPr>
            <w:tcW w:w="4536" w:type="dxa"/>
          </w:tcPr>
          <w:p w14:paraId="36A55BC0" w14:textId="77777777" w:rsidR="00DF73C0" w:rsidRPr="00CB4ED1" w:rsidRDefault="00DF73C0" w:rsidP="00E67800">
            <w:pPr>
              <w:pStyle w:val="tabletext"/>
              <w:rPr>
                <w:sz w:val="18"/>
                <w:szCs w:val="20"/>
              </w:rPr>
            </w:pPr>
            <w:r w:rsidRPr="00CB4ED1">
              <w:rPr>
                <w:sz w:val="18"/>
                <w:szCs w:val="20"/>
              </w:rPr>
              <w:t>Not possible to quantify in a meaningful way at this stage</w:t>
            </w:r>
          </w:p>
        </w:tc>
        <w:tc>
          <w:tcPr>
            <w:tcW w:w="862" w:type="dxa"/>
          </w:tcPr>
          <w:p w14:paraId="00BDA00F" w14:textId="77777777" w:rsidR="00DF73C0" w:rsidRPr="00CB4ED1" w:rsidRDefault="00DF73C0" w:rsidP="00E67800">
            <w:pPr>
              <w:pStyle w:val="tabletext"/>
              <w:rPr>
                <w:sz w:val="18"/>
                <w:szCs w:val="20"/>
              </w:rPr>
            </w:pPr>
            <w:r w:rsidRPr="00A338C5">
              <w:rPr>
                <w:rFonts w:cs="Arial"/>
                <w:sz w:val="18"/>
                <w:szCs w:val="20"/>
              </w:rPr>
              <w:t>UB</w:t>
            </w:r>
            <w:r>
              <w:rPr>
                <w:rFonts w:cs="Arial"/>
                <w:sz w:val="18"/>
                <w:szCs w:val="20"/>
              </w:rPr>
              <w:t>10</w:t>
            </w:r>
          </w:p>
        </w:tc>
      </w:tr>
      <w:tr w:rsidR="00DF73C0" w:rsidRPr="00CB4ED1" w14:paraId="68E74B0C" w14:textId="77777777" w:rsidTr="00E67800">
        <w:tc>
          <w:tcPr>
            <w:tcW w:w="2660" w:type="dxa"/>
          </w:tcPr>
          <w:p w14:paraId="18F4DDA6" w14:textId="77777777" w:rsidR="00DF73C0" w:rsidRPr="001233A7" w:rsidRDefault="00DF73C0" w:rsidP="00E67800">
            <w:pPr>
              <w:pStyle w:val="tabletext"/>
              <w:rPr>
                <w:rFonts w:cs="Arial"/>
                <w:sz w:val="18"/>
                <w:szCs w:val="20"/>
              </w:rPr>
            </w:pPr>
            <w:r>
              <w:rPr>
                <w:rFonts w:cs="Arial"/>
                <w:sz w:val="18"/>
                <w:szCs w:val="20"/>
              </w:rPr>
              <w:t>Reduced Healthcare Acquired Infections: E</w:t>
            </w:r>
            <w:r w:rsidRPr="001233A7">
              <w:rPr>
                <w:rFonts w:cs="Arial"/>
                <w:sz w:val="18"/>
                <w:szCs w:val="20"/>
              </w:rPr>
              <w:t>nhanced-recovery arthroplasty pathways with discharge on day 0–1 substantially reduce patients’ exposure to hospital pathogens, minimise SSI and HAI rates, and lower cost of care.</w:t>
            </w:r>
          </w:p>
          <w:p w14:paraId="04E7E0B7" w14:textId="77777777" w:rsidR="00DF73C0" w:rsidRPr="00CB4ED1" w:rsidRDefault="00DF73C0" w:rsidP="00E67800">
            <w:pPr>
              <w:pStyle w:val="tabletext"/>
              <w:rPr>
                <w:bCs/>
                <w:sz w:val="18"/>
                <w:szCs w:val="20"/>
              </w:rPr>
            </w:pPr>
          </w:p>
        </w:tc>
        <w:tc>
          <w:tcPr>
            <w:tcW w:w="1701" w:type="dxa"/>
          </w:tcPr>
          <w:p w14:paraId="4EA4718D" w14:textId="77777777" w:rsidR="00DF73C0" w:rsidRPr="00CB4ED1" w:rsidRDefault="00DF73C0" w:rsidP="00E67800">
            <w:pPr>
              <w:pStyle w:val="tabletext"/>
              <w:rPr>
                <w:sz w:val="18"/>
                <w:szCs w:val="20"/>
              </w:rPr>
            </w:pPr>
            <w:r>
              <w:rPr>
                <w:sz w:val="18"/>
                <w:szCs w:val="20"/>
              </w:rPr>
              <w:t>Infection Incidence</w:t>
            </w:r>
          </w:p>
        </w:tc>
        <w:tc>
          <w:tcPr>
            <w:tcW w:w="1843" w:type="dxa"/>
          </w:tcPr>
          <w:p w14:paraId="15A50C8B" w14:textId="77777777" w:rsidR="00DF73C0" w:rsidRPr="00CB4ED1" w:rsidRDefault="00DF73C0" w:rsidP="00E67800">
            <w:pPr>
              <w:pStyle w:val="tabletext"/>
              <w:rPr>
                <w:sz w:val="18"/>
                <w:szCs w:val="20"/>
              </w:rPr>
            </w:pPr>
            <w:r>
              <w:rPr>
                <w:sz w:val="18"/>
                <w:szCs w:val="20"/>
              </w:rPr>
              <w:t>2%</w:t>
            </w:r>
          </w:p>
        </w:tc>
        <w:tc>
          <w:tcPr>
            <w:tcW w:w="2409" w:type="dxa"/>
          </w:tcPr>
          <w:p w14:paraId="77DEDFC6" w14:textId="77777777" w:rsidR="00DF73C0" w:rsidRPr="00CB4ED1" w:rsidRDefault="00DF73C0" w:rsidP="00E67800">
            <w:pPr>
              <w:pStyle w:val="tabletext"/>
              <w:rPr>
                <w:sz w:val="18"/>
                <w:szCs w:val="20"/>
              </w:rPr>
            </w:pPr>
            <w:r>
              <w:rPr>
                <w:sz w:val="18"/>
                <w:szCs w:val="20"/>
              </w:rPr>
              <w:t>1%</w:t>
            </w:r>
          </w:p>
        </w:tc>
        <w:tc>
          <w:tcPr>
            <w:tcW w:w="1418" w:type="dxa"/>
          </w:tcPr>
          <w:p w14:paraId="3C3BA05F" w14:textId="77777777" w:rsidR="00DF73C0" w:rsidRPr="00CB4ED1" w:rsidRDefault="00DF73C0" w:rsidP="00E67800">
            <w:pPr>
              <w:pStyle w:val="tabletext"/>
              <w:rPr>
                <w:sz w:val="18"/>
                <w:szCs w:val="20"/>
              </w:rPr>
            </w:pPr>
            <w:r>
              <w:rPr>
                <w:sz w:val="18"/>
                <w:szCs w:val="20"/>
              </w:rPr>
              <w:t>£130k</w:t>
            </w:r>
          </w:p>
        </w:tc>
        <w:tc>
          <w:tcPr>
            <w:tcW w:w="4536" w:type="dxa"/>
          </w:tcPr>
          <w:p w14:paraId="568436A6" w14:textId="77777777" w:rsidR="00DF73C0" w:rsidRPr="001233A7" w:rsidRDefault="00DF73C0" w:rsidP="00E67800">
            <w:pPr>
              <w:pStyle w:val="tabletext"/>
              <w:rPr>
                <w:rFonts w:cs="Arial"/>
                <w:sz w:val="18"/>
                <w:szCs w:val="20"/>
              </w:rPr>
            </w:pPr>
            <w:r>
              <w:rPr>
                <w:rFonts w:cs="Arial"/>
                <w:sz w:val="18"/>
                <w:szCs w:val="20"/>
              </w:rPr>
              <w:t>E</w:t>
            </w:r>
            <w:r w:rsidRPr="001233A7">
              <w:rPr>
                <w:rFonts w:cs="Arial"/>
                <w:sz w:val="18"/>
                <w:szCs w:val="20"/>
              </w:rPr>
              <w:t>nhanced-recovery arthroplasty pathways with discharge on day 0–1 substantially reduce patients’ exposure to hospital pathogens, minimise SSI and HAI rates, and lower cost of care.</w:t>
            </w:r>
          </w:p>
          <w:p w14:paraId="29316BDA" w14:textId="77777777" w:rsidR="00DF73C0" w:rsidRDefault="00DF73C0" w:rsidP="00E67800">
            <w:pPr>
              <w:pStyle w:val="tabletext"/>
              <w:rPr>
                <w:rFonts w:cs="Arial"/>
                <w:sz w:val="18"/>
                <w:szCs w:val="20"/>
              </w:rPr>
            </w:pPr>
            <w:r w:rsidRPr="001233A7">
              <w:rPr>
                <w:rFonts w:cs="Arial"/>
                <w:sz w:val="18"/>
                <w:szCs w:val="20"/>
              </w:rPr>
              <w:t xml:space="preserve">Adopting a short-stay model at Llantrisant Health Park is therefore expected </w:t>
            </w:r>
            <w:r>
              <w:rPr>
                <w:rFonts w:cs="Arial"/>
                <w:sz w:val="18"/>
                <w:szCs w:val="20"/>
              </w:rPr>
              <w:t>d</w:t>
            </w:r>
            <w:r w:rsidRPr="001233A7">
              <w:rPr>
                <w:rFonts w:cs="Arial"/>
                <w:sz w:val="18"/>
                <w:szCs w:val="20"/>
              </w:rPr>
              <w:t xml:space="preserve">ecrease combined infection incidence from ~2% </w:t>
            </w:r>
            <w:r>
              <w:rPr>
                <w:rFonts w:cs="Arial"/>
                <w:sz w:val="18"/>
                <w:szCs w:val="20"/>
              </w:rPr>
              <w:t>to</w:t>
            </w:r>
            <w:r w:rsidRPr="001233A7">
              <w:rPr>
                <w:rFonts w:cs="Arial"/>
                <w:sz w:val="18"/>
                <w:szCs w:val="20"/>
              </w:rPr>
              <w:t xml:space="preserve"> ~1%</w:t>
            </w:r>
            <w:r>
              <w:rPr>
                <w:rFonts w:cs="Arial"/>
                <w:sz w:val="18"/>
                <w:szCs w:val="20"/>
              </w:rPr>
              <w:t>.</w:t>
            </w:r>
          </w:p>
          <w:p w14:paraId="68035319" w14:textId="77777777" w:rsidR="00DF73C0" w:rsidRDefault="00DF73C0" w:rsidP="00E67800">
            <w:pPr>
              <w:pStyle w:val="tabletext"/>
              <w:rPr>
                <w:rFonts w:cs="Arial"/>
                <w:sz w:val="18"/>
                <w:szCs w:val="20"/>
              </w:rPr>
            </w:pPr>
          </w:p>
          <w:p w14:paraId="6297DC2B" w14:textId="77777777" w:rsidR="00DF73C0" w:rsidRDefault="00DF73C0" w:rsidP="00E67800">
            <w:pPr>
              <w:pStyle w:val="tabletext"/>
              <w:rPr>
                <w:sz w:val="18"/>
                <w:szCs w:val="20"/>
              </w:rPr>
            </w:pPr>
            <w:r>
              <w:rPr>
                <w:sz w:val="18"/>
                <w:szCs w:val="20"/>
              </w:rPr>
              <w:t>The m</w:t>
            </w:r>
            <w:r w:rsidRPr="00CB4ED1">
              <w:rPr>
                <w:sz w:val="18"/>
                <w:szCs w:val="20"/>
              </w:rPr>
              <w:t>ethodology for calculating monetary value</w:t>
            </w:r>
            <w:r>
              <w:rPr>
                <w:sz w:val="18"/>
                <w:szCs w:val="20"/>
              </w:rPr>
              <w:t xml:space="preserve"> of this benefit is</w:t>
            </w:r>
            <w:r w:rsidRPr="00CB4ED1">
              <w:rPr>
                <w:sz w:val="18"/>
                <w:szCs w:val="20"/>
              </w:rPr>
              <w:t>:</w:t>
            </w:r>
          </w:p>
          <w:p w14:paraId="76E641A6" w14:textId="77777777" w:rsidR="00DF73C0" w:rsidRDefault="00DF73C0" w:rsidP="00DF73C0">
            <w:pPr>
              <w:pStyle w:val="tabletext"/>
              <w:numPr>
                <w:ilvl w:val="0"/>
                <w:numId w:val="47"/>
              </w:numPr>
              <w:rPr>
                <w:sz w:val="18"/>
                <w:szCs w:val="20"/>
              </w:rPr>
            </w:pPr>
            <w:r>
              <w:rPr>
                <w:sz w:val="18"/>
                <w:szCs w:val="20"/>
              </w:rPr>
              <w:t>No. of procedures at LHP per year is 5,760</w:t>
            </w:r>
          </w:p>
          <w:p w14:paraId="7A7169F3" w14:textId="77777777" w:rsidR="00DF73C0" w:rsidRDefault="00DF73C0" w:rsidP="00DF73C0">
            <w:pPr>
              <w:pStyle w:val="tabletext"/>
              <w:numPr>
                <w:ilvl w:val="0"/>
                <w:numId w:val="47"/>
              </w:numPr>
              <w:rPr>
                <w:sz w:val="18"/>
                <w:szCs w:val="20"/>
              </w:rPr>
            </w:pPr>
            <w:r>
              <w:rPr>
                <w:sz w:val="18"/>
                <w:szCs w:val="20"/>
              </w:rPr>
              <w:t>A reduction from 2% to 1% of infection incidence applied to no. of procedures = 57.6 fewer infections</w:t>
            </w:r>
          </w:p>
          <w:p w14:paraId="6BFA77CD" w14:textId="77777777" w:rsidR="00DF73C0" w:rsidRDefault="00DF73C0" w:rsidP="00DF73C0">
            <w:pPr>
              <w:pStyle w:val="tabletext"/>
              <w:numPr>
                <w:ilvl w:val="0"/>
                <w:numId w:val="47"/>
              </w:numPr>
              <w:rPr>
                <w:sz w:val="18"/>
                <w:szCs w:val="20"/>
              </w:rPr>
            </w:pPr>
            <w:r>
              <w:rPr>
                <w:sz w:val="18"/>
                <w:szCs w:val="20"/>
              </w:rPr>
              <w:lastRenderedPageBreak/>
              <w:t>Assumed that each infection costs £3,000 in direct health care costs.</w:t>
            </w:r>
          </w:p>
          <w:p w14:paraId="02D2DC4D" w14:textId="77777777" w:rsidR="00DF73C0" w:rsidRDefault="00DF73C0" w:rsidP="00DF73C0">
            <w:pPr>
              <w:pStyle w:val="tabletext"/>
              <w:numPr>
                <w:ilvl w:val="0"/>
                <w:numId w:val="47"/>
              </w:numPr>
              <w:rPr>
                <w:sz w:val="18"/>
                <w:szCs w:val="20"/>
              </w:rPr>
            </w:pPr>
            <w:proofErr w:type="spellStart"/>
            <w:r>
              <w:rPr>
                <w:sz w:val="18"/>
                <w:szCs w:val="20"/>
              </w:rPr>
              <w:t>Monetisable</w:t>
            </w:r>
            <w:proofErr w:type="spellEnd"/>
            <w:r>
              <w:rPr>
                <w:sz w:val="18"/>
                <w:szCs w:val="20"/>
              </w:rPr>
              <w:t xml:space="preserve"> value before confidence rating = £0.2m</w:t>
            </w:r>
          </w:p>
          <w:p w14:paraId="6E5A2DF1" w14:textId="77777777" w:rsidR="00DF73C0" w:rsidRPr="003B4142" w:rsidRDefault="00DF73C0" w:rsidP="00DF73C0">
            <w:pPr>
              <w:pStyle w:val="tabletext"/>
              <w:numPr>
                <w:ilvl w:val="0"/>
                <w:numId w:val="47"/>
              </w:numPr>
              <w:rPr>
                <w:sz w:val="18"/>
                <w:szCs w:val="20"/>
              </w:rPr>
            </w:pPr>
            <w:r w:rsidRPr="003B4142">
              <w:rPr>
                <w:sz w:val="18"/>
                <w:szCs w:val="20"/>
              </w:rPr>
              <w:t>Apply 75% confidence rating.</w:t>
            </w:r>
          </w:p>
          <w:p w14:paraId="14A16AB2" w14:textId="77777777" w:rsidR="00DF73C0" w:rsidRPr="001233A7" w:rsidRDefault="00DF73C0" w:rsidP="00E67800">
            <w:pPr>
              <w:pStyle w:val="tabletext"/>
              <w:rPr>
                <w:rFonts w:cs="Arial"/>
                <w:sz w:val="18"/>
                <w:szCs w:val="20"/>
              </w:rPr>
            </w:pPr>
            <w:r>
              <w:rPr>
                <w:rFonts w:cs="Arial"/>
                <w:sz w:val="18"/>
                <w:szCs w:val="20"/>
              </w:rPr>
              <w:t>At FBC stage a more robust value, including the value for the societal benefit of reduced HAI’s will be investigated.</w:t>
            </w:r>
          </w:p>
          <w:p w14:paraId="0F86E7B0" w14:textId="77777777" w:rsidR="00DF73C0" w:rsidRPr="00CB4ED1" w:rsidRDefault="00DF73C0" w:rsidP="00E67800">
            <w:pPr>
              <w:pStyle w:val="tabletext"/>
              <w:ind w:left="360"/>
              <w:rPr>
                <w:sz w:val="18"/>
                <w:szCs w:val="20"/>
              </w:rPr>
            </w:pPr>
          </w:p>
        </w:tc>
        <w:tc>
          <w:tcPr>
            <w:tcW w:w="862" w:type="dxa"/>
          </w:tcPr>
          <w:p w14:paraId="4573072E" w14:textId="77777777" w:rsidR="00DF73C0" w:rsidRPr="00CB4ED1" w:rsidRDefault="00DF73C0" w:rsidP="00E67800">
            <w:pPr>
              <w:pStyle w:val="tabletext"/>
              <w:rPr>
                <w:sz w:val="18"/>
                <w:szCs w:val="20"/>
              </w:rPr>
            </w:pPr>
            <w:r>
              <w:rPr>
                <w:sz w:val="18"/>
                <w:szCs w:val="20"/>
              </w:rPr>
              <w:lastRenderedPageBreak/>
              <w:t>NCRB2</w:t>
            </w:r>
          </w:p>
        </w:tc>
      </w:tr>
      <w:tr w:rsidR="00DF73C0" w:rsidRPr="00CB4ED1" w14:paraId="336DAB65" w14:textId="77777777" w:rsidTr="00E67800">
        <w:tc>
          <w:tcPr>
            <w:tcW w:w="15429" w:type="dxa"/>
            <w:gridSpan w:val="7"/>
            <w:shd w:val="clear" w:color="auto" w:fill="D9F0FA" w:themeFill="background2" w:themeFillTint="33"/>
          </w:tcPr>
          <w:p w14:paraId="0C36F550" w14:textId="77777777" w:rsidR="00DF73C0" w:rsidRPr="00CB4ED1" w:rsidRDefault="00DF73C0" w:rsidP="00E67800">
            <w:pPr>
              <w:pStyle w:val="tabletext"/>
              <w:rPr>
                <w:bCs/>
                <w:sz w:val="18"/>
                <w:szCs w:val="20"/>
              </w:rPr>
            </w:pPr>
            <w:r w:rsidRPr="00CB4ED1">
              <w:rPr>
                <w:bCs/>
                <w:sz w:val="18"/>
                <w:szCs w:val="20"/>
              </w:rPr>
              <w:t>Improving patient experience</w:t>
            </w:r>
          </w:p>
        </w:tc>
      </w:tr>
      <w:tr w:rsidR="00DF73C0" w:rsidRPr="00CB4ED1" w14:paraId="721E7612" w14:textId="77777777" w:rsidTr="00E67800">
        <w:tc>
          <w:tcPr>
            <w:tcW w:w="2660" w:type="dxa"/>
          </w:tcPr>
          <w:p w14:paraId="1155176A" w14:textId="77777777" w:rsidR="00DF73C0" w:rsidRPr="00CB4ED1" w:rsidRDefault="00DF73C0" w:rsidP="00E67800">
            <w:pPr>
              <w:pStyle w:val="tabletext"/>
              <w:rPr>
                <w:rFonts w:cstheme="minorBidi"/>
                <w:sz w:val="18"/>
                <w:szCs w:val="20"/>
              </w:rPr>
            </w:pPr>
            <w:r w:rsidRPr="00CB4ED1">
              <w:rPr>
                <w:bCs/>
                <w:sz w:val="18"/>
                <w:szCs w:val="20"/>
              </w:rPr>
              <w:t xml:space="preserve">Improved patient experience </w:t>
            </w:r>
            <w:r w:rsidRPr="00CB4ED1">
              <w:rPr>
                <w:sz w:val="18"/>
                <w:szCs w:val="20"/>
              </w:rPr>
              <w:t>as a result of reduced waiting times, ease of access, quality of care and reduced length of stay</w:t>
            </w:r>
          </w:p>
        </w:tc>
        <w:tc>
          <w:tcPr>
            <w:tcW w:w="1701" w:type="dxa"/>
          </w:tcPr>
          <w:p w14:paraId="086FE932" w14:textId="77777777" w:rsidR="00DF73C0" w:rsidRPr="00CB4ED1" w:rsidRDefault="00DF73C0" w:rsidP="00E67800">
            <w:pPr>
              <w:pStyle w:val="tabletext"/>
              <w:rPr>
                <w:sz w:val="18"/>
                <w:szCs w:val="20"/>
              </w:rPr>
            </w:pPr>
            <w:r w:rsidRPr="00CB4ED1">
              <w:rPr>
                <w:sz w:val="18"/>
                <w:szCs w:val="20"/>
              </w:rPr>
              <w:t>Patient satisfaction scores</w:t>
            </w:r>
          </w:p>
        </w:tc>
        <w:tc>
          <w:tcPr>
            <w:tcW w:w="1843" w:type="dxa"/>
          </w:tcPr>
          <w:p w14:paraId="4851D2AB" w14:textId="77777777" w:rsidR="00DF73C0" w:rsidRPr="00CB4ED1" w:rsidRDefault="00DF73C0" w:rsidP="00E67800">
            <w:pPr>
              <w:pStyle w:val="tabletext"/>
              <w:rPr>
                <w:sz w:val="18"/>
                <w:szCs w:val="20"/>
              </w:rPr>
            </w:pPr>
            <w:r w:rsidRPr="00CB4ED1">
              <w:rPr>
                <w:sz w:val="18"/>
                <w:szCs w:val="20"/>
              </w:rPr>
              <w:t>N/A (not possible to isolate existing patient scores from wider UHB)</w:t>
            </w:r>
          </w:p>
        </w:tc>
        <w:tc>
          <w:tcPr>
            <w:tcW w:w="2409" w:type="dxa"/>
          </w:tcPr>
          <w:p w14:paraId="060BCA1C" w14:textId="77777777" w:rsidR="00DF73C0" w:rsidRPr="00CB4ED1" w:rsidRDefault="00DF73C0" w:rsidP="00E67800">
            <w:pPr>
              <w:pStyle w:val="tabletext"/>
              <w:rPr>
                <w:sz w:val="18"/>
                <w:szCs w:val="20"/>
              </w:rPr>
            </w:pPr>
            <w:r w:rsidRPr="00CB4ED1">
              <w:rPr>
                <w:sz w:val="18"/>
                <w:szCs w:val="20"/>
              </w:rPr>
              <w:t>95%</w:t>
            </w:r>
          </w:p>
          <w:p w14:paraId="0D553B70" w14:textId="77777777" w:rsidR="00DF73C0" w:rsidRPr="00CB4ED1" w:rsidRDefault="00DF73C0" w:rsidP="00E67800">
            <w:pPr>
              <w:pStyle w:val="tabletext"/>
              <w:rPr>
                <w:sz w:val="18"/>
                <w:szCs w:val="20"/>
              </w:rPr>
            </w:pPr>
            <w:r w:rsidRPr="00CB4ED1">
              <w:rPr>
                <w:sz w:val="16"/>
                <w:szCs w:val="18"/>
              </w:rPr>
              <w:t>(Based on current targets)</w:t>
            </w:r>
          </w:p>
        </w:tc>
        <w:tc>
          <w:tcPr>
            <w:tcW w:w="1418" w:type="dxa"/>
          </w:tcPr>
          <w:p w14:paraId="19D5F20F" w14:textId="77777777" w:rsidR="00DF73C0" w:rsidRPr="00CB4ED1" w:rsidRDefault="00DF73C0" w:rsidP="00E67800">
            <w:pPr>
              <w:pStyle w:val="tabletext"/>
              <w:rPr>
                <w:sz w:val="18"/>
                <w:szCs w:val="20"/>
              </w:rPr>
            </w:pPr>
            <w:r w:rsidRPr="00CB4ED1">
              <w:rPr>
                <w:sz w:val="18"/>
                <w:szCs w:val="20"/>
              </w:rPr>
              <w:t xml:space="preserve">Not </w:t>
            </w:r>
            <w:proofErr w:type="spellStart"/>
            <w:r w:rsidRPr="00CB4ED1">
              <w:rPr>
                <w:sz w:val="18"/>
                <w:szCs w:val="20"/>
              </w:rPr>
              <w:t>monetisable</w:t>
            </w:r>
            <w:proofErr w:type="spellEnd"/>
          </w:p>
        </w:tc>
        <w:tc>
          <w:tcPr>
            <w:tcW w:w="4536" w:type="dxa"/>
          </w:tcPr>
          <w:p w14:paraId="3FB3F008" w14:textId="77777777" w:rsidR="00DF73C0" w:rsidRPr="00CB4ED1" w:rsidRDefault="00DF73C0" w:rsidP="00E67800">
            <w:pPr>
              <w:pStyle w:val="tabletext"/>
              <w:rPr>
                <w:sz w:val="18"/>
                <w:szCs w:val="20"/>
              </w:rPr>
            </w:pPr>
            <w:r w:rsidRPr="00CB4ED1">
              <w:rPr>
                <w:sz w:val="18"/>
                <w:szCs w:val="20"/>
              </w:rPr>
              <w:t>N/A</w:t>
            </w:r>
          </w:p>
        </w:tc>
        <w:tc>
          <w:tcPr>
            <w:tcW w:w="862" w:type="dxa"/>
          </w:tcPr>
          <w:p w14:paraId="750C40CA" w14:textId="77777777" w:rsidR="00DF73C0" w:rsidRPr="00CB4ED1" w:rsidRDefault="00DF73C0" w:rsidP="00E67800">
            <w:pPr>
              <w:pStyle w:val="tabletext"/>
              <w:rPr>
                <w:sz w:val="18"/>
                <w:szCs w:val="20"/>
              </w:rPr>
            </w:pPr>
            <w:r w:rsidRPr="00CB4ED1">
              <w:rPr>
                <w:sz w:val="18"/>
                <w:szCs w:val="20"/>
              </w:rPr>
              <w:t>UB1</w:t>
            </w:r>
            <w:r>
              <w:rPr>
                <w:sz w:val="18"/>
                <w:szCs w:val="20"/>
              </w:rPr>
              <w:t>1</w:t>
            </w:r>
          </w:p>
        </w:tc>
      </w:tr>
      <w:tr w:rsidR="00DF73C0" w:rsidRPr="00CB4ED1" w14:paraId="605BD046" w14:textId="77777777" w:rsidTr="00E67800">
        <w:tc>
          <w:tcPr>
            <w:tcW w:w="2660" w:type="dxa"/>
          </w:tcPr>
          <w:p w14:paraId="15A497F0" w14:textId="77777777" w:rsidR="00DF73C0" w:rsidRPr="00CB4ED1" w:rsidRDefault="00DF73C0" w:rsidP="00E67800">
            <w:pPr>
              <w:pStyle w:val="tabletext"/>
              <w:rPr>
                <w:rFonts w:cstheme="minorBidi"/>
                <w:sz w:val="18"/>
                <w:szCs w:val="20"/>
              </w:rPr>
            </w:pPr>
            <w:r w:rsidRPr="00CB4ED1">
              <w:rPr>
                <w:rFonts w:cstheme="minorBidi"/>
                <w:bCs/>
                <w:sz w:val="18"/>
                <w:szCs w:val="20"/>
              </w:rPr>
              <w:t>Reduced cancellations and DNAs</w:t>
            </w:r>
            <w:r w:rsidRPr="00CB4ED1">
              <w:rPr>
                <w:rFonts w:cstheme="minorBidi"/>
                <w:sz w:val="18"/>
                <w:szCs w:val="20"/>
              </w:rPr>
              <w:t xml:space="preserve"> Centralised elective centre with co-location of equipment and clinical rooms making it a “one-stop” clinic provides predictability of care and reduces risk of delays and cancellations caused by winter pressures and other unplanned events.</w:t>
            </w:r>
          </w:p>
        </w:tc>
        <w:tc>
          <w:tcPr>
            <w:tcW w:w="1701" w:type="dxa"/>
          </w:tcPr>
          <w:p w14:paraId="66658E5A" w14:textId="77777777" w:rsidR="00DF73C0" w:rsidRPr="00CB4ED1" w:rsidRDefault="00DF73C0" w:rsidP="00E67800">
            <w:pPr>
              <w:pStyle w:val="tabletext"/>
              <w:rPr>
                <w:sz w:val="18"/>
                <w:szCs w:val="20"/>
              </w:rPr>
            </w:pPr>
            <w:r w:rsidRPr="00CB4ED1">
              <w:rPr>
                <w:sz w:val="18"/>
                <w:szCs w:val="20"/>
              </w:rPr>
              <w:t>Cancellations/ DNAs rate</w:t>
            </w:r>
          </w:p>
        </w:tc>
        <w:tc>
          <w:tcPr>
            <w:tcW w:w="1843" w:type="dxa"/>
          </w:tcPr>
          <w:p w14:paraId="61130D6D" w14:textId="77777777" w:rsidR="00DF73C0" w:rsidRPr="00CB4ED1" w:rsidRDefault="00DF73C0" w:rsidP="00E67800">
            <w:pPr>
              <w:pStyle w:val="tabletext"/>
              <w:rPr>
                <w:sz w:val="18"/>
                <w:szCs w:val="20"/>
              </w:rPr>
            </w:pPr>
            <w:r w:rsidRPr="00CB4ED1">
              <w:rPr>
                <w:sz w:val="18"/>
                <w:szCs w:val="20"/>
              </w:rPr>
              <w:t>To be confirmed at FBC</w:t>
            </w:r>
          </w:p>
        </w:tc>
        <w:tc>
          <w:tcPr>
            <w:tcW w:w="2409" w:type="dxa"/>
          </w:tcPr>
          <w:p w14:paraId="32F6FCAB" w14:textId="77777777" w:rsidR="00DF73C0" w:rsidRPr="00CB4ED1" w:rsidRDefault="00DF73C0" w:rsidP="00E67800">
            <w:pPr>
              <w:pStyle w:val="tabletext"/>
              <w:rPr>
                <w:sz w:val="18"/>
                <w:szCs w:val="20"/>
              </w:rPr>
            </w:pPr>
            <w:r w:rsidRPr="00CB4ED1">
              <w:rPr>
                <w:sz w:val="18"/>
                <w:szCs w:val="20"/>
              </w:rPr>
              <w:t>12.5%</w:t>
            </w:r>
          </w:p>
          <w:p w14:paraId="4847FF71" w14:textId="77777777" w:rsidR="00DF73C0" w:rsidRPr="00CB4ED1" w:rsidRDefault="00DF73C0" w:rsidP="00E67800">
            <w:pPr>
              <w:pStyle w:val="tabletext"/>
              <w:rPr>
                <w:sz w:val="18"/>
                <w:szCs w:val="20"/>
              </w:rPr>
            </w:pPr>
            <w:r w:rsidRPr="00CB4ED1">
              <w:rPr>
                <w:sz w:val="16"/>
                <w:szCs w:val="18"/>
              </w:rPr>
              <w:t>(In line with the PESU)</w:t>
            </w:r>
          </w:p>
        </w:tc>
        <w:tc>
          <w:tcPr>
            <w:tcW w:w="1418" w:type="dxa"/>
          </w:tcPr>
          <w:p w14:paraId="0D1F6B4B" w14:textId="77777777" w:rsidR="00DF73C0" w:rsidRPr="00CB4ED1" w:rsidRDefault="00DF73C0" w:rsidP="00E67800">
            <w:pPr>
              <w:pStyle w:val="tabletext"/>
              <w:rPr>
                <w:sz w:val="18"/>
                <w:szCs w:val="20"/>
              </w:rPr>
            </w:pPr>
            <w:r w:rsidRPr="00CB4ED1">
              <w:rPr>
                <w:sz w:val="18"/>
                <w:szCs w:val="20"/>
              </w:rPr>
              <w:t xml:space="preserve">Potentially </w:t>
            </w:r>
            <w:proofErr w:type="spellStart"/>
            <w:r w:rsidRPr="00CB4ED1">
              <w:rPr>
                <w:sz w:val="18"/>
                <w:szCs w:val="20"/>
              </w:rPr>
              <w:t>monetisable</w:t>
            </w:r>
            <w:proofErr w:type="spellEnd"/>
            <w:r w:rsidRPr="00CB4ED1">
              <w:rPr>
                <w:sz w:val="18"/>
                <w:szCs w:val="20"/>
              </w:rPr>
              <w:t xml:space="preserve"> – to be explored at FBC</w:t>
            </w:r>
          </w:p>
        </w:tc>
        <w:tc>
          <w:tcPr>
            <w:tcW w:w="4536" w:type="dxa"/>
          </w:tcPr>
          <w:p w14:paraId="0963DC8A" w14:textId="77777777" w:rsidR="00DF73C0" w:rsidRPr="00CB4ED1" w:rsidRDefault="00DF73C0" w:rsidP="00E67800">
            <w:pPr>
              <w:pStyle w:val="tabletext"/>
              <w:rPr>
                <w:sz w:val="18"/>
                <w:szCs w:val="20"/>
              </w:rPr>
            </w:pPr>
            <w:r w:rsidRPr="00CB4ED1">
              <w:rPr>
                <w:sz w:val="18"/>
                <w:szCs w:val="20"/>
              </w:rPr>
              <w:t>Orthopaedic protected elective surgical unit (PESU) cancellation rate: Only 12.5% of procedures were cancelled (24 out of 192).</w:t>
            </w:r>
          </w:p>
          <w:p w14:paraId="571047C3" w14:textId="77777777" w:rsidR="00DF73C0" w:rsidRPr="00CB4ED1" w:rsidRDefault="00DF73C0" w:rsidP="00E67800">
            <w:pPr>
              <w:pStyle w:val="tabletext"/>
              <w:rPr>
                <w:sz w:val="18"/>
                <w:szCs w:val="20"/>
              </w:rPr>
            </w:pPr>
            <w:r w:rsidRPr="00CB4ED1">
              <w:rPr>
                <w:sz w:val="18"/>
                <w:szCs w:val="20"/>
              </w:rPr>
              <w:t>Compared to 52% in the Pre-pandemic ward.</w:t>
            </w:r>
          </w:p>
          <w:p w14:paraId="269DF56F" w14:textId="77777777" w:rsidR="00DF73C0" w:rsidRDefault="00DF73C0" w:rsidP="00E67800">
            <w:pPr>
              <w:pStyle w:val="tabletext"/>
              <w:rPr>
                <w:sz w:val="18"/>
                <w:szCs w:val="20"/>
              </w:rPr>
            </w:pPr>
            <w:r w:rsidRPr="00CB4ED1">
              <w:rPr>
                <w:sz w:val="18"/>
                <w:szCs w:val="20"/>
              </w:rPr>
              <w:t>Based on a 2022 study</w:t>
            </w:r>
            <w:r w:rsidRPr="00CB4ED1">
              <w:rPr>
                <w:rStyle w:val="FootnoteReference"/>
                <w:sz w:val="18"/>
                <w:szCs w:val="20"/>
              </w:rPr>
              <w:footnoteReference w:id="4"/>
            </w:r>
            <w:r w:rsidRPr="00CB4ED1">
              <w:rPr>
                <w:sz w:val="18"/>
                <w:szCs w:val="20"/>
              </w:rPr>
              <w:t xml:space="preserve"> </w:t>
            </w:r>
          </w:p>
          <w:p w14:paraId="14DD64E4" w14:textId="77777777" w:rsidR="00DF73C0" w:rsidRPr="00CB4ED1" w:rsidRDefault="00DF73C0" w:rsidP="00E67800">
            <w:pPr>
              <w:pStyle w:val="tabletext"/>
              <w:rPr>
                <w:sz w:val="18"/>
                <w:szCs w:val="20"/>
              </w:rPr>
            </w:pPr>
          </w:p>
        </w:tc>
        <w:tc>
          <w:tcPr>
            <w:tcW w:w="862" w:type="dxa"/>
          </w:tcPr>
          <w:p w14:paraId="0C742FD6" w14:textId="77777777" w:rsidR="00DF73C0" w:rsidRPr="00CB4ED1" w:rsidRDefault="00DF73C0" w:rsidP="00E67800">
            <w:pPr>
              <w:pStyle w:val="tabletext"/>
              <w:rPr>
                <w:sz w:val="18"/>
                <w:szCs w:val="20"/>
              </w:rPr>
            </w:pPr>
            <w:r w:rsidRPr="00CB4ED1">
              <w:rPr>
                <w:sz w:val="18"/>
                <w:szCs w:val="20"/>
              </w:rPr>
              <w:t>UB1</w:t>
            </w:r>
            <w:r>
              <w:rPr>
                <w:sz w:val="18"/>
                <w:szCs w:val="20"/>
              </w:rPr>
              <w:t>2</w:t>
            </w:r>
          </w:p>
        </w:tc>
      </w:tr>
      <w:tr w:rsidR="00DF73C0" w:rsidRPr="00CB4ED1" w14:paraId="668A2946" w14:textId="77777777" w:rsidTr="00E67800">
        <w:tc>
          <w:tcPr>
            <w:tcW w:w="2660" w:type="dxa"/>
          </w:tcPr>
          <w:p w14:paraId="3D51FBBA" w14:textId="77777777" w:rsidR="00DF73C0" w:rsidRPr="00CB4ED1" w:rsidRDefault="00DF73C0" w:rsidP="00E67800">
            <w:pPr>
              <w:pStyle w:val="tabletext"/>
              <w:rPr>
                <w:rFonts w:cstheme="minorBidi"/>
                <w:sz w:val="18"/>
                <w:szCs w:val="20"/>
              </w:rPr>
            </w:pPr>
            <w:r w:rsidRPr="00CB4ED1">
              <w:rPr>
                <w:rFonts w:cstheme="minorBidi"/>
                <w:sz w:val="18"/>
                <w:szCs w:val="20"/>
              </w:rPr>
              <w:t>Reduced health inequalities Reduction in waiting times and ease of access supports equality of access</w:t>
            </w:r>
          </w:p>
        </w:tc>
        <w:tc>
          <w:tcPr>
            <w:tcW w:w="1701" w:type="dxa"/>
          </w:tcPr>
          <w:p w14:paraId="0D32D070" w14:textId="77777777" w:rsidR="00DF73C0" w:rsidRPr="00CB4ED1" w:rsidRDefault="00DF73C0" w:rsidP="00E67800">
            <w:pPr>
              <w:pStyle w:val="tabletext"/>
              <w:rPr>
                <w:sz w:val="18"/>
                <w:szCs w:val="20"/>
              </w:rPr>
            </w:pPr>
            <w:r w:rsidRPr="00CB4ED1">
              <w:rPr>
                <w:sz w:val="18"/>
                <w:szCs w:val="20"/>
              </w:rPr>
              <w:t>Qualitative</w:t>
            </w:r>
          </w:p>
        </w:tc>
        <w:tc>
          <w:tcPr>
            <w:tcW w:w="1843" w:type="dxa"/>
          </w:tcPr>
          <w:p w14:paraId="7172FF33" w14:textId="77777777" w:rsidR="00DF73C0" w:rsidRPr="00CB4ED1" w:rsidRDefault="00DF73C0" w:rsidP="00E67800">
            <w:pPr>
              <w:pStyle w:val="tabletext"/>
              <w:rPr>
                <w:sz w:val="18"/>
                <w:szCs w:val="20"/>
              </w:rPr>
            </w:pPr>
            <w:r w:rsidRPr="00CB4ED1">
              <w:rPr>
                <w:sz w:val="18"/>
                <w:szCs w:val="20"/>
              </w:rPr>
              <w:t>N/A</w:t>
            </w:r>
          </w:p>
        </w:tc>
        <w:tc>
          <w:tcPr>
            <w:tcW w:w="2409" w:type="dxa"/>
          </w:tcPr>
          <w:p w14:paraId="63B52F4D" w14:textId="77777777" w:rsidR="00DF73C0" w:rsidRPr="00CB4ED1" w:rsidRDefault="00DF73C0" w:rsidP="00E67800">
            <w:pPr>
              <w:pStyle w:val="tabletext"/>
              <w:rPr>
                <w:rFonts w:cstheme="minorBidi"/>
                <w:sz w:val="18"/>
                <w:szCs w:val="20"/>
              </w:rPr>
            </w:pPr>
            <w:r w:rsidRPr="00CB4ED1">
              <w:rPr>
                <w:rFonts w:cstheme="minorBidi"/>
                <w:sz w:val="18"/>
                <w:szCs w:val="20"/>
              </w:rPr>
              <w:t>N/A</w:t>
            </w:r>
          </w:p>
        </w:tc>
        <w:tc>
          <w:tcPr>
            <w:tcW w:w="1418" w:type="dxa"/>
          </w:tcPr>
          <w:p w14:paraId="38E48CD7" w14:textId="77777777" w:rsidR="00DF73C0" w:rsidRPr="00CB4ED1" w:rsidRDefault="00DF73C0" w:rsidP="00E67800">
            <w:pPr>
              <w:pStyle w:val="tabletext"/>
              <w:rPr>
                <w:sz w:val="18"/>
                <w:szCs w:val="20"/>
              </w:rPr>
            </w:pPr>
          </w:p>
        </w:tc>
        <w:tc>
          <w:tcPr>
            <w:tcW w:w="4536" w:type="dxa"/>
          </w:tcPr>
          <w:p w14:paraId="32FBF537" w14:textId="77777777" w:rsidR="00DF73C0" w:rsidRPr="00CB4ED1" w:rsidRDefault="00DF73C0" w:rsidP="00E67800">
            <w:pPr>
              <w:pStyle w:val="tabletext"/>
              <w:rPr>
                <w:sz w:val="18"/>
                <w:szCs w:val="20"/>
              </w:rPr>
            </w:pPr>
            <w:r w:rsidRPr="00CB4ED1">
              <w:rPr>
                <w:sz w:val="18"/>
                <w:szCs w:val="20"/>
              </w:rPr>
              <w:t>Not possible to quantify in a meaningful way at this stage</w:t>
            </w:r>
          </w:p>
        </w:tc>
        <w:tc>
          <w:tcPr>
            <w:tcW w:w="862" w:type="dxa"/>
          </w:tcPr>
          <w:p w14:paraId="06FB020C" w14:textId="77777777" w:rsidR="00DF73C0" w:rsidRPr="00CB4ED1" w:rsidRDefault="00DF73C0" w:rsidP="00E67800">
            <w:pPr>
              <w:pStyle w:val="tabletext"/>
              <w:rPr>
                <w:sz w:val="18"/>
                <w:szCs w:val="20"/>
              </w:rPr>
            </w:pPr>
            <w:r w:rsidRPr="00CB4ED1">
              <w:rPr>
                <w:sz w:val="18"/>
                <w:szCs w:val="20"/>
              </w:rPr>
              <w:t>UB1</w:t>
            </w:r>
            <w:r>
              <w:rPr>
                <w:sz w:val="18"/>
                <w:szCs w:val="20"/>
              </w:rPr>
              <w:t>3</w:t>
            </w:r>
          </w:p>
        </w:tc>
      </w:tr>
      <w:tr w:rsidR="00DF73C0" w:rsidRPr="00CB4ED1" w14:paraId="06EF8A11" w14:textId="77777777" w:rsidTr="00E67800">
        <w:tc>
          <w:tcPr>
            <w:tcW w:w="15429" w:type="dxa"/>
            <w:gridSpan w:val="7"/>
            <w:shd w:val="clear" w:color="auto" w:fill="D9F0FA" w:themeFill="background2" w:themeFillTint="33"/>
          </w:tcPr>
          <w:p w14:paraId="5D5E54FE" w14:textId="77777777" w:rsidR="00DF73C0" w:rsidRPr="00CB4ED1" w:rsidRDefault="00DF73C0" w:rsidP="00E67800">
            <w:pPr>
              <w:pStyle w:val="tabletext"/>
              <w:rPr>
                <w:sz w:val="18"/>
                <w:szCs w:val="20"/>
              </w:rPr>
            </w:pPr>
            <w:r w:rsidRPr="00CB4ED1">
              <w:rPr>
                <w:bCs/>
                <w:sz w:val="18"/>
                <w:szCs w:val="20"/>
              </w:rPr>
              <w:t>Delivering a sustainable workforce</w:t>
            </w:r>
          </w:p>
        </w:tc>
      </w:tr>
      <w:tr w:rsidR="00DF73C0" w:rsidRPr="00CB4ED1" w14:paraId="1D2CD184" w14:textId="77777777" w:rsidTr="00E67800">
        <w:tc>
          <w:tcPr>
            <w:tcW w:w="2660" w:type="dxa"/>
          </w:tcPr>
          <w:p w14:paraId="2E904FF8" w14:textId="77777777" w:rsidR="00DF73C0" w:rsidRPr="00CB4ED1" w:rsidRDefault="00DF73C0" w:rsidP="00E67800">
            <w:pPr>
              <w:pStyle w:val="tabletext"/>
              <w:rPr>
                <w:sz w:val="18"/>
                <w:szCs w:val="20"/>
              </w:rPr>
            </w:pPr>
            <w:r w:rsidRPr="00CB4ED1">
              <w:rPr>
                <w:bCs/>
                <w:sz w:val="18"/>
                <w:szCs w:val="20"/>
              </w:rPr>
              <w:t xml:space="preserve">Improved training pathway and increased training opportunities: </w:t>
            </w:r>
            <w:r w:rsidRPr="00CB4ED1">
              <w:rPr>
                <w:sz w:val="18"/>
                <w:szCs w:val="20"/>
              </w:rPr>
              <w:t xml:space="preserve">The new Skills Academy in partnership with HEIW and additional theatres at LHP will provide capacity to </w:t>
            </w:r>
            <w:r w:rsidRPr="00CB4ED1">
              <w:rPr>
                <w:sz w:val="18"/>
                <w:szCs w:val="20"/>
              </w:rPr>
              <w:lastRenderedPageBreak/>
              <w:t xml:space="preserve">increase the number of training places </w:t>
            </w:r>
          </w:p>
        </w:tc>
        <w:tc>
          <w:tcPr>
            <w:tcW w:w="1701" w:type="dxa"/>
          </w:tcPr>
          <w:p w14:paraId="7158B3DC" w14:textId="77777777" w:rsidR="00DF73C0" w:rsidRPr="00CB4ED1" w:rsidRDefault="00DF73C0" w:rsidP="00E67800">
            <w:pPr>
              <w:pStyle w:val="tabletext"/>
              <w:rPr>
                <w:sz w:val="18"/>
                <w:szCs w:val="20"/>
              </w:rPr>
            </w:pPr>
            <w:r w:rsidRPr="00CB4ED1">
              <w:rPr>
                <w:sz w:val="18"/>
                <w:szCs w:val="20"/>
              </w:rPr>
              <w:lastRenderedPageBreak/>
              <w:t>Number of training places</w:t>
            </w:r>
          </w:p>
        </w:tc>
        <w:tc>
          <w:tcPr>
            <w:tcW w:w="1843" w:type="dxa"/>
          </w:tcPr>
          <w:p w14:paraId="72F8E5CC" w14:textId="77777777" w:rsidR="00DF73C0" w:rsidRPr="00CB4ED1" w:rsidRDefault="00DF73C0" w:rsidP="00E67800">
            <w:pPr>
              <w:pStyle w:val="tabletext"/>
              <w:rPr>
                <w:sz w:val="18"/>
                <w:szCs w:val="20"/>
              </w:rPr>
            </w:pPr>
            <w:r w:rsidRPr="00CB4ED1">
              <w:rPr>
                <w:sz w:val="18"/>
                <w:szCs w:val="20"/>
              </w:rPr>
              <w:t>Orthopaedic Trainees: 6</w:t>
            </w:r>
          </w:p>
          <w:p w14:paraId="5194AC15" w14:textId="77777777" w:rsidR="00DF73C0" w:rsidRPr="00CB4ED1" w:rsidRDefault="00DF73C0" w:rsidP="00E67800">
            <w:pPr>
              <w:pStyle w:val="tabletext"/>
              <w:rPr>
                <w:sz w:val="18"/>
                <w:szCs w:val="20"/>
              </w:rPr>
            </w:pPr>
            <w:r w:rsidRPr="00CB4ED1">
              <w:rPr>
                <w:sz w:val="18"/>
                <w:szCs w:val="20"/>
              </w:rPr>
              <w:t>Anaesthetic WTE Stage 1: 20</w:t>
            </w:r>
          </w:p>
          <w:p w14:paraId="4F9A8DE6" w14:textId="77777777" w:rsidR="00DF73C0" w:rsidRPr="00CB4ED1" w:rsidRDefault="00DF73C0" w:rsidP="00E67800">
            <w:pPr>
              <w:pStyle w:val="tabletext"/>
              <w:rPr>
                <w:sz w:val="18"/>
                <w:szCs w:val="20"/>
              </w:rPr>
            </w:pPr>
            <w:r w:rsidRPr="00CB4ED1">
              <w:rPr>
                <w:sz w:val="18"/>
                <w:szCs w:val="20"/>
              </w:rPr>
              <w:lastRenderedPageBreak/>
              <w:t>Anaesthetic WTE Stage 2: 13</w:t>
            </w:r>
          </w:p>
        </w:tc>
        <w:tc>
          <w:tcPr>
            <w:tcW w:w="2409" w:type="dxa"/>
          </w:tcPr>
          <w:p w14:paraId="77429C73" w14:textId="77777777" w:rsidR="00DF73C0" w:rsidRPr="00CB4ED1" w:rsidRDefault="00DF73C0" w:rsidP="00E67800">
            <w:pPr>
              <w:pStyle w:val="tabletext"/>
              <w:rPr>
                <w:sz w:val="18"/>
                <w:szCs w:val="20"/>
              </w:rPr>
            </w:pPr>
            <w:r w:rsidRPr="00CB4ED1">
              <w:rPr>
                <w:sz w:val="18"/>
                <w:szCs w:val="20"/>
              </w:rPr>
              <w:lastRenderedPageBreak/>
              <w:t>Potential Orthopaedic Trainees: 12</w:t>
            </w:r>
          </w:p>
          <w:p w14:paraId="5178D732" w14:textId="77777777" w:rsidR="00DF73C0" w:rsidRPr="00CB4ED1" w:rsidRDefault="00DF73C0" w:rsidP="00E67800">
            <w:pPr>
              <w:pStyle w:val="tabletext"/>
              <w:rPr>
                <w:sz w:val="18"/>
                <w:szCs w:val="20"/>
              </w:rPr>
            </w:pPr>
            <w:r w:rsidRPr="00CB4ED1">
              <w:rPr>
                <w:sz w:val="18"/>
                <w:szCs w:val="20"/>
              </w:rPr>
              <w:t>Potential Anaesthetic WTE Stage 1: 40</w:t>
            </w:r>
          </w:p>
          <w:p w14:paraId="23E476E7" w14:textId="77777777" w:rsidR="00DF73C0" w:rsidRPr="00CB4ED1" w:rsidRDefault="00DF73C0" w:rsidP="00E67800">
            <w:pPr>
              <w:pStyle w:val="tabletext"/>
              <w:rPr>
                <w:sz w:val="18"/>
                <w:szCs w:val="20"/>
              </w:rPr>
            </w:pPr>
            <w:r w:rsidRPr="00CB4ED1">
              <w:rPr>
                <w:sz w:val="18"/>
                <w:szCs w:val="20"/>
              </w:rPr>
              <w:lastRenderedPageBreak/>
              <w:t>Potential Anaesthetic WTE Stage 2: 26</w:t>
            </w:r>
          </w:p>
        </w:tc>
        <w:tc>
          <w:tcPr>
            <w:tcW w:w="1418" w:type="dxa"/>
          </w:tcPr>
          <w:p w14:paraId="0EB23850" w14:textId="77777777" w:rsidR="00DF73C0" w:rsidRPr="00CB4ED1" w:rsidRDefault="00DF73C0" w:rsidP="00E67800">
            <w:pPr>
              <w:pStyle w:val="tabletext"/>
              <w:rPr>
                <w:sz w:val="18"/>
                <w:szCs w:val="20"/>
              </w:rPr>
            </w:pPr>
            <w:r w:rsidRPr="00CB4ED1">
              <w:rPr>
                <w:sz w:val="18"/>
                <w:szCs w:val="20"/>
              </w:rPr>
              <w:lastRenderedPageBreak/>
              <w:t xml:space="preserve">Not </w:t>
            </w:r>
            <w:proofErr w:type="spellStart"/>
            <w:r w:rsidRPr="00CB4ED1">
              <w:rPr>
                <w:sz w:val="18"/>
                <w:szCs w:val="20"/>
              </w:rPr>
              <w:t>monetisable</w:t>
            </w:r>
            <w:proofErr w:type="spellEnd"/>
          </w:p>
        </w:tc>
        <w:tc>
          <w:tcPr>
            <w:tcW w:w="4536" w:type="dxa"/>
          </w:tcPr>
          <w:p w14:paraId="662717F9" w14:textId="77777777" w:rsidR="00DF73C0" w:rsidRPr="00CB4ED1" w:rsidRDefault="00DF73C0" w:rsidP="00E67800">
            <w:pPr>
              <w:pStyle w:val="tabletext"/>
              <w:rPr>
                <w:b/>
                <w:bCs/>
                <w:sz w:val="18"/>
                <w:szCs w:val="20"/>
              </w:rPr>
            </w:pPr>
            <w:r w:rsidRPr="00CB4ED1">
              <w:rPr>
                <w:b/>
                <w:bCs/>
                <w:sz w:val="18"/>
                <w:szCs w:val="20"/>
              </w:rPr>
              <w:t>Delivery of these additional training places are dependent on:</w:t>
            </w:r>
          </w:p>
          <w:p w14:paraId="04CF8D2B" w14:textId="77777777" w:rsidR="00DF73C0" w:rsidRPr="00CB4ED1" w:rsidRDefault="00DF73C0" w:rsidP="00E67800">
            <w:pPr>
              <w:pStyle w:val="tablebullets9pt"/>
            </w:pPr>
            <w:r w:rsidRPr="00CB4ED1">
              <w:t>Additional funding over and above what is outlined in section 7.5 recurring revenue costs.</w:t>
            </w:r>
          </w:p>
          <w:p w14:paraId="296758B4" w14:textId="77777777" w:rsidR="00DF73C0" w:rsidRPr="00CB4ED1" w:rsidRDefault="00DF73C0" w:rsidP="00E67800">
            <w:pPr>
              <w:pStyle w:val="tablebullets9pt"/>
            </w:pPr>
            <w:r w:rsidRPr="00CB4ED1">
              <w:lastRenderedPageBreak/>
              <w:t>Close engagement with HEIW and the Welsh School of Anaesthesia to formalise these training pathways.</w:t>
            </w:r>
          </w:p>
          <w:p w14:paraId="7CC2C010" w14:textId="77777777" w:rsidR="00DF73C0" w:rsidRPr="00CB4ED1" w:rsidRDefault="00DF73C0" w:rsidP="00E67800">
            <w:pPr>
              <w:pStyle w:val="tabletext"/>
              <w:rPr>
                <w:bCs/>
                <w:sz w:val="18"/>
                <w:szCs w:val="20"/>
              </w:rPr>
            </w:pPr>
            <w:r w:rsidRPr="00CB4ED1">
              <w:rPr>
                <w:bCs/>
                <w:sz w:val="18"/>
                <w:szCs w:val="20"/>
              </w:rPr>
              <w:t>Calculation based on:</w:t>
            </w:r>
          </w:p>
          <w:p w14:paraId="564F1B60" w14:textId="77777777" w:rsidR="00DF73C0" w:rsidRPr="00CB4ED1" w:rsidRDefault="00DF73C0" w:rsidP="00E67800">
            <w:pPr>
              <w:pStyle w:val="tablebullets9pt"/>
            </w:pPr>
            <w:r w:rsidRPr="00CB4ED1">
              <w:t>Baseline no. of trainees at CTM are provided in an assumed 1.5 theatres.</w:t>
            </w:r>
          </w:p>
          <w:p w14:paraId="33DA0B91" w14:textId="77777777" w:rsidR="00DF73C0" w:rsidRPr="00CB4ED1" w:rsidRDefault="00DF73C0" w:rsidP="00E67800">
            <w:pPr>
              <w:pStyle w:val="tablebullets9pt"/>
            </w:pPr>
            <w:r w:rsidRPr="00CB4ED1">
              <w:t xml:space="preserve">LHP will provide 6 theatres, of which 3-4 are utilised by CTM, and the other theatres utilised to accommodate regional demand. </w:t>
            </w:r>
          </w:p>
          <w:p w14:paraId="4EFA7D69" w14:textId="77777777" w:rsidR="00DF73C0" w:rsidRPr="00CB4ED1" w:rsidRDefault="00DF73C0" w:rsidP="00E67800">
            <w:pPr>
              <w:pStyle w:val="tabletext"/>
              <w:rPr>
                <w:sz w:val="18"/>
                <w:szCs w:val="20"/>
              </w:rPr>
            </w:pPr>
            <w:r w:rsidRPr="00CB4ED1">
              <w:rPr>
                <w:sz w:val="18"/>
                <w:szCs w:val="20"/>
              </w:rPr>
              <w:t>The target is set on the additionality of the theatres that CTM utilises (assumed as 3 theatres), though this assumption will be revisited at FBC stage.</w:t>
            </w:r>
          </w:p>
          <w:p w14:paraId="7AAA06C6" w14:textId="77777777" w:rsidR="00DF73C0" w:rsidRPr="00CB4ED1" w:rsidRDefault="00DF73C0" w:rsidP="00E67800">
            <w:pPr>
              <w:pStyle w:val="tabletext"/>
              <w:rPr>
                <w:sz w:val="18"/>
                <w:szCs w:val="20"/>
              </w:rPr>
            </w:pPr>
            <w:r w:rsidRPr="00CB4ED1">
              <w:rPr>
                <w:sz w:val="18"/>
                <w:szCs w:val="20"/>
              </w:rPr>
              <w:t>This represents an 100% increase in capacity to provide training places, which has been applied to the baseline no. of trainees.</w:t>
            </w:r>
          </w:p>
        </w:tc>
        <w:tc>
          <w:tcPr>
            <w:tcW w:w="862" w:type="dxa"/>
          </w:tcPr>
          <w:p w14:paraId="67D2CDC4" w14:textId="77777777" w:rsidR="00DF73C0" w:rsidRPr="00CB4ED1" w:rsidRDefault="00DF73C0" w:rsidP="00E67800">
            <w:pPr>
              <w:pStyle w:val="tabletext"/>
              <w:rPr>
                <w:sz w:val="18"/>
                <w:szCs w:val="20"/>
              </w:rPr>
            </w:pPr>
            <w:r w:rsidRPr="00CB4ED1">
              <w:rPr>
                <w:sz w:val="18"/>
                <w:szCs w:val="20"/>
              </w:rPr>
              <w:lastRenderedPageBreak/>
              <w:t>UB1</w:t>
            </w:r>
            <w:r>
              <w:rPr>
                <w:sz w:val="18"/>
                <w:szCs w:val="20"/>
              </w:rPr>
              <w:t>4</w:t>
            </w:r>
          </w:p>
        </w:tc>
      </w:tr>
      <w:tr w:rsidR="00DF73C0" w:rsidRPr="00CB4ED1" w14:paraId="33E858A2" w14:textId="77777777" w:rsidTr="00E67800">
        <w:tc>
          <w:tcPr>
            <w:tcW w:w="2660" w:type="dxa"/>
          </w:tcPr>
          <w:p w14:paraId="5B6E6B5A" w14:textId="77777777" w:rsidR="00DF73C0" w:rsidRPr="00CB4ED1" w:rsidRDefault="00DF73C0" w:rsidP="00E67800">
            <w:pPr>
              <w:pStyle w:val="tabletext"/>
              <w:rPr>
                <w:bCs/>
                <w:sz w:val="18"/>
                <w:szCs w:val="20"/>
              </w:rPr>
            </w:pPr>
            <w:r w:rsidRPr="00CB4ED1">
              <w:rPr>
                <w:rFonts w:cstheme="minorBidi"/>
                <w:sz w:val="18"/>
                <w:szCs w:val="20"/>
              </w:rPr>
              <w:t>Increased staff satisfaction since LHP will create a modern attractive place to work which provides increased training and career development opportunities as a Centre for Excellence and including the new Training Academy/Centre for training in partnership with HEIW. A more standardised pathway is likely to reduce stress.</w:t>
            </w:r>
          </w:p>
        </w:tc>
        <w:tc>
          <w:tcPr>
            <w:tcW w:w="1701" w:type="dxa"/>
          </w:tcPr>
          <w:p w14:paraId="36193097" w14:textId="77777777" w:rsidR="00DF73C0" w:rsidRPr="00CB4ED1" w:rsidRDefault="00DF73C0" w:rsidP="00E67800">
            <w:pPr>
              <w:pStyle w:val="tabletext"/>
              <w:rPr>
                <w:sz w:val="18"/>
                <w:szCs w:val="20"/>
              </w:rPr>
            </w:pPr>
            <w:r w:rsidRPr="00CB4ED1">
              <w:rPr>
                <w:sz w:val="18"/>
                <w:szCs w:val="20"/>
              </w:rPr>
              <w:t>Staff survey scores</w:t>
            </w:r>
          </w:p>
        </w:tc>
        <w:tc>
          <w:tcPr>
            <w:tcW w:w="1843" w:type="dxa"/>
          </w:tcPr>
          <w:p w14:paraId="7F69E2F9" w14:textId="77777777" w:rsidR="00DF73C0" w:rsidRPr="00CB4ED1" w:rsidRDefault="00DF73C0" w:rsidP="00E67800">
            <w:pPr>
              <w:pStyle w:val="tabletext"/>
              <w:rPr>
                <w:sz w:val="18"/>
                <w:szCs w:val="20"/>
              </w:rPr>
            </w:pPr>
            <w:r w:rsidRPr="00CB4ED1">
              <w:rPr>
                <w:sz w:val="18"/>
                <w:szCs w:val="20"/>
              </w:rPr>
              <w:t>To be confirmed at FBC</w:t>
            </w:r>
          </w:p>
        </w:tc>
        <w:tc>
          <w:tcPr>
            <w:tcW w:w="2409" w:type="dxa"/>
          </w:tcPr>
          <w:p w14:paraId="1C356DA9" w14:textId="77777777" w:rsidR="00DF73C0" w:rsidRPr="00CB4ED1" w:rsidRDefault="00DF73C0" w:rsidP="00E67800">
            <w:pPr>
              <w:pStyle w:val="tabletext"/>
              <w:rPr>
                <w:rFonts w:cstheme="minorBidi"/>
                <w:sz w:val="18"/>
                <w:szCs w:val="20"/>
              </w:rPr>
            </w:pPr>
            <w:r w:rsidRPr="00CB4ED1">
              <w:rPr>
                <w:rFonts w:cstheme="minorBidi"/>
                <w:sz w:val="18"/>
                <w:szCs w:val="20"/>
              </w:rPr>
              <w:t>To be confirmed at FBC</w:t>
            </w:r>
          </w:p>
        </w:tc>
        <w:tc>
          <w:tcPr>
            <w:tcW w:w="1418" w:type="dxa"/>
          </w:tcPr>
          <w:p w14:paraId="48BCA1F8" w14:textId="77777777" w:rsidR="00DF73C0" w:rsidRPr="00CB4ED1" w:rsidRDefault="00DF73C0" w:rsidP="00E67800">
            <w:pPr>
              <w:pStyle w:val="tabletext"/>
              <w:rPr>
                <w:sz w:val="18"/>
                <w:szCs w:val="20"/>
              </w:rPr>
            </w:pPr>
            <w:r w:rsidRPr="00CB4ED1">
              <w:rPr>
                <w:sz w:val="18"/>
                <w:szCs w:val="20"/>
              </w:rPr>
              <w:t xml:space="preserve">Not </w:t>
            </w:r>
            <w:proofErr w:type="spellStart"/>
            <w:r w:rsidRPr="00CB4ED1">
              <w:rPr>
                <w:sz w:val="18"/>
                <w:szCs w:val="20"/>
              </w:rPr>
              <w:t>monetisable</w:t>
            </w:r>
            <w:proofErr w:type="spellEnd"/>
          </w:p>
        </w:tc>
        <w:tc>
          <w:tcPr>
            <w:tcW w:w="4536" w:type="dxa"/>
          </w:tcPr>
          <w:p w14:paraId="079E7C11" w14:textId="77777777" w:rsidR="00DF73C0" w:rsidRPr="00CB4ED1" w:rsidRDefault="00DF73C0" w:rsidP="00E67800">
            <w:pPr>
              <w:pStyle w:val="tabletext"/>
              <w:rPr>
                <w:color w:val="FF0000"/>
                <w:sz w:val="18"/>
                <w:szCs w:val="20"/>
              </w:rPr>
            </w:pPr>
            <w:r>
              <w:rPr>
                <w:sz w:val="18"/>
                <w:szCs w:val="20"/>
              </w:rPr>
              <w:t>To be confirmed at FBC</w:t>
            </w:r>
          </w:p>
        </w:tc>
        <w:tc>
          <w:tcPr>
            <w:tcW w:w="862" w:type="dxa"/>
          </w:tcPr>
          <w:p w14:paraId="660A4AE6" w14:textId="77777777" w:rsidR="00DF73C0" w:rsidRPr="00CB4ED1" w:rsidRDefault="00DF73C0" w:rsidP="00E67800">
            <w:pPr>
              <w:pStyle w:val="tabletext"/>
              <w:rPr>
                <w:sz w:val="18"/>
                <w:szCs w:val="20"/>
              </w:rPr>
            </w:pPr>
            <w:r w:rsidRPr="00CB4ED1">
              <w:rPr>
                <w:sz w:val="18"/>
                <w:szCs w:val="20"/>
              </w:rPr>
              <w:t>UB1</w:t>
            </w:r>
            <w:r>
              <w:rPr>
                <w:sz w:val="18"/>
                <w:szCs w:val="20"/>
              </w:rPr>
              <w:t>5</w:t>
            </w:r>
          </w:p>
        </w:tc>
      </w:tr>
      <w:tr w:rsidR="00DF73C0" w:rsidRPr="00CB4ED1" w14:paraId="6DAB6A52" w14:textId="77777777" w:rsidTr="00E67800">
        <w:tc>
          <w:tcPr>
            <w:tcW w:w="2660" w:type="dxa"/>
          </w:tcPr>
          <w:p w14:paraId="739D1B16" w14:textId="77777777" w:rsidR="00DF73C0" w:rsidRPr="00CB4ED1" w:rsidRDefault="00DF73C0" w:rsidP="00E67800">
            <w:pPr>
              <w:pStyle w:val="tabletext"/>
              <w:rPr>
                <w:sz w:val="18"/>
                <w:szCs w:val="20"/>
              </w:rPr>
            </w:pPr>
            <w:r w:rsidRPr="00CB4ED1">
              <w:rPr>
                <w:sz w:val="18"/>
                <w:szCs w:val="20"/>
              </w:rPr>
              <w:t>Improved recruitment and retention</w:t>
            </w:r>
            <w:r w:rsidRPr="00CB4ED1">
              <w:rPr>
                <w:bCs/>
                <w:sz w:val="18"/>
                <w:szCs w:val="20"/>
              </w:rPr>
              <w:t xml:space="preserve"> </w:t>
            </w:r>
            <w:r w:rsidRPr="00CB4ED1">
              <w:rPr>
                <w:sz w:val="18"/>
                <w:szCs w:val="20"/>
              </w:rPr>
              <w:t>since LHP will create a modern attractive place to work which provides increased training and career development opportunities as a Centre for Excellence and including the new Training Academy/Centre for training in partnership with HEIW</w:t>
            </w:r>
          </w:p>
        </w:tc>
        <w:tc>
          <w:tcPr>
            <w:tcW w:w="1701" w:type="dxa"/>
          </w:tcPr>
          <w:p w14:paraId="6D250BD5" w14:textId="77777777" w:rsidR="00DF73C0" w:rsidRPr="00CB4ED1" w:rsidRDefault="00DF73C0" w:rsidP="00E67800">
            <w:pPr>
              <w:pStyle w:val="tabletext"/>
              <w:rPr>
                <w:sz w:val="18"/>
                <w:szCs w:val="20"/>
              </w:rPr>
            </w:pPr>
            <w:r w:rsidRPr="00CB4ED1">
              <w:rPr>
                <w:sz w:val="18"/>
                <w:szCs w:val="20"/>
              </w:rPr>
              <w:t>Vacancy Rates</w:t>
            </w:r>
          </w:p>
          <w:p w14:paraId="4143D97F" w14:textId="77777777" w:rsidR="00DF73C0" w:rsidRPr="00CB4ED1" w:rsidRDefault="00DF73C0" w:rsidP="00E67800">
            <w:pPr>
              <w:pStyle w:val="tabletext"/>
              <w:rPr>
                <w:sz w:val="18"/>
                <w:szCs w:val="20"/>
              </w:rPr>
            </w:pPr>
            <w:r w:rsidRPr="00CB4ED1">
              <w:rPr>
                <w:sz w:val="18"/>
                <w:szCs w:val="20"/>
              </w:rPr>
              <w:t>Staff Turnover</w:t>
            </w:r>
          </w:p>
        </w:tc>
        <w:tc>
          <w:tcPr>
            <w:tcW w:w="1843" w:type="dxa"/>
          </w:tcPr>
          <w:p w14:paraId="62FBC55C" w14:textId="77777777" w:rsidR="00DF73C0" w:rsidRPr="00CB4ED1" w:rsidRDefault="00DF73C0" w:rsidP="00E67800">
            <w:pPr>
              <w:pStyle w:val="tabletext"/>
              <w:rPr>
                <w:sz w:val="18"/>
                <w:szCs w:val="20"/>
              </w:rPr>
            </w:pPr>
            <w:r w:rsidRPr="00CB4ED1">
              <w:rPr>
                <w:sz w:val="18"/>
                <w:szCs w:val="20"/>
              </w:rPr>
              <w:t>To be confirmed at FBC</w:t>
            </w:r>
          </w:p>
        </w:tc>
        <w:tc>
          <w:tcPr>
            <w:tcW w:w="2409" w:type="dxa"/>
          </w:tcPr>
          <w:p w14:paraId="6FCF4DA9" w14:textId="77777777" w:rsidR="00DF73C0" w:rsidRPr="00CB4ED1" w:rsidRDefault="00DF73C0" w:rsidP="00E67800">
            <w:pPr>
              <w:pStyle w:val="tabletext"/>
              <w:rPr>
                <w:sz w:val="18"/>
                <w:szCs w:val="20"/>
              </w:rPr>
            </w:pPr>
            <w:r w:rsidRPr="00CB4ED1">
              <w:rPr>
                <w:sz w:val="18"/>
                <w:szCs w:val="20"/>
              </w:rPr>
              <w:t>To be confirmed at FBC</w:t>
            </w:r>
          </w:p>
        </w:tc>
        <w:tc>
          <w:tcPr>
            <w:tcW w:w="1418" w:type="dxa"/>
          </w:tcPr>
          <w:p w14:paraId="7EE3342B" w14:textId="77777777" w:rsidR="00DF73C0" w:rsidRPr="00CB4ED1" w:rsidRDefault="00DF73C0" w:rsidP="00E67800">
            <w:pPr>
              <w:pStyle w:val="tabletext"/>
              <w:rPr>
                <w:sz w:val="18"/>
                <w:szCs w:val="20"/>
              </w:rPr>
            </w:pPr>
            <w:r w:rsidRPr="00CB4ED1">
              <w:rPr>
                <w:sz w:val="18"/>
                <w:szCs w:val="20"/>
              </w:rPr>
              <w:t xml:space="preserve">Not </w:t>
            </w:r>
            <w:proofErr w:type="spellStart"/>
            <w:r w:rsidRPr="00CB4ED1">
              <w:rPr>
                <w:sz w:val="18"/>
                <w:szCs w:val="20"/>
              </w:rPr>
              <w:t>monetisable</w:t>
            </w:r>
            <w:proofErr w:type="spellEnd"/>
          </w:p>
        </w:tc>
        <w:tc>
          <w:tcPr>
            <w:tcW w:w="4536" w:type="dxa"/>
          </w:tcPr>
          <w:p w14:paraId="6D55457D" w14:textId="77777777" w:rsidR="00DF73C0" w:rsidRPr="00CB4ED1" w:rsidRDefault="00DF73C0" w:rsidP="00E67800">
            <w:pPr>
              <w:pStyle w:val="tabletext"/>
              <w:rPr>
                <w:rFonts w:cstheme="minorBidi"/>
                <w:sz w:val="18"/>
                <w:szCs w:val="20"/>
              </w:rPr>
            </w:pPr>
            <w:r w:rsidRPr="00970E99">
              <w:rPr>
                <w:sz w:val="18"/>
                <w:szCs w:val="20"/>
              </w:rPr>
              <w:t>To be confirmed at FBC</w:t>
            </w:r>
          </w:p>
        </w:tc>
        <w:tc>
          <w:tcPr>
            <w:tcW w:w="862" w:type="dxa"/>
          </w:tcPr>
          <w:p w14:paraId="7B57AD97" w14:textId="77777777" w:rsidR="00DF73C0" w:rsidRPr="00CB4ED1" w:rsidRDefault="00DF73C0" w:rsidP="00E67800">
            <w:pPr>
              <w:pStyle w:val="tabletext"/>
              <w:rPr>
                <w:sz w:val="18"/>
                <w:szCs w:val="20"/>
              </w:rPr>
            </w:pPr>
            <w:r w:rsidRPr="00CB4ED1">
              <w:rPr>
                <w:sz w:val="18"/>
                <w:szCs w:val="20"/>
              </w:rPr>
              <w:t>UB1</w:t>
            </w:r>
            <w:r>
              <w:rPr>
                <w:sz w:val="18"/>
                <w:szCs w:val="20"/>
              </w:rPr>
              <w:t>6</w:t>
            </w:r>
          </w:p>
        </w:tc>
      </w:tr>
      <w:tr w:rsidR="00DF73C0" w:rsidRPr="00CB4ED1" w14:paraId="23526B99" w14:textId="77777777" w:rsidTr="00E67800">
        <w:tc>
          <w:tcPr>
            <w:tcW w:w="2660" w:type="dxa"/>
          </w:tcPr>
          <w:p w14:paraId="641ABE5A" w14:textId="77777777" w:rsidR="00DF73C0" w:rsidRPr="00CB4ED1" w:rsidRDefault="00DF73C0" w:rsidP="00E67800">
            <w:pPr>
              <w:pStyle w:val="tabletext"/>
              <w:rPr>
                <w:sz w:val="18"/>
                <w:szCs w:val="20"/>
              </w:rPr>
            </w:pPr>
            <w:r w:rsidRPr="00CB4ED1">
              <w:rPr>
                <w:sz w:val="18"/>
                <w:szCs w:val="20"/>
              </w:rPr>
              <w:t>Reduced reliance on temporary staffing</w:t>
            </w:r>
            <w:r w:rsidRPr="00CB4ED1">
              <w:rPr>
                <w:bCs/>
                <w:sz w:val="18"/>
                <w:szCs w:val="20"/>
              </w:rPr>
              <w:t xml:space="preserve">: </w:t>
            </w:r>
            <w:r w:rsidRPr="00CB4ED1">
              <w:rPr>
                <w:sz w:val="18"/>
                <w:szCs w:val="20"/>
              </w:rPr>
              <w:t xml:space="preserve">Improved recruitment and retention will </w:t>
            </w:r>
            <w:r w:rsidRPr="00CB4ED1">
              <w:rPr>
                <w:sz w:val="18"/>
                <w:szCs w:val="20"/>
              </w:rPr>
              <w:lastRenderedPageBreak/>
              <w:t xml:space="preserve">reduce usage of locum, bank and agency staff </w:t>
            </w:r>
          </w:p>
        </w:tc>
        <w:tc>
          <w:tcPr>
            <w:tcW w:w="1701" w:type="dxa"/>
          </w:tcPr>
          <w:p w14:paraId="7105788E" w14:textId="77777777" w:rsidR="00DF73C0" w:rsidRPr="00CB4ED1" w:rsidRDefault="00DF73C0" w:rsidP="00E67800">
            <w:pPr>
              <w:pStyle w:val="tabletext"/>
              <w:rPr>
                <w:sz w:val="18"/>
                <w:szCs w:val="20"/>
              </w:rPr>
            </w:pPr>
            <w:r w:rsidRPr="00CB4ED1">
              <w:rPr>
                <w:sz w:val="18"/>
                <w:szCs w:val="20"/>
              </w:rPr>
              <w:lastRenderedPageBreak/>
              <w:t>Locum, agency and bank expenditure</w:t>
            </w:r>
          </w:p>
        </w:tc>
        <w:tc>
          <w:tcPr>
            <w:tcW w:w="1843" w:type="dxa"/>
          </w:tcPr>
          <w:p w14:paraId="79EED512" w14:textId="77777777" w:rsidR="00DF73C0" w:rsidRPr="00CB4ED1" w:rsidRDefault="00DF73C0" w:rsidP="00E67800">
            <w:pPr>
              <w:pStyle w:val="tabletext"/>
              <w:rPr>
                <w:sz w:val="18"/>
                <w:szCs w:val="20"/>
              </w:rPr>
            </w:pPr>
            <w:r w:rsidRPr="00CB4ED1">
              <w:rPr>
                <w:sz w:val="18"/>
                <w:szCs w:val="20"/>
              </w:rPr>
              <w:t>To be confirmed at FBC</w:t>
            </w:r>
          </w:p>
        </w:tc>
        <w:tc>
          <w:tcPr>
            <w:tcW w:w="2409" w:type="dxa"/>
          </w:tcPr>
          <w:p w14:paraId="5A710C8C" w14:textId="77777777" w:rsidR="00DF73C0" w:rsidRPr="00CB4ED1" w:rsidRDefault="00DF73C0" w:rsidP="00E67800">
            <w:pPr>
              <w:pStyle w:val="tabletext"/>
              <w:rPr>
                <w:sz w:val="18"/>
                <w:szCs w:val="20"/>
              </w:rPr>
            </w:pPr>
            <w:r w:rsidRPr="00CB4ED1">
              <w:rPr>
                <w:sz w:val="18"/>
                <w:szCs w:val="20"/>
              </w:rPr>
              <w:t>To be confirmed at FBC</w:t>
            </w:r>
          </w:p>
        </w:tc>
        <w:tc>
          <w:tcPr>
            <w:tcW w:w="1418" w:type="dxa"/>
          </w:tcPr>
          <w:p w14:paraId="3DFB3E30" w14:textId="77777777" w:rsidR="00DF73C0" w:rsidRPr="00CB4ED1" w:rsidRDefault="00DF73C0" w:rsidP="00E67800">
            <w:pPr>
              <w:pStyle w:val="tabletext"/>
              <w:rPr>
                <w:sz w:val="18"/>
                <w:szCs w:val="20"/>
              </w:rPr>
            </w:pPr>
            <w:r w:rsidRPr="00CB4ED1">
              <w:rPr>
                <w:sz w:val="18"/>
                <w:szCs w:val="20"/>
              </w:rPr>
              <w:t>To be confirmed at FBC</w:t>
            </w:r>
          </w:p>
        </w:tc>
        <w:tc>
          <w:tcPr>
            <w:tcW w:w="4536" w:type="dxa"/>
          </w:tcPr>
          <w:p w14:paraId="6A8D7D6B" w14:textId="77777777" w:rsidR="00DF73C0" w:rsidRPr="00CB4ED1" w:rsidRDefault="00DF73C0" w:rsidP="00E67800">
            <w:pPr>
              <w:pStyle w:val="tabletext"/>
              <w:rPr>
                <w:sz w:val="18"/>
                <w:szCs w:val="20"/>
              </w:rPr>
            </w:pPr>
            <w:r w:rsidRPr="00970E99">
              <w:rPr>
                <w:sz w:val="18"/>
                <w:szCs w:val="20"/>
              </w:rPr>
              <w:t>To be confirmed at FBC</w:t>
            </w:r>
          </w:p>
        </w:tc>
        <w:tc>
          <w:tcPr>
            <w:tcW w:w="862" w:type="dxa"/>
          </w:tcPr>
          <w:p w14:paraId="511164BC" w14:textId="77777777" w:rsidR="00DF73C0" w:rsidRPr="00CB4ED1" w:rsidRDefault="00DF73C0" w:rsidP="00E67800">
            <w:pPr>
              <w:pStyle w:val="tabletext"/>
              <w:rPr>
                <w:sz w:val="18"/>
                <w:szCs w:val="20"/>
              </w:rPr>
            </w:pPr>
            <w:r w:rsidRPr="00CB4ED1">
              <w:rPr>
                <w:sz w:val="18"/>
                <w:szCs w:val="20"/>
              </w:rPr>
              <w:t>CRB</w:t>
            </w:r>
            <w:r>
              <w:rPr>
                <w:sz w:val="18"/>
                <w:szCs w:val="20"/>
              </w:rPr>
              <w:t>2</w:t>
            </w:r>
          </w:p>
        </w:tc>
      </w:tr>
      <w:tr w:rsidR="00DF73C0" w:rsidRPr="00CB4ED1" w14:paraId="609B2354" w14:textId="77777777" w:rsidTr="00E67800">
        <w:trPr>
          <w:cantSplit/>
        </w:trPr>
        <w:tc>
          <w:tcPr>
            <w:tcW w:w="2660" w:type="dxa"/>
          </w:tcPr>
          <w:p w14:paraId="2BF68441" w14:textId="77777777" w:rsidR="00DF73C0" w:rsidRPr="00CB4ED1" w:rsidRDefault="00DF73C0" w:rsidP="00E67800">
            <w:pPr>
              <w:pStyle w:val="tabletext"/>
              <w:rPr>
                <w:bCs/>
                <w:sz w:val="18"/>
                <w:szCs w:val="20"/>
              </w:rPr>
            </w:pPr>
            <w:r>
              <w:rPr>
                <w:sz w:val="18"/>
                <w:szCs w:val="20"/>
              </w:rPr>
              <w:t>Reduced sickness absence</w:t>
            </w:r>
          </w:p>
        </w:tc>
        <w:tc>
          <w:tcPr>
            <w:tcW w:w="1701" w:type="dxa"/>
          </w:tcPr>
          <w:p w14:paraId="2B3C89E1" w14:textId="77777777" w:rsidR="00DF73C0" w:rsidRPr="00CB4ED1" w:rsidRDefault="00DF73C0" w:rsidP="00E67800">
            <w:pPr>
              <w:pStyle w:val="tabletext"/>
              <w:rPr>
                <w:sz w:val="18"/>
                <w:szCs w:val="20"/>
              </w:rPr>
            </w:pPr>
            <w:r>
              <w:rPr>
                <w:sz w:val="18"/>
                <w:szCs w:val="20"/>
              </w:rPr>
              <w:t>Sickness absence</w:t>
            </w:r>
          </w:p>
        </w:tc>
        <w:tc>
          <w:tcPr>
            <w:tcW w:w="1843" w:type="dxa"/>
          </w:tcPr>
          <w:p w14:paraId="4C825587" w14:textId="77777777" w:rsidR="00DF73C0" w:rsidRPr="00CB4ED1" w:rsidRDefault="00DF73C0" w:rsidP="00E67800">
            <w:pPr>
              <w:pStyle w:val="tabletext"/>
              <w:rPr>
                <w:sz w:val="18"/>
                <w:szCs w:val="20"/>
              </w:rPr>
            </w:pPr>
            <w:r w:rsidRPr="00CB4ED1">
              <w:rPr>
                <w:sz w:val="18"/>
                <w:szCs w:val="20"/>
              </w:rPr>
              <w:t>To be confirmed at FBC</w:t>
            </w:r>
          </w:p>
        </w:tc>
        <w:tc>
          <w:tcPr>
            <w:tcW w:w="2409" w:type="dxa"/>
          </w:tcPr>
          <w:p w14:paraId="3F17FF40" w14:textId="77777777" w:rsidR="00DF73C0" w:rsidRPr="00CB4ED1" w:rsidRDefault="00DF73C0" w:rsidP="00E67800">
            <w:pPr>
              <w:pStyle w:val="tabletext"/>
              <w:rPr>
                <w:sz w:val="18"/>
                <w:szCs w:val="20"/>
              </w:rPr>
            </w:pPr>
            <w:r w:rsidRPr="00CB4ED1">
              <w:rPr>
                <w:sz w:val="18"/>
                <w:szCs w:val="20"/>
              </w:rPr>
              <w:t>To be confirmed at FBC</w:t>
            </w:r>
          </w:p>
        </w:tc>
        <w:tc>
          <w:tcPr>
            <w:tcW w:w="1418" w:type="dxa"/>
          </w:tcPr>
          <w:p w14:paraId="16A8009C" w14:textId="77777777" w:rsidR="00DF73C0" w:rsidRPr="00CB4ED1" w:rsidRDefault="00DF73C0" w:rsidP="00E67800">
            <w:pPr>
              <w:pStyle w:val="tabletext"/>
              <w:rPr>
                <w:sz w:val="18"/>
                <w:szCs w:val="20"/>
              </w:rPr>
            </w:pPr>
            <w:r w:rsidRPr="00CB4ED1">
              <w:rPr>
                <w:sz w:val="18"/>
                <w:szCs w:val="20"/>
              </w:rPr>
              <w:t>To be confirmed at FBC</w:t>
            </w:r>
          </w:p>
        </w:tc>
        <w:tc>
          <w:tcPr>
            <w:tcW w:w="4536" w:type="dxa"/>
          </w:tcPr>
          <w:p w14:paraId="462C29A7" w14:textId="77777777" w:rsidR="00DF73C0" w:rsidRPr="00CB4ED1" w:rsidRDefault="00DF73C0" w:rsidP="00E67800">
            <w:pPr>
              <w:pStyle w:val="tabletext"/>
              <w:rPr>
                <w:sz w:val="18"/>
                <w:szCs w:val="20"/>
              </w:rPr>
            </w:pPr>
            <w:r>
              <w:rPr>
                <w:sz w:val="18"/>
                <w:szCs w:val="20"/>
              </w:rPr>
              <w:t>To be confirmed at FBC</w:t>
            </w:r>
          </w:p>
        </w:tc>
        <w:tc>
          <w:tcPr>
            <w:tcW w:w="862" w:type="dxa"/>
          </w:tcPr>
          <w:p w14:paraId="2746C25D" w14:textId="77777777" w:rsidR="00DF73C0" w:rsidRPr="00CB4ED1" w:rsidRDefault="00DF73C0" w:rsidP="00E67800">
            <w:pPr>
              <w:pStyle w:val="tabletext"/>
              <w:rPr>
                <w:sz w:val="18"/>
                <w:szCs w:val="20"/>
              </w:rPr>
            </w:pPr>
            <w:r>
              <w:rPr>
                <w:sz w:val="18"/>
                <w:szCs w:val="20"/>
              </w:rPr>
              <w:t>CRB3</w:t>
            </w:r>
          </w:p>
        </w:tc>
      </w:tr>
      <w:tr w:rsidR="00DF73C0" w:rsidRPr="00CB4ED1" w14:paraId="0EF86930" w14:textId="77777777" w:rsidTr="00E67800">
        <w:trPr>
          <w:cantSplit/>
        </w:trPr>
        <w:tc>
          <w:tcPr>
            <w:tcW w:w="2660" w:type="dxa"/>
          </w:tcPr>
          <w:p w14:paraId="3AA73A89" w14:textId="77777777" w:rsidR="00DF73C0" w:rsidRPr="00CB4ED1" w:rsidRDefault="00DF73C0" w:rsidP="00E67800">
            <w:pPr>
              <w:pStyle w:val="tabletext"/>
              <w:rPr>
                <w:sz w:val="18"/>
                <w:szCs w:val="20"/>
              </w:rPr>
            </w:pPr>
            <w:r w:rsidRPr="00CB4ED1">
              <w:rPr>
                <w:bCs/>
                <w:sz w:val="18"/>
                <w:szCs w:val="20"/>
              </w:rPr>
              <w:t xml:space="preserve">More efficient ways of working: </w:t>
            </w:r>
            <w:r w:rsidRPr="00CB4ED1">
              <w:rPr>
                <w:rFonts w:cstheme="minorBidi"/>
                <w:sz w:val="18"/>
                <w:szCs w:val="20"/>
              </w:rPr>
              <w:t>Consolidated service model leading to optimised workforce planning</w:t>
            </w:r>
            <w:r w:rsidRPr="00CB4ED1">
              <w:rPr>
                <w:sz w:val="18"/>
                <w:szCs w:val="20"/>
              </w:rPr>
              <w:t xml:space="preserve"> and a team that can</w:t>
            </w:r>
            <w:r w:rsidRPr="00CB4ED1">
              <w:rPr>
                <w:rFonts w:cstheme="minorBidi"/>
                <w:sz w:val="18"/>
                <w:szCs w:val="20"/>
              </w:rPr>
              <w:t xml:space="preserve"> operate in </w:t>
            </w:r>
            <w:r w:rsidRPr="00CB4ED1">
              <w:rPr>
                <w:sz w:val="18"/>
                <w:szCs w:val="20"/>
              </w:rPr>
              <w:t xml:space="preserve">a more </w:t>
            </w:r>
            <w:r w:rsidRPr="00CB4ED1">
              <w:rPr>
                <w:rFonts w:cstheme="minorBidi"/>
                <w:sz w:val="18"/>
                <w:szCs w:val="20"/>
              </w:rPr>
              <w:t xml:space="preserve">agile </w:t>
            </w:r>
            <w:r w:rsidRPr="00CB4ED1">
              <w:rPr>
                <w:sz w:val="18"/>
                <w:szCs w:val="20"/>
              </w:rPr>
              <w:t>way</w:t>
            </w:r>
            <w:r w:rsidRPr="00CB4ED1">
              <w:rPr>
                <w:rFonts w:cstheme="minorBidi"/>
                <w:sz w:val="18"/>
                <w:szCs w:val="20"/>
              </w:rPr>
              <w:t xml:space="preserve"> is expected </w:t>
            </w:r>
            <w:r w:rsidRPr="00CB4ED1">
              <w:rPr>
                <w:sz w:val="18"/>
                <w:szCs w:val="20"/>
              </w:rPr>
              <w:t>to</w:t>
            </w:r>
            <w:r w:rsidRPr="00CB4ED1">
              <w:rPr>
                <w:rFonts w:cstheme="minorBidi"/>
                <w:sz w:val="18"/>
                <w:szCs w:val="20"/>
              </w:rPr>
              <w:t xml:space="preserve"> result in productivity improvements and rota efficiencies.</w:t>
            </w:r>
          </w:p>
        </w:tc>
        <w:tc>
          <w:tcPr>
            <w:tcW w:w="1701" w:type="dxa"/>
          </w:tcPr>
          <w:p w14:paraId="3C7D7EA0" w14:textId="77777777" w:rsidR="00DF73C0" w:rsidRPr="00CB4ED1" w:rsidRDefault="00DF73C0" w:rsidP="00E67800">
            <w:pPr>
              <w:pStyle w:val="tabletext"/>
              <w:rPr>
                <w:sz w:val="18"/>
                <w:szCs w:val="20"/>
              </w:rPr>
            </w:pPr>
            <w:r w:rsidRPr="00CB4ED1">
              <w:rPr>
                <w:sz w:val="18"/>
                <w:szCs w:val="20"/>
              </w:rPr>
              <w:t>Rota efficiencies</w:t>
            </w:r>
          </w:p>
        </w:tc>
        <w:tc>
          <w:tcPr>
            <w:tcW w:w="1843" w:type="dxa"/>
          </w:tcPr>
          <w:p w14:paraId="356F8655" w14:textId="77777777" w:rsidR="00DF73C0" w:rsidRPr="00CB4ED1" w:rsidRDefault="00DF73C0" w:rsidP="00E67800">
            <w:pPr>
              <w:pStyle w:val="tabletext"/>
              <w:rPr>
                <w:sz w:val="18"/>
                <w:szCs w:val="20"/>
              </w:rPr>
            </w:pPr>
            <w:r w:rsidRPr="008863E0">
              <w:rPr>
                <w:sz w:val="18"/>
                <w:szCs w:val="20"/>
              </w:rPr>
              <w:t>Captured in Revenue Model</w:t>
            </w:r>
          </w:p>
        </w:tc>
        <w:tc>
          <w:tcPr>
            <w:tcW w:w="2409" w:type="dxa"/>
          </w:tcPr>
          <w:p w14:paraId="12814C4A" w14:textId="77777777" w:rsidR="00DF73C0" w:rsidRPr="00CB4ED1" w:rsidRDefault="00DF73C0" w:rsidP="00E67800">
            <w:pPr>
              <w:pStyle w:val="tabletext"/>
              <w:rPr>
                <w:sz w:val="18"/>
                <w:szCs w:val="20"/>
              </w:rPr>
            </w:pPr>
            <w:r w:rsidRPr="008863E0">
              <w:rPr>
                <w:sz w:val="18"/>
                <w:szCs w:val="20"/>
              </w:rPr>
              <w:t>Captured in Revenue Model</w:t>
            </w:r>
          </w:p>
        </w:tc>
        <w:tc>
          <w:tcPr>
            <w:tcW w:w="1418" w:type="dxa"/>
          </w:tcPr>
          <w:p w14:paraId="05586B75" w14:textId="77777777" w:rsidR="00DF73C0" w:rsidRPr="00CB4ED1" w:rsidRDefault="00DF73C0" w:rsidP="00E67800">
            <w:pPr>
              <w:pStyle w:val="tabletext"/>
              <w:rPr>
                <w:sz w:val="18"/>
                <w:szCs w:val="20"/>
              </w:rPr>
            </w:pPr>
            <w:r>
              <w:rPr>
                <w:sz w:val="18"/>
                <w:szCs w:val="20"/>
              </w:rPr>
              <w:t>Captured in Revenue Model</w:t>
            </w:r>
          </w:p>
        </w:tc>
        <w:tc>
          <w:tcPr>
            <w:tcW w:w="4536" w:type="dxa"/>
          </w:tcPr>
          <w:p w14:paraId="2C1F204D" w14:textId="77777777" w:rsidR="00DF73C0" w:rsidRPr="00CB4ED1" w:rsidRDefault="00DF73C0" w:rsidP="00E67800">
            <w:pPr>
              <w:pStyle w:val="tabletext"/>
              <w:rPr>
                <w:sz w:val="18"/>
                <w:szCs w:val="20"/>
              </w:rPr>
            </w:pPr>
            <w:r>
              <w:rPr>
                <w:sz w:val="18"/>
                <w:szCs w:val="20"/>
              </w:rPr>
              <w:t>Captured as part of the Revenue Model workforce figure.</w:t>
            </w:r>
          </w:p>
        </w:tc>
        <w:tc>
          <w:tcPr>
            <w:tcW w:w="862" w:type="dxa"/>
          </w:tcPr>
          <w:p w14:paraId="4126F7AC" w14:textId="77777777" w:rsidR="00DF73C0" w:rsidRPr="00CB4ED1" w:rsidRDefault="00DF73C0" w:rsidP="00E67800">
            <w:pPr>
              <w:pStyle w:val="tabletext"/>
              <w:rPr>
                <w:sz w:val="18"/>
                <w:szCs w:val="20"/>
              </w:rPr>
            </w:pPr>
            <w:r>
              <w:rPr>
                <w:sz w:val="18"/>
                <w:szCs w:val="20"/>
              </w:rPr>
              <w:t>For noting</w:t>
            </w:r>
          </w:p>
        </w:tc>
      </w:tr>
      <w:tr w:rsidR="00DF73C0" w:rsidRPr="00CB4ED1" w14:paraId="4C5D1BDF" w14:textId="77777777" w:rsidTr="00E67800">
        <w:tc>
          <w:tcPr>
            <w:tcW w:w="2660" w:type="dxa"/>
          </w:tcPr>
          <w:p w14:paraId="6AE818E6" w14:textId="77777777" w:rsidR="00DF73C0" w:rsidRPr="00CB4ED1" w:rsidRDefault="00DF73C0" w:rsidP="00E67800">
            <w:pPr>
              <w:pStyle w:val="tabletext"/>
              <w:rPr>
                <w:sz w:val="18"/>
                <w:szCs w:val="20"/>
              </w:rPr>
            </w:pPr>
            <w:r w:rsidRPr="00CB4ED1">
              <w:rPr>
                <w:sz w:val="18"/>
                <w:szCs w:val="20"/>
              </w:rPr>
              <w:t>Opportunities to share best workforce practices across the region</w:t>
            </w:r>
          </w:p>
        </w:tc>
        <w:tc>
          <w:tcPr>
            <w:tcW w:w="1701" w:type="dxa"/>
          </w:tcPr>
          <w:p w14:paraId="65100DD0" w14:textId="77777777" w:rsidR="00DF73C0" w:rsidRPr="00CB4ED1" w:rsidRDefault="00DF73C0" w:rsidP="00E67800">
            <w:pPr>
              <w:pStyle w:val="tabletext"/>
              <w:rPr>
                <w:sz w:val="18"/>
                <w:szCs w:val="20"/>
              </w:rPr>
            </w:pPr>
            <w:r w:rsidRPr="00CB4ED1">
              <w:rPr>
                <w:sz w:val="18"/>
                <w:szCs w:val="20"/>
              </w:rPr>
              <w:t>Qualitative</w:t>
            </w:r>
          </w:p>
        </w:tc>
        <w:tc>
          <w:tcPr>
            <w:tcW w:w="1843" w:type="dxa"/>
          </w:tcPr>
          <w:p w14:paraId="33EED1E2" w14:textId="77777777" w:rsidR="00DF73C0" w:rsidRPr="00CB4ED1" w:rsidRDefault="00DF73C0" w:rsidP="00E67800">
            <w:pPr>
              <w:pStyle w:val="tabletext"/>
              <w:rPr>
                <w:sz w:val="18"/>
                <w:szCs w:val="20"/>
              </w:rPr>
            </w:pPr>
            <w:r w:rsidRPr="00CB4ED1">
              <w:rPr>
                <w:sz w:val="18"/>
                <w:szCs w:val="20"/>
              </w:rPr>
              <w:t>N/A</w:t>
            </w:r>
          </w:p>
        </w:tc>
        <w:tc>
          <w:tcPr>
            <w:tcW w:w="2409" w:type="dxa"/>
          </w:tcPr>
          <w:p w14:paraId="6BF6A576" w14:textId="77777777" w:rsidR="00DF73C0" w:rsidRPr="00CB4ED1" w:rsidRDefault="00DF73C0" w:rsidP="00E67800">
            <w:pPr>
              <w:pStyle w:val="tabletext"/>
              <w:rPr>
                <w:sz w:val="18"/>
                <w:szCs w:val="20"/>
              </w:rPr>
            </w:pPr>
            <w:r w:rsidRPr="00CB4ED1">
              <w:rPr>
                <w:sz w:val="18"/>
                <w:szCs w:val="20"/>
              </w:rPr>
              <w:t>N/A</w:t>
            </w:r>
          </w:p>
        </w:tc>
        <w:tc>
          <w:tcPr>
            <w:tcW w:w="1418" w:type="dxa"/>
          </w:tcPr>
          <w:p w14:paraId="7036A251" w14:textId="77777777" w:rsidR="00DF73C0" w:rsidRPr="00CB4ED1" w:rsidRDefault="00DF73C0" w:rsidP="00E67800">
            <w:pPr>
              <w:pStyle w:val="tabletext"/>
              <w:rPr>
                <w:sz w:val="18"/>
                <w:szCs w:val="20"/>
              </w:rPr>
            </w:pPr>
          </w:p>
        </w:tc>
        <w:tc>
          <w:tcPr>
            <w:tcW w:w="4536" w:type="dxa"/>
          </w:tcPr>
          <w:p w14:paraId="7AFDE067" w14:textId="77777777" w:rsidR="00DF73C0" w:rsidRPr="00CB4ED1" w:rsidRDefault="00DF73C0" w:rsidP="00E67800">
            <w:pPr>
              <w:pStyle w:val="tabletext"/>
              <w:rPr>
                <w:sz w:val="18"/>
                <w:szCs w:val="20"/>
              </w:rPr>
            </w:pPr>
            <w:r w:rsidRPr="00CB4ED1">
              <w:rPr>
                <w:sz w:val="18"/>
                <w:szCs w:val="20"/>
              </w:rPr>
              <w:t>Not possible to quantify in a meaningful way at this stage</w:t>
            </w:r>
          </w:p>
        </w:tc>
        <w:tc>
          <w:tcPr>
            <w:tcW w:w="862" w:type="dxa"/>
          </w:tcPr>
          <w:p w14:paraId="7896CDAB" w14:textId="77777777" w:rsidR="00DF73C0" w:rsidRPr="00CB4ED1" w:rsidRDefault="00DF73C0" w:rsidP="00E67800">
            <w:pPr>
              <w:pStyle w:val="tabletext"/>
              <w:rPr>
                <w:sz w:val="18"/>
                <w:szCs w:val="20"/>
              </w:rPr>
            </w:pPr>
            <w:r w:rsidRPr="00CB4ED1">
              <w:rPr>
                <w:sz w:val="18"/>
                <w:szCs w:val="20"/>
              </w:rPr>
              <w:t>UB1</w:t>
            </w:r>
            <w:r>
              <w:rPr>
                <w:sz w:val="18"/>
                <w:szCs w:val="20"/>
              </w:rPr>
              <w:t>7</w:t>
            </w:r>
          </w:p>
        </w:tc>
      </w:tr>
      <w:tr w:rsidR="00DF73C0" w:rsidRPr="00CB4ED1" w14:paraId="2FE9A632" w14:textId="77777777" w:rsidTr="00E67800">
        <w:tc>
          <w:tcPr>
            <w:tcW w:w="15429" w:type="dxa"/>
            <w:gridSpan w:val="7"/>
            <w:shd w:val="clear" w:color="auto" w:fill="D9F0FA" w:themeFill="background2" w:themeFillTint="33"/>
          </w:tcPr>
          <w:p w14:paraId="2B031281" w14:textId="77777777" w:rsidR="00DF73C0" w:rsidRPr="00CB4ED1" w:rsidRDefault="00DF73C0" w:rsidP="00E67800">
            <w:pPr>
              <w:pStyle w:val="tabletext"/>
              <w:rPr>
                <w:bCs/>
                <w:sz w:val="18"/>
                <w:szCs w:val="20"/>
              </w:rPr>
            </w:pPr>
            <w:r w:rsidRPr="00CB4ED1">
              <w:rPr>
                <w:bCs/>
                <w:sz w:val="18"/>
                <w:szCs w:val="20"/>
              </w:rPr>
              <w:t>Providing a sustainable estate</w:t>
            </w:r>
          </w:p>
        </w:tc>
      </w:tr>
      <w:tr w:rsidR="00DF73C0" w:rsidRPr="00CB4ED1" w14:paraId="12F85E0D" w14:textId="77777777" w:rsidTr="00E67800">
        <w:tc>
          <w:tcPr>
            <w:tcW w:w="2660" w:type="dxa"/>
            <w:vMerge w:val="restart"/>
          </w:tcPr>
          <w:p w14:paraId="3199A302" w14:textId="77777777" w:rsidR="00DF73C0" w:rsidRPr="00CB4ED1" w:rsidRDefault="00DF73C0" w:rsidP="00E67800">
            <w:pPr>
              <w:pStyle w:val="tabletext"/>
              <w:rPr>
                <w:sz w:val="18"/>
                <w:szCs w:val="20"/>
              </w:rPr>
            </w:pPr>
            <w:r w:rsidRPr="00CB4ED1">
              <w:rPr>
                <w:sz w:val="18"/>
                <w:szCs w:val="20"/>
              </w:rPr>
              <w:t xml:space="preserve">Modern fit for purpose </w:t>
            </w:r>
            <w:r w:rsidRPr="00CB4ED1">
              <w:rPr>
                <w:bCs/>
                <w:sz w:val="18"/>
                <w:szCs w:val="20"/>
              </w:rPr>
              <w:t xml:space="preserve">compliant </w:t>
            </w:r>
            <w:r w:rsidRPr="00CB4ED1">
              <w:rPr>
                <w:sz w:val="18"/>
                <w:szCs w:val="20"/>
              </w:rPr>
              <w:t>facility that aligns with current guidance and provides more robust, resilient and sustainable facilities</w:t>
            </w:r>
          </w:p>
        </w:tc>
        <w:tc>
          <w:tcPr>
            <w:tcW w:w="1701" w:type="dxa"/>
          </w:tcPr>
          <w:p w14:paraId="6E0F4B35" w14:textId="77777777" w:rsidR="00DF73C0" w:rsidRPr="00CB4ED1" w:rsidRDefault="00DF73C0" w:rsidP="00E67800">
            <w:pPr>
              <w:pStyle w:val="tabletext"/>
              <w:rPr>
                <w:rFonts w:cstheme="minorBidi"/>
                <w:sz w:val="18"/>
                <w:szCs w:val="20"/>
              </w:rPr>
            </w:pPr>
            <w:r w:rsidRPr="00CB4ED1">
              <w:rPr>
                <w:rFonts w:cstheme="minorBidi"/>
                <w:sz w:val="18"/>
                <w:szCs w:val="20"/>
              </w:rPr>
              <w:t>WHBNs</w:t>
            </w:r>
          </w:p>
          <w:p w14:paraId="5BC51508" w14:textId="77777777" w:rsidR="00DF73C0" w:rsidRPr="00CB4ED1" w:rsidRDefault="00DF73C0" w:rsidP="00E67800">
            <w:pPr>
              <w:pStyle w:val="tabletext"/>
              <w:rPr>
                <w:sz w:val="18"/>
                <w:szCs w:val="20"/>
              </w:rPr>
            </w:pPr>
            <w:r w:rsidRPr="00CB4ED1">
              <w:rPr>
                <w:sz w:val="18"/>
                <w:szCs w:val="20"/>
              </w:rPr>
              <w:t>HTNs</w:t>
            </w:r>
          </w:p>
        </w:tc>
        <w:tc>
          <w:tcPr>
            <w:tcW w:w="1843" w:type="dxa"/>
          </w:tcPr>
          <w:p w14:paraId="32C4B996" w14:textId="77777777" w:rsidR="00DF73C0" w:rsidRPr="00CB4ED1" w:rsidRDefault="00DF73C0" w:rsidP="00E67800">
            <w:pPr>
              <w:pStyle w:val="tabletext"/>
              <w:rPr>
                <w:sz w:val="18"/>
                <w:szCs w:val="20"/>
              </w:rPr>
            </w:pPr>
            <w:r w:rsidRPr="00CB4ED1">
              <w:rPr>
                <w:sz w:val="18"/>
                <w:szCs w:val="20"/>
              </w:rPr>
              <w:t>N/A</w:t>
            </w:r>
          </w:p>
        </w:tc>
        <w:tc>
          <w:tcPr>
            <w:tcW w:w="2409" w:type="dxa"/>
          </w:tcPr>
          <w:p w14:paraId="401075A0" w14:textId="77777777" w:rsidR="00DF73C0" w:rsidRPr="00CB4ED1" w:rsidRDefault="00DF73C0" w:rsidP="00E67800">
            <w:pPr>
              <w:pStyle w:val="tabletext"/>
              <w:rPr>
                <w:sz w:val="18"/>
                <w:szCs w:val="20"/>
              </w:rPr>
            </w:pPr>
            <w:r w:rsidRPr="00CB4ED1">
              <w:rPr>
                <w:sz w:val="18"/>
                <w:szCs w:val="20"/>
              </w:rPr>
              <w:t>Complies with relevant WHBNs and HTNs</w:t>
            </w:r>
          </w:p>
        </w:tc>
        <w:tc>
          <w:tcPr>
            <w:tcW w:w="1418" w:type="dxa"/>
          </w:tcPr>
          <w:p w14:paraId="527D5590" w14:textId="77777777" w:rsidR="00DF73C0" w:rsidRPr="00CB4ED1" w:rsidRDefault="00DF73C0" w:rsidP="00E67800">
            <w:pPr>
              <w:pStyle w:val="tabletext"/>
              <w:rPr>
                <w:sz w:val="18"/>
                <w:szCs w:val="20"/>
              </w:rPr>
            </w:pPr>
            <w:r w:rsidRPr="00CB4ED1">
              <w:rPr>
                <w:sz w:val="18"/>
                <w:szCs w:val="20"/>
              </w:rPr>
              <w:t xml:space="preserve">Not </w:t>
            </w:r>
            <w:proofErr w:type="spellStart"/>
            <w:r w:rsidRPr="00CB4ED1">
              <w:rPr>
                <w:sz w:val="18"/>
                <w:szCs w:val="20"/>
              </w:rPr>
              <w:t>monetisable</w:t>
            </w:r>
            <w:proofErr w:type="spellEnd"/>
          </w:p>
        </w:tc>
        <w:tc>
          <w:tcPr>
            <w:tcW w:w="4536" w:type="dxa"/>
          </w:tcPr>
          <w:p w14:paraId="2D48585F" w14:textId="77777777" w:rsidR="00DF73C0" w:rsidRPr="00CB4ED1" w:rsidRDefault="00DF73C0" w:rsidP="00E67800">
            <w:pPr>
              <w:pStyle w:val="tabletext"/>
              <w:rPr>
                <w:sz w:val="18"/>
                <w:szCs w:val="20"/>
              </w:rPr>
            </w:pPr>
            <w:r w:rsidRPr="00CB4ED1">
              <w:rPr>
                <w:sz w:val="18"/>
                <w:szCs w:val="20"/>
              </w:rPr>
              <w:t>N/A</w:t>
            </w:r>
          </w:p>
        </w:tc>
        <w:tc>
          <w:tcPr>
            <w:tcW w:w="862" w:type="dxa"/>
          </w:tcPr>
          <w:p w14:paraId="4B72ECEF" w14:textId="77777777" w:rsidR="00DF73C0" w:rsidRPr="00CB4ED1" w:rsidRDefault="00DF73C0" w:rsidP="00E67800">
            <w:pPr>
              <w:pStyle w:val="tabletext"/>
              <w:rPr>
                <w:sz w:val="18"/>
                <w:szCs w:val="20"/>
              </w:rPr>
            </w:pPr>
            <w:r w:rsidRPr="00CB4ED1">
              <w:rPr>
                <w:sz w:val="18"/>
                <w:szCs w:val="20"/>
              </w:rPr>
              <w:t>UB1</w:t>
            </w:r>
            <w:r>
              <w:rPr>
                <w:sz w:val="18"/>
                <w:szCs w:val="20"/>
              </w:rPr>
              <w:t>8</w:t>
            </w:r>
          </w:p>
        </w:tc>
      </w:tr>
      <w:tr w:rsidR="00DF73C0" w:rsidRPr="00CB4ED1" w14:paraId="4EE261F5" w14:textId="77777777" w:rsidTr="00E67800">
        <w:tc>
          <w:tcPr>
            <w:tcW w:w="2660" w:type="dxa"/>
            <w:vMerge/>
          </w:tcPr>
          <w:p w14:paraId="5D3CC84D" w14:textId="77777777" w:rsidR="00DF73C0" w:rsidRPr="00CB4ED1" w:rsidRDefault="00DF73C0" w:rsidP="00E67800">
            <w:pPr>
              <w:pStyle w:val="tabletext"/>
              <w:rPr>
                <w:bCs/>
                <w:sz w:val="18"/>
                <w:szCs w:val="20"/>
              </w:rPr>
            </w:pPr>
          </w:p>
        </w:tc>
        <w:tc>
          <w:tcPr>
            <w:tcW w:w="1701" w:type="dxa"/>
          </w:tcPr>
          <w:p w14:paraId="7FDD18EC" w14:textId="77777777" w:rsidR="00DF73C0" w:rsidRPr="00CB4ED1" w:rsidRDefault="00DF73C0" w:rsidP="00E67800">
            <w:pPr>
              <w:pStyle w:val="tabletext"/>
              <w:rPr>
                <w:sz w:val="18"/>
                <w:szCs w:val="20"/>
              </w:rPr>
            </w:pPr>
            <w:r w:rsidRPr="00CB4ED1">
              <w:rPr>
                <w:sz w:val="18"/>
                <w:szCs w:val="20"/>
              </w:rPr>
              <w:t>BREEAM rating</w:t>
            </w:r>
          </w:p>
        </w:tc>
        <w:tc>
          <w:tcPr>
            <w:tcW w:w="1843" w:type="dxa"/>
          </w:tcPr>
          <w:p w14:paraId="6012059A" w14:textId="77777777" w:rsidR="00DF73C0" w:rsidRPr="00CB4ED1" w:rsidRDefault="00DF73C0" w:rsidP="00E67800">
            <w:pPr>
              <w:pStyle w:val="tabletext"/>
              <w:rPr>
                <w:sz w:val="18"/>
                <w:szCs w:val="20"/>
              </w:rPr>
            </w:pPr>
            <w:r w:rsidRPr="00CB4ED1">
              <w:rPr>
                <w:sz w:val="18"/>
                <w:szCs w:val="20"/>
              </w:rPr>
              <w:t>N/A</w:t>
            </w:r>
          </w:p>
        </w:tc>
        <w:tc>
          <w:tcPr>
            <w:tcW w:w="2409" w:type="dxa"/>
          </w:tcPr>
          <w:p w14:paraId="2E6DC621" w14:textId="77777777" w:rsidR="00DF73C0" w:rsidRPr="00CB4ED1" w:rsidRDefault="00DF73C0" w:rsidP="00E67800">
            <w:pPr>
              <w:pStyle w:val="tabletext"/>
              <w:rPr>
                <w:sz w:val="18"/>
                <w:szCs w:val="20"/>
              </w:rPr>
            </w:pPr>
            <w:r w:rsidRPr="00CB4ED1">
              <w:rPr>
                <w:sz w:val="18"/>
                <w:szCs w:val="20"/>
              </w:rPr>
              <w:t>BREEAM rated as excellent</w:t>
            </w:r>
          </w:p>
        </w:tc>
        <w:tc>
          <w:tcPr>
            <w:tcW w:w="1418" w:type="dxa"/>
          </w:tcPr>
          <w:p w14:paraId="4456AA04" w14:textId="77777777" w:rsidR="00DF73C0" w:rsidRPr="00CB4ED1" w:rsidRDefault="00DF73C0" w:rsidP="00E67800">
            <w:pPr>
              <w:pStyle w:val="tabletext"/>
              <w:rPr>
                <w:sz w:val="18"/>
                <w:szCs w:val="20"/>
              </w:rPr>
            </w:pPr>
            <w:r w:rsidRPr="00CB4ED1">
              <w:rPr>
                <w:sz w:val="18"/>
                <w:szCs w:val="20"/>
              </w:rPr>
              <w:t xml:space="preserve">Not </w:t>
            </w:r>
            <w:proofErr w:type="spellStart"/>
            <w:r w:rsidRPr="00CB4ED1">
              <w:rPr>
                <w:sz w:val="18"/>
                <w:szCs w:val="20"/>
              </w:rPr>
              <w:t>monetisable</w:t>
            </w:r>
            <w:proofErr w:type="spellEnd"/>
          </w:p>
        </w:tc>
        <w:tc>
          <w:tcPr>
            <w:tcW w:w="4536" w:type="dxa"/>
          </w:tcPr>
          <w:p w14:paraId="4BC546FA" w14:textId="77777777" w:rsidR="00DF73C0" w:rsidRPr="00CB4ED1" w:rsidRDefault="00DF73C0" w:rsidP="00E67800">
            <w:pPr>
              <w:pStyle w:val="tabletext"/>
              <w:rPr>
                <w:sz w:val="18"/>
                <w:szCs w:val="20"/>
              </w:rPr>
            </w:pPr>
            <w:r w:rsidRPr="00CB4ED1">
              <w:rPr>
                <w:sz w:val="18"/>
                <w:szCs w:val="20"/>
              </w:rPr>
              <w:t>N/A</w:t>
            </w:r>
          </w:p>
        </w:tc>
        <w:tc>
          <w:tcPr>
            <w:tcW w:w="862" w:type="dxa"/>
          </w:tcPr>
          <w:p w14:paraId="6A40B165" w14:textId="77777777" w:rsidR="00DF73C0" w:rsidRPr="00CB4ED1" w:rsidRDefault="00DF73C0" w:rsidP="00E67800">
            <w:pPr>
              <w:pStyle w:val="tabletext"/>
              <w:rPr>
                <w:sz w:val="18"/>
                <w:szCs w:val="20"/>
              </w:rPr>
            </w:pPr>
            <w:r w:rsidRPr="00CB4ED1">
              <w:rPr>
                <w:sz w:val="18"/>
                <w:szCs w:val="20"/>
              </w:rPr>
              <w:t>UB</w:t>
            </w:r>
            <w:r>
              <w:rPr>
                <w:sz w:val="18"/>
                <w:szCs w:val="20"/>
              </w:rPr>
              <w:t>19</w:t>
            </w:r>
          </w:p>
        </w:tc>
      </w:tr>
      <w:tr w:rsidR="00DF73C0" w:rsidRPr="00CB4ED1" w14:paraId="06FA650D" w14:textId="77777777" w:rsidTr="00E67800">
        <w:tc>
          <w:tcPr>
            <w:tcW w:w="2660" w:type="dxa"/>
            <w:vMerge/>
          </w:tcPr>
          <w:p w14:paraId="5DD4CDEB" w14:textId="77777777" w:rsidR="00DF73C0" w:rsidRPr="00CB4ED1" w:rsidRDefault="00DF73C0" w:rsidP="00E67800">
            <w:pPr>
              <w:pStyle w:val="tabletext"/>
              <w:rPr>
                <w:bCs/>
                <w:sz w:val="18"/>
                <w:szCs w:val="20"/>
              </w:rPr>
            </w:pPr>
          </w:p>
        </w:tc>
        <w:tc>
          <w:tcPr>
            <w:tcW w:w="1701" w:type="dxa"/>
          </w:tcPr>
          <w:p w14:paraId="47EC8903" w14:textId="77777777" w:rsidR="00DF73C0" w:rsidRPr="00CB4ED1" w:rsidRDefault="00DF73C0" w:rsidP="00E67800">
            <w:pPr>
              <w:pStyle w:val="tabletext"/>
              <w:rPr>
                <w:rFonts w:cstheme="minorBidi"/>
                <w:sz w:val="18"/>
                <w:szCs w:val="20"/>
              </w:rPr>
            </w:pPr>
            <w:r w:rsidRPr="00CB4ED1">
              <w:rPr>
                <w:sz w:val="18"/>
                <w:szCs w:val="20"/>
              </w:rPr>
              <w:t>Enhanced facilities</w:t>
            </w:r>
          </w:p>
        </w:tc>
        <w:tc>
          <w:tcPr>
            <w:tcW w:w="1843" w:type="dxa"/>
          </w:tcPr>
          <w:p w14:paraId="58510D5B" w14:textId="77777777" w:rsidR="00DF73C0" w:rsidRPr="00CB4ED1" w:rsidRDefault="00DF73C0" w:rsidP="00E67800">
            <w:pPr>
              <w:pStyle w:val="tabletext"/>
              <w:rPr>
                <w:sz w:val="18"/>
                <w:szCs w:val="20"/>
              </w:rPr>
            </w:pPr>
            <w:r w:rsidRPr="00CB4ED1">
              <w:rPr>
                <w:sz w:val="18"/>
                <w:szCs w:val="20"/>
              </w:rPr>
              <w:t>N/A</w:t>
            </w:r>
          </w:p>
        </w:tc>
        <w:tc>
          <w:tcPr>
            <w:tcW w:w="2409" w:type="dxa"/>
          </w:tcPr>
          <w:p w14:paraId="387A5106" w14:textId="77777777" w:rsidR="00DF73C0" w:rsidRPr="00CB4ED1" w:rsidRDefault="00DF73C0" w:rsidP="00E67800">
            <w:pPr>
              <w:pStyle w:val="tabletext"/>
              <w:rPr>
                <w:sz w:val="18"/>
                <w:szCs w:val="20"/>
              </w:rPr>
            </w:pPr>
            <w:r w:rsidRPr="00CB4ED1">
              <w:rPr>
                <w:sz w:val="18"/>
                <w:szCs w:val="20"/>
              </w:rPr>
              <w:t>Enhanced facilities enhanced provisions (i.e. 2 oxygen tanks, N+N generator etc.)</w:t>
            </w:r>
          </w:p>
        </w:tc>
        <w:tc>
          <w:tcPr>
            <w:tcW w:w="1418" w:type="dxa"/>
          </w:tcPr>
          <w:p w14:paraId="47831B69" w14:textId="77777777" w:rsidR="00DF73C0" w:rsidRPr="00CB4ED1" w:rsidRDefault="00DF73C0" w:rsidP="00E67800">
            <w:pPr>
              <w:pStyle w:val="tabletext"/>
              <w:rPr>
                <w:sz w:val="18"/>
                <w:szCs w:val="20"/>
              </w:rPr>
            </w:pPr>
            <w:r w:rsidRPr="00CB4ED1">
              <w:rPr>
                <w:sz w:val="18"/>
                <w:szCs w:val="20"/>
              </w:rPr>
              <w:t xml:space="preserve">Not </w:t>
            </w:r>
            <w:proofErr w:type="spellStart"/>
            <w:r w:rsidRPr="00CB4ED1">
              <w:rPr>
                <w:sz w:val="18"/>
                <w:szCs w:val="20"/>
              </w:rPr>
              <w:t>monetisable</w:t>
            </w:r>
            <w:proofErr w:type="spellEnd"/>
          </w:p>
        </w:tc>
        <w:tc>
          <w:tcPr>
            <w:tcW w:w="4536" w:type="dxa"/>
          </w:tcPr>
          <w:p w14:paraId="0BBF68E2" w14:textId="77777777" w:rsidR="00DF73C0" w:rsidRPr="00CB4ED1" w:rsidRDefault="00DF73C0" w:rsidP="00E67800">
            <w:pPr>
              <w:pStyle w:val="tabletext"/>
              <w:rPr>
                <w:sz w:val="18"/>
                <w:szCs w:val="20"/>
              </w:rPr>
            </w:pPr>
            <w:r w:rsidRPr="00CB4ED1">
              <w:rPr>
                <w:sz w:val="18"/>
                <w:szCs w:val="20"/>
              </w:rPr>
              <w:t>N/A</w:t>
            </w:r>
          </w:p>
        </w:tc>
        <w:tc>
          <w:tcPr>
            <w:tcW w:w="862" w:type="dxa"/>
          </w:tcPr>
          <w:p w14:paraId="4927627E" w14:textId="77777777" w:rsidR="00DF73C0" w:rsidRPr="00CB4ED1" w:rsidRDefault="00DF73C0" w:rsidP="00E67800">
            <w:pPr>
              <w:pStyle w:val="tabletext"/>
              <w:rPr>
                <w:sz w:val="18"/>
                <w:szCs w:val="20"/>
              </w:rPr>
            </w:pPr>
            <w:r w:rsidRPr="00CB4ED1">
              <w:rPr>
                <w:sz w:val="18"/>
                <w:szCs w:val="20"/>
              </w:rPr>
              <w:t>UB2</w:t>
            </w:r>
            <w:r>
              <w:rPr>
                <w:sz w:val="18"/>
                <w:szCs w:val="20"/>
              </w:rPr>
              <w:t>0</w:t>
            </w:r>
          </w:p>
        </w:tc>
      </w:tr>
      <w:tr w:rsidR="00DF73C0" w:rsidRPr="00CB4ED1" w14:paraId="776A5EC5" w14:textId="77777777" w:rsidTr="00E67800">
        <w:tc>
          <w:tcPr>
            <w:tcW w:w="2660" w:type="dxa"/>
            <w:vMerge w:val="restart"/>
          </w:tcPr>
          <w:p w14:paraId="4F035F11" w14:textId="77777777" w:rsidR="00DF73C0" w:rsidRPr="00CB4ED1" w:rsidRDefault="00DF73C0" w:rsidP="00E67800">
            <w:pPr>
              <w:pStyle w:val="tabletext"/>
              <w:rPr>
                <w:rFonts w:cstheme="minorBidi"/>
                <w:bCs/>
                <w:sz w:val="18"/>
                <w:szCs w:val="20"/>
              </w:rPr>
            </w:pPr>
            <w:r w:rsidRPr="00D757E4">
              <w:rPr>
                <w:rFonts w:cs="Arial"/>
                <w:bCs/>
                <w:sz w:val="18"/>
                <w:szCs w:val="20"/>
              </w:rPr>
              <w:t>Community Benefits (Social Value provided by the contractor))</w:t>
            </w:r>
            <w:r>
              <w:rPr>
                <w:rFonts w:cs="Arial"/>
                <w:bCs/>
                <w:sz w:val="18"/>
                <w:szCs w:val="20"/>
              </w:rPr>
              <w:t xml:space="preserve"> </w:t>
            </w:r>
          </w:p>
        </w:tc>
        <w:tc>
          <w:tcPr>
            <w:tcW w:w="1701" w:type="dxa"/>
          </w:tcPr>
          <w:p w14:paraId="4F62E39F" w14:textId="77777777" w:rsidR="00DF73C0" w:rsidRPr="00CB4ED1" w:rsidRDefault="00DF73C0" w:rsidP="00E67800">
            <w:pPr>
              <w:pStyle w:val="tabletext"/>
              <w:rPr>
                <w:sz w:val="18"/>
                <w:szCs w:val="20"/>
              </w:rPr>
            </w:pPr>
            <w:r w:rsidRPr="00D757E4">
              <w:rPr>
                <w:rFonts w:cs="Arial"/>
                <w:sz w:val="18"/>
                <w:szCs w:val="20"/>
              </w:rPr>
              <w:t>Number of local direct full time equivalent (FTE) employees hired or retained.</w:t>
            </w:r>
          </w:p>
        </w:tc>
        <w:tc>
          <w:tcPr>
            <w:tcW w:w="1843" w:type="dxa"/>
          </w:tcPr>
          <w:p w14:paraId="1FC31970"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1AB3ACE4" w14:textId="77777777" w:rsidR="00DF73C0" w:rsidRPr="00CB4ED1" w:rsidRDefault="00DF73C0" w:rsidP="00E67800">
            <w:pPr>
              <w:pStyle w:val="tabletext"/>
              <w:rPr>
                <w:sz w:val="18"/>
                <w:szCs w:val="20"/>
              </w:rPr>
            </w:pPr>
            <w:r w:rsidRPr="00D757E4">
              <w:rPr>
                <w:rFonts w:cs="Arial"/>
                <w:sz w:val="18"/>
                <w:szCs w:val="20"/>
              </w:rPr>
              <w:t>10 FTE</w:t>
            </w:r>
          </w:p>
        </w:tc>
        <w:tc>
          <w:tcPr>
            <w:tcW w:w="1418" w:type="dxa"/>
          </w:tcPr>
          <w:p w14:paraId="79FC5A13"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61189465" w14:textId="77777777" w:rsidR="00DF73C0" w:rsidRDefault="00DF73C0" w:rsidP="00E67800">
            <w:pPr>
              <w:pStyle w:val="tabletext"/>
              <w:rPr>
                <w:rFonts w:cs="Arial"/>
                <w:sz w:val="18"/>
                <w:szCs w:val="20"/>
              </w:rPr>
            </w:pPr>
            <w:r w:rsidRPr="00D757E4">
              <w:rPr>
                <w:rFonts w:cs="Arial"/>
                <w:sz w:val="18"/>
                <w:szCs w:val="20"/>
              </w:rPr>
              <w:t>Target as per Social Value information provided as part of the Tender documents by MTX.</w:t>
            </w:r>
          </w:p>
          <w:p w14:paraId="0701CC86" w14:textId="77777777" w:rsidR="00DF73C0" w:rsidRDefault="00DF73C0" w:rsidP="00E67800">
            <w:pPr>
              <w:pStyle w:val="tabletext"/>
              <w:rPr>
                <w:rFonts w:cs="Arial"/>
                <w:sz w:val="18"/>
                <w:szCs w:val="20"/>
              </w:rPr>
            </w:pPr>
          </w:p>
          <w:p w14:paraId="6B0FDE62" w14:textId="77777777" w:rsidR="00DF73C0" w:rsidRPr="00CB4ED1" w:rsidRDefault="00DF73C0" w:rsidP="00E67800">
            <w:pPr>
              <w:pStyle w:val="tabletext"/>
              <w:rPr>
                <w:sz w:val="18"/>
                <w:szCs w:val="20"/>
              </w:rPr>
            </w:pPr>
            <w:r>
              <w:rPr>
                <w:rFonts w:cs="Arial"/>
                <w:bCs/>
                <w:sz w:val="18"/>
                <w:szCs w:val="20"/>
              </w:rPr>
              <w:t>– Note this is the same as Phase 1’s value.</w:t>
            </w:r>
          </w:p>
        </w:tc>
        <w:tc>
          <w:tcPr>
            <w:tcW w:w="862" w:type="dxa"/>
          </w:tcPr>
          <w:p w14:paraId="5AD34E29" w14:textId="77777777" w:rsidR="00DF73C0" w:rsidRPr="00CB4ED1" w:rsidRDefault="00DF73C0" w:rsidP="00E67800">
            <w:pPr>
              <w:pStyle w:val="tabletext"/>
              <w:rPr>
                <w:sz w:val="18"/>
                <w:szCs w:val="20"/>
              </w:rPr>
            </w:pPr>
            <w:r w:rsidRPr="00D757E4">
              <w:rPr>
                <w:rFonts w:cs="Arial"/>
                <w:sz w:val="18"/>
                <w:szCs w:val="20"/>
              </w:rPr>
              <w:t>UB2</w:t>
            </w:r>
            <w:r>
              <w:rPr>
                <w:rFonts w:cs="Arial"/>
                <w:sz w:val="18"/>
                <w:szCs w:val="20"/>
              </w:rPr>
              <w:t>1</w:t>
            </w:r>
            <w:r w:rsidRPr="00D757E4">
              <w:rPr>
                <w:rFonts w:cs="Arial"/>
                <w:sz w:val="18"/>
                <w:szCs w:val="20"/>
              </w:rPr>
              <w:t xml:space="preserve"> (a)</w:t>
            </w:r>
          </w:p>
        </w:tc>
      </w:tr>
      <w:tr w:rsidR="00DF73C0" w:rsidRPr="00CB4ED1" w14:paraId="5ABBEA8D" w14:textId="77777777" w:rsidTr="00E67800">
        <w:tc>
          <w:tcPr>
            <w:tcW w:w="2660" w:type="dxa"/>
            <w:vMerge/>
          </w:tcPr>
          <w:p w14:paraId="46C2B0A4" w14:textId="77777777" w:rsidR="00DF73C0" w:rsidRPr="00CB4ED1" w:rsidRDefault="00DF73C0" w:rsidP="00E67800">
            <w:pPr>
              <w:pStyle w:val="tabletext"/>
              <w:rPr>
                <w:rFonts w:cstheme="minorBidi"/>
                <w:bCs/>
                <w:sz w:val="18"/>
                <w:szCs w:val="20"/>
              </w:rPr>
            </w:pPr>
          </w:p>
        </w:tc>
        <w:tc>
          <w:tcPr>
            <w:tcW w:w="1701" w:type="dxa"/>
          </w:tcPr>
          <w:p w14:paraId="35FF4DD5" w14:textId="77777777" w:rsidR="00DF73C0" w:rsidRPr="00CB4ED1" w:rsidRDefault="00DF73C0" w:rsidP="00E67800">
            <w:pPr>
              <w:pStyle w:val="tabletext"/>
              <w:rPr>
                <w:sz w:val="18"/>
                <w:szCs w:val="20"/>
              </w:rPr>
            </w:pPr>
            <w:r w:rsidRPr="00D757E4">
              <w:rPr>
                <w:rFonts w:cs="Arial"/>
                <w:sz w:val="18"/>
                <w:szCs w:val="20"/>
              </w:rPr>
              <w:t>Number of weeks of apprenticeships provided to local staff.</w:t>
            </w:r>
          </w:p>
        </w:tc>
        <w:tc>
          <w:tcPr>
            <w:tcW w:w="1843" w:type="dxa"/>
          </w:tcPr>
          <w:p w14:paraId="1E59BE72"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73EBDBA0" w14:textId="77777777" w:rsidR="00DF73C0" w:rsidRPr="00CB4ED1" w:rsidRDefault="00DF73C0" w:rsidP="00E67800">
            <w:pPr>
              <w:pStyle w:val="tabletext"/>
              <w:rPr>
                <w:sz w:val="18"/>
                <w:szCs w:val="20"/>
              </w:rPr>
            </w:pPr>
            <w:r w:rsidRPr="00D757E4">
              <w:rPr>
                <w:rFonts w:cs="Arial"/>
                <w:sz w:val="18"/>
                <w:szCs w:val="20"/>
              </w:rPr>
              <w:t>250 weeks</w:t>
            </w:r>
          </w:p>
        </w:tc>
        <w:tc>
          <w:tcPr>
            <w:tcW w:w="1418" w:type="dxa"/>
          </w:tcPr>
          <w:p w14:paraId="3A557C84"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7C96A34C" w14:textId="77777777" w:rsidR="00DF73C0" w:rsidRDefault="00DF73C0" w:rsidP="00E67800">
            <w:pPr>
              <w:pStyle w:val="tabletext"/>
              <w:rPr>
                <w:rFonts w:cs="Arial"/>
                <w:sz w:val="18"/>
                <w:szCs w:val="20"/>
              </w:rPr>
            </w:pPr>
            <w:r w:rsidRPr="00D757E4">
              <w:rPr>
                <w:rFonts w:cs="Arial"/>
                <w:sz w:val="18"/>
                <w:szCs w:val="20"/>
              </w:rPr>
              <w:t>Target as per Social Value information provided as part of the Tender documents by MTX.</w:t>
            </w:r>
          </w:p>
          <w:p w14:paraId="3A03A886" w14:textId="77777777" w:rsidR="00DF73C0" w:rsidRDefault="00DF73C0" w:rsidP="00E67800">
            <w:pPr>
              <w:pStyle w:val="tabletext"/>
              <w:rPr>
                <w:rFonts w:cs="Arial"/>
                <w:sz w:val="18"/>
                <w:szCs w:val="20"/>
              </w:rPr>
            </w:pPr>
          </w:p>
          <w:p w14:paraId="3964F7B8" w14:textId="77777777" w:rsidR="00DF73C0" w:rsidRPr="00CB4ED1" w:rsidRDefault="00DF73C0" w:rsidP="00E67800">
            <w:pPr>
              <w:pStyle w:val="tabletext"/>
              <w:rPr>
                <w:sz w:val="18"/>
                <w:szCs w:val="20"/>
              </w:rPr>
            </w:pPr>
            <w:r>
              <w:rPr>
                <w:rFonts w:cs="Arial"/>
                <w:bCs/>
                <w:sz w:val="18"/>
                <w:szCs w:val="20"/>
              </w:rPr>
              <w:t>– Note this is the same as Phase 1’s value.</w:t>
            </w:r>
          </w:p>
        </w:tc>
        <w:tc>
          <w:tcPr>
            <w:tcW w:w="862" w:type="dxa"/>
          </w:tcPr>
          <w:p w14:paraId="71801BEB" w14:textId="77777777" w:rsidR="00DF73C0" w:rsidRPr="00CB4ED1" w:rsidRDefault="00DF73C0" w:rsidP="00E67800">
            <w:pPr>
              <w:pStyle w:val="tabletext"/>
              <w:rPr>
                <w:sz w:val="18"/>
                <w:szCs w:val="20"/>
              </w:rPr>
            </w:pPr>
            <w:r w:rsidRPr="00D757E4">
              <w:rPr>
                <w:rFonts w:cs="Arial"/>
                <w:sz w:val="18"/>
                <w:szCs w:val="20"/>
              </w:rPr>
              <w:t>UB2</w:t>
            </w:r>
            <w:r>
              <w:rPr>
                <w:rFonts w:cs="Arial"/>
                <w:sz w:val="18"/>
                <w:szCs w:val="20"/>
              </w:rPr>
              <w:t>1</w:t>
            </w:r>
            <w:r w:rsidRPr="00D757E4">
              <w:rPr>
                <w:rFonts w:cs="Arial"/>
                <w:sz w:val="18"/>
                <w:szCs w:val="20"/>
              </w:rPr>
              <w:t xml:space="preserve"> (b)</w:t>
            </w:r>
          </w:p>
        </w:tc>
      </w:tr>
      <w:tr w:rsidR="00DF73C0" w:rsidRPr="00CB4ED1" w14:paraId="0084709B" w14:textId="77777777" w:rsidTr="00E67800">
        <w:tc>
          <w:tcPr>
            <w:tcW w:w="2660" w:type="dxa"/>
            <w:vMerge/>
          </w:tcPr>
          <w:p w14:paraId="7621F784" w14:textId="77777777" w:rsidR="00DF73C0" w:rsidRPr="00CB4ED1" w:rsidRDefault="00DF73C0" w:rsidP="00E67800">
            <w:pPr>
              <w:pStyle w:val="tabletext"/>
              <w:rPr>
                <w:rFonts w:cstheme="minorBidi"/>
                <w:bCs/>
                <w:sz w:val="18"/>
                <w:szCs w:val="20"/>
              </w:rPr>
            </w:pPr>
          </w:p>
        </w:tc>
        <w:tc>
          <w:tcPr>
            <w:tcW w:w="1701" w:type="dxa"/>
          </w:tcPr>
          <w:p w14:paraId="10216A0F" w14:textId="77777777" w:rsidR="00DF73C0" w:rsidRPr="00CB4ED1" w:rsidRDefault="00DF73C0" w:rsidP="00E67800">
            <w:pPr>
              <w:pStyle w:val="tabletext"/>
              <w:rPr>
                <w:sz w:val="18"/>
                <w:szCs w:val="20"/>
              </w:rPr>
            </w:pPr>
            <w:r w:rsidRPr="00D757E4">
              <w:rPr>
                <w:rFonts w:cs="Arial"/>
                <w:sz w:val="18"/>
                <w:szCs w:val="20"/>
              </w:rPr>
              <w:t>Equipment or resources donated to local third sector and civil society organisations</w:t>
            </w:r>
          </w:p>
        </w:tc>
        <w:tc>
          <w:tcPr>
            <w:tcW w:w="1843" w:type="dxa"/>
          </w:tcPr>
          <w:p w14:paraId="6CEE7286"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12AC7DE9" w14:textId="77777777" w:rsidR="00DF73C0" w:rsidRPr="00CB4ED1" w:rsidRDefault="00DF73C0" w:rsidP="00E67800">
            <w:pPr>
              <w:pStyle w:val="tabletext"/>
              <w:rPr>
                <w:sz w:val="18"/>
                <w:szCs w:val="20"/>
              </w:rPr>
            </w:pPr>
            <w:r w:rsidRPr="00D757E4">
              <w:rPr>
                <w:rFonts w:cs="Arial"/>
                <w:sz w:val="18"/>
                <w:szCs w:val="20"/>
              </w:rPr>
              <w:t>£25,000 donated</w:t>
            </w:r>
          </w:p>
        </w:tc>
        <w:tc>
          <w:tcPr>
            <w:tcW w:w="1418" w:type="dxa"/>
          </w:tcPr>
          <w:p w14:paraId="7E67179A" w14:textId="77777777" w:rsidR="00DF73C0" w:rsidRPr="00CB4ED1" w:rsidRDefault="00DF73C0" w:rsidP="00E67800">
            <w:pPr>
              <w:pStyle w:val="tabletext"/>
              <w:rPr>
                <w:sz w:val="18"/>
                <w:szCs w:val="20"/>
              </w:rPr>
            </w:pPr>
            <w:r w:rsidRPr="00D757E4">
              <w:rPr>
                <w:rFonts w:cs="Arial"/>
                <w:sz w:val="18"/>
                <w:szCs w:val="20"/>
              </w:rPr>
              <w:t xml:space="preserve">Potentially </w:t>
            </w:r>
            <w:proofErr w:type="spellStart"/>
            <w:r w:rsidRPr="00D757E4">
              <w:rPr>
                <w:rFonts w:cs="Arial"/>
                <w:sz w:val="18"/>
                <w:szCs w:val="20"/>
              </w:rPr>
              <w:t>monetisable</w:t>
            </w:r>
            <w:proofErr w:type="spellEnd"/>
          </w:p>
        </w:tc>
        <w:tc>
          <w:tcPr>
            <w:tcW w:w="4536" w:type="dxa"/>
          </w:tcPr>
          <w:p w14:paraId="5401657B" w14:textId="77777777" w:rsidR="00DF73C0" w:rsidRDefault="00DF73C0" w:rsidP="00E67800">
            <w:pPr>
              <w:pStyle w:val="tabletext"/>
              <w:rPr>
                <w:rFonts w:cs="Arial"/>
                <w:sz w:val="18"/>
                <w:szCs w:val="20"/>
              </w:rPr>
            </w:pPr>
            <w:r w:rsidRPr="00D757E4">
              <w:rPr>
                <w:rFonts w:cs="Arial"/>
                <w:sz w:val="18"/>
                <w:szCs w:val="20"/>
              </w:rPr>
              <w:t>Target as per Social Value information provided as part of the Tender documents by MTX.</w:t>
            </w:r>
          </w:p>
          <w:p w14:paraId="549F074F" w14:textId="77777777" w:rsidR="00DF73C0" w:rsidRDefault="00DF73C0" w:rsidP="00E67800">
            <w:pPr>
              <w:pStyle w:val="tabletext"/>
              <w:rPr>
                <w:rFonts w:cs="Arial"/>
                <w:sz w:val="18"/>
                <w:szCs w:val="20"/>
              </w:rPr>
            </w:pPr>
          </w:p>
          <w:p w14:paraId="73E8438D" w14:textId="77777777" w:rsidR="00DF73C0" w:rsidRPr="00CB4ED1" w:rsidRDefault="00DF73C0" w:rsidP="00E67800">
            <w:pPr>
              <w:pStyle w:val="tabletext"/>
              <w:rPr>
                <w:sz w:val="18"/>
                <w:szCs w:val="20"/>
              </w:rPr>
            </w:pPr>
            <w:r>
              <w:rPr>
                <w:rFonts w:cs="Arial"/>
                <w:bCs/>
                <w:sz w:val="18"/>
                <w:szCs w:val="20"/>
              </w:rPr>
              <w:t>– Note this is the same as Phase 1’s value.</w:t>
            </w:r>
          </w:p>
        </w:tc>
        <w:tc>
          <w:tcPr>
            <w:tcW w:w="862" w:type="dxa"/>
          </w:tcPr>
          <w:p w14:paraId="307480F8" w14:textId="77777777" w:rsidR="00DF73C0" w:rsidRPr="00CB4ED1" w:rsidRDefault="00DF73C0" w:rsidP="00E67800">
            <w:pPr>
              <w:pStyle w:val="tabletext"/>
              <w:rPr>
                <w:sz w:val="18"/>
                <w:szCs w:val="20"/>
              </w:rPr>
            </w:pPr>
            <w:r w:rsidRPr="00D757E4">
              <w:rPr>
                <w:rFonts w:cs="Arial"/>
                <w:sz w:val="18"/>
                <w:szCs w:val="20"/>
              </w:rPr>
              <w:t>UB2</w:t>
            </w:r>
            <w:r>
              <w:rPr>
                <w:rFonts w:cs="Arial"/>
                <w:sz w:val="18"/>
                <w:szCs w:val="20"/>
              </w:rPr>
              <w:t>1</w:t>
            </w:r>
            <w:r w:rsidRPr="00D757E4">
              <w:rPr>
                <w:rFonts w:cs="Arial"/>
                <w:sz w:val="18"/>
                <w:szCs w:val="20"/>
              </w:rPr>
              <w:t xml:space="preserve"> (c)</w:t>
            </w:r>
          </w:p>
        </w:tc>
      </w:tr>
      <w:tr w:rsidR="00DF73C0" w:rsidRPr="00CB4ED1" w14:paraId="7BDF445B" w14:textId="77777777" w:rsidTr="00E67800">
        <w:tc>
          <w:tcPr>
            <w:tcW w:w="2660" w:type="dxa"/>
            <w:vMerge/>
          </w:tcPr>
          <w:p w14:paraId="73E09ADC" w14:textId="77777777" w:rsidR="00DF73C0" w:rsidRPr="00CB4ED1" w:rsidRDefault="00DF73C0" w:rsidP="00E67800">
            <w:pPr>
              <w:pStyle w:val="tabletext"/>
              <w:rPr>
                <w:rFonts w:cstheme="minorBidi"/>
                <w:bCs/>
                <w:sz w:val="18"/>
                <w:szCs w:val="20"/>
              </w:rPr>
            </w:pPr>
          </w:p>
        </w:tc>
        <w:tc>
          <w:tcPr>
            <w:tcW w:w="1701" w:type="dxa"/>
          </w:tcPr>
          <w:p w14:paraId="0AA1DEBD" w14:textId="77777777" w:rsidR="00DF73C0" w:rsidRPr="00CB4ED1" w:rsidRDefault="00DF73C0" w:rsidP="00E67800">
            <w:pPr>
              <w:pStyle w:val="tabletext"/>
              <w:rPr>
                <w:sz w:val="18"/>
                <w:szCs w:val="20"/>
              </w:rPr>
            </w:pPr>
            <w:r w:rsidRPr="00D757E4">
              <w:rPr>
                <w:rFonts w:cs="Arial"/>
                <w:sz w:val="18"/>
                <w:szCs w:val="20"/>
              </w:rPr>
              <w:t>Directly funded number of hours volunteering time provided to support local community projects.</w:t>
            </w:r>
          </w:p>
        </w:tc>
        <w:tc>
          <w:tcPr>
            <w:tcW w:w="1843" w:type="dxa"/>
          </w:tcPr>
          <w:p w14:paraId="7EEABE91"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0E9DAC93" w14:textId="77777777" w:rsidR="00DF73C0" w:rsidRPr="00CB4ED1" w:rsidRDefault="00DF73C0" w:rsidP="00E67800">
            <w:pPr>
              <w:pStyle w:val="tabletext"/>
              <w:rPr>
                <w:sz w:val="18"/>
                <w:szCs w:val="20"/>
              </w:rPr>
            </w:pPr>
            <w:r w:rsidRPr="00D757E4">
              <w:rPr>
                <w:rFonts w:cs="Arial"/>
                <w:sz w:val="18"/>
                <w:szCs w:val="20"/>
              </w:rPr>
              <w:t>250 Hours of volunteering time</w:t>
            </w:r>
          </w:p>
        </w:tc>
        <w:tc>
          <w:tcPr>
            <w:tcW w:w="1418" w:type="dxa"/>
          </w:tcPr>
          <w:p w14:paraId="51F24C75"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576C022A" w14:textId="77777777" w:rsidR="00DF73C0" w:rsidRDefault="00DF73C0" w:rsidP="00E67800">
            <w:pPr>
              <w:pStyle w:val="tabletext"/>
              <w:rPr>
                <w:rFonts w:cs="Arial"/>
                <w:sz w:val="18"/>
                <w:szCs w:val="20"/>
              </w:rPr>
            </w:pPr>
            <w:r w:rsidRPr="00D757E4">
              <w:rPr>
                <w:rFonts w:cs="Arial"/>
                <w:sz w:val="18"/>
                <w:szCs w:val="20"/>
              </w:rPr>
              <w:t>Target as per Social Value information provided as part of the Tender documents by MTX.</w:t>
            </w:r>
          </w:p>
          <w:p w14:paraId="659BE10B" w14:textId="77777777" w:rsidR="00DF73C0" w:rsidRDefault="00DF73C0" w:rsidP="00E67800">
            <w:pPr>
              <w:pStyle w:val="tabletext"/>
              <w:rPr>
                <w:rFonts w:cs="Arial"/>
                <w:sz w:val="18"/>
                <w:szCs w:val="20"/>
              </w:rPr>
            </w:pPr>
          </w:p>
          <w:p w14:paraId="28155065" w14:textId="77777777" w:rsidR="00DF73C0" w:rsidRPr="00CB4ED1" w:rsidRDefault="00DF73C0" w:rsidP="00E67800">
            <w:pPr>
              <w:pStyle w:val="tabletext"/>
              <w:rPr>
                <w:sz w:val="18"/>
                <w:szCs w:val="20"/>
              </w:rPr>
            </w:pPr>
            <w:r>
              <w:rPr>
                <w:rFonts w:cs="Arial"/>
                <w:bCs/>
                <w:sz w:val="18"/>
                <w:szCs w:val="20"/>
              </w:rPr>
              <w:t>– Note this is the same as Phase 1’s value.</w:t>
            </w:r>
          </w:p>
        </w:tc>
        <w:tc>
          <w:tcPr>
            <w:tcW w:w="862" w:type="dxa"/>
          </w:tcPr>
          <w:p w14:paraId="54B9EDA9" w14:textId="77777777" w:rsidR="00DF73C0" w:rsidRPr="00CB4ED1" w:rsidRDefault="00DF73C0" w:rsidP="00E67800">
            <w:pPr>
              <w:pStyle w:val="tabletext"/>
              <w:rPr>
                <w:sz w:val="18"/>
                <w:szCs w:val="20"/>
              </w:rPr>
            </w:pPr>
            <w:r w:rsidRPr="00D757E4">
              <w:rPr>
                <w:rFonts w:cs="Arial"/>
                <w:sz w:val="18"/>
                <w:szCs w:val="20"/>
              </w:rPr>
              <w:t>UB2</w:t>
            </w:r>
            <w:r>
              <w:rPr>
                <w:rFonts w:cs="Arial"/>
                <w:sz w:val="18"/>
                <w:szCs w:val="20"/>
              </w:rPr>
              <w:t>1</w:t>
            </w:r>
            <w:r w:rsidRPr="00D757E4">
              <w:rPr>
                <w:rFonts w:cs="Arial"/>
                <w:sz w:val="18"/>
                <w:szCs w:val="20"/>
              </w:rPr>
              <w:t xml:space="preserve"> (d)</w:t>
            </w:r>
          </w:p>
        </w:tc>
      </w:tr>
      <w:tr w:rsidR="00DF73C0" w:rsidRPr="00CB4ED1" w14:paraId="5E707CA3" w14:textId="77777777" w:rsidTr="00E67800">
        <w:tc>
          <w:tcPr>
            <w:tcW w:w="2660" w:type="dxa"/>
            <w:vMerge/>
          </w:tcPr>
          <w:p w14:paraId="3F4E60B4" w14:textId="77777777" w:rsidR="00DF73C0" w:rsidRPr="00CB4ED1" w:rsidRDefault="00DF73C0" w:rsidP="00E67800">
            <w:pPr>
              <w:pStyle w:val="tabletext"/>
              <w:rPr>
                <w:rFonts w:cstheme="minorBidi"/>
                <w:bCs/>
                <w:sz w:val="18"/>
                <w:szCs w:val="20"/>
              </w:rPr>
            </w:pPr>
          </w:p>
        </w:tc>
        <w:tc>
          <w:tcPr>
            <w:tcW w:w="1701" w:type="dxa"/>
          </w:tcPr>
          <w:p w14:paraId="3CE0A6CB" w14:textId="77777777" w:rsidR="00DF73C0" w:rsidRPr="00CB4ED1" w:rsidRDefault="00DF73C0" w:rsidP="00E67800">
            <w:pPr>
              <w:pStyle w:val="tabletext"/>
              <w:rPr>
                <w:sz w:val="18"/>
                <w:szCs w:val="20"/>
              </w:rPr>
            </w:pPr>
            <w:r w:rsidRPr="00D757E4">
              <w:rPr>
                <w:rFonts w:cs="Arial"/>
                <w:sz w:val="18"/>
                <w:szCs w:val="20"/>
              </w:rPr>
              <w:t>Direct support and investment provided for people to learn and use Welsh (e.g. interactions and signage).</w:t>
            </w:r>
          </w:p>
        </w:tc>
        <w:tc>
          <w:tcPr>
            <w:tcW w:w="1843" w:type="dxa"/>
          </w:tcPr>
          <w:p w14:paraId="116B8594"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64F02B59" w14:textId="77777777" w:rsidR="00DF73C0" w:rsidRPr="00CB4ED1" w:rsidRDefault="00DF73C0" w:rsidP="00E67800">
            <w:pPr>
              <w:pStyle w:val="tabletext"/>
              <w:rPr>
                <w:sz w:val="18"/>
                <w:szCs w:val="20"/>
              </w:rPr>
            </w:pPr>
            <w:r w:rsidRPr="00D757E4">
              <w:rPr>
                <w:rFonts w:cs="Arial"/>
                <w:sz w:val="18"/>
                <w:szCs w:val="20"/>
              </w:rPr>
              <w:t>£25,000</w:t>
            </w:r>
          </w:p>
        </w:tc>
        <w:tc>
          <w:tcPr>
            <w:tcW w:w="1418" w:type="dxa"/>
          </w:tcPr>
          <w:p w14:paraId="6CBBD217" w14:textId="77777777" w:rsidR="00DF73C0" w:rsidRPr="00CB4ED1" w:rsidRDefault="00DF73C0" w:rsidP="00E67800">
            <w:pPr>
              <w:pStyle w:val="tabletext"/>
              <w:rPr>
                <w:sz w:val="18"/>
                <w:szCs w:val="20"/>
              </w:rPr>
            </w:pPr>
            <w:r w:rsidRPr="00D757E4">
              <w:rPr>
                <w:rFonts w:cs="Arial"/>
                <w:sz w:val="18"/>
                <w:szCs w:val="20"/>
              </w:rPr>
              <w:t xml:space="preserve">Potentially </w:t>
            </w:r>
            <w:proofErr w:type="spellStart"/>
            <w:r w:rsidRPr="00D757E4">
              <w:rPr>
                <w:rFonts w:cs="Arial"/>
                <w:sz w:val="18"/>
                <w:szCs w:val="20"/>
              </w:rPr>
              <w:t>monetisable</w:t>
            </w:r>
            <w:proofErr w:type="spellEnd"/>
          </w:p>
        </w:tc>
        <w:tc>
          <w:tcPr>
            <w:tcW w:w="4536" w:type="dxa"/>
          </w:tcPr>
          <w:p w14:paraId="7C77B79C" w14:textId="77777777" w:rsidR="00DF73C0" w:rsidRDefault="00DF73C0" w:rsidP="00E67800">
            <w:pPr>
              <w:pStyle w:val="tabletext"/>
              <w:spacing w:before="80" w:after="80"/>
              <w:rPr>
                <w:rFonts w:cs="Arial"/>
                <w:sz w:val="18"/>
                <w:szCs w:val="20"/>
              </w:rPr>
            </w:pPr>
            <w:r w:rsidRPr="00D757E4">
              <w:rPr>
                <w:rFonts w:cs="Arial"/>
                <w:sz w:val="18"/>
                <w:szCs w:val="20"/>
              </w:rPr>
              <w:t>Target as per Social Value information provided as part of the Tender documents by MTX.</w:t>
            </w:r>
          </w:p>
          <w:p w14:paraId="17CBD43C" w14:textId="77777777" w:rsidR="00DF73C0" w:rsidRPr="00D757E4" w:rsidRDefault="00DF73C0" w:rsidP="00E67800">
            <w:pPr>
              <w:pStyle w:val="tabletext"/>
              <w:spacing w:before="80" w:after="80"/>
              <w:rPr>
                <w:rFonts w:cs="Arial"/>
                <w:sz w:val="18"/>
                <w:szCs w:val="20"/>
              </w:rPr>
            </w:pPr>
            <w:r>
              <w:rPr>
                <w:rFonts w:cs="Arial"/>
                <w:bCs/>
                <w:sz w:val="18"/>
                <w:szCs w:val="20"/>
              </w:rPr>
              <w:t>– Note this is the same as Phase 1’s value.</w:t>
            </w:r>
          </w:p>
          <w:p w14:paraId="0199BF51" w14:textId="77777777" w:rsidR="00DF73C0" w:rsidRPr="00D757E4" w:rsidRDefault="00DF73C0" w:rsidP="00E67800">
            <w:pPr>
              <w:pStyle w:val="tabletext"/>
              <w:spacing w:before="80" w:after="80"/>
              <w:rPr>
                <w:rFonts w:cs="Arial"/>
                <w:sz w:val="18"/>
                <w:szCs w:val="20"/>
              </w:rPr>
            </w:pPr>
          </w:p>
          <w:p w14:paraId="024D3EC7" w14:textId="77777777" w:rsidR="00DF73C0" w:rsidRPr="00CB4ED1" w:rsidRDefault="00DF73C0" w:rsidP="00E67800">
            <w:pPr>
              <w:pStyle w:val="tabletext"/>
              <w:rPr>
                <w:sz w:val="18"/>
                <w:szCs w:val="20"/>
              </w:rPr>
            </w:pPr>
            <w:r w:rsidRPr="00D757E4">
              <w:rPr>
                <w:rFonts w:cs="Arial"/>
                <w:sz w:val="18"/>
                <w:szCs w:val="20"/>
              </w:rPr>
              <w:t xml:space="preserve">Allocate £25,000 to support the Welsh language on a construction project by offering free Welsh lessons for workers, tailored to industry vocabulary (£12k). Introduce bilingual site signage, safety instructions, and manuals (£7k). Host community engagement events, such as guided tours and Welsh-themed workshops, in partnership with local schools or organizations (£5k). Celebrate Welsh culture onsite with events and competitions like St. David’s Day (£1.5k). Leave a legacy with bilingual plaques or contributions to local Welsh programs (£1.5k). Partner with </w:t>
            </w:r>
            <w:proofErr w:type="spellStart"/>
            <w:r w:rsidRPr="00D757E4">
              <w:rPr>
                <w:rFonts w:cs="Arial"/>
                <w:sz w:val="18"/>
                <w:szCs w:val="20"/>
              </w:rPr>
              <w:t>Mentrau</w:t>
            </w:r>
            <w:proofErr w:type="spellEnd"/>
            <w:r w:rsidRPr="00D757E4">
              <w:rPr>
                <w:rFonts w:cs="Arial"/>
                <w:sz w:val="18"/>
                <w:szCs w:val="20"/>
              </w:rPr>
              <w:t xml:space="preserve"> </w:t>
            </w:r>
            <w:proofErr w:type="spellStart"/>
            <w:r w:rsidRPr="00D757E4">
              <w:rPr>
                <w:rFonts w:cs="Arial"/>
                <w:sz w:val="18"/>
                <w:szCs w:val="20"/>
              </w:rPr>
              <w:t>Iaith</w:t>
            </w:r>
            <w:proofErr w:type="spellEnd"/>
            <w:r w:rsidRPr="00D757E4">
              <w:rPr>
                <w:rFonts w:cs="Arial"/>
                <w:sz w:val="18"/>
                <w:szCs w:val="20"/>
              </w:rPr>
              <w:t xml:space="preserve"> or Learn Welsh Cymru for effective delivery and long-term impact, promoting Welsh language use onsite and beyond.</w:t>
            </w:r>
          </w:p>
        </w:tc>
        <w:tc>
          <w:tcPr>
            <w:tcW w:w="862" w:type="dxa"/>
          </w:tcPr>
          <w:p w14:paraId="686DFC2F" w14:textId="77777777" w:rsidR="00DF73C0" w:rsidRPr="00CB4ED1" w:rsidRDefault="00DF73C0" w:rsidP="00E67800">
            <w:pPr>
              <w:pStyle w:val="tabletext"/>
              <w:rPr>
                <w:sz w:val="18"/>
                <w:szCs w:val="20"/>
              </w:rPr>
            </w:pPr>
            <w:r w:rsidRPr="00D757E4">
              <w:rPr>
                <w:rFonts w:cs="Arial"/>
                <w:sz w:val="18"/>
                <w:szCs w:val="20"/>
              </w:rPr>
              <w:t>UB2</w:t>
            </w:r>
            <w:r>
              <w:rPr>
                <w:rFonts w:cs="Arial"/>
                <w:sz w:val="18"/>
                <w:szCs w:val="20"/>
              </w:rPr>
              <w:t>1</w:t>
            </w:r>
            <w:r w:rsidRPr="00D757E4">
              <w:rPr>
                <w:rFonts w:cs="Arial"/>
                <w:sz w:val="18"/>
                <w:szCs w:val="20"/>
              </w:rPr>
              <w:t xml:space="preserve"> (e)</w:t>
            </w:r>
          </w:p>
        </w:tc>
      </w:tr>
      <w:tr w:rsidR="00DF73C0" w:rsidRPr="00CB4ED1" w14:paraId="6D1B6990" w14:textId="77777777" w:rsidTr="00E67800">
        <w:tc>
          <w:tcPr>
            <w:tcW w:w="2660" w:type="dxa"/>
            <w:vMerge/>
          </w:tcPr>
          <w:p w14:paraId="1C6A577A" w14:textId="77777777" w:rsidR="00DF73C0" w:rsidRPr="00CB4ED1" w:rsidRDefault="00DF73C0" w:rsidP="00E67800">
            <w:pPr>
              <w:pStyle w:val="tabletext"/>
              <w:rPr>
                <w:rFonts w:cstheme="minorBidi"/>
                <w:bCs/>
                <w:sz w:val="18"/>
                <w:szCs w:val="20"/>
              </w:rPr>
            </w:pPr>
          </w:p>
        </w:tc>
        <w:tc>
          <w:tcPr>
            <w:tcW w:w="1701" w:type="dxa"/>
          </w:tcPr>
          <w:p w14:paraId="36AAAA21" w14:textId="77777777" w:rsidR="00DF73C0" w:rsidRPr="00CB4ED1" w:rsidRDefault="00DF73C0" w:rsidP="00E67800">
            <w:pPr>
              <w:pStyle w:val="tabletext"/>
              <w:rPr>
                <w:sz w:val="18"/>
                <w:szCs w:val="20"/>
              </w:rPr>
            </w:pPr>
            <w:r w:rsidRPr="00D757E4">
              <w:rPr>
                <w:rFonts w:cs="Arial"/>
                <w:sz w:val="18"/>
                <w:szCs w:val="20"/>
              </w:rPr>
              <w:t>Total amount (£) spent in the local supply chain.</w:t>
            </w:r>
          </w:p>
        </w:tc>
        <w:tc>
          <w:tcPr>
            <w:tcW w:w="1843" w:type="dxa"/>
          </w:tcPr>
          <w:p w14:paraId="4C4D806A"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544446D6" w14:textId="77777777" w:rsidR="00DF73C0" w:rsidRPr="00CB4ED1" w:rsidRDefault="00DF73C0" w:rsidP="00E67800">
            <w:pPr>
              <w:pStyle w:val="tabletext"/>
              <w:rPr>
                <w:sz w:val="18"/>
                <w:szCs w:val="20"/>
              </w:rPr>
            </w:pPr>
            <w:r w:rsidRPr="00D757E4">
              <w:rPr>
                <w:rFonts w:cs="Arial"/>
                <w:sz w:val="18"/>
                <w:szCs w:val="20"/>
              </w:rPr>
              <w:t>£20,000,000 spent locally</w:t>
            </w:r>
          </w:p>
        </w:tc>
        <w:tc>
          <w:tcPr>
            <w:tcW w:w="1418" w:type="dxa"/>
          </w:tcPr>
          <w:p w14:paraId="5A5E61E6"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71DE8C71" w14:textId="77777777" w:rsidR="00DF73C0" w:rsidRDefault="00DF73C0" w:rsidP="00E67800">
            <w:pPr>
              <w:pStyle w:val="tabletext"/>
              <w:spacing w:before="80" w:after="80"/>
              <w:rPr>
                <w:rFonts w:cs="Arial"/>
                <w:sz w:val="18"/>
                <w:szCs w:val="20"/>
              </w:rPr>
            </w:pPr>
            <w:r w:rsidRPr="00D757E4">
              <w:rPr>
                <w:rFonts w:cs="Arial"/>
                <w:sz w:val="18"/>
                <w:szCs w:val="20"/>
              </w:rPr>
              <w:t>Target as per Social Value information provided as part of the Tender documents by MTX.</w:t>
            </w:r>
          </w:p>
          <w:p w14:paraId="01BECDBB" w14:textId="77777777" w:rsidR="00DF73C0" w:rsidRPr="00D757E4" w:rsidRDefault="00DF73C0" w:rsidP="00E67800">
            <w:pPr>
              <w:pStyle w:val="tabletext"/>
              <w:spacing w:before="80" w:after="80"/>
              <w:rPr>
                <w:rFonts w:cs="Arial"/>
                <w:sz w:val="18"/>
                <w:szCs w:val="20"/>
              </w:rPr>
            </w:pPr>
            <w:r>
              <w:rPr>
                <w:rFonts w:cs="Arial"/>
                <w:bCs/>
                <w:sz w:val="18"/>
                <w:szCs w:val="20"/>
              </w:rPr>
              <w:t>– Note this is the same as Phase 1’s value.</w:t>
            </w:r>
          </w:p>
          <w:p w14:paraId="0FE72A05" w14:textId="77777777" w:rsidR="00DF73C0" w:rsidRPr="00CB4ED1" w:rsidRDefault="00DF73C0" w:rsidP="00E67800">
            <w:pPr>
              <w:pStyle w:val="tabletext"/>
              <w:rPr>
                <w:sz w:val="18"/>
                <w:szCs w:val="20"/>
              </w:rPr>
            </w:pPr>
            <w:r w:rsidRPr="00D757E4">
              <w:rPr>
                <w:rFonts w:cs="Arial"/>
                <w:sz w:val="18"/>
                <w:szCs w:val="20"/>
              </w:rPr>
              <w:t xml:space="preserve">Potential social value generated by value spent locally = £20,000,000*1.76 (Local Multiplier) = £35,200,000. Note will not be included as a </w:t>
            </w:r>
            <w:proofErr w:type="spellStart"/>
            <w:r w:rsidRPr="00D757E4">
              <w:rPr>
                <w:rFonts w:cs="Arial"/>
                <w:sz w:val="18"/>
                <w:szCs w:val="20"/>
              </w:rPr>
              <w:t>monetisable</w:t>
            </w:r>
            <w:proofErr w:type="spellEnd"/>
            <w:r w:rsidRPr="00D757E4">
              <w:rPr>
                <w:rFonts w:cs="Arial"/>
                <w:sz w:val="18"/>
                <w:szCs w:val="20"/>
              </w:rPr>
              <w:t xml:space="preserve"> value in the CIA Model.</w:t>
            </w:r>
          </w:p>
        </w:tc>
        <w:tc>
          <w:tcPr>
            <w:tcW w:w="862" w:type="dxa"/>
          </w:tcPr>
          <w:p w14:paraId="3243C64E" w14:textId="77777777" w:rsidR="00DF73C0" w:rsidRPr="00CB4ED1" w:rsidRDefault="00DF73C0" w:rsidP="00E67800">
            <w:pPr>
              <w:pStyle w:val="tabletext"/>
              <w:rPr>
                <w:sz w:val="18"/>
                <w:szCs w:val="20"/>
              </w:rPr>
            </w:pPr>
            <w:r w:rsidRPr="00D757E4">
              <w:rPr>
                <w:rFonts w:cs="Arial"/>
                <w:sz w:val="18"/>
                <w:szCs w:val="20"/>
              </w:rPr>
              <w:t>UB2</w:t>
            </w:r>
            <w:r>
              <w:rPr>
                <w:rFonts w:cs="Arial"/>
                <w:sz w:val="18"/>
                <w:szCs w:val="20"/>
              </w:rPr>
              <w:t>1</w:t>
            </w:r>
            <w:r w:rsidRPr="00D757E4">
              <w:rPr>
                <w:rFonts w:cs="Arial"/>
                <w:sz w:val="18"/>
                <w:szCs w:val="20"/>
              </w:rPr>
              <w:t xml:space="preserve"> (f)</w:t>
            </w:r>
          </w:p>
        </w:tc>
      </w:tr>
      <w:tr w:rsidR="00DF73C0" w:rsidRPr="00CB4ED1" w14:paraId="60AE064D" w14:textId="77777777" w:rsidTr="00E67800">
        <w:tc>
          <w:tcPr>
            <w:tcW w:w="2660" w:type="dxa"/>
          </w:tcPr>
          <w:p w14:paraId="4FADA13D" w14:textId="77777777" w:rsidR="00DF73C0" w:rsidRPr="00CB4ED1" w:rsidRDefault="00DF73C0" w:rsidP="00E67800">
            <w:pPr>
              <w:pStyle w:val="tabletext"/>
              <w:rPr>
                <w:rFonts w:cstheme="minorBidi"/>
                <w:sz w:val="18"/>
                <w:szCs w:val="20"/>
              </w:rPr>
            </w:pPr>
            <w:r w:rsidRPr="00CB4ED1">
              <w:rPr>
                <w:rFonts w:cstheme="minorBidi"/>
                <w:bCs/>
                <w:sz w:val="18"/>
                <w:szCs w:val="20"/>
              </w:rPr>
              <w:lastRenderedPageBreak/>
              <w:t xml:space="preserve">Reduced waste and single use products: </w:t>
            </w:r>
            <w:r w:rsidRPr="00CB4ED1">
              <w:rPr>
                <w:rFonts w:cstheme="minorBidi"/>
                <w:sz w:val="18"/>
                <w:szCs w:val="20"/>
              </w:rPr>
              <w:t>Contribute to CTM UHB environmentally sustainable goals by reducing waste and single use products</w:t>
            </w:r>
          </w:p>
        </w:tc>
        <w:tc>
          <w:tcPr>
            <w:tcW w:w="1701" w:type="dxa"/>
          </w:tcPr>
          <w:p w14:paraId="530F789A" w14:textId="77777777" w:rsidR="00DF73C0" w:rsidRPr="00CB4ED1" w:rsidRDefault="00DF73C0" w:rsidP="00E67800">
            <w:pPr>
              <w:pStyle w:val="tabletext"/>
              <w:rPr>
                <w:sz w:val="18"/>
                <w:szCs w:val="20"/>
              </w:rPr>
            </w:pPr>
            <w:r w:rsidRPr="00D757E4">
              <w:rPr>
                <w:rFonts w:cs="Arial"/>
                <w:sz w:val="18"/>
                <w:szCs w:val="20"/>
              </w:rPr>
              <w:t>Qualitative</w:t>
            </w:r>
          </w:p>
        </w:tc>
        <w:tc>
          <w:tcPr>
            <w:tcW w:w="1843" w:type="dxa"/>
          </w:tcPr>
          <w:p w14:paraId="139284D0"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76FDE35F" w14:textId="77777777" w:rsidR="00DF73C0" w:rsidRPr="00CB4ED1" w:rsidRDefault="00DF73C0" w:rsidP="00E67800">
            <w:pPr>
              <w:pStyle w:val="tabletext"/>
              <w:rPr>
                <w:sz w:val="18"/>
                <w:szCs w:val="20"/>
              </w:rPr>
            </w:pPr>
            <w:r w:rsidRPr="00D757E4">
              <w:rPr>
                <w:rFonts w:cs="Arial"/>
                <w:sz w:val="18"/>
                <w:szCs w:val="20"/>
              </w:rPr>
              <w:t>N/A</w:t>
            </w:r>
          </w:p>
        </w:tc>
        <w:tc>
          <w:tcPr>
            <w:tcW w:w="1418" w:type="dxa"/>
          </w:tcPr>
          <w:p w14:paraId="05089C1E"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3659CDE4" w14:textId="77777777" w:rsidR="00DF73C0" w:rsidRPr="00CB4ED1" w:rsidRDefault="00DF73C0" w:rsidP="00E67800">
            <w:pPr>
              <w:pStyle w:val="tabletext"/>
              <w:rPr>
                <w:sz w:val="18"/>
                <w:szCs w:val="20"/>
              </w:rPr>
            </w:pPr>
            <w:r w:rsidRPr="00D757E4">
              <w:rPr>
                <w:rFonts w:cs="Arial"/>
                <w:sz w:val="18"/>
                <w:szCs w:val="20"/>
              </w:rPr>
              <w:t>Not possible to quantify in a meaningful way at this stage, but it is expected as a result of the standardisation of the site, more site wide reducing waste and single use product initiatives can be instituted and monitored.</w:t>
            </w:r>
          </w:p>
        </w:tc>
        <w:tc>
          <w:tcPr>
            <w:tcW w:w="862" w:type="dxa"/>
          </w:tcPr>
          <w:p w14:paraId="2E3C7700" w14:textId="77777777" w:rsidR="00DF73C0" w:rsidRPr="00CB4ED1" w:rsidRDefault="00DF73C0" w:rsidP="00E67800">
            <w:pPr>
              <w:pStyle w:val="tabletext"/>
              <w:rPr>
                <w:sz w:val="18"/>
                <w:szCs w:val="20"/>
              </w:rPr>
            </w:pPr>
            <w:r w:rsidRPr="00CB4ED1">
              <w:rPr>
                <w:sz w:val="18"/>
                <w:szCs w:val="20"/>
              </w:rPr>
              <w:t>UB22</w:t>
            </w:r>
          </w:p>
        </w:tc>
      </w:tr>
      <w:tr w:rsidR="00DF73C0" w:rsidRPr="00CB4ED1" w14:paraId="7F0221CC" w14:textId="77777777" w:rsidTr="00E67800">
        <w:tc>
          <w:tcPr>
            <w:tcW w:w="2660" w:type="dxa"/>
          </w:tcPr>
          <w:p w14:paraId="0F34A6DF" w14:textId="77777777" w:rsidR="00DF73C0" w:rsidRPr="00CB4ED1" w:rsidRDefault="00DF73C0" w:rsidP="00E67800">
            <w:pPr>
              <w:pStyle w:val="tabletext"/>
              <w:rPr>
                <w:bCs/>
                <w:sz w:val="18"/>
                <w:szCs w:val="20"/>
              </w:rPr>
            </w:pPr>
            <w:r w:rsidRPr="00CB4ED1">
              <w:rPr>
                <w:rFonts w:cstheme="minorBidi"/>
                <w:bCs/>
                <w:sz w:val="18"/>
                <w:szCs w:val="20"/>
              </w:rPr>
              <w:t xml:space="preserve">Improved recycling: </w:t>
            </w:r>
            <w:r w:rsidRPr="00CB4ED1">
              <w:rPr>
                <w:rFonts w:cstheme="minorBidi"/>
                <w:sz w:val="18"/>
                <w:szCs w:val="20"/>
              </w:rPr>
              <w:t>Contribute to CTM UHB environmentally sustainable goals by improved recycling and finding alternative ways of disposing of waste</w:t>
            </w:r>
          </w:p>
        </w:tc>
        <w:tc>
          <w:tcPr>
            <w:tcW w:w="1701" w:type="dxa"/>
          </w:tcPr>
          <w:p w14:paraId="71F265E4" w14:textId="77777777" w:rsidR="00DF73C0" w:rsidRPr="00CB4ED1" w:rsidRDefault="00DF73C0" w:rsidP="00E67800">
            <w:pPr>
              <w:pStyle w:val="tabletext"/>
              <w:rPr>
                <w:sz w:val="18"/>
                <w:szCs w:val="20"/>
              </w:rPr>
            </w:pPr>
            <w:r w:rsidRPr="00D757E4">
              <w:rPr>
                <w:rFonts w:cs="Arial"/>
                <w:sz w:val="18"/>
                <w:szCs w:val="20"/>
              </w:rPr>
              <w:t>Qualitative</w:t>
            </w:r>
          </w:p>
        </w:tc>
        <w:tc>
          <w:tcPr>
            <w:tcW w:w="1843" w:type="dxa"/>
          </w:tcPr>
          <w:p w14:paraId="7B3BD476"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41529DCA" w14:textId="77777777" w:rsidR="00DF73C0" w:rsidRPr="00CB4ED1" w:rsidRDefault="00DF73C0" w:rsidP="00E67800">
            <w:pPr>
              <w:pStyle w:val="tabletext"/>
              <w:rPr>
                <w:sz w:val="18"/>
                <w:szCs w:val="20"/>
              </w:rPr>
            </w:pPr>
            <w:r w:rsidRPr="00D757E4">
              <w:rPr>
                <w:rFonts w:cs="Arial"/>
                <w:sz w:val="18"/>
                <w:szCs w:val="20"/>
              </w:rPr>
              <w:t>N/A</w:t>
            </w:r>
          </w:p>
        </w:tc>
        <w:tc>
          <w:tcPr>
            <w:tcW w:w="1418" w:type="dxa"/>
          </w:tcPr>
          <w:p w14:paraId="197C3004"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4C4AD6EE" w14:textId="77777777" w:rsidR="00DF73C0" w:rsidRPr="00CB4ED1" w:rsidRDefault="00DF73C0" w:rsidP="00E67800">
            <w:pPr>
              <w:pStyle w:val="tabletext"/>
              <w:rPr>
                <w:sz w:val="18"/>
                <w:szCs w:val="20"/>
              </w:rPr>
            </w:pPr>
            <w:r w:rsidRPr="00D757E4">
              <w:rPr>
                <w:rFonts w:cs="Arial"/>
                <w:sz w:val="18"/>
                <w:szCs w:val="20"/>
              </w:rPr>
              <w:t>Not possible to quantify in a meaningful way at this stage, but it is expected as a result of the standardisation of the site, more site wide recycling initiatives can be instituted and monitored.</w:t>
            </w:r>
          </w:p>
        </w:tc>
        <w:tc>
          <w:tcPr>
            <w:tcW w:w="862" w:type="dxa"/>
          </w:tcPr>
          <w:p w14:paraId="6E243B41" w14:textId="77777777" w:rsidR="00DF73C0" w:rsidRPr="00CB4ED1" w:rsidRDefault="00DF73C0" w:rsidP="00E67800">
            <w:pPr>
              <w:pStyle w:val="tabletext"/>
              <w:rPr>
                <w:sz w:val="18"/>
                <w:szCs w:val="20"/>
              </w:rPr>
            </w:pPr>
            <w:r w:rsidRPr="00CB4ED1">
              <w:rPr>
                <w:sz w:val="18"/>
                <w:szCs w:val="20"/>
              </w:rPr>
              <w:t>UB23</w:t>
            </w:r>
          </w:p>
        </w:tc>
      </w:tr>
      <w:tr w:rsidR="00DF73C0" w:rsidRPr="00CB4ED1" w14:paraId="059F2EBD" w14:textId="77777777" w:rsidTr="00E67800">
        <w:tc>
          <w:tcPr>
            <w:tcW w:w="2660" w:type="dxa"/>
          </w:tcPr>
          <w:p w14:paraId="0FD7929D" w14:textId="77777777" w:rsidR="00DF73C0" w:rsidRPr="00CB4ED1" w:rsidRDefault="00DF73C0" w:rsidP="00E67800">
            <w:pPr>
              <w:pStyle w:val="tabletext"/>
              <w:rPr>
                <w:rFonts w:cstheme="minorBidi"/>
                <w:bCs/>
                <w:sz w:val="18"/>
                <w:szCs w:val="20"/>
              </w:rPr>
            </w:pPr>
            <w:r w:rsidRPr="00CB4ED1">
              <w:rPr>
                <w:rFonts w:cstheme="minorBidi"/>
                <w:bCs/>
                <w:sz w:val="18"/>
                <w:szCs w:val="20"/>
              </w:rPr>
              <w:t xml:space="preserve">Contribute to decarbonisation targets with energy efficiency: </w:t>
            </w:r>
            <w:r w:rsidRPr="00CB4ED1">
              <w:rPr>
                <w:rFonts w:cstheme="minorBidi"/>
                <w:sz w:val="18"/>
                <w:szCs w:val="20"/>
              </w:rPr>
              <w:t>Providing an energy efficient building which optimises energy consumption and associated CO2e</w:t>
            </w:r>
          </w:p>
        </w:tc>
        <w:tc>
          <w:tcPr>
            <w:tcW w:w="1701" w:type="dxa"/>
          </w:tcPr>
          <w:p w14:paraId="5C203C1E" w14:textId="77777777" w:rsidR="00DF73C0" w:rsidRPr="00CB4ED1" w:rsidRDefault="00DF73C0" w:rsidP="00E67800">
            <w:pPr>
              <w:pStyle w:val="tabletext"/>
              <w:rPr>
                <w:sz w:val="18"/>
                <w:szCs w:val="20"/>
              </w:rPr>
            </w:pPr>
            <w:r w:rsidRPr="00D757E4">
              <w:rPr>
                <w:rFonts w:cs="Arial"/>
                <w:sz w:val="18"/>
                <w:szCs w:val="20"/>
              </w:rPr>
              <w:t>Qualitative</w:t>
            </w:r>
          </w:p>
        </w:tc>
        <w:tc>
          <w:tcPr>
            <w:tcW w:w="1843" w:type="dxa"/>
          </w:tcPr>
          <w:p w14:paraId="5BAF35BF"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6BADBAF9" w14:textId="77777777" w:rsidR="00DF73C0" w:rsidRPr="00CB4ED1" w:rsidRDefault="00DF73C0" w:rsidP="00E67800">
            <w:pPr>
              <w:pStyle w:val="tabletext"/>
              <w:rPr>
                <w:sz w:val="18"/>
                <w:szCs w:val="20"/>
              </w:rPr>
            </w:pPr>
            <w:r w:rsidRPr="00D757E4">
              <w:rPr>
                <w:rFonts w:cs="Arial"/>
                <w:sz w:val="18"/>
                <w:szCs w:val="20"/>
              </w:rPr>
              <w:t>N/A</w:t>
            </w:r>
          </w:p>
        </w:tc>
        <w:tc>
          <w:tcPr>
            <w:tcW w:w="1418" w:type="dxa"/>
          </w:tcPr>
          <w:p w14:paraId="02EAD374"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05BEB953" w14:textId="77777777" w:rsidR="00DF73C0" w:rsidRPr="00CB4ED1" w:rsidRDefault="00DF73C0" w:rsidP="00E67800">
            <w:pPr>
              <w:pStyle w:val="tabletext"/>
              <w:rPr>
                <w:sz w:val="18"/>
                <w:szCs w:val="20"/>
              </w:rPr>
            </w:pPr>
            <w:r w:rsidRPr="00D757E4">
              <w:rPr>
                <w:rFonts w:cs="Arial"/>
                <w:sz w:val="18"/>
                <w:szCs w:val="20"/>
              </w:rPr>
              <w:t>The new building at LHP will be developed to comply with the net carbon zero strategy and principles. Gas will also not be used on site.</w:t>
            </w:r>
          </w:p>
        </w:tc>
        <w:tc>
          <w:tcPr>
            <w:tcW w:w="862" w:type="dxa"/>
          </w:tcPr>
          <w:p w14:paraId="00D850C4" w14:textId="77777777" w:rsidR="00DF73C0" w:rsidRPr="00CB4ED1" w:rsidRDefault="00DF73C0" w:rsidP="00E67800">
            <w:pPr>
              <w:pStyle w:val="tabletext"/>
              <w:rPr>
                <w:sz w:val="18"/>
                <w:szCs w:val="20"/>
              </w:rPr>
            </w:pPr>
            <w:r w:rsidRPr="00CB4ED1">
              <w:rPr>
                <w:sz w:val="18"/>
                <w:szCs w:val="20"/>
              </w:rPr>
              <w:t>UB24</w:t>
            </w:r>
          </w:p>
        </w:tc>
      </w:tr>
      <w:tr w:rsidR="00DF73C0" w:rsidRPr="00CB4ED1" w14:paraId="1D969445" w14:textId="77777777" w:rsidTr="00E67800">
        <w:tc>
          <w:tcPr>
            <w:tcW w:w="2660" w:type="dxa"/>
          </w:tcPr>
          <w:p w14:paraId="46D0AE14" w14:textId="77777777" w:rsidR="00DF73C0" w:rsidRPr="00CB4ED1" w:rsidRDefault="00DF73C0" w:rsidP="00E67800">
            <w:pPr>
              <w:pStyle w:val="tabletext"/>
              <w:rPr>
                <w:rFonts w:cstheme="minorBidi"/>
                <w:sz w:val="18"/>
                <w:szCs w:val="20"/>
              </w:rPr>
            </w:pPr>
            <w:r w:rsidRPr="00CB4ED1">
              <w:rPr>
                <w:rFonts w:cstheme="minorBidi"/>
                <w:bCs/>
                <w:sz w:val="18"/>
                <w:szCs w:val="20"/>
              </w:rPr>
              <w:t xml:space="preserve">Contribute to decarbonisation targets with more efficient pathway: </w:t>
            </w:r>
            <w:r w:rsidRPr="00CB4ED1">
              <w:rPr>
                <w:rFonts w:cstheme="minorBidi"/>
                <w:sz w:val="18"/>
                <w:szCs w:val="20"/>
              </w:rPr>
              <w:t>Reduced CO2e associated with reduced patient length of stay</w:t>
            </w:r>
          </w:p>
        </w:tc>
        <w:tc>
          <w:tcPr>
            <w:tcW w:w="1701" w:type="dxa"/>
          </w:tcPr>
          <w:p w14:paraId="4EB31426" w14:textId="77777777" w:rsidR="00DF73C0" w:rsidRPr="00CB4ED1" w:rsidRDefault="00DF73C0" w:rsidP="00E67800">
            <w:pPr>
              <w:pStyle w:val="tabletext"/>
              <w:rPr>
                <w:sz w:val="18"/>
                <w:szCs w:val="20"/>
              </w:rPr>
            </w:pPr>
            <w:r w:rsidRPr="00CB4ED1">
              <w:rPr>
                <w:sz w:val="18"/>
                <w:szCs w:val="20"/>
              </w:rPr>
              <w:t>Carbon impact of stay</w:t>
            </w:r>
          </w:p>
          <w:p w14:paraId="4718CDC5" w14:textId="77777777" w:rsidR="00DF73C0" w:rsidRPr="00CB4ED1" w:rsidRDefault="00DF73C0" w:rsidP="00E67800">
            <w:pPr>
              <w:pStyle w:val="tabletext"/>
              <w:rPr>
                <w:sz w:val="18"/>
                <w:szCs w:val="20"/>
              </w:rPr>
            </w:pPr>
            <w:r w:rsidRPr="00CB4ED1">
              <w:rPr>
                <w:sz w:val="16"/>
                <w:szCs w:val="18"/>
              </w:rPr>
              <w:t>(Based on reduced length of stay)</w:t>
            </w:r>
          </w:p>
        </w:tc>
        <w:tc>
          <w:tcPr>
            <w:tcW w:w="1843" w:type="dxa"/>
          </w:tcPr>
          <w:p w14:paraId="1D9AE1D9" w14:textId="77777777" w:rsidR="00DF73C0" w:rsidRPr="00CB4ED1" w:rsidRDefault="00DF73C0" w:rsidP="00E67800">
            <w:pPr>
              <w:pStyle w:val="tabletext"/>
              <w:rPr>
                <w:sz w:val="18"/>
                <w:szCs w:val="20"/>
              </w:rPr>
            </w:pPr>
            <w:r w:rsidRPr="00CB4ED1">
              <w:rPr>
                <w:sz w:val="18"/>
                <w:szCs w:val="20"/>
              </w:rPr>
              <w:t>N/A</w:t>
            </w:r>
          </w:p>
        </w:tc>
        <w:tc>
          <w:tcPr>
            <w:tcW w:w="2409" w:type="dxa"/>
          </w:tcPr>
          <w:p w14:paraId="59D70F28" w14:textId="77777777" w:rsidR="00DF73C0" w:rsidRPr="00CB4ED1" w:rsidRDefault="00DF73C0" w:rsidP="00E67800">
            <w:pPr>
              <w:pStyle w:val="tabletext"/>
              <w:rPr>
                <w:sz w:val="18"/>
                <w:szCs w:val="20"/>
              </w:rPr>
            </w:pPr>
            <w:r>
              <w:rPr>
                <w:sz w:val="18"/>
                <w:szCs w:val="20"/>
              </w:rPr>
              <w:t>Reduction of 770</w:t>
            </w:r>
            <w:r w:rsidRPr="00CB4ED1">
              <w:rPr>
                <w:sz w:val="18"/>
                <w:szCs w:val="20"/>
              </w:rPr>
              <w:t xml:space="preserve"> tonnes of CO2e p.a.</w:t>
            </w:r>
          </w:p>
          <w:p w14:paraId="2A6D5CC1" w14:textId="77777777" w:rsidR="00DF73C0" w:rsidRPr="00CB4ED1" w:rsidRDefault="00DF73C0" w:rsidP="00E67800">
            <w:pPr>
              <w:pStyle w:val="tabletext"/>
              <w:rPr>
                <w:sz w:val="18"/>
                <w:szCs w:val="20"/>
              </w:rPr>
            </w:pPr>
            <w:r w:rsidRPr="00CB4ED1">
              <w:rPr>
                <w:sz w:val="16"/>
                <w:szCs w:val="18"/>
              </w:rPr>
              <w:t xml:space="preserve">(Based on </w:t>
            </w:r>
            <w:r>
              <w:rPr>
                <w:sz w:val="16"/>
                <w:szCs w:val="18"/>
              </w:rPr>
              <w:t>20,321</w:t>
            </w:r>
            <w:r w:rsidRPr="00CB4ED1">
              <w:rPr>
                <w:sz w:val="16"/>
                <w:szCs w:val="18"/>
              </w:rPr>
              <w:t xml:space="preserve"> fewer bed days p.a. based on ALOS reduction targets outlined in NCRB1)</w:t>
            </w:r>
          </w:p>
        </w:tc>
        <w:tc>
          <w:tcPr>
            <w:tcW w:w="1418" w:type="dxa"/>
          </w:tcPr>
          <w:p w14:paraId="408C2F2E" w14:textId="77777777" w:rsidR="00DF73C0" w:rsidRPr="00CB4ED1" w:rsidRDefault="00DF73C0" w:rsidP="00E67800">
            <w:pPr>
              <w:pStyle w:val="tabletext"/>
              <w:rPr>
                <w:sz w:val="18"/>
                <w:szCs w:val="20"/>
              </w:rPr>
            </w:pPr>
            <w:r w:rsidRPr="00CB4ED1">
              <w:rPr>
                <w:sz w:val="18"/>
                <w:szCs w:val="20"/>
              </w:rPr>
              <w:t>£</w:t>
            </w:r>
            <w:r>
              <w:rPr>
                <w:sz w:val="18"/>
                <w:szCs w:val="20"/>
              </w:rPr>
              <w:t>227</w:t>
            </w:r>
            <w:r w:rsidRPr="00CB4ED1">
              <w:rPr>
                <w:sz w:val="18"/>
                <w:szCs w:val="20"/>
              </w:rPr>
              <w:t>k (average)</w:t>
            </w:r>
          </w:p>
          <w:p w14:paraId="5CFAD419" w14:textId="77777777" w:rsidR="00DF73C0" w:rsidRPr="00CB4ED1" w:rsidRDefault="00DF73C0" w:rsidP="00E67800">
            <w:pPr>
              <w:pStyle w:val="tabletext"/>
              <w:rPr>
                <w:sz w:val="18"/>
                <w:szCs w:val="20"/>
              </w:rPr>
            </w:pPr>
            <w:r w:rsidRPr="00CB4ED1">
              <w:rPr>
                <w:sz w:val="18"/>
                <w:szCs w:val="20"/>
              </w:rPr>
              <w:t>after confidence rating applied</w:t>
            </w:r>
          </w:p>
        </w:tc>
        <w:tc>
          <w:tcPr>
            <w:tcW w:w="4536" w:type="dxa"/>
          </w:tcPr>
          <w:p w14:paraId="1DA79B80" w14:textId="29B18B30" w:rsidR="00DF73C0" w:rsidRPr="00CB4ED1" w:rsidRDefault="00DF73C0" w:rsidP="00E67800">
            <w:pPr>
              <w:pStyle w:val="tabletext"/>
              <w:rPr>
                <w:sz w:val="18"/>
                <w:szCs w:val="20"/>
              </w:rPr>
            </w:pPr>
            <w:r w:rsidRPr="00CB4ED1">
              <w:rPr>
                <w:sz w:val="18"/>
                <w:szCs w:val="20"/>
              </w:rPr>
              <w:t xml:space="preserve">The average carbon impact of a stay on a low intensity ward is 37.9 kg CO2e i per bed day [Source: </w:t>
            </w:r>
            <w:hyperlink r:id="rId53" w:anchor=":~:text=For%20example%2C%20the%20average%20carbon,in%20a%20high%20intensity%20ward.">
              <w:r w:rsidRPr="00CB4ED1">
                <w:rPr>
                  <w:rStyle w:val="Hyperlink"/>
                  <w:rFonts w:cstheme="minorBidi"/>
                  <w:sz w:val="18"/>
                  <w:szCs w:val="20"/>
                </w:rPr>
                <w:t>NHS England » Building on what we already do</w:t>
              </w:r>
            </w:hyperlink>
            <w:r w:rsidRPr="00CB4ED1">
              <w:rPr>
                <w:sz w:val="18"/>
                <w:szCs w:val="20"/>
              </w:rPr>
              <w:t>]</w:t>
            </w:r>
          </w:p>
          <w:p w14:paraId="42053DDD" w14:textId="77777777" w:rsidR="00DF73C0" w:rsidRPr="00CB4ED1" w:rsidRDefault="00DF73C0" w:rsidP="00E67800">
            <w:pPr>
              <w:pStyle w:val="tabletext"/>
              <w:rPr>
                <w:sz w:val="18"/>
                <w:szCs w:val="20"/>
              </w:rPr>
            </w:pPr>
            <w:r w:rsidRPr="00CB4ED1">
              <w:rPr>
                <w:sz w:val="18"/>
                <w:szCs w:val="20"/>
              </w:rPr>
              <w:t xml:space="preserve">Applying to </w:t>
            </w:r>
            <w:r>
              <w:rPr>
                <w:sz w:val="18"/>
                <w:szCs w:val="20"/>
              </w:rPr>
              <w:t>20,321</w:t>
            </w:r>
            <w:r w:rsidRPr="00CB4ED1">
              <w:rPr>
                <w:sz w:val="18"/>
                <w:szCs w:val="20"/>
              </w:rPr>
              <w:t xml:space="preserve"> reduction in bed days = </w:t>
            </w:r>
            <w:r>
              <w:rPr>
                <w:sz w:val="18"/>
                <w:szCs w:val="20"/>
              </w:rPr>
              <w:t>770</w:t>
            </w:r>
            <w:r w:rsidRPr="00CB4ED1">
              <w:rPr>
                <w:sz w:val="18"/>
                <w:szCs w:val="20"/>
              </w:rPr>
              <w:t xml:space="preserve"> tonnes p.a.</w:t>
            </w:r>
          </w:p>
          <w:p w14:paraId="5E23223F" w14:textId="77777777" w:rsidR="00DF73C0" w:rsidRPr="00CB4ED1" w:rsidRDefault="00DF73C0" w:rsidP="00E67800">
            <w:pPr>
              <w:pStyle w:val="tabletext"/>
              <w:rPr>
                <w:sz w:val="18"/>
                <w:szCs w:val="20"/>
              </w:rPr>
            </w:pPr>
            <w:r w:rsidRPr="00CB4ED1">
              <w:rPr>
                <w:sz w:val="18"/>
                <w:szCs w:val="20"/>
              </w:rPr>
              <w:t xml:space="preserve">At an average of £588.26 per tonne of CO2e [Source: </w:t>
            </w:r>
            <w:proofErr w:type="spellStart"/>
            <w:r w:rsidRPr="00CB4ED1">
              <w:rPr>
                <w:sz w:val="18"/>
                <w:szCs w:val="20"/>
              </w:rPr>
              <w:t>DfT</w:t>
            </w:r>
            <w:proofErr w:type="spellEnd"/>
            <w:r w:rsidRPr="00CB4ED1">
              <w:rPr>
                <w:sz w:val="18"/>
                <w:szCs w:val="20"/>
              </w:rPr>
              <w:t xml:space="preserve"> TAG Data book (Table A 3.4.1: Carbon Appraisal Values, £ per Tonne of CO2e] this equates to an average economic value of £</w:t>
            </w:r>
            <w:r>
              <w:rPr>
                <w:sz w:val="18"/>
                <w:szCs w:val="20"/>
              </w:rPr>
              <w:t>453</w:t>
            </w:r>
            <w:r w:rsidRPr="00CB4ED1">
              <w:rPr>
                <w:sz w:val="18"/>
                <w:szCs w:val="20"/>
              </w:rPr>
              <w:t>k p.a.</w:t>
            </w:r>
          </w:p>
          <w:p w14:paraId="04E5B85C" w14:textId="77777777" w:rsidR="00DF73C0" w:rsidRPr="00CB4ED1" w:rsidRDefault="00DF73C0" w:rsidP="00E67800">
            <w:pPr>
              <w:pStyle w:val="tabletext"/>
              <w:rPr>
                <w:sz w:val="18"/>
                <w:szCs w:val="20"/>
              </w:rPr>
            </w:pPr>
            <w:r w:rsidRPr="00CB4ED1">
              <w:rPr>
                <w:sz w:val="18"/>
                <w:szCs w:val="20"/>
              </w:rPr>
              <w:t xml:space="preserve">A </w:t>
            </w:r>
            <w:r>
              <w:rPr>
                <w:sz w:val="18"/>
                <w:szCs w:val="20"/>
              </w:rPr>
              <w:t>50</w:t>
            </w:r>
            <w:r w:rsidRPr="00CB4ED1">
              <w:rPr>
                <w:sz w:val="18"/>
                <w:szCs w:val="20"/>
              </w:rPr>
              <w:t>% confidence rating has then been applied in line with NCRB1.</w:t>
            </w:r>
          </w:p>
        </w:tc>
        <w:tc>
          <w:tcPr>
            <w:tcW w:w="862" w:type="dxa"/>
          </w:tcPr>
          <w:p w14:paraId="7BDE635B" w14:textId="77777777" w:rsidR="00DF73C0" w:rsidRPr="00CB4ED1" w:rsidRDefault="00DF73C0" w:rsidP="00E67800">
            <w:pPr>
              <w:pStyle w:val="tabletext"/>
              <w:rPr>
                <w:sz w:val="18"/>
                <w:szCs w:val="20"/>
              </w:rPr>
            </w:pPr>
            <w:r w:rsidRPr="00CB4ED1">
              <w:rPr>
                <w:sz w:val="18"/>
                <w:szCs w:val="20"/>
              </w:rPr>
              <w:t>SB</w:t>
            </w:r>
            <w:r>
              <w:rPr>
                <w:sz w:val="18"/>
                <w:szCs w:val="20"/>
              </w:rPr>
              <w:t>3</w:t>
            </w:r>
          </w:p>
        </w:tc>
      </w:tr>
      <w:tr w:rsidR="00DF73C0" w:rsidRPr="00CB4ED1" w14:paraId="0BAFA5F5" w14:textId="77777777" w:rsidTr="00E67800">
        <w:tc>
          <w:tcPr>
            <w:tcW w:w="2660" w:type="dxa"/>
          </w:tcPr>
          <w:p w14:paraId="34C2D86F" w14:textId="77777777" w:rsidR="00DF73C0" w:rsidRPr="00CB4ED1" w:rsidRDefault="00DF73C0" w:rsidP="00E67800">
            <w:pPr>
              <w:pStyle w:val="tabletext"/>
              <w:rPr>
                <w:rFonts w:cstheme="minorBidi"/>
                <w:sz w:val="18"/>
                <w:szCs w:val="20"/>
              </w:rPr>
            </w:pPr>
            <w:r w:rsidRPr="00D757E4">
              <w:rPr>
                <w:rFonts w:cs="Arial"/>
                <w:sz w:val="18"/>
                <w:szCs w:val="20"/>
              </w:rPr>
              <w:t xml:space="preserve">Preservation of biodiversity and wetland area due </w:t>
            </w:r>
            <w:proofErr w:type="gramStart"/>
            <w:r w:rsidRPr="00D757E4">
              <w:rPr>
                <w:rFonts w:cs="Arial"/>
                <w:sz w:val="18"/>
                <w:szCs w:val="20"/>
              </w:rPr>
              <w:t>to</w:t>
            </w:r>
            <w:r>
              <w:rPr>
                <w:rFonts w:cs="Arial"/>
                <w:sz w:val="18"/>
                <w:szCs w:val="20"/>
              </w:rPr>
              <w:t xml:space="preserve"> </w:t>
            </w:r>
            <w:r w:rsidRPr="00D757E4">
              <w:rPr>
                <w:rFonts w:cs="Arial"/>
                <w:sz w:val="18"/>
                <w:szCs w:val="20"/>
              </w:rPr>
              <w:t>choice</w:t>
            </w:r>
            <w:proofErr w:type="gramEnd"/>
            <w:r w:rsidRPr="00D757E4">
              <w:rPr>
                <w:rFonts w:cs="Arial"/>
                <w:sz w:val="18"/>
                <w:szCs w:val="20"/>
              </w:rPr>
              <w:t xml:space="preserve"> and design of site.</w:t>
            </w:r>
          </w:p>
        </w:tc>
        <w:tc>
          <w:tcPr>
            <w:tcW w:w="1701" w:type="dxa"/>
          </w:tcPr>
          <w:p w14:paraId="31F5EB19" w14:textId="77777777" w:rsidR="00DF73C0" w:rsidRPr="00CB4ED1" w:rsidRDefault="00DF73C0" w:rsidP="00E67800">
            <w:pPr>
              <w:pStyle w:val="tabletext"/>
              <w:rPr>
                <w:sz w:val="18"/>
                <w:szCs w:val="20"/>
              </w:rPr>
            </w:pPr>
            <w:r w:rsidRPr="00D757E4">
              <w:rPr>
                <w:rFonts w:cs="Arial"/>
                <w:sz w:val="18"/>
                <w:szCs w:val="20"/>
              </w:rPr>
              <w:t>Qualitative</w:t>
            </w:r>
          </w:p>
        </w:tc>
        <w:tc>
          <w:tcPr>
            <w:tcW w:w="1843" w:type="dxa"/>
          </w:tcPr>
          <w:p w14:paraId="4248F094"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03423716" w14:textId="77777777" w:rsidR="00DF73C0" w:rsidRPr="00CB4ED1" w:rsidRDefault="00DF73C0" w:rsidP="00E67800">
            <w:pPr>
              <w:pStyle w:val="tabletext"/>
              <w:rPr>
                <w:sz w:val="18"/>
                <w:szCs w:val="20"/>
              </w:rPr>
            </w:pPr>
            <w:r w:rsidRPr="00D757E4">
              <w:rPr>
                <w:rFonts w:cs="Arial"/>
                <w:sz w:val="18"/>
                <w:szCs w:val="20"/>
              </w:rPr>
              <w:t>N/A</w:t>
            </w:r>
          </w:p>
        </w:tc>
        <w:tc>
          <w:tcPr>
            <w:tcW w:w="1418" w:type="dxa"/>
          </w:tcPr>
          <w:p w14:paraId="1E47E7E3"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4797BF57" w14:textId="77777777" w:rsidR="00DF73C0" w:rsidRPr="00CB4ED1" w:rsidRDefault="00DF73C0" w:rsidP="00E67800">
            <w:pPr>
              <w:pStyle w:val="tabletext"/>
              <w:rPr>
                <w:sz w:val="18"/>
                <w:szCs w:val="20"/>
              </w:rPr>
            </w:pPr>
            <w:r w:rsidRPr="00D757E4">
              <w:rPr>
                <w:rFonts w:cs="Arial"/>
                <w:sz w:val="18"/>
                <w:szCs w:val="20"/>
              </w:rPr>
              <w:t>As a result of the choice of site for the development and that is recycling a previously developed industrial site instead of a greenfield site, there is preservation of biodiversity in the region. The choice of design and ensuring it stays within the already developed portions of the site, the wetland area is preserved and protected from all development in line with Local Council’s recommendations.</w:t>
            </w:r>
          </w:p>
        </w:tc>
        <w:tc>
          <w:tcPr>
            <w:tcW w:w="862" w:type="dxa"/>
          </w:tcPr>
          <w:p w14:paraId="23944F37" w14:textId="77777777" w:rsidR="00DF73C0" w:rsidRPr="00CB4ED1" w:rsidRDefault="00DF73C0" w:rsidP="00E67800">
            <w:pPr>
              <w:pStyle w:val="tabletext"/>
              <w:rPr>
                <w:sz w:val="18"/>
                <w:szCs w:val="20"/>
              </w:rPr>
            </w:pPr>
            <w:r w:rsidRPr="00AF3A4C">
              <w:rPr>
                <w:sz w:val="18"/>
                <w:szCs w:val="20"/>
              </w:rPr>
              <w:t>UB25</w:t>
            </w:r>
          </w:p>
        </w:tc>
      </w:tr>
      <w:tr w:rsidR="00DF73C0" w:rsidRPr="00CB4ED1" w14:paraId="019920E0" w14:textId="77777777" w:rsidTr="00E67800">
        <w:tc>
          <w:tcPr>
            <w:tcW w:w="2660" w:type="dxa"/>
          </w:tcPr>
          <w:p w14:paraId="6C7E6B96" w14:textId="77777777" w:rsidR="00DF73C0" w:rsidRPr="00CB4ED1" w:rsidRDefault="00DF73C0" w:rsidP="00E67800">
            <w:pPr>
              <w:pStyle w:val="tabletext"/>
              <w:rPr>
                <w:rFonts w:cstheme="minorBidi"/>
                <w:sz w:val="18"/>
                <w:szCs w:val="20"/>
              </w:rPr>
            </w:pPr>
            <w:r w:rsidRPr="00D757E4">
              <w:rPr>
                <w:rFonts w:cs="Arial"/>
                <w:sz w:val="18"/>
                <w:szCs w:val="20"/>
              </w:rPr>
              <w:t xml:space="preserve">Enables and provides meaningful and adequate </w:t>
            </w:r>
            <w:r w:rsidRPr="00D757E4">
              <w:rPr>
                <w:rFonts w:cs="Arial"/>
                <w:sz w:val="18"/>
                <w:szCs w:val="20"/>
              </w:rPr>
              <w:lastRenderedPageBreak/>
              <w:t>spaces for future phases of work that are planned</w:t>
            </w:r>
          </w:p>
        </w:tc>
        <w:tc>
          <w:tcPr>
            <w:tcW w:w="1701" w:type="dxa"/>
          </w:tcPr>
          <w:p w14:paraId="48F2538D" w14:textId="77777777" w:rsidR="00DF73C0" w:rsidRPr="00CB4ED1" w:rsidRDefault="00DF73C0" w:rsidP="00E67800">
            <w:pPr>
              <w:pStyle w:val="tabletext"/>
              <w:rPr>
                <w:sz w:val="18"/>
                <w:szCs w:val="20"/>
              </w:rPr>
            </w:pPr>
            <w:r w:rsidRPr="00D757E4">
              <w:rPr>
                <w:rFonts w:cs="Arial"/>
                <w:sz w:val="18"/>
                <w:szCs w:val="20"/>
              </w:rPr>
              <w:lastRenderedPageBreak/>
              <w:t>Qualitative</w:t>
            </w:r>
          </w:p>
        </w:tc>
        <w:tc>
          <w:tcPr>
            <w:tcW w:w="1843" w:type="dxa"/>
          </w:tcPr>
          <w:p w14:paraId="137C1E05"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1B985878" w14:textId="77777777" w:rsidR="00DF73C0" w:rsidRPr="00CB4ED1" w:rsidRDefault="00DF73C0" w:rsidP="00E67800">
            <w:pPr>
              <w:pStyle w:val="tabletext"/>
              <w:rPr>
                <w:sz w:val="18"/>
                <w:szCs w:val="20"/>
              </w:rPr>
            </w:pPr>
            <w:r w:rsidRPr="00D757E4">
              <w:rPr>
                <w:rFonts w:cs="Arial"/>
                <w:sz w:val="18"/>
                <w:szCs w:val="20"/>
              </w:rPr>
              <w:t>N/A</w:t>
            </w:r>
          </w:p>
        </w:tc>
        <w:tc>
          <w:tcPr>
            <w:tcW w:w="1418" w:type="dxa"/>
          </w:tcPr>
          <w:p w14:paraId="3E86C557"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534D7AF6" w14:textId="77777777" w:rsidR="00DF73C0" w:rsidRPr="00CB4ED1" w:rsidRDefault="00DF73C0" w:rsidP="00E67800">
            <w:pPr>
              <w:pStyle w:val="tabletext"/>
              <w:rPr>
                <w:sz w:val="18"/>
                <w:szCs w:val="20"/>
              </w:rPr>
            </w:pPr>
            <w:r w:rsidRPr="00D757E4">
              <w:rPr>
                <w:rFonts w:cs="Arial"/>
                <w:sz w:val="18"/>
                <w:szCs w:val="20"/>
              </w:rPr>
              <w:t>Not possible to quantify in a meaningful way at this stage</w:t>
            </w:r>
          </w:p>
        </w:tc>
        <w:tc>
          <w:tcPr>
            <w:tcW w:w="862" w:type="dxa"/>
          </w:tcPr>
          <w:p w14:paraId="5E731FD5" w14:textId="77777777" w:rsidR="00DF73C0" w:rsidRPr="00CB4ED1" w:rsidRDefault="00DF73C0" w:rsidP="00E67800">
            <w:pPr>
              <w:pStyle w:val="tabletext"/>
              <w:rPr>
                <w:sz w:val="18"/>
                <w:szCs w:val="20"/>
              </w:rPr>
            </w:pPr>
            <w:r w:rsidRPr="00AF3A4C">
              <w:rPr>
                <w:sz w:val="18"/>
                <w:szCs w:val="20"/>
              </w:rPr>
              <w:t>UB2</w:t>
            </w:r>
            <w:r>
              <w:rPr>
                <w:sz w:val="18"/>
                <w:szCs w:val="20"/>
              </w:rPr>
              <w:t>6</w:t>
            </w:r>
          </w:p>
        </w:tc>
      </w:tr>
      <w:tr w:rsidR="00DF73C0" w:rsidRPr="00CB4ED1" w14:paraId="46345FAF" w14:textId="77777777" w:rsidTr="00E67800">
        <w:tc>
          <w:tcPr>
            <w:tcW w:w="2660" w:type="dxa"/>
          </w:tcPr>
          <w:p w14:paraId="6A8ED377" w14:textId="77777777" w:rsidR="00DF73C0" w:rsidRPr="00CB4ED1" w:rsidRDefault="00DF73C0" w:rsidP="00E67800">
            <w:pPr>
              <w:pStyle w:val="tabletext"/>
              <w:rPr>
                <w:rFonts w:cstheme="minorBidi"/>
                <w:sz w:val="18"/>
                <w:szCs w:val="20"/>
              </w:rPr>
            </w:pPr>
            <w:r w:rsidRPr="00D757E4">
              <w:rPr>
                <w:rFonts w:cs="Arial"/>
                <w:sz w:val="18"/>
                <w:szCs w:val="20"/>
              </w:rPr>
              <w:t>Provides opportunity for future expansion: As a result of the choice of site and design, it allows for expansion to capacity in current services as well as development of future services</w:t>
            </w:r>
          </w:p>
        </w:tc>
        <w:tc>
          <w:tcPr>
            <w:tcW w:w="1701" w:type="dxa"/>
          </w:tcPr>
          <w:p w14:paraId="04536EE0" w14:textId="77777777" w:rsidR="00DF73C0" w:rsidRPr="00CB4ED1" w:rsidRDefault="00DF73C0" w:rsidP="00E67800">
            <w:pPr>
              <w:pStyle w:val="tabletext"/>
              <w:rPr>
                <w:sz w:val="18"/>
                <w:szCs w:val="20"/>
              </w:rPr>
            </w:pPr>
            <w:r w:rsidRPr="00D757E4">
              <w:rPr>
                <w:rFonts w:cs="Arial"/>
                <w:sz w:val="18"/>
                <w:szCs w:val="20"/>
              </w:rPr>
              <w:t>Qualitative</w:t>
            </w:r>
          </w:p>
        </w:tc>
        <w:tc>
          <w:tcPr>
            <w:tcW w:w="1843" w:type="dxa"/>
          </w:tcPr>
          <w:p w14:paraId="0FD142DF" w14:textId="77777777" w:rsidR="00DF73C0" w:rsidRPr="00CB4ED1" w:rsidRDefault="00DF73C0" w:rsidP="00E67800">
            <w:pPr>
              <w:pStyle w:val="tabletext"/>
              <w:rPr>
                <w:sz w:val="18"/>
                <w:szCs w:val="20"/>
              </w:rPr>
            </w:pPr>
            <w:r w:rsidRPr="00D757E4">
              <w:rPr>
                <w:rFonts w:cs="Arial"/>
                <w:sz w:val="18"/>
                <w:szCs w:val="20"/>
              </w:rPr>
              <w:t>N/A</w:t>
            </w:r>
          </w:p>
        </w:tc>
        <w:tc>
          <w:tcPr>
            <w:tcW w:w="2409" w:type="dxa"/>
          </w:tcPr>
          <w:p w14:paraId="69FF2107" w14:textId="77777777" w:rsidR="00DF73C0" w:rsidRPr="00CB4ED1" w:rsidRDefault="00DF73C0" w:rsidP="00E67800">
            <w:pPr>
              <w:pStyle w:val="tabletext"/>
              <w:rPr>
                <w:sz w:val="18"/>
                <w:szCs w:val="20"/>
              </w:rPr>
            </w:pPr>
            <w:r w:rsidRPr="00D757E4">
              <w:rPr>
                <w:rFonts w:cs="Arial"/>
                <w:sz w:val="18"/>
                <w:szCs w:val="20"/>
              </w:rPr>
              <w:t>N/A</w:t>
            </w:r>
          </w:p>
        </w:tc>
        <w:tc>
          <w:tcPr>
            <w:tcW w:w="1418" w:type="dxa"/>
          </w:tcPr>
          <w:p w14:paraId="7BA2F656" w14:textId="77777777" w:rsidR="00DF73C0" w:rsidRPr="00CB4ED1" w:rsidRDefault="00DF73C0" w:rsidP="00E67800">
            <w:pPr>
              <w:pStyle w:val="tabletext"/>
              <w:rPr>
                <w:sz w:val="18"/>
                <w:szCs w:val="20"/>
              </w:rPr>
            </w:pPr>
            <w:r w:rsidRPr="00D757E4">
              <w:rPr>
                <w:rFonts w:cs="Arial"/>
                <w:sz w:val="18"/>
                <w:szCs w:val="20"/>
              </w:rPr>
              <w:t xml:space="preserve">Not </w:t>
            </w:r>
            <w:proofErr w:type="spellStart"/>
            <w:r w:rsidRPr="00D757E4">
              <w:rPr>
                <w:rFonts w:cs="Arial"/>
                <w:sz w:val="18"/>
                <w:szCs w:val="20"/>
              </w:rPr>
              <w:t>monetisable</w:t>
            </w:r>
            <w:proofErr w:type="spellEnd"/>
          </w:p>
        </w:tc>
        <w:tc>
          <w:tcPr>
            <w:tcW w:w="4536" w:type="dxa"/>
          </w:tcPr>
          <w:p w14:paraId="35D1378E" w14:textId="77777777" w:rsidR="00DF73C0" w:rsidRPr="00CB4ED1" w:rsidRDefault="00DF73C0" w:rsidP="00E67800">
            <w:pPr>
              <w:pStyle w:val="tabletext"/>
              <w:rPr>
                <w:sz w:val="18"/>
                <w:szCs w:val="20"/>
              </w:rPr>
            </w:pPr>
            <w:r w:rsidRPr="00D757E4">
              <w:rPr>
                <w:rFonts w:cs="Arial"/>
                <w:sz w:val="18"/>
                <w:szCs w:val="20"/>
              </w:rPr>
              <w:t>Existing design allows for future increase in capacity (i.e. has design has factored in space for further equipment and rooms to accommodate providing additional capacity in the future)</w:t>
            </w:r>
          </w:p>
        </w:tc>
        <w:tc>
          <w:tcPr>
            <w:tcW w:w="862" w:type="dxa"/>
          </w:tcPr>
          <w:p w14:paraId="364D153C" w14:textId="77777777" w:rsidR="00DF73C0" w:rsidRPr="00CB4ED1" w:rsidRDefault="00DF73C0" w:rsidP="00E67800">
            <w:pPr>
              <w:pStyle w:val="tabletext"/>
              <w:rPr>
                <w:sz w:val="18"/>
                <w:szCs w:val="20"/>
              </w:rPr>
            </w:pPr>
            <w:r w:rsidRPr="00CB4ED1">
              <w:rPr>
                <w:sz w:val="18"/>
                <w:szCs w:val="20"/>
              </w:rPr>
              <w:t>UB2</w:t>
            </w:r>
            <w:r>
              <w:rPr>
                <w:sz w:val="18"/>
                <w:szCs w:val="20"/>
              </w:rPr>
              <w:t>7</w:t>
            </w:r>
          </w:p>
        </w:tc>
      </w:tr>
    </w:tbl>
    <w:p w14:paraId="6247A1F3" w14:textId="77777777" w:rsidR="00DF73C0" w:rsidRPr="00CB4ED1" w:rsidRDefault="00DF73C0" w:rsidP="00DF73C0">
      <w:pPr>
        <w:rPr>
          <w:highlight w:val="darkGray"/>
        </w:rPr>
      </w:pPr>
    </w:p>
    <w:bookmarkEnd w:id="176"/>
    <w:bookmarkEnd w:id="177"/>
    <w:p w14:paraId="711CDE43" w14:textId="77777777" w:rsidR="00DF73C0" w:rsidRPr="00CB4ED1" w:rsidRDefault="00DF73C0" w:rsidP="00DF73C0">
      <w:pPr>
        <w:rPr>
          <w:highlight w:val="darkGray"/>
        </w:rPr>
        <w:sectPr w:rsidR="00DF73C0" w:rsidRPr="00CB4ED1" w:rsidSect="00DF73C0">
          <w:headerReference w:type="default" r:id="rId54"/>
          <w:footerReference w:type="default" r:id="rId55"/>
          <w:footerReference w:type="first" r:id="rId56"/>
          <w:pgSz w:w="16838" w:h="11906" w:orient="landscape"/>
          <w:pgMar w:top="851" w:right="851" w:bottom="1531" w:left="851" w:header="454" w:footer="454" w:gutter="0"/>
          <w:cols w:space="708"/>
          <w:docGrid w:linePitch="360"/>
        </w:sectPr>
      </w:pPr>
    </w:p>
    <w:p w14:paraId="7B879B42" w14:textId="77777777" w:rsidR="00DF73C0" w:rsidRPr="00CB4ED1" w:rsidRDefault="00DF73C0" w:rsidP="00DF73C0">
      <w:pPr>
        <w:pStyle w:val="Heading3"/>
      </w:pPr>
      <w:proofErr w:type="spellStart"/>
      <w:r w:rsidRPr="00CB4ED1">
        <w:lastRenderedPageBreak/>
        <w:t>Monetisable</w:t>
      </w:r>
      <w:proofErr w:type="spellEnd"/>
      <w:r w:rsidRPr="00CB4ED1">
        <w:t xml:space="preserve"> benefits analysis</w:t>
      </w:r>
    </w:p>
    <w:p w14:paraId="1C5C3AF9" w14:textId="77777777" w:rsidR="00DF73C0" w:rsidRPr="00CB4ED1" w:rsidRDefault="00DF73C0" w:rsidP="00DF73C0">
      <w:r w:rsidRPr="00CB4ED1">
        <w:t>While work continues to validate assumptions and explore benefits that it has not yet been possible to quantify, initial analysis has identified circa £3</w:t>
      </w:r>
      <w:r>
        <w:t>7</w:t>
      </w:r>
      <w:r w:rsidRPr="00CB4ED1">
        <w:t>.</w:t>
      </w:r>
      <w:r>
        <w:t>6</w:t>
      </w:r>
      <w:r w:rsidRPr="00CB4ED1">
        <w:t xml:space="preserve">m of </w:t>
      </w:r>
      <w:proofErr w:type="spellStart"/>
      <w:r w:rsidRPr="00CB4ED1">
        <w:t>monetisable</w:t>
      </w:r>
      <w:proofErr w:type="spellEnd"/>
      <w:r w:rsidRPr="00CB4ED1">
        <w:t xml:space="preserve"> benefits p.a. as summarised in the table below.</w:t>
      </w:r>
    </w:p>
    <w:p w14:paraId="194F3003" w14:textId="5D05DBC7" w:rsidR="00DF73C0" w:rsidRPr="00CB4ED1" w:rsidRDefault="00DF73C0" w:rsidP="00DF73C0">
      <w:pPr>
        <w:pStyle w:val="Caption"/>
        <w:rPr>
          <w:noProof w:val="0"/>
        </w:rPr>
      </w:pPr>
      <w:bookmarkStart w:id="185" w:name="_Ref198206791"/>
      <w:bookmarkStart w:id="186" w:name="_Toc213775145"/>
      <w:bookmarkStart w:id="187" w:name="_Toc213865296"/>
      <w:r w:rsidRPr="00CB4ED1">
        <w:rPr>
          <w:noProof w:val="0"/>
        </w:rPr>
        <w:t xml:space="preserve">Table </w:t>
      </w:r>
      <w:r w:rsidRPr="00CB4ED1">
        <w:rPr>
          <w:noProof w:val="0"/>
        </w:rPr>
        <w:fldChar w:fldCharType="begin"/>
      </w:r>
      <w:r w:rsidRPr="00CB4ED1">
        <w:rPr>
          <w:noProof w:val="0"/>
        </w:rPr>
        <w:instrText xml:space="preserve"> SEQ Table \* ARABIC </w:instrText>
      </w:r>
      <w:r w:rsidRPr="00CB4ED1">
        <w:rPr>
          <w:noProof w:val="0"/>
        </w:rPr>
        <w:fldChar w:fldCharType="separate"/>
      </w:r>
      <w:r w:rsidR="004A33ED">
        <w:t>16</w:t>
      </w:r>
      <w:r w:rsidRPr="00CB4ED1">
        <w:rPr>
          <w:noProof w:val="0"/>
        </w:rPr>
        <w:fldChar w:fldCharType="end"/>
      </w:r>
      <w:bookmarkEnd w:id="185"/>
      <w:r w:rsidRPr="00CB4ED1">
        <w:rPr>
          <w:noProof w:val="0"/>
        </w:rPr>
        <w:t xml:space="preserve"> – </w:t>
      </w:r>
      <w:proofErr w:type="spellStart"/>
      <w:r w:rsidRPr="00CB4ED1">
        <w:rPr>
          <w:noProof w:val="0"/>
        </w:rPr>
        <w:t>Monetisable</w:t>
      </w:r>
      <w:proofErr w:type="spellEnd"/>
      <w:r w:rsidRPr="00CB4ED1">
        <w:rPr>
          <w:noProof w:val="0"/>
        </w:rPr>
        <w:t xml:space="preserve"> benefits values after confidence rating (when benefits are fully realised)</w:t>
      </w:r>
      <w:bookmarkEnd w:id="186"/>
      <w:bookmarkEnd w:id="187"/>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4215"/>
        <w:gridCol w:w="2803"/>
        <w:gridCol w:w="2803"/>
      </w:tblGrid>
      <w:tr w:rsidR="00DF73C0" w:rsidRPr="00654E3F" w14:paraId="3BBD243B" w14:textId="77777777" w:rsidTr="00E67800">
        <w:trPr>
          <w:tblHeader/>
        </w:trPr>
        <w:tc>
          <w:tcPr>
            <w:tcW w:w="4077" w:type="dxa"/>
            <w:shd w:val="clear" w:color="auto" w:fill="374264" w:themeFill="text2"/>
            <w:vAlign w:val="center"/>
          </w:tcPr>
          <w:p w14:paraId="0DF1967E" w14:textId="77777777" w:rsidR="00DF73C0" w:rsidRPr="00654E3F" w:rsidRDefault="00DF73C0" w:rsidP="00E67800">
            <w:pPr>
              <w:pStyle w:val="tabletext"/>
              <w:rPr>
                <w:b/>
                <w:bCs/>
                <w:color w:val="FFFFFF" w:themeColor="background1"/>
                <w:szCs w:val="20"/>
              </w:rPr>
            </w:pPr>
            <w:r w:rsidRPr="00654E3F">
              <w:rPr>
                <w:b/>
                <w:bCs/>
                <w:color w:val="FFFFFF" w:themeColor="background1"/>
                <w:szCs w:val="20"/>
              </w:rPr>
              <w:t xml:space="preserve">Element </w:t>
            </w:r>
          </w:p>
        </w:tc>
        <w:tc>
          <w:tcPr>
            <w:tcW w:w="2712" w:type="dxa"/>
            <w:shd w:val="clear" w:color="auto" w:fill="374264" w:themeFill="text2"/>
            <w:vAlign w:val="center"/>
          </w:tcPr>
          <w:p w14:paraId="08272A7B" w14:textId="77777777" w:rsidR="00DF73C0" w:rsidRPr="00654E3F" w:rsidRDefault="00DF73C0" w:rsidP="00E67800">
            <w:pPr>
              <w:pStyle w:val="tabletext"/>
              <w:jc w:val="right"/>
              <w:rPr>
                <w:b/>
                <w:bCs/>
                <w:color w:val="FFFFFF" w:themeColor="background1"/>
                <w:szCs w:val="20"/>
              </w:rPr>
            </w:pPr>
            <w:r w:rsidRPr="00654E3F">
              <w:rPr>
                <w:b/>
                <w:bCs/>
                <w:color w:val="FFFFFF" w:themeColor="background1"/>
                <w:szCs w:val="20"/>
              </w:rPr>
              <w:t xml:space="preserve">Option 0 – </w:t>
            </w:r>
            <w:proofErr w:type="gramStart"/>
            <w:r w:rsidRPr="00654E3F">
              <w:rPr>
                <w:b/>
                <w:bCs/>
                <w:color w:val="FFFFFF" w:themeColor="background1"/>
                <w:szCs w:val="20"/>
              </w:rPr>
              <w:t>BAU  £</w:t>
            </w:r>
            <w:proofErr w:type="gramEnd"/>
            <w:r w:rsidRPr="00654E3F">
              <w:rPr>
                <w:b/>
                <w:bCs/>
                <w:color w:val="FFFFFF" w:themeColor="background1"/>
                <w:szCs w:val="20"/>
              </w:rPr>
              <w:t>’000</w:t>
            </w:r>
          </w:p>
        </w:tc>
        <w:tc>
          <w:tcPr>
            <w:tcW w:w="2712" w:type="dxa"/>
            <w:shd w:val="clear" w:color="auto" w:fill="374264" w:themeFill="text2"/>
            <w:vAlign w:val="center"/>
          </w:tcPr>
          <w:p w14:paraId="619567D4" w14:textId="77777777" w:rsidR="00DF73C0" w:rsidRPr="00654E3F" w:rsidRDefault="00DF73C0" w:rsidP="00E67800">
            <w:pPr>
              <w:pStyle w:val="tabletext"/>
              <w:jc w:val="right"/>
              <w:rPr>
                <w:b/>
                <w:bCs/>
                <w:color w:val="FFFFFF" w:themeColor="background1"/>
                <w:szCs w:val="20"/>
              </w:rPr>
            </w:pPr>
            <w:r w:rsidRPr="00654E3F">
              <w:rPr>
                <w:b/>
                <w:bCs/>
                <w:color w:val="FFFFFF" w:themeColor="background1"/>
                <w:szCs w:val="20"/>
              </w:rPr>
              <w:t xml:space="preserve">Option 1 – </w:t>
            </w:r>
            <w:proofErr w:type="gramStart"/>
            <w:r w:rsidRPr="00654E3F">
              <w:rPr>
                <w:b/>
                <w:bCs/>
                <w:color w:val="FFFFFF" w:themeColor="background1"/>
                <w:szCs w:val="20"/>
              </w:rPr>
              <w:t>PWF  £</w:t>
            </w:r>
            <w:proofErr w:type="gramEnd"/>
            <w:r w:rsidRPr="00654E3F">
              <w:rPr>
                <w:b/>
                <w:bCs/>
                <w:color w:val="FFFFFF" w:themeColor="background1"/>
                <w:szCs w:val="20"/>
              </w:rPr>
              <w:t>’000</w:t>
            </w:r>
          </w:p>
        </w:tc>
      </w:tr>
      <w:tr w:rsidR="00DF73C0" w:rsidRPr="00654E3F" w14:paraId="42A89961" w14:textId="77777777" w:rsidTr="00E67800">
        <w:tc>
          <w:tcPr>
            <w:tcW w:w="4077" w:type="dxa"/>
            <w:vAlign w:val="center"/>
          </w:tcPr>
          <w:p w14:paraId="6223BAB5" w14:textId="77777777" w:rsidR="00DF73C0" w:rsidRPr="00654E3F" w:rsidRDefault="00DF73C0" w:rsidP="00E67800">
            <w:pPr>
              <w:pStyle w:val="tabletext"/>
              <w:rPr>
                <w:szCs w:val="20"/>
              </w:rPr>
            </w:pPr>
            <w:r w:rsidRPr="00654E3F">
              <w:rPr>
                <w:szCs w:val="20"/>
              </w:rPr>
              <w:t>Cash releasing benefits</w:t>
            </w:r>
          </w:p>
        </w:tc>
        <w:tc>
          <w:tcPr>
            <w:tcW w:w="2712" w:type="dxa"/>
            <w:vAlign w:val="center"/>
          </w:tcPr>
          <w:p w14:paraId="0FBE9257" w14:textId="77777777" w:rsidR="00DF73C0" w:rsidRPr="00654E3F" w:rsidRDefault="00DF73C0" w:rsidP="00E67800">
            <w:pPr>
              <w:pStyle w:val="tabletext"/>
              <w:jc w:val="right"/>
              <w:rPr>
                <w:szCs w:val="20"/>
              </w:rPr>
            </w:pPr>
            <w:r w:rsidRPr="00654E3F">
              <w:rPr>
                <w:szCs w:val="20"/>
              </w:rPr>
              <w:t>0</w:t>
            </w:r>
          </w:p>
        </w:tc>
        <w:tc>
          <w:tcPr>
            <w:tcW w:w="2712" w:type="dxa"/>
            <w:vAlign w:val="center"/>
          </w:tcPr>
          <w:p w14:paraId="1D00CC41" w14:textId="77777777" w:rsidR="00DF73C0" w:rsidRPr="00654E3F" w:rsidRDefault="00DF73C0" w:rsidP="00E67800">
            <w:pPr>
              <w:pStyle w:val="tabletext"/>
              <w:jc w:val="right"/>
              <w:rPr>
                <w:szCs w:val="20"/>
              </w:rPr>
            </w:pPr>
            <w:r w:rsidRPr="00654E3F">
              <w:rPr>
                <w:szCs w:val="20"/>
              </w:rPr>
              <w:t>0</w:t>
            </w:r>
          </w:p>
        </w:tc>
      </w:tr>
      <w:tr w:rsidR="00DF73C0" w:rsidRPr="00654E3F" w14:paraId="721DB7FD" w14:textId="77777777" w:rsidTr="00E67800">
        <w:tc>
          <w:tcPr>
            <w:tcW w:w="4077" w:type="dxa"/>
            <w:vAlign w:val="center"/>
          </w:tcPr>
          <w:p w14:paraId="5910E7D1" w14:textId="77777777" w:rsidR="00DF73C0" w:rsidRPr="00654E3F" w:rsidRDefault="00DF73C0" w:rsidP="00E67800">
            <w:pPr>
              <w:pStyle w:val="tabletext"/>
              <w:rPr>
                <w:szCs w:val="20"/>
              </w:rPr>
            </w:pPr>
            <w:r w:rsidRPr="00654E3F">
              <w:rPr>
                <w:szCs w:val="20"/>
              </w:rPr>
              <w:t>Non-cash releasing benefits</w:t>
            </w:r>
          </w:p>
        </w:tc>
        <w:tc>
          <w:tcPr>
            <w:tcW w:w="2712" w:type="dxa"/>
            <w:vAlign w:val="center"/>
          </w:tcPr>
          <w:p w14:paraId="789A2500" w14:textId="77777777" w:rsidR="00DF73C0" w:rsidRPr="00654E3F" w:rsidRDefault="00DF73C0" w:rsidP="00E67800">
            <w:pPr>
              <w:pStyle w:val="tabletext"/>
              <w:jc w:val="right"/>
              <w:rPr>
                <w:szCs w:val="20"/>
              </w:rPr>
            </w:pPr>
            <w:r w:rsidRPr="00654E3F">
              <w:rPr>
                <w:szCs w:val="20"/>
              </w:rPr>
              <w:t>0</w:t>
            </w:r>
          </w:p>
        </w:tc>
        <w:tc>
          <w:tcPr>
            <w:tcW w:w="2712" w:type="dxa"/>
            <w:vAlign w:val="center"/>
          </w:tcPr>
          <w:p w14:paraId="4C8A564D" w14:textId="77777777" w:rsidR="00DF73C0" w:rsidRPr="00654E3F" w:rsidRDefault="00DF73C0" w:rsidP="00E67800">
            <w:pPr>
              <w:pStyle w:val="tabletext"/>
              <w:jc w:val="right"/>
              <w:rPr>
                <w:szCs w:val="20"/>
              </w:rPr>
            </w:pPr>
            <w:r w:rsidRPr="00654E3F">
              <w:rPr>
                <w:szCs w:val="20"/>
              </w:rPr>
              <w:t>872</w:t>
            </w:r>
          </w:p>
        </w:tc>
      </w:tr>
      <w:tr w:rsidR="00DF73C0" w:rsidRPr="00654E3F" w14:paraId="5F28D262" w14:textId="77777777" w:rsidTr="00E67800">
        <w:tc>
          <w:tcPr>
            <w:tcW w:w="4077" w:type="dxa"/>
            <w:vAlign w:val="center"/>
          </w:tcPr>
          <w:p w14:paraId="792853F3" w14:textId="77777777" w:rsidR="00DF73C0" w:rsidRPr="00654E3F" w:rsidRDefault="00DF73C0" w:rsidP="00E67800">
            <w:pPr>
              <w:pStyle w:val="tabletext"/>
              <w:rPr>
                <w:szCs w:val="20"/>
              </w:rPr>
            </w:pPr>
            <w:r w:rsidRPr="00654E3F">
              <w:rPr>
                <w:szCs w:val="20"/>
              </w:rPr>
              <w:t>Societal benefits</w:t>
            </w:r>
          </w:p>
        </w:tc>
        <w:tc>
          <w:tcPr>
            <w:tcW w:w="2712" w:type="dxa"/>
            <w:vAlign w:val="center"/>
          </w:tcPr>
          <w:p w14:paraId="1B2998FA" w14:textId="77777777" w:rsidR="00DF73C0" w:rsidRPr="00654E3F" w:rsidRDefault="00DF73C0" w:rsidP="00E67800">
            <w:pPr>
              <w:pStyle w:val="tabletext"/>
              <w:jc w:val="right"/>
              <w:rPr>
                <w:szCs w:val="20"/>
              </w:rPr>
            </w:pPr>
            <w:r w:rsidRPr="00654E3F">
              <w:rPr>
                <w:szCs w:val="20"/>
              </w:rPr>
              <w:t>0</w:t>
            </w:r>
          </w:p>
        </w:tc>
        <w:tc>
          <w:tcPr>
            <w:tcW w:w="2712" w:type="dxa"/>
            <w:vAlign w:val="center"/>
          </w:tcPr>
          <w:p w14:paraId="25DE6080" w14:textId="77777777" w:rsidR="00DF73C0" w:rsidRPr="00654E3F" w:rsidRDefault="00DF73C0" w:rsidP="00E67800">
            <w:pPr>
              <w:pStyle w:val="tabletext"/>
              <w:jc w:val="right"/>
              <w:rPr>
                <w:szCs w:val="20"/>
              </w:rPr>
            </w:pPr>
            <w:r w:rsidRPr="00654E3F">
              <w:rPr>
                <w:szCs w:val="20"/>
              </w:rPr>
              <w:t>36,711</w:t>
            </w:r>
          </w:p>
        </w:tc>
      </w:tr>
      <w:tr w:rsidR="00DF73C0" w:rsidRPr="00654E3F" w14:paraId="0E7E7F9D" w14:textId="77777777" w:rsidTr="00654E3F">
        <w:tc>
          <w:tcPr>
            <w:tcW w:w="4077" w:type="dxa"/>
            <w:shd w:val="clear" w:color="auto" w:fill="D7DBE9"/>
            <w:vAlign w:val="center"/>
          </w:tcPr>
          <w:p w14:paraId="3C1BE92C" w14:textId="77777777" w:rsidR="00DF73C0" w:rsidRPr="00654E3F" w:rsidRDefault="00DF73C0" w:rsidP="00E67800">
            <w:pPr>
              <w:pStyle w:val="tabletext"/>
              <w:rPr>
                <w:szCs w:val="20"/>
              </w:rPr>
            </w:pPr>
            <w:r w:rsidRPr="00654E3F">
              <w:rPr>
                <w:rFonts w:cs="Arial"/>
                <w:b/>
                <w:bCs/>
                <w:szCs w:val="20"/>
              </w:rPr>
              <w:t>Total annual recurring benefits values</w:t>
            </w:r>
          </w:p>
        </w:tc>
        <w:tc>
          <w:tcPr>
            <w:tcW w:w="2712" w:type="dxa"/>
            <w:shd w:val="clear" w:color="auto" w:fill="D7DBE9"/>
            <w:vAlign w:val="center"/>
          </w:tcPr>
          <w:p w14:paraId="15CD0239" w14:textId="77777777" w:rsidR="00DF73C0" w:rsidRPr="00654E3F" w:rsidRDefault="00DF73C0" w:rsidP="00E67800">
            <w:pPr>
              <w:pStyle w:val="tabletext"/>
              <w:jc w:val="right"/>
              <w:rPr>
                <w:b/>
                <w:bCs/>
                <w:szCs w:val="20"/>
              </w:rPr>
            </w:pPr>
            <w:r w:rsidRPr="00654E3F">
              <w:rPr>
                <w:b/>
                <w:bCs/>
                <w:szCs w:val="20"/>
              </w:rPr>
              <w:t>0</w:t>
            </w:r>
          </w:p>
        </w:tc>
        <w:tc>
          <w:tcPr>
            <w:tcW w:w="2712" w:type="dxa"/>
            <w:shd w:val="clear" w:color="auto" w:fill="D7DBE9"/>
            <w:vAlign w:val="center"/>
          </w:tcPr>
          <w:p w14:paraId="74DAF1E3" w14:textId="77777777" w:rsidR="00DF73C0" w:rsidRPr="00654E3F" w:rsidRDefault="00DF73C0" w:rsidP="00E67800">
            <w:pPr>
              <w:pStyle w:val="tabletext"/>
              <w:jc w:val="right"/>
              <w:rPr>
                <w:b/>
                <w:bCs/>
                <w:szCs w:val="20"/>
              </w:rPr>
            </w:pPr>
            <w:r w:rsidRPr="00654E3F">
              <w:rPr>
                <w:b/>
                <w:bCs/>
                <w:szCs w:val="20"/>
              </w:rPr>
              <w:t>37,583</w:t>
            </w:r>
          </w:p>
        </w:tc>
      </w:tr>
    </w:tbl>
    <w:p w14:paraId="25F25E1D" w14:textId="77777777" w:rsidR="00DF73C0" w:rsidRPr="00CB4ED1" w:rsidRDefault="00DF73C0" w:rsidP="00DF73C0">
      <w:pPr>
        <w:pStyle w:val="NoSpacing"/>
      </w:pPr>
      <w:r w:rsidRPr="00CB4ED1">
        <w:t xml:space="preserve"> </w:t>
      </w:r>
    </w:p>
    <w:p w14:paraId="5E113B3A" w14:textId="77777777" w:rsidR="00DF73C0" w:rsidRPr="00CB4ED1" w:rsidRDefault="00DF73C0" w:rsidP="00DF73C0">
      <w:r w:rsidRPr="00CB4ED1">
        <w:t>These figures can be considered risk-adjusted since, as outlined in</w:t>
      </w:r>
      <w:r>
        <w:t xml:space="preserve"> the summary table</w:t>
      </w:r>
      <w:r w:rsidRPr="00CB4ED1">
        <w:t xml:space="preserve"> above, relatively prudent confidence ratings have been applied to </w:t>
      </w:r>
      <w:proofErr w:type="gramStart"/>
      <w:r w:rsidRPr="00CB4ED1">
        <w:t>the majority of</w:t>
      </w:r>
      <w:proofErr w:type="gramEnd"/>
      <w:r w:rsidRPr="00CB4ED1">
        <w:t xml:space="preserve"> them to reflect the degree of uncertainty at this stage in the process. Further work will be undertaken at FBC to firm up these assumptions and reduce the level of uncertainty. </w:t>
      </w:r>
    </w:p>
    <w:p w14:paraId="5619FEDB" w14:textId="77777777" w:rsidR="00DF73C0" w:rsidRPr="00CB4ED1" w:rsidRDefault="00DF73C0" w:rsidP="00DF73C0">
      <w:pPr>
        <w:pStyle w:val="Heading3"/>
      </w:pPr>
      <w:proofErr w:type="spellStart"/>
      <w:r w:rsidRPr="00CB4ED1">
        <w:t>Unmonetisable</w:t>
      </w:r>
      <w:proofErr w:type="spellEnd"/>
      <w:r w:rsidRPr="00CB4ED1">
        <w:t xml:space="preserve"> benefits analysis</w:t>
      </w:r>
    </w:p>
    <w:p w14:paraId="3E52E8C8" w14:textId="77777777" w:rsidR="00DF73C0" w:rsidRPr="00CB4ED1" w:rsidRDefault="00DF73C0" w:rsidP="00DF73C0">
      <w:r w:rsidRPr="00CB4ED1">
        <w:t xml:space="preserve">In addition to the </w:t>
      </w:r>
      <w:proofErr w:type="spellStart"/>
      <w:r w:rsidRPr="00CB4ED1">
        <w:t>monetisable</w:t>
      </w:r>
      <w:proofErr w:type="spellEnd"/>
      <w:r w:rsidRPr="00CB4ED1">
        <w:t xml:space="preserve"> benefits there are several benefits which it is not possible to monetise at this stage, either because they cannot be meaningful quantified or because they cannot be stated in monetary terms. A summary is provided in the table below.</w:t>
      </w:r>
    </w:p>
    <w:p w14:paraId="0DB9169A" w14:textId="7D58F42A" w:rsidR="00DF73C0" w:rsidRPr="00CB4ED1" w:rsidRDefault="00DF73C0" w:rsidP="00DF73C0">
      <w:pPr>
        <w:pStyle w:val="Caption"/>
        <w:rPr>
          <w:noProof w:val="0"/>
        </w:rPr>
      </w:pPr>
      <w:bookmarkStart w:id="188" w:name="_Toc213775146"/>
      <w:bookmarkStart w:id="189" w:name="_Toc213865297"/>
      <w:r w:rsidRPr="00CB4ED1">
        <w:rPr>
          <w:noProof w:val="0"/>
        </w:rPr>
        <w:t xml:space="preserve">Table </w:t>
      </w:r>
      <w:r w:rsidRPr="00CB4ED1">
        <w:rPr>
          <w:noProof w:val="0"/>
        </w:rPr>
        <w:fldChar w:fldCharType="begin"/>
      </w:r>
      <w:r w:rsidRPr="00CB4ED1">
        <w:rPr>
          <w:noProof w:val="0"/>
        </w:rPr>
        <w:instrText xml:space="preserve"> SEQ Table \* ARABIC </w:instrText>
      </w:r>
      <w:r w:rsidRPr="00CB4ED1">
        <w:rPr>
          <w:noProof w:val="0"/>
        </w:rPr>
        <w:fldChar w:fldCharType="separate"/>
      </w:r>
      <w:r w:rsidR="004A33ED">
        <w:t>17</w:t>
      </w:r>
      <w:r w:rsidRPr="00CB4ED1">
        <w:rPr>
          <w:noProof w:val="0"/>
        </w:rPr>
        <w:fldChar w:fldCharType="end"/>
      </w:r>
      <w:r w:rsidRPr="00CB4ED1">
        <w:rPr>
          <w:noProof w:val="0"/>
        </w:rPr>
        <w:t xml:space="preserve"> – </w:t>
      </w:r>
      <w:proofErr w:type="spellStart"/>
      <w:r w:rsidRPr="00CB4ED1">
        <w:rPr>
          <w:noProof w:val="0"/>
        </w:rPr>
        <w:t>Unmonetisable</w:t>
      </w:r>
      <w:proofErr w:type="spellEnd"/>
      <w:r w:rsidRPr="00CB4ED1">
        <w:rPr>
          <w:noProof w:val="0"/>
        </w:rPr>
        <w:t xml:space="preserve"> benefits analysis</w:t>
      </w:r>
      <w:bookmarkEnd w:id="188"/>
      <w:bookmarkEnd w:id="189"/>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963"/>
        <w:gridCol w:w="2974"/>
        <w:gridCol w:w="1983"/>
        <w:gridCol w:w="3901"/>
      </w:tblGrid>
      <w:tr w:rsidR="00DF73C0" w:rsidRPr="00CB4ED1" w14:paraId="0DBB2973" w14:textId="77777777" w:rsidTr="00654E3F">
        <w:trPr>
          <w:tblHeader/>
        </w:trPr>
        <w:tc>
          <w:tcPr>
            <w:tcW w:w="963" w:type="dxa"/>
            <w:tcBorders>
              <w:right w:val="nil"/>
            </w:tcBorders>
            <w:shd w:val="clear" w:color="auto" w:fill="374264" w:themeFill="text2"/>
            <w:vAlign w:val="center"/>
          </w:tcPr>
          <w:p w14:paraId="10A4D289" w14:textId="77777777" w:rsidR="00DF73C0" w:rsidRPr="00BD09B7" w:rsidRDefault="00DF73C0" w:rsidP="00E67800">
            <w:pPr>
              <w:pStyle w:val="tabletext"/>
              <w:rPr>
                <w:b/>
                <w:bCs/>
                <w:color w:val="FFFFFF" w:themeColor="background1"/>
                <w:sz w:val="18"/>
                <w:szCs w:val="18"/>
              </w:rPr>
            </w:pPr>
            <w:r w:rsidRPr="00BD09B7">
              <w:rPr>
                <w:b/>
                <w:bCs/>
                <w:color w:val="FFFFFF" w:themeColor="background1"/>
                <w:sz w:val="18"/>
                <w:szCs w:val="18"/>
              </w:rPr>
              <w:t>Ref</w:t>
            </w:r>
          </w:p>
        </w:tc>
        <w:tc>
          <w:tcPr>
            <w:tcW w:w="2974" w:type="dxa"/>
            <w:tcBorders>
              <w:left w:val="nil"/>
            </w:tcBorders>
            <w:shd w:val="clear" w:color="auto" w:fill="374264" w:themeFill="text2"/>
            <w:vAlign w:val="center"/>
          </w:tcPr>
          <w:p w14:paraId="1E2D9B47" w14:textId="77777777" w:rsidR="00DF73C0" w:rsidRPr="00BD09B7" w:rsidRDefault="00DF73C0" w:rsidP="00E67800">
            <w:pPr>
              <w:pStyle w:val="tabletext"/>
              <w:rPr>
                <w:b/>
                <w:bCs/>
                <w:color w:val="FFFFFF" w:themeColor="background1"/>
                <w:sz w:val="18"/>
                <w:szCs w:val="18"/>
              </w:rPr>
            </w:pPr>
          </w:p>
        </w:tc>
        <w:tc>
          <w:tcPr>
            <w:tcW w:w="1983" w:type="dxa"/>
            <w:shd w:val="clear" w:color="auto" w:fill="374264" w:themeFill="text2"/>
            <w:vAlign w:val="center"/>
          </w:tcPr>
          <w:p w14:paraId="56AAAD89" w14:textId="77777777" w:rsidR="00DF73C0" w:rsidRPr="00BD09B7" w:rsidRDefault="00DF73C0" w:rsidP="00E67800">
            <w:pPr>
              <w:pStyle w:val="tabletext"/>
              <w:jc w:val="center"/>
              <w:rPr>
                <w:b/>
                <w:bCs/>
                <w:color w:val="FFFFFF" w:themeColor="background1"/>
                <w:sz w:val="18"/>
                <w:szCs w:val="18"/>
              </w:rPr>
            </w:pPr>
            <w:r w:rsidRPr="00BD09B7">
              <w:rPr>
                <w:b/>
                <w:bCs/>
                <w:color w:val="FFFFFF" w:themeColor="background1"/>
                <w:sz w:val="18"/>
                <w:szCs w:val="18"/>
              </w:rPr>
              <w:t>Option 0 - BAU</w:t>
            </w:r>
          </w:p>
        </w:tc>
        <w:tc>
          <w:tcPr>
            <w:tcW w:w="3901" w:type="dxa"/>
            <w:shd w:val="clear" w:color="auto" w:fill="374264" w:themeFill="text2"/>
            <w:vAlign w:val="center"/>
          </w:tcPr>
          <w:p w14:paraId="6CD04A31" w14:textId="77777777" w:rsidR="00DF73C0" w:rsidRPr="00BD09B7" w:rsidRDefault="00DF73C0" w:rsidP="00E67800">
            <w:pPr>
              <w:pStyle w:val="tabletext"/>
              <w:rPr>
                <w:b/>
                <w:bCs/>
                <w:color w:val="FFFFFF" w:themeColor="background1"/>
                <w:sz w:val="18"/>
                <w:szCs w:val="18"/>
              </w:rPr>
            </w:pPr>
            <w:r w:rsidRPr="00BD09B7">
              <w:rPr>
                <w:b/>
                <w:bCs/>
                <w:color w:val="FFFFFF" w:themeColor="background1"/>
                <w:sz w:val="18"/>
                <w:szCs w:val="18"/>
              </w:rPr>
              <w:t>Option 1 - PWF</w:t>
            </w:r>
          </w:p>
        </w:tc>
      </w:tr>
      <w:tr w:rsidR="00DF73C0" w:rsidRPr="00CB4ED1" w14:paraId="4CF43037" w14:textId="77777777" w:rsidTr="00654E3F">
        <w:tc>
          <w:tcPr>
            <w:tcW w:w="963" w:type="dxa"/>
            <w:tcBorders>
              <w:right w:val="nil"/>
            </w:tcBorders>
            <w:vAlign w:val="center"/>
          </w:tcPr>
          <w:p w14:paraId="6031C6C4" w14:textId="77777777" w:rsidR="00DF73C0" w:rsidRPr="00BD09B7" w:rsidRDefault="00DF73C0" w:rsidP="00E67800">
            <w:pPr>
              <w:pStyle w:val="tabletext"/>
              <w:rPr>
                <w:sz w:val="18"/>
                <w:szCs w:val="18"/>
              </w:rPr>
            </w:pPr>
            <w:r w:rsidRPr="00BD09B7">
              <w:rPr>
                <w:sz w:val="18"/>
                <w:szCs w:val="18"/>
              </w:rPr>
              <w:t>UB1</w:t>
            </w:r>
          </w:p>
        </w:tc>
        <w:tc>
          <w:tcPr>
            <w:tcW w:w="2974" w:type="dxa"/>
            <w:tcBorders>
              <w:left w:val="nil"/>
            </w:tcBorders>
            <w:vAlign w:val="center"/>
          </w:tcPr>
          <w:p w14:paraId="70A32A90" w14:textId="77777777" w:rsidR="00DF73C0" w:rsidRPr="00BD09B7" w:rsidRDefault="00DF73C0" w:rsidP="00E67800">
            <w:pPr>
              <w:pStyle w:val="tabletext"/>
              <w:rPr>
                <w:sz w:val="18"/>
                <w:szCs w:val="18"/>
              </w:rPr>
            </w:pPr>
            <w:r w:rsidRPr="00BD09B7">
              <w:rPr>
                <w:sz w:val="18"/>
                <w:szCs w:val="18"/>
              </w:rPr>
              <w:t>Reduced arthroplasty waiting times</w:t>
            </w:r>
          </w:p>
        </w:tc>
        <w:tc>
          <w:tcPr>
            <w:tcW w:w="1983" w:type="dxa"/>
            <w:vAlign w:val="center"/>
          </w:tcPr>
          <w:p w14:paraId="3EA4BC97"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50E3C472" w14:textId="77777777" w:rsidR="00DF73C0" w:rsidRPr="00BD09B7" w:rsidRDefault="00DF73C0" w:rsidP="00E67800">
            <w:pPr>
              <w:pStyle w:val="tabletext"/>
              <w:rPr>
                <w:sz w:val="18"/>
                <w:szCs w:val="18"/>
              </w:rPr>
            </w:pPr>
            <w:r w:rsidRPr="00BD09B7">
              <w:rPr>
                <w:sz w:val="18"/>
                <w:szCs w:val="18"/>
              </w:rPr>
              <w:t>Patient waiting time for arthroplasty will preliminarily reduce to 36 weeks and then further to 26 weeks.</w:t>
            </w:r>
          </w:p>
        </w:tc>
      </w:tr>
      <w:tr w:rsidR="00DF73C0" w:rsidRPr="00CB4ED1" w14:paraId="498D8AFF" w14:textId="77777777" w:rsidTr="00654E3F">
        <w:tc>
          <w:tcPr>
            <w:tcW w:w="963" w:type="dxa"/>
            <w:tcBorders>
              <w:right w:val="nil"/>
            </w:tcBorders>
            <w:vAlign w:val="center"/>
          </w:tcPr>
          <w:p w14:paraId="4EEA8FE9" w14:textId="77777777" w:rsidR="00DF73C0" w:rsidRPr="00BD09B7" w:rsidRDefault="00DF73C0" w:rsidP="00E67800">
            <w:pPr>
              <w:pStyle w:val="tabletext"/>
              <w:rPr>
                <w:sz w:val="18"/>
                <w:szCs w:val="18"/>
              </w:rPr>
            </w:pPr>
            <w:r w:rsidRPr="00BD09B7">
              <w:rPr>
                <w:sz w:val="18"/>
                <w:szCs w:val="18"/>
              </w:rPr>
              <w:t>UB2</w:t>
            </w:r>
          </w:p>
        </w:tc>
        <w:tc>
          <w:tcPr>
            <w:tcW w:w="2974" w:type="dxa"/>
            <w:tcBorders>
              <w:left w:val="nil"/>
            </w:tcBorders>
            <w:vAlign w:val="center"/>
          </w:tcPr>
          <w:p w14:paraId="179FC6FF" w14:textId="77777777" w:rsidR="00DF73C0" w:rsidRPr="00BD09B7" w:rsidRDefault="00DF73C0" w:rsidP="00E67800">
            <w:pPr>
              <w:pStyle w:val="tabletext"/>
              <w:rPr>
                <w:sz w:val="18"/>
                <w:szCs w:val="18"/>
              </w:rPr>
            </w:pPr>
            <w:r w:rsidRPr="00BD09B7">
              <w:rPr>
                <w:sz w:val="18"/>
                <w:szCs w:val="18"/>
              </w:rPr>
              <w:t>Increased throughput and better use of resources</w:t>
            </w:r>
          </w:p>
        </w:tc>
        <w:tc>
          <w:tcPr>
            <w:tcW w:w="1983" w:type="dxa"/>
            <w:vAlign w:val="center"/>
          </w:tcPr>
          <w:p w14:paraId="67A1E6F2"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4925C89A" w14:textId="77777777" w:rsidR="00DF73C0" w:rsidRPr="00BD09B7" w:rsidRDefault="00DF73C0" w:rsidP="00E67800">
            <w:pPr>
              <w:pStyle w:val="tabletext"/>
              <w:rPr>
                <w:sz w:val="18"/>
                <w:szCs w:val="18"/>
              </w:rPr>
            </w:pPr>
            <w:r w:rsidRPr="00BD09B7">
              <w:rPr>
                <w:sz w:val="18"/>
                <w:szCs w:val="18"/>
              </w:rPr>
              <w:t xml:space="preserve">Average cost per arthroplasty procedure is £6,907 compared to £7,910 NHS England </w:t>
            </w:r>
            <w:proofErr w:type="spellStart"/>
            <w:r w:rsidRPr="00BD09B7">
              <w:rPr>
                <w:sz w:val="18"/>
                <w:szCs w:val="18"/>
              </w:rPr>
              <w:t>Tarriff</w:t>
            </w:r>
            <w:proofErr w:type="spellEnd"/>
            <w:r w:rsidRPr="00BD09B7">
              <w:rPr>
                <w:sz w:val="18"/>
                <w:szCs w:val="18"/>
              </w:rPr>
              <w:t xml:space="preserve"> rate</w:t>
            </w:r>
          </w:p>
        </w:tc>
      </w:tr>
      <w:tr w:rsidR="00DF73C0" w:rsidRPr="00CB4ED1" w14:paraId="0D879990" w14:textId="77777777" w:rsidTr="00654E3F">
        <w:tc>
          <w:tcPr>
            <w:tcW w:w="963" w:type="dxa"/>
            <w:tcBorders>
              <w:right w:val="nil"/>
            </w:tcBorders>
            <w:vAlign w:val="center"/>
          </w:tcPr>
          <w:p w14:paraId="561A2450" w14:textId="77777777" w:rsidR="00DF73C0" w:rsidRPr="00BD09B7" w:rsidRDefault="00DF73C0" w:rsidP="00E67800">
            <w:pPr>
              <w:pStyle w:val="tabletext"/>
              <w:rPr>
                <w:sz w:val="18"/>
                <w:szCs w:val="18"/>
              </w:rPr>
            </w:pPr>
            <w:r w:rsidRPr="00BD09B7">
              <w:rPr>
                <w:sz w:val="18"/>
                <w:szCs w:val="18"/>
              </w:rPr>
              <w:t>UB3</w:t>
            </w:r>
          </w:p>
        </w:tc>
        <w:tc>
          <w:tcPr>
            <w:tcW w:w="2974" w:type="dxa"/>
            <w:tcBorders>
              <w:left w:val="nil"/>
            </w:tcBorders>
            <w:vAlign w:val="center"/>
          </w:tcPr>
          <w:p w14:paraId="43EFFC6F" w14:textId="77777777" w:rsidR="00DF73C0" w:rsidRPr="00BD09B7" w:rsidRDefault="00DF73C0" w:rsidP="00E67800">
            <w:pPr>
              <w:pStyle w:val="tabletext"/>
              <w:rPr>
                <w:sz w:val="18"/>
                <w:szCs w:val="18"/>
              </w:rPr>
            </w:pPr>
            <w:r w:rsidRPr="00BD09B7">
              <w:rPr>
                <w:sz w:val="18"/>
                <w:szCs w:val="18"/>
              </w:rPr>
              <w:t>Learnings and good practices identified in procurement can be passed on to other acute sites across the region, leading to better procurement practices throughout the region.</w:t>
            </w:r>
          </w:p>
        </w:tc>
        <w:tc>
          <w:tcPr>
            <w:tcW w:w="1983" w:type="dxa"/>
            <w:vAlign w:val="center"/>
          </w:tcPr>
          <w:p w14:paraId="68B41353" w14:textId="77777777" w:rsidR="00DF73C0" w:rsidRPr="00BD09B7" w:rsidRDefault="00DF73C0" w:rsidP="00E67800">
            <w:pPr>
              <w:pStyle w:val="tabletext"/>
              <w:jc w:val="center"/>
              <w:rPr>
                <w:sz w:val="18"/>
                <w:szCs w:val="18"/>
              </w:rPr>
            </w:pPr>
          </w:p>
        </w:tc>
        <w:tc>
          <w:tcPr>
            <w:tcW w:w="3901" w:type="dxa"/>
            <w:vAlign w:val="center"/>
          </w:tcPr>
          <w:p w14:paraId="5F5651A9" w14:textId="77777777" w:rsidR="00DF73C0" w:rsidRPr="00BD09B7" w:rsidRDefault="00DF73C0" w:rsidP="00E67800">
            <w:pPr>
              <w:pStyle w:val="tabletext"/>
              <w:rPr>
                <w:sz w:val="18"/>
                <w:szCs w:val="18"/>
              </w:rPr>
            </w:pPr>
            <w:r w:rsidRPr="00BD09B7">
              <w:rPr>
                <w:sz w:val="18"/>
                <w:szCs w:val="18"/>
              </w:rPr>
              <w:t>Qualitative</w:t>
            </w:r>
          </w:p>
        </w:tc>
      </w:tr>
      <w:tr w:rsidR="00DF73C0" w:rsidRPr="00CB4ED1" w14:paraId="7E5C5443" w14:textId="77777777" w:rsidTr="00654E3F">
        <w:tc>
          <w:tcPr>
            <w:tcW w:w="963" w:type="dxa"/>
            <w:tcBorders>
              <w:right w:val="nil"/>
            </w:tcBorders>
            <w:vAlign w:val="center"/>
          </w:tcPr>
          <w:p w14:paraId="261AE2A2" w14:textId="77777777" w:rsidR="00DF73C0" w:rsidRPr="00BD09B7" w:rsidRDefault="00DF73C0" w:rsidP="00E67800">
            <w:pPr>
              <w:pStyle w:val="tabletext"/>
              <w:rPr>
                <w:sz w:val="18"/>
                <w:szCs w:val="18"/>
              </w:rPr>
            </w:pPr>
            <w:r w:rsidRPr="00BD09B7">
              <w:rPr>
                <w:sz w:val="18"/>
                <w:szCs w:val="18"/>
              </w:rPr>
              <w:t>UB4</w:t>
            </w:r>
          </w:p>
        </w:tc>
        <w:tc>
          <w:tcPr>
            <w:tcW w:w="2974" w:type="dxa"/>
            <w:tcBorders>
              <w:left w:val="nil"/>
            </w:tcBorders>
            <w:vAlign w:val="center"/>
          </w:tcPr>
          <w:p w14:paraId="707538F7" w14:textId="77777777" w:rsidR="00DF73C0" w:rsidRPr="00BD09B7" w:rsidRDefault="00DF73C0" w:rsidP="00E67800">
            <w:pPr>
              <w:pStyle w:val="tabletext"/>
              <w:rPr>
                <w:sz w:val="18"/>
                <w:szCs w:val="18"/>
              </w:rPr>
            </w:pPr>
            <w:r w:rsidRPr="00BD09B7">
              <w:rPr>
                <w:sz w:val="18"/>
                <w:szCs w:val="18"/>
              </w:rPr>
              <w:t>Improved performance and cost reporting</w:t>
            </w:r>
          </w:p>
        </w:tc>
        <w:tc>
          <w:tcPr>
            <w:tcW w:w="1983" w:type="dxa"/>
            <w:vAlign w:val="center"/>
          </w:tcPr>
          <w:p w14:paraId="5C174CF2"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04EFCB71" w14:textId="77777777" w:rsidR="00DF73C0" w:rsidRPr="00BD09B7" w:rsidRDefault="00DF73C0" w:rsidP="00E67800">
            <w:pPr>
              <w:pStyle w:val="tabletext"/>
              <w:rPr>
                <w:sz w:val="18"/>
                <w:szCs w:val="18"/>
              </w:rPr>
            </w:pPr>
            <w:r w:rsidRPr="00BD09B7">
              <w:rPr>
                <w:sz w:val="18"/>
                <w:szCs w:val="18"/>
              </w:rPr>
              <w:t>Qualitative</w:t>
            </w:r>
          </w:p>
        </w:tc>
      </w:tr>
      <w:tr w:rsidR="00DF73C0" w:rsidRPr="00CB4ED1" w14:paraId="35DB70C0" w14:textId="77777777" w:rsidTr="00654E3F">
        <w:tc>
          <w:tcPr>
            <w:tcW w:w="963" w:type="dxa"/>
            <w:tcBorders>
              <w:right w:val="nil"/>
            </w:tcBorders>
            <w:vAlign w:val="center"/>
          </w:tcPr>
          <w:p w14:paraId="3719809B" w14:textId="77777777" w:rsidR="00DF73C0" w:rsidRPr="00BD09B7" w:rsidRDefault="00DF73C0" w:rsidP="00E67800">
            <w:pPr>
              <w:pStyle w:val="tabletext"/>
              <w:rPr>
                <w:sz w:val="18"/>
                <w:szCs w:val="18"/>
              </w:rPr>
            </w:pPr>
            <w:r w:rsidRPr="00BD09B7">
              <w:rPr>
                <w:sz w:val="18"/>
                <w:szCs w:val="18"/>
              </w:rPr>
              <w:t>UB5</w:t>
            </w:r>
          </w:p>
        </w:tc>
        <w:tc>
          <w:tcPr>
            <w:tcW w:w="2974" w:type="dxa"/>
            <w:tcBorders>
              <w:left w:val="nil"/>
            </w:tcBorders>
            <w:vAlign w:val="center"/>
          </w:tcPr>
          <w:p w14:paraId="6867944C" w14:textId="77777777" w:rsidR="00DF73C0" w:rsidRPr="00BD09B7" w:rsidRDefault="00DF73C0" w:rsidP="00E67800">
            <w:pPr>
              <w:pStyle w:val="tabletext"/>
              <w:rPr>
                <w:sz w:val="18"/>
                <w:szCs w:val="18"/>
                <w:highlight w:val="yellow"/>
              </w:rPr>
            </w:pPr>
            <w:r w:rsidRPr="00BD09B7">
              <w:rPr>
                <w:sz w:val="18"/>
                <w:szCs w:val="18"/>
              </w:rPr>
              <w:t>Greater alignment with GIRFT principles</w:t>
            </w:r>
          </w:p>
        </w:tc>
        <w:tc>
          <w:tcPr>
            <w:tcW w:w="1983" w:type="dxa"/>
            <w:vAlign w:val="center"/>
          </w:tcPr>
          <w:p w14:paraId="68B10737"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6A6EC07D" w14:textId="77777777" w:rsidR="00DF73C0" w:rsidRPr="00BD09B7" w:rsidRDefault="00DF73C0" w:rsidP="00E67800">
            <w:pPr>
              <w:pStyle w:val="tabletext"/>
              <w:rPr>
                <w:sz w:val="18"/>
                <w:szCs w:val="18"/>
                <w:highlight w:val="yellow"/>
              </w:rPr>
            </w:pPr>
            <w:r w:rsidRPr="00BD09B7">
              <w:rPr>
                <w:rFonts w:cs="Arial"/>
                <w:sz w:val="18"/>
                <w:szCs w:val="18"/>
              </w:rPr>
              <w:t>Alignment with GIRFT principles</w:t>
            </w:r>
          </w:p>
        </w:tc>
      </w:tr>
      <w:tr w:rsidR="00DF73C0" w:rsidRPr="00CB4ED1" w14:paraId="4821ABCA" w14:textId="77777777" w:rsidTr="00654E3F">
        <w:tc>
          <w:tcPr>
            <w:tcW w:w="963" w:type="dxa"/>
            <w:tcBorders>
              <w:right w:val="nil"/>
            </w:tcBorders>
            <w:vAlign w:val="center"/>
          </w:tcPr>
          <w:p w14:paraId="3E813A76" w14:textId="77777777" w:rsidR="00DF73C0" w:rsidRPr="00BD09B7" w:rsidRDefault="00DF73C0" w:rsidP="00E67800">
            <w:pPr>
              <w:pStyle w:val="tabletext"/>
              <w:rPr>
                <w:sz w:val="18"/>
                <w:szCs w:val="18"/>
              </w:rPr>
            </w:pPr>
            <w:r w:rsidRPr="00BD09B7">
              <w:rPr>
                <w:sz w:val="18"/>
                <w:szCs w:val="18"/>
              </w:rPr>
              <w:t>UB6</w:t>
            </w:r>
          </w:p>
        </w:tc>
        <w:tc>
          <w:tcPr>
            <w:tcW w:w="2974" w:type="dxa"/>
            <w:tcBorders>
              <w:left w:val="nil"/>
            </w:tcBorders>
            <w:vAlign w:val="center"/>
          </w:tcPr>
          <w:p w14:paraId="7EAC89FE" w14:textId="77777777" w:rsidR="00DF73C0" w:rsidRPr="00BD09B7" w:rsidRDefault="00DF73C0" w:rsidP="00E67800">
            <w:pPr>
              <w:pStyle w:val="tabletext"/>
              <w:rPr>
                <w:sz w:val="18"/>
                <w:szCs w:val="18"/>
              </w:rPr>
            </w:pPr>
            <w:r w:rsidRPr="00BD09B7">
              <w:rPr>
                <w:sz w:val="18"/>
                <w:szCs w:val="18"/>
              </w:rPr>
              <w:t xml:space="preserve">Provides opportunities for the future reconfiguration of services of CTM UHB </w:t>
            </w:r>
          </w:p>
        </w:tc>
        <w:tc>
          <w:tcPr>
            <w:tcW w:w="1983" w:type="dxa"/>
            <w:vAlign w:val="center"/>
          </w:tcPr>
          <w:p w14:paraId="3C36E044"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20466872" w14:textId="77777777" w:rsidR="00DF73C0" w:rsidRPr="00BD09B7" w:rsidRDefault="00DF73C0" w:rsidP="00E67800">
            <w:pPr>
              <w:pStyle w:val="tabletext"/>
              <w:rPr>
                <w:sz w:val="18"/>
                <w:szCs w:val="18"/>
                <w:highlight w:val="yellow"/>
              </w:rPr>
            </w:pPr>
            <w:r w:rsidRPr="00BD09B7">
              <w:rPr>
                <w:sz w:val="18"/>
                <w:szCs w:val="18"/>
              </w:rPr>
              <w:t>Qualitative</w:t>
            </w:r>
          </w:p>
        </w:tc>
      </w:tr>
      <w:tr w:rsidR="00DF73C0" w:rsidRPr="00CB4ED1" w14:paraId="31393B5E" w14:textId="77777777" w:rsidTr="00654E3F">
        <w:tc>
          <w:tcPr>
            <w:tcW w:w="963" w:type="dxa"/>
            <w:tcBorders>
              <w:right w:val="nil"/>
            </w:tcBorders>
            <w:vAlign w:val="center"/>
          </w:tcPr>
          <w:p w14:paraId="4EC83E12" w14:textId="77777777" w:rsidR="00DF73C0" w:rsidRPr="00BD09B7" w:rsidRDefault="00DF73C0" w:rsidP="00E67800">
            <w:pPr>
              <w:pStyle w:val="tabletext"/>
              <w:rPr>
                <w:sz w:val="18"/>
                <w:szCs w:val="18"/>
              </w:rPr>
            </w:pPr>
            <w:r w:rsidRPr="00BD09B7">
              <w:rPr>
                <w:sz w:val="18"/>
                <w:szCs w:val="18"/>
              </w:rPr>
              <w:t>UB7</w:t>
            </w:r>
          </w:p>
        </w:tc>
        <w:tc>
          <w:tcPr>
            <w:tcW w:w="2974" w:type="dxa"/>
            <w:tcBorders>
              <w:left w:val="nil"/>
            </w:tcBorders>
            <w:vAlign w:val="center"/>
          </w:tcPr>
          <w:p w14:paraId="730222A2" w14:textId="77777777" w:rsidR="00DF73C0" w:rsidRPr="00BD09B7" w:rsidRDefault="00DF73C0" w:rsidP="00E67800">
            <w:pPr>
              <w:pStyle w:val="tabletext"/>
              <w:rPr>
                <w:sz w:val="18"/>
                <w:szCs w:val="18"/>
              </w:rPr>
            </w:pPr>
            <w:r w:rsidRPr="00BD09B7">
              <w:rPr>
                <w:sz w:val="18"/>
                <w:szCs w:val="18"/>
              </w:rPr>
              <w:t xml:space="preserve">Supports the future of other regional initiatives </w:t>
            </w:r>
          </w:p>
        </w:tc>
        <w:tc>
          <w:tcPr>
            <w:tcW w:w="1983" w:type="dxa"/>
            <w:vAlign w:val="center"/>
          </w:tcPr>
          <w:p w14:paraId="33F7A8D9"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3F155A62" w14:textId="77777777" w:rsidR="00DF73C0" w:rsidRPr="00BD09B7" w:rsidRDefault="00DF73C0" w:rsidP="00E67800">
            <w:pPr>
              <w:pStyle w:val="tabletext"/>
              <w:rPr>
                <w:sz w:val="18"/>
                <w:szCs w:val="18"/>
                <w:highlight w:val="yellow"/>
              </w:rPr>
            </w:pPr>
            <w:r w:rsidRPr="00BD09B7">
              <w:rPr>
                <w:sz w:val="18"/>
                <w:szCs w:val="18"/>
              </w:rPr>
              <w:t>Qualitative</w:t>
            </w:r>
          </w:p>
        </w:tc>
      </w:tr>
      <w:tr w:rsidR="00DF73C0" w:rsidRPr="00CB4ED1" w14:paraId="4666B5B6" w14:textId="77777777" w:rsidTr="00654E3F">
        <w:tc>
          <w:tcPr>
            <w:tcW w:w="963" w:type="dxa"/>
            <w:tcBorders>
              <w:right w:val="nil"/>
            </w:tcBorders>
            <w:vAlign w:val="center"/>
          </w:tcPr>
          <w:p w14:paraId="7BA74FD9" w14:textId="77777777" w:rsidR="00DF73C0" w:rsidRPr="00BD09B7" w:rsidRDefault="00DF73C0" w:rsidP="00E67800">
            <w:pPr>
              <w:pStyle w:val="tabletext"/>
              <w:rPr>
                <w:sz w:val="18"/>
                <w:szCs w:val="18"/>
              </w:rPr>
            </w:pPr>
            <w:r w:rsidRPr="00BD09B7">
              <w:rPr>
                <w:sz w:val="18"/>
                <w:szCs w:val="18"/>
              </w:rPr>
              <w:t>UB8</w:t>
            </w:r>
          </w:p>
        </w:tc>
        <w:tc>
          <w:tcPr>
            <w:tcW w:w="2974" w:type="dxa"/>
            <w:tcBorders>
              <w:left w:val="nil"/>
            </w:tcBorders>
            <w:vAlign w:val="center"/>
          </w:tcPr>
          <w:p w14:paraId="5CAF3BB4" w14:textId="77777777" w:rsidR="00DF73C0" w:rsidRPr="00BD09B7" w:rsidRDefault="00DF73C0" w:rsidP="00E67800">
            <w:pPr>
              <w:pStyle w:val="tabletext"/>
              <w:rPr>
                <w:sz w:val="18"/>
                <w:szCs w:val="18"/>
              </w:rPr>
            </w:pPr>
            <w:r w:rsidRPr="00BD09B7">
              <w:rPr>
                <w:sz w:val="18"/>
                <w:szCs w:val="18"/>
              </w:rPr>
              <w:t>Providing regional sustainability and capacity to allow contingency at other sites.</w:t>
            </w:r>
          </w:p>
        </w:tc>
        <w:tc>
          <w:tcPr>
            <w:tcW w:w="1983" w:type="dxa"/>
            <w:vAlign w:val="center"/>
          </w:tcPr>
          <w:p w14:paraId="49925C9B"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0EF77596" w14:textId="77777777" w:rsidR="00DF73C0" w:rsidRPr="00BD09B7" w:rsidRDefault="00DF73C0" w:rsidP="00E67800">
            <w:pPr>
              <w:pStyle w:val="tabletext"/>
              <w:rPr>
                <w:sz w:val="18"/>
                <w:szCs w:val="18"/>
              </w:rPr>
            </w:pPr>
            <w:r w:rsidRPr="00BD09B7">
              <w:rPr>
                <w:sz w:val="18"/>
                <w:szCs w:val="18"/>
              </w:rPr>
              <w:t>5,600 arthroplasty procedures provided at LHP.</w:t>
            </w:r>
          </w:p>
        </w:tc>
      </w:tr>
      <w:tr w:rsidR="00DF73C0" w:rsidRPr="00CB4ED1" w14:paraId="39B40038" w14:textId="77777777" w:rsidTr="00654E3F">
        <w:tc>
          <w:tcPr>
            <w:tcW w:w="963" w:type="dxa"/>
            <w:tcBorders>
              <w:right w:val="nil"/>
            </w:tcBorders>
          </w:tcPr>
          <w:p w14:paraId="6D55E620" w14:textId="77777777" w:rsidR="00DF73C0" w:rsidRPr="00BD09B7" w:rsidRDefault="00DF73C0" w:rsidP="00E67800">
            <w:pPr>
              <w:pStyle w:val="tabletext"/>
              <w:rPr>
                <w:sz w:val="18"/>
                <w:szCs w:val="18"/>
              </w:rPr>
            </w:pPr>
            <w:r w:rsidRPr="00BD09B7">
              <w:rPr>
                <w:rFonts w:cs="Arial"/>
                <w:sz w:val="18"/>
                <w:szCs w:val="18"/>
              </w:rPr>
              <w:t>UB9</w:t>
            </w:r>
          </w:p>
        </w:tc>
        <w:tc>
          <w:tcPr>
            <w:tcW w:w="2974" w:type="dxa"/>
            <w:tcBorders>
              <w:left w:val="nil"/>
            </w:tcBorders>
          </w:tcPr>
          <w:p w14:paraId="136A3FC1" w14:textId="77777777" w:rsidR="00DF73C0" w:rsidRPr="00BD09B7" w:rsidRDefault="00DF73C0" w:rsidP="00E67800">
            <w:pPr>
              <w:pStyle w:val="tabletext"/>
              <w:rPr>
                <w:sz w:val="18"/>
                <w:szCs w:val="18"/>
              </w:rPr>
            </w:pPr>
            <w:r w:rsidRPr="00BD09B7">
              <w:rPr>
                <w:rFonts w:cs="Arial"/>
                <w:sz w:val="18"/>
                <w:szCs w:val="18"/>
              </w:rPr>
              <w:t>Positive reputational impact to UHBs from patients and Welsh Government from positive outcomes of the initiative</w:t>
            </w:r>
            <w:r w:rsidRPr="00BD09B7">
              <w:rPr>
                <w:rFonts w:cs="Arial"/>
                <w:sz w:val="18"/>
                <w:szCs w:val="18"/>
                <w:highlight w:val="yellow"/>
              </w:rPr>
              <w:t xml:space="preserve"> </w:t>
            </w:r>
          </w:p>
        </w:tc>
        <w:tc>
          <w:tcPr>
            <w:tcW w:w="1983" w:type="dxa"/>
            <w:vAlign w:val="center"/>
          </w:tcPr>
          <w:p w14:paraId="6E1C98C4"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5A1D863F" w14:textId="77777777" w:rsidR="00DF73C0" w:rsidRPr="00BD09B7" w:rsidRDefault="00DF73C0" w:rsidP="00E67800">
            <w:pPr>
              <w:pStyle w:val="tabletext"/>
              <w:rPr>
                <w:sz w:val="18"/>
                <w:szCs w:val="18"/>
              </w:rPr>
            </w:pPr>
            <w:r w:rsidRPr="00BD09B7">
              <w:rPr>
                <w:sz w:val="18"/>
                <w:szCs w:val="18"/>
              </w:rPr>
              <w:t xml:space="preserve">Qualitative </w:t>
            </w:r>
          </w:p>
        </w:tc>
      </w:tr>
      <w:tr w:rsidR="00DF73C0" w:rsidRPr="00CB4ED1" w14:paraId="03FFF3D9" w14:textId="77777777" w:rsidTr="00654E3F">
        <w:tc>
          <w:tcPr>
            <w:tcW w:w="963" w:type="dxa"/>
            <w:tcBorders>
              <w:right w:val="nil"/>
            </w:tcBorders>
          </w:tcPr>
          <w:p w14:paraId="49793C4F" w14:textId="77777777" w:rsidR="00DF73C0" w:rsidRPr="00BD09B7" w:rsidRDefault="00DF73C0" w:rsidP="00E67800">
            <w:pPr>
              <w:pStyle w:val="tabletext"/>
              <w:rPr>
                <w:sz w:val="18"/>
                <w:szCs w:val="18"/>
              </w:rPr>
            </w:pPr>
            <w:r w:rsidRPr="00BD09B7">
              <w:rPr>
                <w:rFonts w:cs="Arial"/>
                <w:sz w:val="18"/>
                <w:szCs w:val="18"/>
              </w:rPr>
              <w:lastRenderedPageBreak/>
              <w:t>UB10</w:t>
            </w:r>
          </w:p>
        </w:tc>
        <w:tc>
          <w:tcPr>
            <w:tcW w:w="2974" w:type="dxa"/>
            <w:tcBorders>
              <w:left w:val="nil"/>
            </w:tcBorders>
          </w:tcPr>
          <w:p w14:paraId="4B0B85FB" w14:textId="77777777" w:rsidR="00DF73C0" w:rsidRPr="00BD09B7" w:rsidRDefault="00DF73C0" w:rsidP="00E67800">
            <w:pPr>
              <w:pStyle w:val="tabletext"/>
              <w:rPr>
                <w:sz w:val="18"/>
                <w:szCs w:val="18"/>
              </w:rPr>
            </w:pPr>
            <w:r w:rsidRPr="00BD09B7">
              <w:rPr>
                <w:rFonts w:cs="Arial"/>
                <w:sz w:val="18"/>
                <w:szCs w:val="18"/>
              </w:rPr>
              <w:t>LHP will be a catalyst for change, improvement and employing best practice and collaboration across the region.</w:t>
            </w:r>
          </w:p>
        </w:tc>
        <w:tc>
          <w:tcPr>
            <w:tcW w:w="1983" w:type="dxa"/>
            <w:vAlign w:val="center"/>
          </w:tcPr>
          <w:p w14:paraId="141FBB83"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20695574" w14:textId="77777777" w:rsidR="00DF73C0" w:rsidRPr="00BD09B7" w:rsidRDefault="00DF73C0" w:rsidP="00E67800">
            <w:pPr>
              <w:pStyle w:val="tabletext"/>
              <w:rPr>
                <w:sz w:val="18"/>
                <w:szCs w:val="18"/>
              </w:rPr>
            </w:pPr>
            <w:r w:rsidRPr="00BD09B7">
              <w:rPr>
                <w:sz w:val="18"/>
                <w:szCs w:val="18"/>
              </w:rPr>
              <w:t xml:space="preserve">Qualitative </w:t>
            </w:r>
          </w:p>
        </w:tc>
      </w:tr>
      <w:tr w:rsidR="00DF73C0" w:rsidRPr="00CB4ED1" w14:paraId="510BA1BD" w14:textId="77777777" w:rsidTr="00654E3F">
        <w:tc>
          <w:tcPr>
            <w:tcW w:w="963" w:type="dxa"/>
            <w:tcBorders>
              <w:right w:val="nil"/>
            </w:tcBorders>
            <w:vAlign w:val="center"/>
          </w:tcPr>
          <w:p w14:paraId="0D3A81DC" w14:textId="77777777" w:rsidR="00DF73C0" w:rsidRPr="00BD09B7" w:rsidRDefault="00DF73C0" w:rsidP="00E67800">
            <w:pPr>
              <w:pStyle w:val="tabletext"/>
              <w:rPr>
                <w:sz w:val="18"/>
                <w:szCs w:val="18"/>
              </w:rPr>
            </w:pPr>
            <w:r w:rsidRPr="00BD09B7">
              <w:rPr>
                <w:sz w:val="18"/>
                <w:szCs w:val="18"/>
              </w:rPr>
              <w:t>UB11</w:t>
            </w:r>
          </w:p>
        </w:tc>
        <w:tc>
          <w:tcPr>
            <w:tcW w:w="2974" w:type="dxa"/>
            <w:tcBorders>
              <w:left w:val="nil"/>
            </w:tcBorders>
            <w:vAlign w:val="center"/>
          </w:tcPr>
          <w:p w14:paraId="189486FA" w14:textId="77777777" w:rsidR="00DF73C0" w:rsidRPr="00BD09B7" w:rsidRDefault="00DF73C0" w:rsidP="00E67800">
            <w:pPr>
              <w:pStyle w:val="tabletext"/>
              <w:rPr>
                <w:sz w:val="18"/>
                <w:szCs w:val="18"/>
              </w:rPr>
            </w:pPr>
            <w:r w:rsidRPr="00BD09B7">
              <w:rPr>
                <w:sz w:val="18"/>
                <w:szCs w:val="18"/>
              </w:rPr>
              <w:t>Improved patient experience</w:t>
            </w:r>
          </w:p>
        </w:tc>
        <w:tc>
          <w:tcPr>
            <w:tcW w:w="1983" w:type="dxa"/>
            <w:vAlign w:val="center"/>
          </w:tcPr>
          <w:p w14:paraId="150AE530"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5E071709" w14:textId="77777777" w:rsidR="00DF73C0" w:rsidRPr="00BD09B7" w:rsidRDefault="00DF73C0" w:rsidP="00E67800">
            <w:pPr>
              <w:pStyle w:val="tabletext"/>
              <w:rPr>
                <w:sz w:val="18"/>
                <w:szCs w:val="18"/>
                <w:highlight w:val="yellow"/>
              </w:rPr>
            </w:pPr>
            <w:r w:rsidRPr="00BD09B7">
              <w:rPr>
                <w:sz w:val="18"/>
                <w:szCs w:val="18"/>
              </w:rPr>
              <w:t>95% patient satisfaction</w:t>
            </w:r>
          </w:p>
        </w:tc>
      </w:tr>
      <w:tr w:rsidR="00DF73C0" w:rsidRPr="00CB4ED1" w14:paraId="2D214E28" w14:textId="77777777" w:rsidTr="00654E3F">
        <w:tc>
          <w:tcPr>
            <w:tcW w:w="963" w:type="dxa"/>
            <w:tcBorders>
              <w:right w:val="nil"/>
            </w:tcBorders>
            <w:vAlign w:val="center"/>
          </w:tcPr>
          <w:p w14:paraId="4648B7F6" w14:textId="77777777" w:rsidR="00DF73C0" w:rsidRPr="00BD09B7" w:rsidRDefault="00DF73C0" w:rsidP="00E67800">
            <w:pPr>
              <w:pStyle w:val="tabletext"/>
              <w:rPr>
                <w:sz w:val="18"/>
                <w:szCs w:val="18"/>
              </w:rPr>
            </w:pPr>
            <w:r w:rsidRPr="00BD09B7">
              <w:rPr>
                <w:sz w:val="18"/>
                <w:szCs w:val="18"/>
              </w:rPr>
              <w:t>UB12</w:t>
            </w:r>
          </w:p>
        </w:tc>
        <w:tc>
          <w:tcPr>
            <w:tcW w:w="2974" w:type="dxa"/>
            <w:tcBorders>
              <w:left w:val="nil"/>
            </w:tcBorders>
            <w:vAlign w:val="center"/>
          </w:tcPr>
          <w:p w14:paraId="6EC62C36" w14:textId="77777777" w:rsidR="00DF73C0" w:rsidRPr="00BD09B7" w:rsidRDefault="00DF73C0" w:rsidP="00E67800">
            <w:pPr>
              <w:pStyle w:val="tabletext"/>
              <w:rPr>
                <w:sz w:val="18"/>
                <w:szCs w:val="18"/>
              </w:rPr>
            </w:pPr>
            <w:r w:rsidRPr="00BD09B7">
              <w:rPr>
                <w:sz w:val="18"/>
                <w:szCs w:val="18"/>
              </w:rPr>
              <w:t>Reduced cancellations and DNAs</w:t>
            </w:r>
          </w:p>
        </w:tc>
        <w:tc>
          <w:tcPr>
            <w:tcW w:w="1983" w:type="dxa"/>
            <w:vAlign w:val="center"/>
          </w:tcPr>
          <w:p w14:paraId="439AF746" w14:textId="77777777" w:rsidR="00DF73C0" w:rsidRPr="00BD09B7" w:rsidRDefault="00DF73C0" w:rsidP="00E67800">
            <w:pPr>
              <w:pStyle w:val="tabletext"/>
              <w:jc w:val="center"/>
              <w:rPr>
                <w:sz w:val="18"/>
                <w:szCs w:val="18"/>
              </w:rPr>
            </w:pPr>
          </w:p>
        </w:tc>
        <w:tc>
          <w:tcPr>
            <w:tcW w:w="3901" w:type="dxa"/>
            <w:vAlign w:val="center"/>
          </w:tcPr>
          <w:p w14:paraId="2B0D0263" w14:textId="77777777" w:rsidR="00DF73C0" w:rsidRPr="00BD09B7" w:rsidRDefault="00DF73C0" w:rsidP="00E67800">
            <w:pPr>
              <w:pStyle w:val="tabletext"/>
              <w:rPr>
                <w:sz w:val="18"/>
                <w:szCs w:val="18"/>
              </w:rPr>
            </w:pPr>
            <w:r w:rsidRPr="00BD09B7">
              <w:rPr>
                <w:sz w:val="18"/>
                <w:szCs w:val="18"/>
              </w:rPr>
              <w:t>12.5% cancellation/DNA rate</w:t>
            </w:r>
          </w:p>
        </w:tc>
      </w:tr>
      <w:tr w:rsidR="00DF73C0" w:rsidRPr="00CB4ED1" w14:paraId="0B9EA030" w14:textId="77777777" w:rsidTr="00654E3F">
        <w:tc>
          <w:tcPr>
            <w:tcW w:w="963" w:type="dxa"/>
            <w:tcBorders>
              <w:right w:val="nil"/>
            </w:tcBorders>
            <w:vAlign w:val="center"/>
          </w:tcPr>
          <w:p w14:paraId="71C0253A" w14:textId="77777777" w:rsidR="00DF73C0" w:rsidRPr="00BD09B7" w:rsidRDefault="00DF73C0" w:rsidP="00E67800">
            <w:pPr>
              <w:pStyle w:val="tabletext"/>
              <w:rPr>
                <w:sz w:val="18"/>
                <w:szCs w:val="18"/>
              </w:rPr>
            </w:pPr>
            <w:r w:rsidRPr="00BD09B7">
              <w:rPr>
                <w:sz w:val="18"/>
                <w:szCs w:val="18"/>
              </w:rPr>
              <w:t>UB13</w:t>
            </w:r>
          </w:p>
        </w:tc>
        <w:tc>
          <w:tcPr>
            <w:tcW w:w="2974" w:type="dxa"/>
            <w:tcBorders>
              <w:left w:val="nil"/>
            </w:tcBorders>
            <w:vAlign w:val="center"/>
          </w:tcPr>
          <w:p w14:paraId="736113F5" w14:textId="77777777" w:rsidR="00DF73C0" w:rsidRPr="00BD09B7" w:rsidRDefault="00DF73C0" w:rsidP="00E67800">
            <w:pPr>
              <w:pStyle w:val="tabletext"/>
              <w:rPr>
                <w:sz w:val="18"/>
                <w:szCs w:val="18"/>
              </w:rPr>
            </w:pPr>
            <w:r w:rsidRPr="00BD09B7">
              <w:rPr>
                <w:sz w:val="18"/>
                <w:szCs w:val="18"/>
              </w:rPr>
              <w:t>Reduced health inequalities</w:t>
            </w:r>
          </w:p>
        </w:tc>
        <w:tc>
          <w:tcPr>
            <w:tcW w:w="1983" w:type="dxa"/>
            <w:vAlign w:val="center"/>
          </w:tcPr>
          <w:p w14:paraId="6E47A1CD" w14:textId="77777777" w:rsidR="00DF73C0" w:rsidRPr="00BD09B7" w:rsidRDefault="00DF73C0" w:rsidP="00E67800">
            <w:pPr>
              <w:pStyle w:val="tabletext"/>
              <w:jc w:val="center"/>
              <w:rPr>
                <w:sz w:val="18"/>
                <w:szCs w:val="18"/>
                <w:highlight w:val="yellow"/>
              </w:rPr>
            </w:pPr>
            <w:r w:rsidRPr="00BD09B7">
              <w:rPr>
                <w:sz w:val="18"/>
                <w:szCs w:val="18"/>
              </w:rPr>
              <w:t>-</w:t>
            </w:r>
          </w:p>
        </w:tc>
        <w:tc>
          <w:tcPr>
            <w:tcW w:w="3901" w:type="dxa"/>
            <w:vAlign w:val="center"/>
          </w:tcPr>
          <w:p w14:paraId="4D1722CB" w14:textId="77777777" w:rsidR="00DF73C0" w:rsidRPr="00BD09B7" w:rsidRDefault="00DF73C0" w:rsidP="00E67800">
            <w:pPr>
              <w:pStyle w:val="tabletext"/>
              <w:rPr>
                <w:sz w:val="18"/>
                <w:szCs w:val="18"/>
                <w:highlight w:val="yellow"/>
              </w:rPr>
            </w:pPr>
            <w:r w:rsidRPr="00BD09B7">
              <w:rPr>
                <w:sz w:val="18"/>
                <w:szCs w:val="18"/>
              </w:rPr>
              <w:t xml:space="preserve">Qualitative </w:t>
            </w:r>
          </w:p>
        </w:tc>
      </w:tr>
      <w:tr w:rsidR="00DF73C0" w:rsidRPr="00CB4ED1" w14:paraId="6D8E0920" w14:textId="77777777" w:rsidTr="00654E3F">
        <w:tc>
          <w:tcPr>
            <w:tcW w:w="963" w:type="dxa"/>
            <w:tcBorders>
              <w:right w:val="nil"/>
            </w:tcBorders>
            <w:vAlign w:val="center"/>
          </w:tcPr>
          <w:p w14:paraId="5F740E21" w14:textId="77777777" w:rsidR="00DF73C0" w:rsidRPr="00BD09B7" w:rsidRDefault="00DF73C0" w:rsidP="00E67800">
            <w:pPr>
              <w:pStyle w:val="tabletext"/>
              <w:rPr>
                <w:sz w:val="18"/>
                <w:szCs w:val="18"/>
              </w:rPr>
            </w:pPr>
            <w:r w:rsidRPr="00BD09B7">
              <w:rPr>
                <w:sz w:val="18"/>
                <w:szCs w:val="18"/>
              </w:rPr>
              <w:t>UB14</w:t>
            </w:r>
          </w:p>
        </w:tc>
        <w:tc>
          <w:tcPr>
            <w:tcW w:w="2974" w:type="dxa"/>
            <w:tcBorders>
              <w:left w:val="nil"/>
            </w:tcBorders>
            <w:vAlign w:val="center"/>
          </w:tcPr>
          <w:p w14:paraId="024EE6C7" w14:textId="77777777" w:rsidR="00DF73C0" w:rsidRPr="00BD09B7" w:rsidRDefault="00DF73C0" w:rsidP="00E67800">
            <w:pPr>
              <w:pStyle w:val="tabletext"/>
              <w:rPr>
                <w:sz w:val="18"/>
                <w:szCs w:val="18"/>
              </w:rPr>
            </w:pPr>
            <w:r w:rsidRPr="00BD09B7">
              <w:rPr>
                <w:sz w:val="18"/>
                <w:szCs w:val="18"/>
              </w:rPr>
              <w:t>Improved training pathway and increased training opportunities</w:t>
            </w:r>
          </w:p>
        </w:tc>
        <w:tc>
          <w:tcPr>
            <w:tcW w:w="1983" w:type="dxa"/>
            <w:vAlign w:val="center"/>
          </w:tcPr>
          <w:p w14:paraId="27F80B27"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71D0AD1C" w14:textId="77777777" w:rsidR="00DF73C0" w:rsidRPr="00BD09B7" w:rsidRDefault="00DF73C0" w:rsidP="00E67800">
            <w:pPr>
              <w:pStyle w:val="tabletext"/>
              <w:rPr>
                <w:sz w:val="18"/>
                <w:szCs w:val="18"/>
              </w:rPr>
            </w:pPr>
            <w:r w:rsidRPr="00BD09B7">
              <w:rPr>
                <w:sz w:val="18"/>
                <w:szCs w:val="18"/>
              </w:rPr>
              <w:t>Capacity to potentially provide training to 12 Potential Orthopaedic Trainees, 40 Potential Anaesthetic WTE Stage 1s and 26 Potential Anaesthetic WTE Stage 2s.</w:t>
            </w:r>
          </w:p>
        </w:tc>
      </w:tr>
      <w:tr w:rsidR="00DF73C0" w:rsidRPr="00CB4ED1" w14:paraId="31AEB726" w14:textId="77777777" w:rsidTr="00654E3F">
        <w:tc>
          <w:tcPr>
            <w:tcW w:w="963" w:type="dxa"/>
            <w:tcBorders>
              <w:right w:val="nil"/>
            </w:tcBorders>
            <w:vAlign w:val="center"/>
          </w:tcPr>
          <w:p w14:paraId="7D00F780" w14:textId="77777777" w:rsidR="00DF73C0" w:rsidRPr="00BD09B7" w:rsidRDefault="00DF73C0" w:rsidP="00E67800">
            <w:pPr>
              <w:pStyle w:val="tabletext"/>
              <w:rPr>
                <w:sz w:val="18"/>
                <w:szCs w:val="18"/>
              </w:rPr>
            </w:pPr>
            <w:r w:rsidRPr="00BD09B7">
              <w:rPr>
                <w:sz w:val="18"/>
                <w:szCs w:val="18"/>
              </w:rPr>
              <w:t>UB15</w:t>
            </w:r>
          </w:p>
        </w:tc>
        <w:tc>
          <w:tcPr>
            <w:tcW w:w="2974" w:type="dxa"/>
            <w:tcBorders>
              <w:left w:val="nil"/>
            </w:tcBorders>
            <w:vAlign w:val="center"/>
          </w:tcPr>
          <w:p w14:paraId="2923D27A" w14:textId="77777777" w:rsidR="00DF73C0" w:rsidRPr="00BD09B7" w:rsidRDefault="00DF73C0" w:rsidP="00E67800">
            <w:pPr>
              <w:pStyle w:val="tabletext"/>
              <w:rPr>
                <w:sz w:val="18"/>
                <w:szCs w:val="18"/>
              </w:rPr>
            </w:pPr>
            <w:r w:rsidRPr="00BD09B7">
              <w:rPr>
                <w:sz w:val="18"/>
                <w:szCs w:val="18"/>
              </w:rPr>
              <w:t>Increased staff satisfaction</w:t>
            </w:r>
          </w:p>
        </w:tc>
        <w:tc>
          <w:tcPr>
            <w:tcW w:w="1983" w:type="dxa"/>
            <w:vAlign w:val="center"/>
          </w:tcPr>
          <w:p w14:paraId="5E4E583A"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7E9B94F7" w14:textId="77777777" w:rsidR="00DF73C0" w:rsidRPr="00BD09B7" w:rsidRDefault="00DF73C0" w:rsidP="00E67800">
            <w:pPr>
              <w:pStyle w:val="tabletext"/>
              <w:rPr>
                <w:sz w:val="18"/>
                <w:szCs w:val="18"/>
              </w:rPr>
            </w:pPr>
            <w:r w:rsidRPr="00BD09B7">
              <w:rPr>
                <w:sz w:val="18"/>
                <w:szCs w:val="18"/>
              </w:rPr>
              <w:t>To be confirmed at FBC</w:t>
            </w:r>
          </w:p>
        </w:tc>
      </w:tr>
      <w:tr w:rsidR="00DF73C0" w:rsidRPr="00CB4ED1" w14:paraId="7796DD97" w14:textId="77777777" w:rsidTr="00654E3F">
        <w:tc>
          <w:tcPr>
            <w:tcW w:w="963" w:type="dxa"/>
            <w:tcBorders>
              <w:right w:val="nil"/>
            </w:tcBorders>
            <w:vAlign w:val="center"/>
          </w:tcPr>
          <w:p w14:paraId="16B50A8B" w14:textId="77777777" w:rsidR="00DF73C0" w:rsidRPr="00BD09B7" w:rsidRDefault="00DF73C0" w:rsidP="00E67800">
            <w:pPr>
              <w:pStyle w:val="tabletext"/>
              <w:rPr>
                <w:sz w:val="18"/>
                <w:szCs w:val="18"/>
              </w:rPr>
            </w:pPr>
            <w:r w:rsidRPr="00BD09B7">
              <w:rPr>
                <w:sz w:val="18"/>
                <w:szCs w:val="18"/>
              </w:rPr>
              <w:t>UB16</w:t>
            </w:r>
          </w:p>
        </w:tc>
        <w:tc>
          <w:tcPr>
            <w:tcW w:w="2974" w:type="dxa"/>
            <w:tcBorders>
              <w:left w:val="nil"/>
            </w:tcBorders>
            <w:vAlign w:val="center"/>
          </w:tcPr>
          <w:p w14:paraId="3A6232E4" w14:textId="77777777" w:rsidR="00DF73C0" w:rsidRPr="00BD09B7" w:rsidRDefault="00DF73C0" w:rsidP="00E67800">
            <w:pPr>
              <w:pStyle w:val="tabletext"/>
              <w:rPr>
                <w:sz w:val="18"/>
                <w:szCs w:val="18"/>
              </w:rPr>
            </w:pPr>
            <w:r w:rsidRPr="00BD09B7">
              <w:rPr>
                <w:sz w:val="18"/>
                <w:szCs w:val="18"/>
              </w:rPr>
              <w:t>Improved recruitment and retention</w:t>
            </w:r>
          </w:p>
        </w:tc>
        <w:tc>
          <w:tcPr>
            <w:tcW w:w="1983" w:type="dxa"/>
            <w:vAlign w:val="center"/>
          </w:tcPr>
          <w:p w14:paraId="644717BD"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16668F5F" w14:textId="77777777" w:rsidR="00DF73C0" w:rsidRPr="00BD09B7" w:rsidRDefault="00DF73C0" w:rsidP="00E67800">
            <w:pPr>
              <w:pStyle w:val="tabletext"/>
              <w:rPr>
                <w:sz w:val="18"/>
                <w:szCs w:val="18"/>
              </w:rPr>
            </w:pPr>
            <w:r w:rsidRPr="00BD09B7">
              <w:rPr>
                <w:sz w:val="18"/>
                <w:szCs w:val="18"/>
              </w:rPr>
              <w:t>To be confirmed at FBC</w:t>
            </w:r>
          </w:p>
        </w:tc>
      </w:tr>
      <w:tr w:rsidR="00DF73C0" w:rsidRPr="00CB4ED1" w14:paraId="7FD01E42" w14:textId="77777777" w:rsidTr="00654E3F">
        <w:tc>
          <w:tcPr>
            <w:tcW w:w="963" w:type="dxa"/>
            <w:tcBorders>
              <w:right w:val="nil"/>
            </w:tcBorders>
            <w:vAlign w:val="center"/>
          </w:tcPr>
          <w:p w14:paraId="71BFDEE4" w14:textId="77777777" w:rsidR="00DF73C0" w:rsidRPr="00BD09B7" w:rsidRDefault="00DF73C0" w:rsidP="00E67800">
            <w:pPr>
              <w:pStyle w:val="tabletext"/>
              <w:rPr>
                <w:sz w:val="18"/>
                <w:szCs w:val="18"/>
              </w:rPr>
            </w:pPr>
            <w:r w:rsidRPr="00BD09B7">
              <w:rPr>
                <w:sz w:val="18"/>
                <w:szCs w:val="18"/>
              </w:rPr>
              <w:t>UB17</w:t>
            </w:r>
          </w:p>
        </w:tc>
        <w:tc>
          <w:tcPr>
            <w:tcW w:w="2974" w:type="dxa"/>
            <w:tcBorders>
              <w:left w:val="nil"/>
            </w:tcBorders>
            <w:vAlign w:val="center"/>
          </w:tcPr>
          <w:p w14:paraId="68D6C68A" w14:textId="77777777" w:rsidR="00DF73C0" w:rsidRPr="00BD09B7" w:rsidRDefault="00DF73C0" w:rsidP="00E67800">
            <w:pPr>
              <w:pStyle w:val="tabletext"/>
              <w:rPr>
                <w:sz w:val="18"/>
                <w:szCs w:val="18"/>
              </w:rPr>
            </w:pPr>
            <w:r w:rsidRPr="00BD09B7">
              <w:rPr>
                <w:sz w:val="18"/>
                <w:szCs w:val="18"/>
              </w:rPr>
              <w:t>Opportunities to share best workforce practices across the region</w:t>
            </w:r>
          </w:p>
        </w:tc>
        <w:tc>
          <w:tcPr>
            <w:tcW w:w="1983" w:type="dxa"/>
            <w:vAlign w:val="center"/>
          </w:tcPr>
          <w:p w14:paraId="128B83C3"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0D4A8B56" w14:textId="77777777" w:rsidR="00DF73C0" w:rsidRPr="00BD09B7" w:rsidRDefault="00DF73C0" w:rsidP="00E67800">
            <w:pPr>
              <w:pStyle w:val="tabletext"/>
              <w:rPr>
                <w:sz w:val="18"/>
                <w:szCs w:val="18"/>
                <w:highlight w:val="yellow"/>
              </w:rPr>
            </w:pPr>
            <w:r w:rsidRPr="00BD09B7">
              <w:rPr>
                <w:sz w:val="18"/>
                <w:szCs w:val="18"/>
              </w:rPr>
              <w:t>Qualitative</w:t>
            </w:r>
          </w:p>
        </w:tc>
      </w:tr>
      <w:tr w:rsidR="00DF73C0" w:rsidRPr="00CB4ED1" w14:paraId="545475F9" w14:textId="77777777" w:rsidTr="00654E3F">
        <w:tc>
          <w:tcPr>
            <w:tcW w:w="963" w:type="dxa"/>
            <w:tcBorders>
              <w:right w:val="nil"/>
            </w:tcBorders>
            <w:vAlign w:val="center"/>
          </w:tcPr>
          <w:p w14:paraId="6E25B6C5" w14:textId="77777777" w:rsidR="00DF73C0" w:rsidRPr="00BD09B7" w:rsidRDefault="00DF73C0" w:rsidP="00E67800">
            <w:pPr>
              <w:pStyle w:val="tabletext"/>
              <w:rPr>
                <w:sz w:val="18"/>
                <w:szCs w:val="18"/>
              </w:rPr>
            </w:pPr>
            <w:r w:rsidRPr="00BD09B7">
              <w:rPr>
                <w:sz w:val="18"/>
                <w:szCs w:val="18"/>
              </w:rPr>
              <w:t>UB18-20</w:t>
            </w:r>
          </w:p>
        </w:tc>
        <w:tc>
          <w:tcPr>
            <w:tcW w:w="2974" w:type="dxa"/>
            <w:tcBorders>
              <w:left w:val="nil"/>
            </w:tcBorders>
            <w:vAlign w:val="center"/>
          </w:tcPr>
          <w:p w14:paraId="37E199E1" w14:textId="77777777" w:rsidR="00DF73C0" w:rsidRPr="00BD09B7" w:rsidRDefault="00DF73C0" w:rsidP="00E67800">
            <w:pPr>
              <w:pStyle w:val="tabletext"/>
              <w:rPr>
                <w:sz w:val="18"/>
                <w:szCs w:val="18"/>
              </w:rPr>
            </w:pPr>
            <w:r w:rsidRPr="00BD09B7">
              <w:rPr>
                <w:sz w:val="18"/>
                <w:szCs w:val="18"/>
              </w:rPr>
              <w:t>Modern fit for purpose compliant facility</w:t>
            </w:r>
          </w:p>
        </w:tc>
        <w:tc>
          <w:tcPr>
            <w:tcW w:w="1983" w:type="dxa"/>
            <w:vAlign w:val="center"/>
          </w:tcPr>
          <w:p w14:paraId="64D91F62"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7895D9DA" w14:textId="77777777" w:rsidR="00DF73C0" w:rsidRPr="00BD09B7" w:rsidRDefault="00DF73C0" w:rsidP="00E67800">
            <w:pPr>
              <w:pStyle w:val="tabletext"/>
              <w:rPr>
                <w:sz w:val="18"/>
                <w:szCs w:val="18"/>
              </w:rPr>
            </w:pPr>
            <w:r w:rsidRPr="00BD09B7">
              <w:rPr>
                <w:sz w:val="18"/>
                <w:szCs w:val="18"/>
              </w:rPr>
              <w:t>Complies with WHBN/HTMs</w:t>
            </w:r>
          </w:p>
          <w:p w14:paraId="27D36593" w14:textId="77777777" w:rsidR="00DF73C0" w:rsidRPr="00BD09B7" w:rsidRDefault="00DF73C0" w:rsidP="00E67800">
            <w:pPr>
              <w:pStyle w:val="tabletext"/>
              <w:rPr>
                <w:sz w:val="18"/>
                <w:szCs w:val="18"/>
              </w:rPr>
            </w:pPr>
            <w:r w:rsidRPr="00BD09B7">
              <w:rPr>
                <w:sz w:val="18"/>
                <w:szCs w:val="18"/>
              </w:rPr>
              <w:t>BREEAM rated as excellent</w:t>
            </w:r>
          </w:p>
          <w:p w14:paraId="73EC8919" w14:textId="77777777" w:rsidR="00DF73C0" w:rsidRPr="00BD09B7" w:rsidRDefault="00DF73C0" w:rsidP="00E67800">
            <w:pPr>
              <w:pStyle w:val="tabletext"/>
              <w:rPr>
                <w:sz w:val="18"/>
                <w:szCs w:val="18"/>
              </w:rPr>
            </w:pPr>
            <w:r w:rsidRPr="00BD09B7">
              <w:rPr>
                <w:sz w:val="18"/>
                <w:szCs w:val="18"/>
              </w:rPr>
              <w:t>Enhanced facilities with enhanced provisions (i.e. 2 oxygen tanks, N+N generator etc.)</w:t>
            </w:r>
          </w:p>
        </w:tc>
      </w:tr>
      <w:tr w:rsidR="00DF73C0" w:rsidRPr="00CB4ED1" w14:paraId="62FEBAD8" w14:textId="77777777" w:rsidTr="00654E3F">
        <w:tc>
          <w:tcPr>
            <w:tcW w:w="963" w:type="dxa"/>
            <w:tcBorders>
              <w:right w:val="nil"/>
            </w:tcBorders>
            <w:vAlign w:val="center"/>
          </w:tcPr>
          <w:p w14:paraId="473EAEE4" w14:textId="77777777" w:rsidR="00DF73C0" w:rsidRPr="00BD09B7" w:rsidRDefault="00DF73C0" w:rsidP="00E67800">
            <w:pPr>
              <w:pStyle w:val="tabletext"/>
              <w:rPr>
                <w:sz w:val="18"/>
                <w:szCs w:val="18"/>
              </w:rPr>
            </w:pPr>
            <w:r w:rsidRPr="00BD09B7">
              <w:rPr>
                <w:sz w:val="18"/>
                <w:szCs w:val="18"/>
              </w:rPr>
              <w:t>UB21</w:t>
            </w:r>
          </w:p>
        </w:tc>
        <w:tc>
          <w:tcPr>
            <w:tcW w:w="2974" w:type="dxa"/>
            <w:tcBorders>
              <w:left w:val="nil"/>
            </w:tcBorders>
            <w:vAlign w:val="center"/>
          </w:tcPr>
          <w:p w14:paraId="4AC84E13" w14:textId="77777777" w:rsidR="00DF73C0" w:rsidRPr="00BD09B7" w:rsidRDefault="00DF73C0" w:rsidP="00E67800">
            <w:pPr>
              <w:pStyle w:val="tabletext"/>
              <w:rPr>
                <w:sz w:val="18"/>
                <w:szCs w:val="18"/>
              </w:rPr>
            </w:pPr>
            <w:r w:rsidRPr="00BD09B7">
              <w:rPr>
                <w:rFonts w:cs="Arial"/>
                <w:bCs/>
                <w:sz w:val="18"/>
                <w:szCs w:val="18"/>
              </w:rPr>
              <w:t>Community Benefits (Social Value provided by the contractor))</w:t>
            </w:r>
          </w:p>
        </w:tc>
        <w:tc>
          <w:tcPr>
            <w:tcW w:w="1983" w:type="dxa"/>
            <w:vAlign w:val="center"/>
          </w:tcPr>
          <w:p w14:paraId="0168024D"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0E2CFDD2" w14:textId="77777777" w:rsidR="00DF73C0" w:rsidRPr="00BD09B7" w:rsidRDefault="00DF73C0" w:rsidP="00E67800">
            <w:pPr>
              <w:pStyle w:val="tabletext"/>
              <w:rPr>
                <w:rFonts w:cs="Arial"/>
                <w:sz w:val="18"/>
                <w:szCs w:val="18"/>
              </w:rPr>
            </w:pPr>
            <w:r w:rsidRPr="00BD09B7">
              <w:rPr>
                <w:rFonts w:cs="Arial"/>
                <w:sz w:val="18"/>
                <w:szCs w:val="18"/>
              </w:rPr>
              <w:t>10 local direct full time equivalent (FTE) employees hired or retained.</w:t>
            </w:r>
          </w:p>
          <w:p w14:paraId="6F121D75" w14:textId="77777777" w:rsidR="00DF73C0" w:rsidRPr="00BD09B7" w:rsidRDefault="00DF73C0" w:rsidP="00E67800">
            <w:pPr>
              <w:pStyle w:val="tabletext"/>
              <w:rPr>
                <w:rFonts w:cs="Arial"/>
                <w:sz w:val="18"/>
                <w:szCs w:val="18"/>
              </w:rPr>
            </w:pPr>
            <w:r w:rsidRPr="00BD09B7">
              <w:rPr>
                <w:rFonts w:cs="Arial"/>
                <w:sz w:val="18"/>
                <w:szCs w:val="18"/>
              </w:rPr>
              <w:t>250 weeks of apprenticeships provided to local staff.</w:t>
            </w:r>
          </w:p>
          <w:p w14:paraId="2500F160" w14:textId="77777777" w:rsidR="00DF73C0" w:rsidRPr="00BD09B7" w:rsidRDefault="00DF73C0" w:rsidP="00E67800">
            <w:pPr>
              <w:pStyle w:val="tabletext"/>
              <w:rPr>
                <w:rFonts w:cs="Arial"/>
                <w:sz w:val="18"/>
                <w:szCs w:val="18"/>
              </w:rPr>
            </w:pPr>
            <w:r w:rsidRPr="00BD09B7">
              <w:rPr>
                <w:rFonts w:cs="Arial"/>
                <w:sz w:val="18"/>
                <w:szCs w:val="18"/>
              </w:rPr>
              <w:t>£25,000 worth of equipment or resources donated to local third sector and civil society organisations</w:t>
            </w:r>
          </w:p>
          <w:p w14:paraId="3038C645" w14:textId="77777777" w:rsidR="00DF73C0" w:rsidRPr="00BD09B7" w:rsidRDefault="00DF73C0" w:rsidP="00E67800">
            <w:pPr>
              <w:pStyle w:val="tabletext"/>
              <w:rPr>
                <w:rFonts w:cs="Arial"/>
                <w:sz w:val="18"/>
                <w:szCs w:val="18"/>
              </w:rPr>
            </w:pPr>
            <w:r w:rsidRPr="00BD09B7">
              <w:rPr>
                <w:rFonts w:cs="Arial"/>
                <w:sz w:val="18"/>
                <w:szCs w:val="18"/>
              </w:rPr>
              <w:t>250 Hours of volunteering time provided to support local community projects.</w:t>
            </w:r>
          </w:p>
          <w:p w14:paraId="0D1B091B" w14:textId="77777777" w:rsidR="00DF73C0" w:rsidRPr="00BD09B7" w:rsidRDefault="00DF73C0" w:rsidP="00E67800">
            <w:pPr>
              <w:pStyle w:val="tabletext"/>
              <w:rPr>
                <w:rFonts w:cs="Arial"/>
                <w:sz w:val="18"/>
                <w:szCs w:val="18"/>
              </w:rPr>
            </w:pPr>
            <w:r w:rsidRPr="00BD09B7">
              <w:rPr>
                <w:rFonts w:cs="Arial"/>
                <w:sz w:val="18"/>
                <w:szCs w:val="18"/>
              </w:rPr>
              <w:t>£25,000 direct support and investment provided for people to learn and use Welsh (e.g. interactions and signage).</w:t>
            </w:r>
          </w:p>
          <w:p w14:paraId="61390196" w14:textId="77777777" w:rsidR="00DF73C0" w:rsidRPr="00BD09B7" w:rsidRDefault="00DF73C0" w:rsidP="00E67800">
            <w:pPr>
              <w:pStyle w:val="tabletext"/>
              <w:rPr>
                <w:sz w:val="18"/>
                <w:szCs w:val="18"/>
              </w:rPr>
            </w:pPr>
            <w:r w:rsidRPr="00BD09B7">
              <w:rPr>
                <w:rFonts w:cs="Arial"/>
                <w:sz w:val="18"/>
                <w:szCs w:val="18"/>
              </w:rPr>
              <w:t>£20,000,000 spent in the local supply chain.</w:t>
            </w:r>
          </w:p>
        </w:tc>
      </w:tr>
      <w:tr w:rsidR="00DF73C0" w:rsidRPr="00CB4ED1" w14:paraId="14E1BDD1" w14:textId="77777777" w:rsidTr="00654E3F">
        <w:tc>
          <w:tcPr>
            <w:tcW w:w="963" w:type="dxa"/>
            <w:tcBorders>
              <w:right w:val="nil"/>
            </w:tcBorders>
            <w:vAlign w:val="center"/>
          </w:tcPr>
          <w:p w14:paraId="6152EB20" w14:textId="77777777" w:rsidR="00DF73C0" w:rsidRPr="00BD09B7" w:rsidRDefault="00DF73C0" w:rsidP="00E67800">
            <w:pPr>
              <w:pStyle w:val="tabletext"/>
              <w:rPr>
                <w:sz w:val="18"/>
                <w:szCs w:val="18"/>
              </w:rPr>
            </w:pPr>
            <w:r w:rsidRPr="00BD09B7">
              <w:rPr>
                <w:sz w:val="18"/>
                <w:szCs w:val="18"/>
              </w:rPr>
              <w:t>UB22</w:t>
            </w:r>
          </w:p>
        </w:tc>
        <w:tc>
          <w:tcPr>
            <w:tcW w:w="2974" w:type="dxa"/>
            <w:tcBorders>
              <w:left w:val="nil"/>
            </w:tcBorders>
            <w:vAlign w:val="center"/>
          </w:tcPr>
          <w:p w14:paraId="451311BA" w14:textId="77777777" w:rsidR="00DF73C0" w:rsidRPr="00BD09B7" w:rsidRDefault="00DF73C0" w:rsidP="00E67800">
            <w:pPr>
              <w:pStyle w:val="tabletext"/>
              <w:rPr>
                <w:sz w:val="18"/>
                <w:szCs w:val="18"/>
              </w:rPr>
            </w:pPr>
            <w:r w:rsidRPr="00BD09B7">
              <w:rPr>
                <w:sz w:val="18"/>
                <w:szCs w:val="18"/>
              </w:rPr>
              <w:t>Reduced waste and single use products</w:t>
            </w:r>
          </w:p>
        </w:tc>
        <w:tc>
          <w:tcPr>
            <w:tcW w:w="1983" w:type="dxa"/>
            <w:vAlign w:val="center"/>
          </w:tcPr>
          <w:p w14:paraId="079BE404"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02871FF5" w14:textId="77777777" w:rsidR="00DF73C0" w:rsidRPr="00BD09B7" w:rsidRDefault="00DF73C0" w:rsidP="00E67800">
            <w:pPr>
              <w:pStyle w:val="tabletext"/>
              <w:rPr>
                <w:sz w:val="18"/>
                <w:szCs w:val="18"/>
              </w:rPr>
            </w:pPr>
            <w:r w:rsidRPr="00BD09B7">
              <w:rPr>
                <w:sz w:val="18"/>
                <w:szCs w:val="18"/>
              </w:rPr>
              <w:t>Qualitative</w:t>
            </w:r>
          </w:p>
        </w:tc>
      </w:tr>
      <w:tr w:rsidR="00DF73C0" w:rsidRPr="00CB4ED1" w14:paraId="2DE30BBB" w14:textId="77777777" w:rsidTr="00654E3F">
        <w:tc>
          <w:tcPr>
            <w:tcW w:w="963" w:type="dxa"/>
            <w:tcBorders>
              <w:right w:val="nil"/>
            </w:tcBorders>
            <w:vAlign w:val="center"/>
          </w:tcPr>
          <w:p w14:paraId="333BBD2A" w14:textId="77777777" w:rsidR="00DF73C0" w:rsidRPr="00BD09B7" w:rsidRDefault="00DF73C0" w:rsidP="00E67800">
            <w:pPr>
              <w:pStyle w:val="tabletext"/>
              <w:rPr>
                <w:sz w:val="18"/>
                <w:szCs w:val="18"/>
              </w:rPr>
            </w:pPr>
            <w:r w:rsidRPr="00BD09B7">
              <w:rPr>
                <w:sz w:val="18"/>
                <w:szCs w:val="18"/>
              </w:rPr>
              <w:t>UB23</w:t>
            </w:r>
          </w:p>
        </w:tc>
        <w:tc>
          <w:tcPr>
            <w:tcW w:w="2974" w:type="dxa"/>
            <w:tcBorders>
              <w:left w:val="nil"/>
            </w:tcBorders>
            <w:vAlign w:val="center"/>
          </w:tcPr>
          <w:p w14:paraId="15D4D49E" w14:textId="77777777" w:rsidR="00DF73C0" w:rsidRPr="00BD09B7" w:rsidRDefault="00DF73C0" w:rsidP="00E67800">
            <w:pPr>
              <w:pStyle w:val="tabletext"/>
              <w:rPr>
                <w:sz w:val="18"/>
                <w:szCs w:val="18"/>
              </w:rPr>
            </w:pPr>
            <w:r w:rsidRPr="00BD09B7">
              <w:rPr>
                <w:sz w:val="18"/>
                <w:szCs w:val="18"/>
              </w:rPr>
              <w:t>Improved recycling</w:t>
            </w:r>
          </w:p>
        </w:tc>
        <w:tc>
          <w:tcPr>
            <w:tcW w:w="1983" w:type="dxa"/>
            <w:vAlign w:val="center"/>
          </w:tcPr>
          <w:p w14:paraId="20ED7B81"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51A7CFFD" w14:textId="77777777" w:rsidR="00DF73C0" w:rsidRPr="00BD09B7" w:rsidRDefault="00DF73C0" w:rsidP="00E67800">
            <w:pPr>
              <w:pStyle w:val="tabletext"/>
              <w:rPr>
                <w:sz w:val="18"/>
                <w:szCs w:val="18"/>
                <w:highlight w:val="yellow"/>
              </w:rPr>
            </w:pPr>
            <w:r w:rsidRPr="00BD09B7">
              <w:rPr>
                <w:sz w:val="18"/>
                <w:szCs w:val="18"/>
              </w:rPr>
              <w:t>Qualitative</w:t>
            </w:r>
          </w:p>
        </w:tc>
      </w:tr>
      <w:tr w:rsidR="00DF73C0" w:rsidRPr="00CB4ED1" w14:paraId="1A4EFC74" w14:textId="77777777" w:rsidTr="00654E3F">
        <w:tc>
          <w:tcPr>
            <w:tcW w:w="963" w:type="dxa"/>
            <w:tcBorders>
              <w:right w:val="nil"/>
            </w:tcBorders>
            <w:vAlign w:val="center"/>
          </w:tcPr>
          <w:p w14:paraId="7A45D135" w14:textId="77777777" w:rsidR="00DF73C0" w:rsidRPr="00BD09B7" w:rsidRDefault="00DF73C0" w:rsidP="00E67800">
            <w:pPr>
              <w:pStyle w:val="tabletext"/>
              <w:rPr>
                <w:sz w:val="18"/>
                <w:szCs w:val="18"/>
              </w:rPr>
            </w:pPr>
            <w:r w:rsidRPr="00BD09B7">
              <w:rPr>
                <w:sz w:val="18"/>
                <w:szCs w:val="18"/>
              </w:rPr>
              <w:t>UB24</w:t>
            </w:r>
          </w:p>
        </w:tc>
        <w:tc>
          <w:tcPr>
            <w:tcW w:w="2974" w:type="dxa"/>
            <w:tcBorders>
              <w:left w:val="nil"/>
            </w:tcBorders>
            <w:vAlign w:val="center"/>
          </w:tcPr>
          <w:p w14:paraId="6377DB02" w14:textId="77777777" w:rsidR="00DF73C0" w:rsidRPr="00BD09B7" w:rsidRDefault="00DF73C0" w:rsidP="00E67800">
            <w:pPr>
              <w:pStyle w:val="tabletext"/>
              <w:rPr>
                <w:sz w:val="18"/>
                <w:szCs w:val="18"/>
              </w:rPr>
            </w:pPr>
            <w:r w:rsidRPr="00BD09B7">
              <w:rPr>
                <w:sz w:val="18"/>
                <w:szCs w:val="18"/>
              </w:rPr>
              <w:t>Contribute to decarbonisation targets with energy efficiency</w:t>
            </w:r>
          </w:p>
        </w:tc>
        <w:tc>
          <w:tcPr>
            <w:tcW w:w="1983" w:type="dxa"/>
            <w:vAlign w:val="center"/>
          </w:tcPr>
          <w:p w14:paraId="0819C634"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5FD570A3" w14:textId="77777777" w:rsidR="00DF73C0" w:rsidRPr="00BD09B7" w:rsidRDefault="00DF73C0" w:rsidP="00E67800">
            <w:pPr>
              <w:pStyle w:val="tabletext"/>
              <w:rPr>
                <w:sz w:val="18"/>
                <w:szCs w:val="18"/>
              </w:rPr>
            </w:pPr>
            <w:r w:rsidRPr="00BD09B7">
              <w:rPr>
                <w:sz w:val="18"/>
                <w:szCs w:val="18"/>
              </w:rPr>
              <w:t>Qualitative</w:t>
            </w:r>
          </w:p>
        </w:tc>
      </w:tr>
      <w:tr w:rsidR="00DF73C0" w:rsidRPr="00CB4ED1" w14:paraId="0C2BC63C" w14:textId="77777777" w:rsidTr="00654E3F">
        <w:tc>
          <w:tcPr>
            <w:tcW w:w="963" w:type="dxa"/>
            <w:tcBorders>
              <w:right w:val="nil"/>
            </w:tcBorders>
            <w:vAlign w:val="center"/>
          </w:tcPr>
          <w:p w14:paraId="63379C72" w14:textId="77777777" w:rsidR="00DF73C0" w:rsidRPr="00BD09B7" w:rsidRDefault="00DF73C0" w:rsidP="00E67800">
            <w:pPr>
              <w:pStyle w:val="tabletext"/>
              <w:rPr>
                <w:sz w:val="18"/>
                <w:szCs w:val="18"/>
              </w:rPr>
            </w:pPr>
            <w:r w:rsidRPr="00BD09B7">
              <w:rPr>
                <w:sz w:val="18"/>
                <w:szCs w:val="18"/>
              </w:rPr>
              <w:t>UB25</w:t>
            </w:r>
          </w:p>
        </w:tc>
        <w:tc>
          <w:tcPr>
            <w:tcW w:w="2974" w:type="dxa"/>
            <w:tcBorders>
              <w:left w:val="nil"/>
            </w:tcBorders>
            <w:vAlign w:val="center"/>
          </w:tcPr>
          <w:p w14:paraId="6779A4FE" w14:textId="77777777" w:rsidR="00DF73C0" w:rsidRPr="00BD09B7" w:rsidRDefault="00DF73C0" w:rsidP="00E67800">
            <w:pPr>
              <w:pStyle w:val="tabletext"/>
              <w:rPr>
                <w:sz w:val="18"/>
                <w:szCs w:val="18"/>
              </w:rPr>
            </w:pPr>
            <w:r w:rsidRPr="00BD09B7">
              <w:rPr>
                <w:rFonts w:cs="Arial"/>
                <w:sz w:val="18"/>
                <w:szCs w:val="18"/>
              </w:rPr>
              <w:t xml:space="preserve">Preservation of biodiversity and wetland area due </w:t>
            </w:r>
            <w:proofErr w:type="gramStart"/>
            <w:r w:rsidRPr="00BD09B7">
              <w:rPr>
                <w:rFonts w:cs="Arial"/>
                <w:sz w:val="18"/>
                <w:szCs w:val="18"/>
              </w:rPr>
              <w:t>to choice</w:t>
            </w:r>
            <w:proofErr w:type="gramEnd"/>
            <w:r w:rsidRPr="00BD09B7">
              <w:rPr>
                <w:rFonts w:cs="Arial"/>
                <w:sz w:val="18"/>
                <w:szCs w:val="18"/>
              </w:rPr>
              <w:t xml:space="preserve"> and design of site.</w:t>
            </w:r>
          </w:p>
        </w:tc>
        <w:tc>
          <w:tcPr>
            <w:tcW w:w="1983" w:type="dxa"/>
            <w:vAlign w:val="center"/>
          </w:tcPr>
          <w:p w14:paraId="40BB8D79"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762F35B1" w14:textId="77777777" w:rsidR="00DF73C0" w:rsidRPr="00BD09B7" w:rsidRDefault="00DF73C0" w:rsidP="00E67800">
            <w:pPr>
              <w:pStyle w:val="tabletext"/>
              <w:rPr>
                <w:sz w:val="18"/>
                <w:szCs w:val="18"/>
              </w:rPr>
            </w:pPr>
            <w:r w:rsidRPr="00BD09B7">
              <w:rPr>
                <w:sz w:val="18"/>
                <w:szCs w:val="18"/>
              </w:rPr>
              <w:t>Qualitative</w:t>
            </w:r>
          </w:p>
        </w:tc>
      </w:tr>
      <w:tr w:rsidR="00DF73C0" w:rsidRPr="00CB4ED1" w14:paraId="618BA0C2" w14:textId="77777777" w:rsidTr="00654E3F">
        <w:tc>
          <w:tcPr>
            <w:tcW w:w="963" w:type="dxa"/>
            <w:tcBorders>
              <w:right w:val="nil"/>
            </w:tcBorders>
            <w:vAlign w:val="center"/>
          </w:tcPr>
          <w:p w14:paraId="066093E3" w14:textId="77777777" w:rsidR="00DF73C0" w:rsidRPr="00BD09B7" w:rsidRDefault="00DF73C0" w:rsidP="00E67800">
            <w:pPr>
              <w:pStyle w:val="tabletext"/>
              <w:rPr>
                <w:sz w:val="18"/>
                <w:szCs w:val="18"/>
              </w:rPr>
            </w:pPr>
            <w:r w:rsidRPr="00BD09B7">
              <w:rPr>
                <w:sz w:val="18"/>
                <w:szCs w:val="18"/>
              </w:rPr>
              <w:t>UB26</w:t>
            </w:r>
          </w:p>
        </w:tc>
        <w:tc>
          <w:tcPr>
            <w:tcW w:w="2974" w:type="dxa"/>
            <w:tcBorders>
              <w:left w:val="nil"/>
            </w:tcBorders>
            <w:vAlign w:val="center"/>
          </w:tcPr>
          <w:p w14:paraId="421625C2" w14:textId="77777777" w:rsidR="00DF73C0" w:rsidRPr="00BD09B7" w:rsidRDefault="00DF73C0" w:rsidP="00E67800">
            <w:pPr>
              <w:pStyle w:val="tabletext"/>
              <w:rPr>
                <w:sz w:val="18"/>
                <w:szCs w:val="18"/>
              </w:rPr>
            </w:pPr>
            <w:r w:rsidRPr="00BD09B7">
              <w:rPr>
                <w:rFonts w:cs="Arial"/>
                <w:sz w:val="18"/>
                <w:szCs w:val="18"/>
              </w:rPr>
              <w:t>Enables and provides meaningful and adequate spaces for future phases of work that are planned</w:t>
            </w:r>
          </w:p>
        </w:tc>
        <w:tc>
          <w:tcPr>
            <w:tcW w:w="1983" w:type="dxa"/>
            <w:vAlign w:val="center"/>
          </w:tcPr>
          <w:p w14:paraId="66B36974"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0BE16926" w14:textId="77777777" w:rsidR="00DF73C0" w:rsidRPr="00BD09B7" w:rsidRDefault="00DF73C0" w:rsidP="00E67800">
            <w:pPr>
              <w:pStyle w:val="tabletext"/>
              <w:rPr>
                <w:sz w:val="18"/>
                <w:szCs w:val="18"/>
                <w:highlight w:val="yellow"/>
              </w:rPr>
            </w:pPr>
            <w:r w:rsidRPr="00BD09B7">
              <w:rPr>
                <w:sz w:val="18"/>
                <w:szCs w:val="18"/>
              </w:rPr>
              <w:t>Qualitative</w:t>
            </w:r>
          </w:p>
        </w:tc>
      </w:tr>
      <w:tr w:rsidR="00DF73C0" w:rsidRPr="00CB4ED1" w14:paraId="41DE41AB" w14:textId="77777777" w:rsidTr="00654E3F">
        <w:tc>
          <w:tcPr>
            <w:tcW w:w="963" w:type="dxa"/>
            <w:tcBorders>
              <w:right w:val="nil"/>
            </w:tcBorders>
            <w:vAlign w:val="center"/>
          </w:tcPr>
          <w:p w14:paraId="44A31708" w14:textId="77777777" w:rsidR="00DF73C0" w:rsidRPr="00BD09B7" w:rsidRDefault="00DF73C0" w:rsidP="00E67800">
            <w:pPr>
              <w:pStyle w:val="tabletext"/>
              <w:rPr>
                <w:sz w:val="18"/>
                <w:szCs w:val="18"/>
              </w:rPr>
            </w:pPr>
            <w:r w:rsidRPr="00BD09B7">
              <w:rPr>
                <w:sz w:val="18"/>
                <w:szCs w:val="18"/>
              </w:rPr>
              <w:t>UB27</w:t>
            </w:r>
          </w:p>
        </w:tc>
        <w:tc>
          <w:tcPr>
            <w:tcW w:w="2974" w:type="dxa"/>
            <w:tcBorders>
              <w:left w:val="nil"/>
            </w:tcBorders>
            <w:vAlign w:val="center"/>
          </w:tcPr>
          <w:p w14:paraId="3FB75E9B" w14:textId="77777777" w:rsidR="00DF73C0" w:rsidRPr="00BD09B7" w:rsidRDefault="00DF73C0" w:rsidP="00E67800">
            <w:pPr>
              <w:pStyle w:val="tabletext"/>
              <w:rPr>
                <w:sz w:val="18"/>
                <w:szCs w:val="18"/>
              </w:rPr>
            </w:pPr>
            <w:r w:rsidRPr="00BD09B7">
              <w:rPr>
                <w:rFonts w:cs="Arial"/>
                <w:sz w:val="18"/>
                <w:szCs w:val="18"/>
              </w:rPr>
              <w:t>Provides opportunity for future expansion: As a result of the choice of site and design, it allows for expansion to capacity in current services as well as development of future services</w:t>
            </w:r>
          </w:p>
        </w:tc>
        <w:tc>
          <w:tcPr>
            <w:tcW w:w="1983" w:type="dxa"/>
            <w:vAlign w:val="center"/>
          </w:tcPr>
          <w:p w14:paraId="78B52BD5" w14:textId="77777777" w:rsidR="00DF73C0" w:rsidRPr="00BD09B7" w:rsidRDefault="00DF73C0" w:rsidP="00E67800">
            <w:pPr>
              <w:pStyle w:val="tabletext"/>
              <w:jc w:val="center"/>
              <w:rPr>
                <w:sz w:val="18"/>
                <w:szCs w:val="18"/>
              </w:rPr>
            </w:pPr>
            <w:r w:rsidRPr="00BD09B7">
              <w:rPr>
                <w:sz w:val="18"/>
                <w:szCs w:val="18"/>
              </w:rPr>
              <w:t>-</w:t>
            </w:r>
          </w:p>
        </w:tc>
        <w:tc>
          <w:tcPr>
            <w:tcW w:w="3901" w:type="dxa"/>
            <w:vAlign w:val="center"/>
          </w:tcPr>
          <w:p w14:paraId="595F8E2D" w14:textId="77777777" w:rsidR="00DF73C0" w:rsidRPr="00BD09B7" w:rsidRDefault="00DF73C0" w:rsidP="00E67800">
            <w:pPr>
              <w:pStyle w:val="tabletext"/>
              <w:rPr>
                <w:sz w:val="18"/>
                <w:szCs w:val="18"/>
              </w:rPr>
            </w:pPr>
            <w:r w:rsidRPr="00BD09B7">
              <w:rPr>
                <w:sz w:val="18"/>
                <w:szCs w:val="18"/>
              </w:rPr>
              <w:t>Qualitative</w:t>
            </w:r>
          </w:p>
        </w:tc>
      </w:tr>
    </w:tbl>
    <w:p w14:paraId="068A177D" w14:textId="77777777" w:rsidR="00DF73C0" w:rsidRDefault="00DF73C0" w:rsidP="00DF73C0">
      <w:bookmarkStart w:id="190" w:name="_Toc99649066"/>
      <w:bookmarkStart w:id="191" w:name="_Toc158977998"/>
    </w:p>
    <w:p w14:paraId="7AB3CC21" w14:textId="77777777" w:rsidR="00DF73C0" w:rsidRPr="00D757E4" w:rsidRDefault="00DF73C0" w:rsidP="00DF73C0">
      <w:pPr>
        <w:pStyle w:val="Heading2"/>
        <w:snapToGrid w:val="0"/>
      </w:pPr>
      <w:bookmarkStart w:id="192" w:name="_Toc207642228"/>
      <w:bookmarkStart w:id="193" w:name="_Toc213425836"/>
      <w:bookmarkStart w:id="194" w:name="_Toc213865242"/>
      <w:r>
        <w:lastRenderedPageBreak/>
        <w:t>Risk</w:t>
      </w:r>
      <w:r w:rsidRPr="00D757E4">
        <w:t xml:space="preserve"> analysis</w:t>
      </w:r>
      <w:bookmarkEnd w:id="192"/>
      <w:bookmarkEnd w:id="193"/>
      <w:bookmarkEnd w:id="194"/>
    </w:p>
    <w:p w14:paraId="5EAB1741" w14:textId="77777777" w:rsidR="00DF73C0" w:rsidRPr="00D757E4" w:rsidRDefault="00DF73C0" w:rsidP="00DF73C0">
      <w:pPr>
        <w:rPr>
          <w:rFonts w:cs="Arial"/>
        </w:rPr>
      </w:pPr>
      <w:r w:rsidRPr="00D757E4">
        <w:rPr>
          <w:rFonts w:cs="Arial"/>
        </w:rPr>
        <w:t>The risks for each option have been assessed and, as far as possible, quantified and expressed in monetary equivalent terms, including:</w:t>
      </w:r>
    </w:p>
    <w:p w14:paraId="64A80FD3" w14:textId="77777777" w:rsidR="00DF73C0" w:rsidRPr="00D757E4" w:rsidRDefault="00DF73C0" w:rsidP="00DF73C0">
      <w:pPr>
        <w:pStyle w:val="bullets1"/>
        <w:rPr>
          <w:rFonts w:cs="Arial"/>
        </w:rPr>
      </w:pPr>
      <w:r w:rsidRPr="00D757E4">
        <w:rPr>
          <w:rFonts w:cs="Arial"/>
        </w:rPr>
        <w:t>Quantified risk in relation to planning contingency included in capital cost forms</w:t>
      </w:r>
    </w:p>
    <w:p w14:paraId="1E73EB1E" w14:textId="77777777" w:rsidR="00DF73C0" w:rsidRPr="00D757E4" w:rsidRDefault="00DF73C0" w:rsidP="00DF73C0">
      <w:pPr>
        <w:pStyle w:val="bullets1"/>
        <w:rPr>
          <w:rFonts w:cs="Arial"/>
        </w:rPr>
      </w:pPr>
      <w:r w:rsidRPr="00D757E4">
        <w:rPr>
          <w:rFonts w:cs="Arial"/>
        </w:rPr>
        <w:t>Key project risks which have not been accounted for within capital costs.</w:t>
      </w:r>
    </w:p>
    <w:p w14:paraId="600FB317" w14:textId="77777777" w:rsidR="00DF73C0" w:rsidRPr="00D757E4" w:rsidRDefault="00DF73C0" w:rsidP="00DF73C0">
      <w:pPr>
        <w:spacing w:after="0"/>
        <w:rPr>
          <w:rFonts w:cs="Arial"/>
        </w:rPr>
      </w:pPr>
    </w:p>
    <w:p w14:paraId="55566759" w14:textId="77777777" w:rsidR="00DF73C0" w:rsidRPr="00D757E4" w:rsidRDefault="00DF73C0" w:rsidP="00DF73C0">
      <w:pPr>
        <w:rPr>
          <w:rFonts w:cs="Arial"/>
        </w:rPr>
      </w:pPr>
      <w:r w:rsidRPr="00D757E4">
        <w:rPr>
          <w:rFonts w:cs="Arial"/>
        </w:rPr>
        <w:t>Key project risks have been identified which are not already accounted for within capital costs and these include the following:</w:t>
      </w:r>
    </w:p>
    <w:p w14:paraId="6EC7B40B" w14:textId="77777777" w:rsidR="00DF73C0" w:rsidRPr="00D757E4" w:rsidRDefault="00DF73C0" w:rsidP="00DF73C0">
      <w:pPr>
        <w:pStyle w:val="bullets1"/>
      </w:pPr>
      <w:r w:rsidRPr="00D757E4">
        <w:rPr>
          <w:rFonts w:cs="Arial"/>
          <w:b/>
          <w:bCs/>
        </w:rPr>
        <w:t xml:space="preserve">Funding Risk - Unable to secure sufficient capital funding to deliver the project: </w:t>
      </w:r>
      <w:r w:rsidRPr="00D757E4">
        <w:rPr>
          <w:rFonts w:cs="Arial"/>
        </w:rPr>
        <w:t>There is a risk that due to the significant amount of initial capital funding required to deliver the project it may take time to secure this funding which could lead to delays in the programme while alternative routes are explored.</w:t>
      </w:r>
    </w:p>
    <w:p w14:paraId="7E530DB7" w14:textId="77777777" w:rsidR="00DF73C0" w:rsidRPr="00D757E4" w:rsidRDefault="00DF73C0" w:rsidP="00DF73C0">
      <w:pPr>
        <w:pStyle w:val="bullets1"/>
        <w:rPr>
          <w:rFonts w:cs="Arial"/>
        </w:rPr>
      </w:pPr>
      <w:r w:rsidRPr="00D757E4">
        <w:rPr>
          <w:rFonts w:cs="Arial"/>
          <w:b/>
          <w:bCs/>
        </w:rPr>
        <w:t xml:space="preserve">Funding Risk - Unable to secure sufficient revenue funding to deliver the project: </w:t>
      </w:r>
      <w:r w:rsidRPr="00D757E4">
        <w:rPr>
          <w:rFonts w:cs="Arial"/>
        </w:rPr>
        <w:t>There is a risk that due to the significant amount of ongoing revenue funding required to deliver the project it may take time to secure this funding which could lead to delays in the programme while alternative routes are explored.</w:t>
      </w:r>
    </w:p>
    <w:p w14:paraId="53423245" w14:textId="77777777" w:rsidR="00DF73C0" w:rsidRPr="00D757E4" w:rsidRDefault="00DF73C0" w:rsidP="00DF73C0">
      <w:pPr>
        <w:pStyle w:val="bullets1"/>
      </w:pPr>
      <w:r w:rsidRPr="00D757E4">
        <w:rPr>
          <w:rFonts w:cs="Arial"/>
          <w:b/>
          <w:bCs/>
        </w:rPr>
        <w:t xml:space="preserve">Workforce Risks – Recruitment and Retention: </w:t>
      </w:r>
      <w:r w:rsidRPr="00D757E4">
        <w:rPr>
          <w:rFonts w:cs="Arial"/>
        </w:rPr>
        <w:t>There is</w:t>
      </w:r>
      <w:r>
        <w:rPr>
          <w:rFonts w:cs="Arial"/>
        </w:rPr>
        <w:t xml:space="preserve"> a risk </w:t>
      </w:r>
      <w:r w:rsidRPr="00D757E4">
        <w:rPr>
          <w:rFonts w:cs="Arial"/>
        </w:rPr>
        <w:t xml:space="preserve">that it would be difficult to recruit </w:t>
      </w:r>
      <w:proofErr w:type="gramStart"/>
      <w:r w:rsidRPr="00D757E4">
        <w:rPr>
          <w:rFonts w:cs="Arial"/>
        </w:rPr>
        <w:t>sufficient</w:t>
      </w:r>
      <w:proofErr w:type="gramEnd"/>
      <w:r w:rsidRPr="00D757E4">
        <w:rPr>
          <w:rFonts w:cs="Arial"/>
        </w:rPr>
        <w:t xml:space="preserve"> substantive staff</w:t>
      </w:r>
      <w:r>
        <w:rPr>
          <w:rFonts w:cs="Arial"/>
        </w:rPr>
        <w:t>, noting the increase staffing required</w:t>
      </w:r>
      <w:r w:rsidRPr="00D757E4">
        <w:rPr>
          <w:rFonts w:cs="Arial"/>
        </w:rPr>
        <w:t xml:space="preserve">, which could lead to a reliance on unplanned, expensive temporary and locum staff leading to increased staffing costs. </w:t>
      </w:r>
    </w:p>
    <w:p w14:paraId="2D8F6698" w14:textId="77777777" w:rsidR="00DF73C0" w:rsidRPr="00D757E4" w:rsidRDefault="00DF73C0" w:rsidP="00DF73C0">
      <w:pPr>
        <w:pStyle w:val="NoSpacing"/>
      </w:pPr>
    </w:p>
    <w:p w14:paraId="715FB3C7" w14:textId="77777777" w:rsidR="00DF73C0" w:rsidRDefault="00DF73C0" w:rsidP="00DF73C0">
      <w:r w:rsidRPr="00D757E4">
        <w:t xml:space="preserve">These risks have been quantified by calculating an ‘expected value’. This provides a single value for the expected impact of all risks. It is calculated by multiplying the likelihood of the risk occurring (probability) by the cost of addressing the risk (impact) and summing the results for all risks and outcomes. </w:t>
      </w:r>
    </w:p>
    <w:p w14:paraId="7F80BBF8" w14:textId="77777777" w:rsidR="00DF73C0" w:rsidRPr="00D757E4" w:rsidRDefault="00DF73C0" w:rsidP="00DF73C0">
      <w:r>
        <w:t>Please note these risks will be reviewed and refined at FBC stage to ensure they have been accurately captured.</w:t>
      </w:r>
    </w:p>
    <w:p w14:paraId="08B821D7" w14:textId="11BE9748" w:rsidR="00DF73C0" w:rsidRPr="00D757E4" w:rsidRDefault="00DF73C0" w:rsidP="00DF73C0">
      <w:pPr>
        <w:pStyle w:val="Caption"/>
        <w:rPr>
          <w:rFonts w:cs="Arial"/>
          <w:noProof w:val="0"/>
        </w:rPr>
      </w:pPr>
      <w:bookmarkStart w:id="195" w:name="_Toc92207966"/>
      <w:bookmarkStart w:id="196" w:name="_Toc189758430"/>
      <w:bookmarkStart w:id="197" w:name="_Toc195633874"/>
      <w:bookmarkStart w:id="198" w:name="_Toc207642315"/>
      <w:bookmarkStart w:id="199" w:name="_Toc213425936"/>
      <w:bookmarkStart w:id="200" w:name="_Toc213865327"/>
      <w:r w:rsidRPr="00D757E4">
        <w:rPr>
          <w:rFonts w:cs="Arial"/>
          <w:noProof w:val="0"/>
        </w:rPr>
        <w:t xml:space="preserve">Figure </w:t>
      </w:r>
      <w:r w:rsidR="009C05F7">
        <w:rPr>
          <w:rFonts w:cs="Arial"/>
          <w:noProof w:val="0"/>
        </w:rPr>
        <w:fldChar w:fldCharType="begin"/>
      </w:r>
      <w:r w:rsidR="009C05F7">
        <w:rPr>
          <w:rFonts w:cs="Arial"/>
          <w:noProof w:val="0"/>
        </w:rPr>
        <w:instrText xml:space="preserve"> SEQ Figure \* ARABIC </w:instrText>
      </w:r>
      <w:r w:rsidR="009C05F7">
        <w:rPr>
          <w:rFonts w:cs="Arial"/>
          <w:noProof w:val="0"/>
        </w:rPr>
        <w:fldChar w:fldCharType="separate"/>
      </w:r>
      <w:r w:rsidR="00376786">
        <w:rPr>
          <w:rFonts w:cs="Arial"/>
        </w:rPr>
        <w:t>14</w:t>
      </w:r>
      <w:r w:rsidR="009C05F7">
        <w:rPr>
          <w:rFonts w:cs="Arial"/>
          <w:noProof w:val="0"/>
        </w:rPr>
        <w:fldChar w:fldCharType="end"/>
      </w:r>
      <w:r w:rsidRPr="00D757E4">
        <w:rPr>
          <w:rFonts w:cs="Arial"/>
          <w:noProof w:val="0"/>
        </w:rPr>
        <w:t xml:space="preserve"> - Risk quantification approach using single-point probability analysis</w:t>
      </w:r>
      <w:bookmarkEnd w:id="195"/>
      <w:bookmarkEnd w:id="196"/>
      <w:bookmarkEnd w:id="197"/>
      <w:bookmarkEnd w:id="198"/>
      <w:bookmarkEnd w:id="199"/>
      <w:bookmarkEnd w:id="200"/>
    </w:p>
    <w:p w14:paraId="1AF6FB9E" w14:textId="77777777" w:rsidR="00DF73C0" w:rsidRPr="00D757E4" w:rsidRDefault="00DF73C0" w:rsidP="00DF73C0">
      <w:pPr>
        <w:rPr>
          <w:rFonts w:cs="Arial"/>
        </w:rPr>
      </w:pPr>
      <w:r w:rsidRPr="00D757E4">
        <w:rPr>
          <w:rFonts w:cs="Arial"/>
          <w:noProof/>
        </w:rPr>
        <w:drawing>
          <wp:inline distT="0" distB="0" distL="0" distR="0" wp14:anchorId="37E3B60D" wp14:editId="35CBD343">
            <wp:extent cx="6120130" cy="713105"/>
            <wp:effectExtent l="0" t="0" r="0" b="0"/>
            <wp:docPr id="1634157938" name="Picture 16341579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57">
                      <a:extLst>
                        <a:ext uri="{28A0092B-C50C-407E-A947-70E740481C1C}">
                          <a14:useLocalDpi xmlns:a14="http://schemas.microsoft.com/office/drawing/2010/main" val="0"/>
                        </a:ext>
                      </a:extLst>
                    </a:blip>
                    <a:stretch>
                      <a:fillRect/>
                    </a:stretch>
                  </pic:blipFill>
                  <pic:spPr>
                    <a:xfrm>
                      <a:off x="0" y="0"/>
                      <a:ext cx="6120130" cy="713105"/>
                    </a:xfrm>
                    <a:prstGeom prst="rect">
                      <a:avLst/>
                    </a:prstGeom>
                  </pic:spPr>
                </pic:pic>
              </a:graphicData>
            </a:graphic>
          </wp:inline>
        </w:drawing>
      </w:r>
    </w:p>
    <w:p w14:paraId="101F8CF5" w14:textId="77777777" w:rsidR="00DF73C0" w:rsidRDefault="00DF73C0" w:rsidP="00DF73C0">
      <w:pPr>
        <w:spacing w:before="240"/>
        <w:jc w:val="both"/>
        <w:rPr>
          <w:rFonts w:cs="Arial"/>
        </w:rPr>
      </w:pPr>
      <w:r w:rsidRPr="00D757E4">
        <w:rPr>
          <w:rFonts w:cs="Arial"/>
        </w:rPr>
        <w:t xml:space="preserve">The assumptions included to assess the impact and probability of these risks are outlined in the table below. </w:t>
      </w:r>
    </w:p>
    <w:p w14:paraId="256F3B18" w14:textId="3100DD72" w:rsidR="00DF73C0" w:rsidRDefault="00DF73C0" w:rsidP="00DF73C0">
      <w:pPr>
        <w:pStyle w:val="Caption"/>
      </w:pPr>
      <w:bookmarkStart w:id="201" w:name="_Toc213425904"/>
      <w:bookmarkStart w:id="202" w:name="_Toc213865298"/>
      <w:r w:rsidRPr="00D757E4">
        <w:t xml:space="preserve">Table </w:t>
      </w:r>
      <w:r w:rsidRPr="00D757E4">
        <w:fldChar w:fldCharType="begin"/>
      </w:r>
      <w:r w:rsidRPr="00D757E4">
        <w:instrText xml:space="preserve"> SEQ Table \* ARABIC </w:instrText>
      </w:r>
      <w:r w:rsidRPr="00D757E4">
        <w:fldChar w:fldCharType="separate"/>
      </w:r>
      <w:r w:rsidR="004A33ED">
        <w:t>18</w:t>
      </w:r>
      <w:r w:rsidRPr="00D757E4">
        <w:fldChar w:fldCharType="end"/>
      </w:r>
      <w:r w:rsidRPr="00D757E4">
        <w:t xml:space="preserve"> - Risk assumptions</w:t>
      </w:r>
      <w:bookmarkEnd w:id="201"/>
      <w:bookmarkEnd w:id="202"/>
    </w:p>
    <w:tbl>
      <w:tblPr>
        <w:tblW w:w="5100" w:type="pct"/>
        <w:tblInd w:w="-118" w:type="dxa"/>
        <w:tblLayout w:type="fixed"/>
        <w:tblLook w:val="04A0" w:firstRow="1" w:lastRow="0" w:firstColumn="1" w:lastColumn="0" w:noHBand="0" w:noVBand="1"/>
      </w:tblPr>
      <w:tblGrid>
        <w:gridCol w:w="1409"/>
        <w:gridCol w:w="3891"/>
        <w:gridCol w:w="4515"/>
      </w:tblGrid>
      <w:tr w:rsidR="00DF73C0" w:rsidRPr="00D757E4" w14:paraId="1AE87608" w14:textId="77777777" w:rsidTr="00E67800">
        <w:trPr>
          <w:tblHeader/>
        </w:trPr>
        <w:tc>
          <w:tcPr>
            <w:tcW w:w="718" w:type="pct"/>
            <w:tcBorders>
              <w:top w:val="single" w:sz="8" w:space="0" w:color="BFBFBF"/>
              <w:left w:val="single" w:sz="8" w:space="0" w:color="BFBFBF"/>
              <w:bottom w:val="single" w:sz="12" w:space="0" w:color="5C2A8A"/>
              <w:right w:val="single" w:sz="4" w:space="0" w:color="A6A6A6" w:themeColor="accent6" w:themeShade="A6"/>
            </w:tcBorders>
            <w:shd w:val="clear" w:color="auto" w:fill="2C4295"/>
            <w:vAlign w:val="center"/>
            <w:hideMark/>
          </w:tcPr>
          <w:p w14:paraId="373AC204" w14:textId="77777777" w:rsidR="00DF73C0" w:rsidRPr="00D757E4" w:rsidRDefault="00DF73C0" w:rsidP="00E67800">
            <w:pPr>
              <w:spacing w:before="50" w:after="50" w:line="228" w:lineRule="auto"/>
              <w:rPr>
                <w:rFonts w:eastAsia="Times New Roman" w:cs="Arial"/>
                <w:b/>
                <w:bCs/>
                <w:color w:val="FFFFFF" w:themeColor="background1"/>
                <w:sz w:val="20"/>
                <w:szCs w:val="20"/>
                <w:lang w:eastAsia="en-GB"/>
              </w:rPr>
            </w:pPr>
            <w:r w:rsidRPr="00D757E4">
              <w:rPr>
                <w:rFonts w:eastAsia="Times New Roman" w:cs="Arial"/>
                <w:b/>
                <w:bCs/>
                <w:color w:val="FFFFFF" w:themeColor="background1"/>
                <w:sz w:val="20"/>
                <w:szCs w:val="20"/>
                <w:lang w:eastAsia="en-GB"/>
              </w:rPr>
              <w:t>Element</w:t>
            </w:r>
          </w:p>
        </w:tc>
        <w:tc>
          <w:tcPr>
            <w:tcW w:w="1982" w:type="pct"/>
            <w:tcBorders>
              <w:top w:val="single" w:sz="4" w:space="0" w:color="A6A6A6" w:themeColor="accent6" w:themeShade="A6"/>
              <w:left w:val="single" w:sz="4" w:space="0" w:color="A6A6A6" w:themeColor="accent6" w:themeShade="A6"/>
              <w:bottom w:val="single" w:sz="12" w:space="0" w:color="5C2A8A"/>
              <w:right w:val="single" w:sz="4" w:space="0" w:color="A6A6A6" w:themeColor="accent6" w:themeShade="A6"/>
            </w:tcBorders>
            <w:shd w:val="clear" w:color="auto" w:fill="2C4295"/>
            <w:vAlign w:val="center"/>
            <w:hideMark/>
          </w:tcPr>
          <w:p w14:paraId="6431D311" w14:textId="77777777" w:rsidR="00DF73C0" w:rsidRPr="00D757E4" w:rsidRDefault="00DF73C0" w:rsidP="00E67800">
            <w:pPr>
              <w:spacing w:before="50" w:after="50" w:line="228" w:lineRule="auto"/>
              <w:jc w:val="center"/>
              <w:rPr>
                <w:rFonts w:eastAsia="Times New Roman" w:cs="Arial"/>
                <w:b/>
                <w:bCs/>
                <w:color w:val="FFFFFF" w:themeColor="background1"/>
                <w:sz w:val="20"/>
                <w:szCs w:val="20"/>
                <w:lang w:eastAsia="en-GB"/>
              </w:rPr>
            </w:pPr>
            <w:r w:rsidRPr="00D757E4">
              <w:rPr>
                <w:b/>
                <w:bCs/>
                <w:color w:val="FFFFFF" w:themeColor="background1"/>
                <w:sz w:val="18"/>
                <w:szCs w:val="20"/>
              </w:rPr>
              <w:t xml:space="preserve">Option 0 - BAU  </w:t>
            </w:r>
          </w:p>
        </w:tc>
        <w:tc>
          <w:tcPr>
            <w:tcW w:w="2300" w:type="pct"/>
            <w:tcBorders>
              <w:top w:val="single" w:sz="4" w:space="0" w:color="A6A6A6" w:themeColor="accent6" w:themeShade="A6"/>
              <w:left w:val="single" w:sz="4" w:space="0" w:color="A6A6A6" w:themeColor="accent6" w:themeShade="A6"/>
              <w:bottom w:val="single" w:sz="12" w:space="0" w:color="5C2A8A"/>
              <w:right w:val="single" w:sz="4" w:space="0" w:color="A6A6A6" w:themeColor="accent6" w:themeShade="A6"/>
            </w:tcBorders>
            <w:shd w:val="clear" w:color="auto" w:fill="2C4295"/>
            <w:vAlign w:val="center"/>
            <w:hideMark/>
          </w:tcPr>
          <w:p w14:paraId="667B152E" w14:textId="77777777" w:rsidR="00DF73C0" w:rsidRPr="00D757E4" w:rsidRDefault="00DF73C0" w:rsidP="00E67800">
            <w:pPr>
              <w:spacing w:before="50" w:after="50" w:line="228" w:lineRule="auto"/>
              <w:jc w:val="center"/>
              <w:rPr>
                <w:rFonts w:eastAsia="Times New Roman" w:cs="Arial"/>
                <w:b/>
                <w:bCs/>
                <w:color w:val="FFFFFF" w:themeColor="background1"/>
                <w:sz w:val="20"/>
                <w:szCs w:val="20"/>
                <w:lang w:eastAsia="en-GB"/>
              </w:rPr>
            </w:pPr>
            <w:r w:rsidRPr="00D757E4">
              <w:rPr>
                <w:b/>
                <w:bCs/>
                <w:color w:val="FFFFFF" w:themeColor="background1"/>
                <w:sz w:val="18"/>
                <w:szCs w:val="20"/>
              </w:rPr>
              <w:t>Preferred Option - Traditional capital build + ISP equip and deliver services via managed service contract</w:t>
            </w:r>
          </w:p>
        </w:tc>
      </w:tr>
      <w:tr w:rsidR="00DF73C0" w:rsidRPr="00D757E4" w14:paraId="4A89C2C8" w14:textId="77777777" w:rsidTr="00E67800">
        <w:tc>
          <w:tcPr>
            <w:tcW w:w="5000" w:type="pct"/>
            <w:gridSpan w:val="3"/>
            <w:tcBorders>
              <w:top w:val="single" w:sz="12" w:space="0" w:color="5C2A8A"/>
              <w:left w:val="single" w:sz="4" w:space="0" w:color="A6A6A6" w:themeColor="accent6" w:themeShade="A6"/>
              <w:bottom w:val="single" w:sz="4" w:space="0" w:color="A6A6A6" w:themeColor="accent6" w:themeShade="A6"/>
              <w:right w:val="single" w:sz="4" w:space="0" w:color="A6A6A6" w:themeColor="accent6" w:themeShade="A6"/>
            </w:tcBorders>
            <w:shd w:val="clear" w:color="auto" w:fill="D1D6E5"/>
            <w:vAlign w:val="center"/>
            <w:hideMark/>
          </w:tcPr>
          <w:p w14:paraId="6304CF18" w14:textId="77777777" w:rsidR="00DF73C0" w:rsidRPr="00D757E4" w:rsidRDefault="00DF73C0" w:rsidP="00E67800">
            <w:pPr>
              <w:keepNext/>
              <w:spacing w:before="50" w:after="50" w:line="228" w:lineRule="auto"/>
              <w:rPr>
                <w:rFonts w:eastAsia="Times New Roman" w:cs="Arial"/>
                <w:b/>
                <w:bCs/>
                <w:color w:val="000000"/>
                <w:sz w:val="20"/>
                <w:szCs w:val="20"/>
                <w:lang w:eastAsia="en-GB"/>
              </w:rPr>
            </w:pPr>
            <w:r w:rsidRPr="00D757E4">
              <w:rPr>
                <w:rFonts w:eastAsia="Times New Roman" w:cs="Arial"/>
                <w:b/>
                <w:bCs/>
                <w:color w:val="000000"/>
                <w:sz w:val="20"/>
                <w:szCs w:val="20"/>
                <w:lang w:eastAsia="en-GB"/>
              </w:rPr>
              <w:t>K1 – Funding Risk: Capital Funding</w:t>
            </w:r>
          </w:p>
        </w:tc>
      </w:tr>
      <w:tr w:rsidR="00DF73C0" w:rsidRPr="00D757E4" w14:paraId="03545E7A"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22023E30"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sz w:val="18"/>
                <w:szCs w:val="18"/>
                <w:lang w:eastAsia="en-GB"/>
              </w:rPr>
              <w:t>Risk</w:t>
            </w:r>
          </w:p>
        </w:tc>
        <w:tc>
          <w:tcPr>
            <w:tcW w:w="4282" w:type="pct"/>
            <w:gridSpan w:val="2"/>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4B186E82"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color w:val="000000"/>
                <w:sz w:val="18"/>
                <w:szCs w:val="18"/>
                <w:lang w:eastAsia="en-GB"/>
              </w:rPr>
              <w:t xml:space="preserve">Unable to secure </w:t>
            </w:r>
            <w:proofErr w:type="gramStart"/>
            <w:r w:rsidRPr="00D757E4">
              <w:rPr>
                <w:rFonts w:eastAsia="Times New Roman" w:cs="Arial"/>
                <w:b/>
                <w:bCs/>
                <w:color w:val="000000"/>
                <w:sz w:val="18"/>
                <w:szCs w:val="18"/>
                <w:lang w:eastAsia="en-GB"/>
              </w:rPr>
              <w:t>sufficient</w:t>
            </w:r>
            <w:proofErr w:type="gramEnd"/>
            <w:r w:rsidRPr="00D757E4">
              <w:rPr>
                <w:rFonts w:eastAsia="Times New Roman" w:cs="Arial"/>
                <w:b/>
                <w:bCs/>
                <w:color w:val="000000"/>
                <w:sz w:val="18"/>
                <w:szCs w:val="18"/>
                <w:lang w:eastAsia="en-GB"/>
              </w:rPr>
              <w:t xml:space="preserve"> capital funding to deliver the project</w:t>
            </w:r>
          </w:p>
        </w:tc>
      </w:tr>
      <w:tr w:rsidR="00DF73C0" w:rsidRPr="00D757E4" w14:paraId="42B03674"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56B91B5A"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sz w:val="18"/>
                <w:szCs w:val="18"/>
                <w:lang w:eastAsia="en-GB"/>
              </w:rPr>
              <w:t>Consequence</w:t>
            </w:r>
          </w:p>
        </w:tc>
        <w:tc>
          <w:tcPr>
            <w:tcW w:w="4282" w:type="pct"/>
            <w:gridSpan w:val="2"/>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165B2BE9"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sz w:val="18"/>
                <w:szCs w:val="18"/>
                <w:lang w:eastAsia="en-GB"/>
              </w:rPr>
              <w:t>Programme extended to allow time to explore alternative routes</w:t>
            </w:r>
          </w:p>
        </w:tc>
      </w:tr>
      <w:tr w:rsidR="00DF73C0" w:rsidRPr="00D757E4" w14:paraId="4842CE2A"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7D25CB71" w14:textId="77777777" w:rsidR="00DF73C0" w:rsidRPr="00D757E4" w:rsidRDefault="00DF73C0" w:rsidP="00E67800">
            <w:pPr>
              <w:spacing w:before="50" w:after="50" w:line="228" w:lineRule="auto"/>
              <w:rPr>
                <w:rFonts w:eastAsia="Times New Roman" w:cs="Arial"/>
                <w:sz w:val="18"/>
                <w:szCs w:val="18"/>
                <w:lang w:eastAsia="en-GB"/>
              </w:rPr>
            </w:pPr>
            <w:r w:rsidRPr="00D757E4">
              <w:rPr>
                <w:rFonts w:eastAsia="Times New Roman" w:cs="Arial"/>
                <w:sz w:val="18"/>
                <w:szCs w:val="18"/>
                <w:lang w:eastAsia="en-GB"/>
              </w:rPr>
              <w:t>Impact per year</w:t>
            </w:r>
          </w:p>
        </w:tc>
        <w:tc>
          <w:tcPr>
            <w:tcW w:w="1982" w:type="pct"/>
            <w:vMerge w:val="restart"/>
            <w:tcBorders>
              <w:top w:val="single" w:sz="4" w:space="0" w:color="A6A6A6" w:themeColor="accent6" w:themeShade="A6"/>
              <w:left w:val="single" w:sz="4" w:space="0" w:color="A6A6A6" w:themeColor="accent6" w:themeShade="A6"/>
              <w:right w:val="single" w:sz="4" w:space="0" w:color="A6A6A6" w:themeColor="accent6" w:themeShade="A6"/>
            </w:tcBorders>
            <w:vAlign w:val="center"/>
          </w:tcPr>
          <w:p w14:paraId="2DFA9CF2" w14:textId="77777777" w:rsidR="00DF73C0" w:rsidRPr="00D757E4" w:rsidRDefault="00DF73C0" w:rsidP="00E67800">
            <w:pPr>
              <w:spacing w:before="50" w:after="50" w:line="228" w:lineRule="auto"/>
              <w:jc w:val="center"/>
              <w:rPr>
                <w:rFonts w:eastAsia="Times New Roman" w:cs="Arial"/>
                <w:sz w:val="18"/>
                <w:szCs w:val="18"/>
                <w:lang w:eastAsia="en-GB"/>
              </w:rPr>
            </w:pPr>
          </w:p>
        </w:tc>
        <w:tc>
          <w:tcPr>
            <w:tcW w:w="230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0263C32A" w14:textId="77777777" w:rsidR="00DF73C0" w:rsidRPr="00D757E4" w:rsidRDefault="00DF73C0" w:rsidP="00E67800">
            <w:pPr>
              <w:spacing w:before="50" w:after="50" w:line="228" w:lineRule="auto"/>
              <w:jc w:val="center"/>
              <w:rPr>
                <w:rFonts w:eastAsia="Times New Roman" w:cs="Arial"/>
                <w:sz w:val="18"/>
                <w:szCs w:val="18"/>
                <w:lang w:eastAsia="en-GB"/>
              </w:rPr>
            </w:pPr>
            <w:r w:rsidRPr="00D757E4">
              <w:rPr>
                <w:rFonts w:eastAsia="Times New Roman" w:cs="Arial"/>
                <w:sz w:val="18"/>
                <w:szCs w:val="18"/>
                <w:lang w:eastAsia="en-GB"/>
              </w:rPr>
              <w:t>Assume a 12-month extension at a run rate of £400k per week, which equals £20.8m</w:t>
            </w:r>
          </w:p>
        </w:tc>
      </w:tr>
      <w:tr w:rsidR="00DF73C0" w:rsidRPr="00D757E4" w14:paraId="595F7559"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45EC0C08" w14:textId="77777777" w:rsidR="00DF73C0" w:rsidRPr="00D757E4" w:rsidRDefault="00DF73C0" w:rsidP="00E67800">
            <w:pPr>
              <w:spacing w:before="50" w:after="50" w:line="228" w:lineRule="auto"/>
              <w:rPr>
                <w:rFonts w:eastAsia="Times New Roman" w:cs="Arial"/>
                <w:sz w:val="18"/>
                <w:szCs w:val="18"/>
                <w:lang w:eastAsia="en-GB"/>
              </w:rPr>
            </w:pPr>
            <w:r w:rsidRPr="00D757E4">
              <w:rPr>
                <w:rFonts w:eastAsia="Times New Roman" w:cs="Arial"/>
                <w:sz w:val="18"/>
                <w:szCs w:val="18"/>
                <w:lang w:eastAsia="en-GB"/>
              </w:rPr>
              <w:t>Probability</w:t>
            </w:r>
          </w:p>
        </w:tc>
        <w:tc>
          <w:tcPr>
            <w:tcW w:w="1982" w:type="pct"/>
            <w:vMerge/>
            <w:tcBorders>
              <w:left w:val="single" w:sz="4" w:space="0" w:color="A6A6A6" w:themeColor="accent6" w:themeShade="A6"/>
              <w:right w:val="single" w:sz="4" w:space="0" w:color="A6A6A6" w:themeColor="accent6" w:themeShade="A6"/>
            </w:tcBorders>
            <w:vAlign w:val="center"/>
          </w:tcPr>
          <w:p w14:paraId="0B967988" w14:textId="77777777" w:rsidR="00DF73C0" w:rsidRPr="00D757E4" w:rsidRDefault="00DF73C0" w:rsidP="00E67800">
            <w:pPr>
              <w:spacing w:before="50" w:after="50" w:line="228" w:lineRule="auto"/>
              <w:jc w:val="center"/>
              <w:rPr>
                <w:rFonts w:eastAsia="Times New Roman" w:cs="Arial"/>
                <w:sz w:val="18"/>
                <w:szCs w:val="18"/>
                <w:lang w:eastAsia="en-GB"/>
              </w:rPr>
            </w:pPr>
          </w:p>
        </w:tc>
        <w:tc>
          <w:tcPr>
            <w:tcW w:w="230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26C11C17" w14:textId="77777777" w:rsidR="00DF73C0" w:rsidRPr="00D757E4" w:rsidRDefault="00DF73C0" w:rsidP="00E67800">
            <w:pPr>
              <w:spacing w:before="50" w:after="50" w:line="228" w:lineRule="auto"/>
              <w:jc w:val="center"/>
              <w:rPr>
                <w:rFonts w:eastAsia="Times New Roman" w:cs="Arial"/>
                <w:sz w:val="18"/>
                <w:szCs w:val="18"/>
                <w:lang w:eastAsia="en-GB"/>
              </w:rPr>
            </w:pPr>
            <w:r w:rsidRPr="00D757E4">
              <w:rPr>
                <w:rFonts w:eastAsia="Times New Roman" w:cs="Arial"/>
                <w:sz w:val="18"/>
                <w:szCs w:val="18"/>
                <w:lang w:eastAsia="en-GB"/>
              </w:rPr>
              <w:t>5%</w:t>
            </w:r>
          </w:p>
        </w:tc>
      </w:tr>
      <w:tr w:rsidR="00DF73C0" w:rsidRPr="00D757E4" w14:paraId="5401957F"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3E25ACC0" w14:textId="77777777" w:rsidR="00DF73C0" w:rsidRPr="00D757E4" w:rsidRDefault="00DF73C0" w:rsidP="00E67800">
            <w:pPr>
              <w:spacing w:before="50" w:after="50" w:line="228" w:lineRule="auto"/>
              <w:rPr>
                <w:rFonts w:eastAsia="Times New Roman" w:cs="Arial"/>
                <w:sz w:val="18"/>
                <w:szCs w:val="18"/>
                <w:lang w:eastAsia="en-GB"/>
              </w:rPr>
            </w:pPr>
            <w:r w:rsidRPr="00D757E4">
              <w:rPr>
                <w:rFonts w:eastAsia="Times New Roman" w:cs="Arial"/>
                <w:sz w:val="18"/>
                <w:szCs w:val="18"/>
                <w:lang w:eastAsia="en-GB"/>
              </w:rPr>
              <w:t>Timescales</w:t>
            </w:r>
          </w:p>
        </w:tc>
        <w:tc>
          <w:tcPr>
            <w:tcW w:w="1982" w:type="pct"/>
            <w:vMerge/>
            <w:tcBorders>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46611E49" w14:textId="77777777" w:rsidR="00DF73C0" w:rsidRPr="00D757E4" w:rsidRDefault="00DF73C0" w:rsidP="00E67800">
            <w:pPr>
              <w:spacing w:before="50" w:after="50" w:line="228" w:lineRule="auto"/>
              <w:jc w:val="center"/>
              <w:rPr>
                <w:rFonts w:eastAsia="Times New Roman" w:cs="Arial"/>
                <w:sz w:val="18"/>
                <w:szCs w:val="18"/>
                <w:lang w:eastAsia="en-GB"/>
              </w:rPr>
            </w:pPr>
          </w:p>
        </w:tc>
        <w:tc>
          <w:tcPr>
            <w:tcW w:w="230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16D3BCE0" w14:textId="77777777" w:rsidR="00DF73C0" w:rsidRPr="00D757E4" w:rsidRDefault="00DF73C0" w:rsidP="00E67800">
            <w:pPr>
              <w:spacing w:before="50" w:after="50" w:line="228" w:lineRule="auto"/>
              <w:jc w:val="center"/>
              <w:rPr>
                <w:rFonts w:eastAsia="Times New Roman" w:cs="Arial"/>
                <w:sz w:val="18"/>
                <w:szCs w:val="18"/>
                <w:lang w:eastAsia="en-GB"/>
              </w:rPr>
            </w:pPr>
            <w:r w:rsidRPr="00D757E4">
              <w:rPr>
                <w:rFonts w:eastAsia="Times New Roman" w:cs="Arial"/>
                <w:sz w:val="18"/>
                <w:szCs w:val="18"/>
                <w:lang w:eastAsia="en-GB"/>
              </w:rPr>
              <w:t>Year 0</w:t>
            </w:r>
          </w:p>
        </w:tc>
      </w:tr>
      <w:tr w:rsidR="00DF73C0" w:rsidRPr="00D757E4" w14:paraId="6A176FB3" w14:textId="77777777" w:rsidTr="00E67800">
        <w:tc>
          <w:tcPr>
            <w:tcW w:w="718" w:type="pct"/>
            <w:tcBorders>
              <w:top w:val="single" w:sz="4" w:space="0" w:color="A6A6A6" w:themeColor="accent6" w:themeShade="A6"/>
              <w:left w:val="single" w:sz="4" w:space="0" w:color="A6A6A6" w:themeColor="accent6" w:themeShade="A6"/>
              <w:bottom w:val="single" w:sz="12" w:space="0" w:color="5C2A8A"/>
              <w:right w:val="single" w:sz="4" w:space="0" w:color="A6A6A6" w:themeColor="accent6" w:themeShade="A6"/>
            </w:tcBorders>
            <w:shd w:val="clear" w:color="000000" w:fill="F2F2F2"/>
            <w:vAlign w:val="center"/>
            <w:hideMark/>
          </w:tcPr>
          <w:p w14:paraId="5BD104D9"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sz w:val="18"/>
                <w:szCs w:val="18"/>
                <w:lang w:eastAsia="en-GB"/>
              </w:rPr>
              <w:t>Total Risk Value £’000</w:t>
            </w:r>
          </w:p>
        </w:tc>
        <w:tc>
          <w:tcPr>
            <w:tcW w:w="1982" w:type="pct"/>
            <w:tcBorders>
              <w:top w:val="single" w:sz="4" w:space="0" w:color="A6A6A6" w:themeColor="accent6" w:themeShade="A6"/>
              <w:left w:val="single" w:sz="4" w:space="0" w:color="A6A6A6" w:themeColor="accent6" w:themeShade="A6"/>
              <w:bottom w:val="single" w:sz="12" w:space="0" w:color="5C2A8A"/>
              <w:right w:val="single" w:sz="4" w:space="0" w:color="A6A6A6" w:themeColor="accent6" w:themeShade="A6"/>
            </w:tcBorders>
            <w:shd w:val="clear" w:color="000000" w:fill="F2F2F2"/>
            <w:vAlign w:val="center"/>
          </w:tcPr>
          <w:p w14:paraId="7CB3DF41" w14:textId="77777777" w:rsidR="00DF73C0" w:rsidRPr="00D757E4" w:rsidRDefault="00DF73C0" w:rsidP="00E67800">
            <w:pPr>
              <w:spacing w:before="50" w:after="50" w:line="228" w:lineRule="auto"/>
              <w:jc w:val="center"/>
              <w:rPr>
                <w:rFonts w:eastAsia="Times New Roman" w:cs="Arial"/>
                <w:b/>
                <w:bCs/>
                <w:sz w:val="18"/>
                <w:szCs w:val="18"/>
                <w:lang w:eastAsia="en-GB"/>
              </w:rPr>
            </w:pPr>
            <w:r w:rsidRPr="00D757E4">
              <w:rPr>
                <w:rFonts w:eastAsia="Times New Roman" w:cs="Arial"/>
                <w:b/>
                <w:bCs/>
                <w:sz w:val="18"/>
                <w:szCs w:val="18"/>
                <w:lang w:eastAsia="en-GB"/>
              </w:rPr>
              <w:t>Does Not Apply</w:t>
            </w:r>
          </w:p>
        </w:tc>
        <w:tc>
          <w:tcPr>
            <w:tcW w:w="2300" w:type="pct"/>
            <w:tcBorders>
              <w:top w:val="single" w:sz="4" w:space="0" w:color="A6A6A6" w:themeColor="accent6" w:themeShade="A6"/>
              <w:left w:val="single" w:sz="4" w:space="0" w:color="A6A6A6" w:themeColor="accent6" w:themeShade="A6"/>
              <w:bottom w:val="single" w:sz="12" w:space="0" w:color="5C2A8A"/>
              <w:right w:val="single" w:sz="4" w:space="0" w:color="A6A6A6" w:themeColor="accent6" w:themeShade="A6"/>
            </w:tcBorders>
            <w:shd w:val="clear" w:color="000000" w:fill="F2F2F2"/>
            <w:vAlign w:val="center"/>
          </w:tcPr>
          <w:p w14:paraId="1B88CC6F" w14:textId="77777777" w:rsidR="00DF73C0" w:rsidRPr="00D757E4" w:rsidRDefault="00DF73C0" w:rsidP="00E67800">
            <w:pPr>
              <w:spacing w:before="50" w:after="50" w:line="228" w:lineRule="auto"/>
              <w:jc w:val="center"/>
              <w:rPr>
                <w:rFonts w:eastAsia="Times New Roman" w:cs="Arial"/>
                <w:b/>
                <w:bCs/>
                <w:sz w:val="18"/>
                <w:szCs w:val="18"/>
                <w:lang w:eastAsia="en-GB"/>
              </w:rPr>
            </w:pPr>
            <w:r w:rsidRPr="00D757E4">
              <w:rPr>
                <w:rFonts w:eastAsia="Times New Roman" w:cs="Arial"/>
                <w:b/>
                <w:bCs/>
                <w:sz w:val="18"/>
                <w:szCs w:val="18"/>
                <w:lang w:eastAsia="en-GB"/>
              </w:rPr>
              <w:t>1,040</w:t>
            </w:r>
          </w:p>
        </w:tc>
      </w:tr>
      <w:tr w:rsidR="00DF73C0" w:rsidRPr="00D757E4" w14:paraId="4A80AAE4" w14:textId="77777777" w:rsidTr="00E67800">
        <w:tc>
          <w:tcPr>
            <w:tcW w:w="5000" w:type="pct"/>
            <w:gridSpan w:val="3"/>
            <w:tcBorders>
              <w:top w:val="single" w:sz="12" w:space="0" w:color="5C2A8A"/>
              <w:left w:val="single" w:sz="4" w:space="0" w:color="A6A6A6" w:themeColor="accent6" w:themeShade="A6"/>
              <w:bottom w:val="single" w:sz="4" w:space="0" w:color="A6A6A6" w:themeColor="accent6" w:themeShade="A6"/>
              <w:right w:val="single" w:sz="4" w:space="0" w:color="A6A6A6" w:themeColor="accent6" w:themeShade="A6"/>
            </w:tcBorders>
            <w:shd w:val="clear" w:color="auto" w:fill="D1D6E5"/>
            <w:vAlign w:val="center"/>
            <w:hideMark/>
          </w:tcPr>
          <w:p w14:paraId="20251AC5" w14:textId="77777777" w:rsidR="00DF73C0" w:rsidRPr="00D757E4" w:rsidRDefault="00DF73C0" w:rsidP="00E67800">
            <w:pPr>
              <w:keepNext/>
              <w:spacing w:before="50" w:after="50" w:line="228" w:lineRule="auto"/>
              <w:rPr>
                <w:rFonts w:eastAsia="Times New Roman" w:cs="Arial"/>
                <w:b/>
                <w:bCs/>
                <w:color w:val="000000"/>
                <w:sz w:val="20"/>
                <w:szCs w:val="20"/>
                <w:lang w:eastAsia="en-GB"/>
              </w:rPr>
            </w:pPr>
            <w:r w:rsidRPr="00D757E4">
              <w:rPr>
                <w:rFonts w:eastAsia="Times New Roman" w:cs="Arial"/>
                <w:b/>
                <w:bCs/>
                <w:color w:val="000000"/>
                <w:sz w:val="20"/>
                <w:szCs w:val="20"/>
                <w:lang w:eastAsia="en-GB"/>
              </w:rPr>
              <w:lastRenderedPageBreak/>
              <w:t>K2 – Funding Risk: Revenue Funding</w:t>
            </w:r>
          </w:p>
        </w:tc>
      </w:tr>
      <w:tr w:rsidR="00DF73C0" w:rsidRPr="00D757E4" w14:paraId="47C98A69"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4528D6ED"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sz w:val="18"/>
                <w:szCs w:val="18"/>
                <w:lang w:eastAsia="en-GB"/>
              </w:rPr>
              <w:t>Risk</w:t>
            </w:r>
          </w:p>
        </w:tc>
        <w:tc>
          <w:tcPr>
            <w:tcW w:w="4282" w:type="pct"/>
            <w:gridSpan w:val="2"/>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4ACA23BB"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color w:val="000000"/>
                <w:sz w:val="18"/>
                <w:szCs w:val="18"/>
                <w:lang w:eastAsia="en-GB"/>
              </w:rPr>
              <w:t xml:space="preserve">Unable to secure </w:t>
            </w:r>
            <w:proofErr w:type="gramStart"/>
            <w:r w:rsidRPr="00D757E4">
              <w:rPr>
                <w:rFonts w:eastAsia="Times New Roman" w:cs="Arial"/>
                <w:b/>
                <w:bCs/>
                <w:color w:val="000000"/>
                <w:sz w:val="18"/>
                <w:szCs w:val="18"/>
                <w:lang w:eastAsia="en-GB"/>
              </w:rPr>
              <w:t>sufficient</w:t>
            </w:r>
            <w:proofErr w:type="gramEnd"/>
            <w:r w:rsidRPr="00D757E4">
              <w:rPr>
                <w:rFonts w:eastAsia="Times New Roman" w:cs="Arial"/>
                <w:b/>
                <w:bCs/>
                <w:color w:val="000000"/>
                <w:sz w:val="18"/>
                <w:szCs w:val="18"/>
                <w:lang w:eastAsia="en-GB"/>
              </w:rPr>
              <w:t xml:space="preserve"> revenue funding to deliver the project</w:t>
            </w:r>
          </w:p>
        </w:tc>
      </w:tr>
      <w:tr w:rsidR="00DF73C0" w:rsidRPr="00D757E4" w14:paraId="27EA2C03"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19CFB0F1"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sz w:val="18"/>
                <w:szCs w:val="18"/>
                <w:lang w:eastAsia="en-GB"/>
              </w:rPr>
              <w:t>Consequence</w:t>
            </w:r>
          </w:p>
        </w:tc>
        <w:tc>
          <w:tcPr>
            <w:tcW w:w="4282" w:type="pct"/>
            <w:gridSpan w:val="2"/>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4FC3DC60"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sz w:val="18"/>
                <w:szCs w:val="18"/>
                <w:lang w:eastAsia="en-GB"/>
              </w:rPr>
              <w:t>Programme extended to allow time to explore alternative routes</w:t>
            </w:r>
          </w:p>
        </w:tc>
      </w:tr>
      <w:tr w:rsidR="00DF73C0" w:rsidRPr="00D757E4" w14:paraId="2AE63156"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5DA74076" w14:textId="77777777" w:rsidR="00DF73C0" w:rsidRPr="00D757E4" w:rsidRDefault="00DF73C0" w:rsidP="00E67800">
            <w:pPr>
              <w:spacing w:before="50" w:after="50" w:line="228" w:lineRule="auto"/>
              <w:rPr>
                <w:rFonts w:eastAsia="Times New Roman" w:cs="Arial"/>
                <w:sz w:val="18"/>
                <w:szCs w:val="18"/>
                <w:lang w:eastAsia="en-GB"/>
              </w:rPr>
            </w:pPr>
            <w:r w:rsidRPr="00D757E4">
              <w:rPr>
                <w:rFonts w:eastAsia="Times New Roman" w:cs="Arial"/>
                <w:sz w:val="18"/>
                <w:szCs w:val="18"/>
                <w:lang w:eastAsia="en-GB"/>
              </w:rPr>
              <w:t>Impact per year</w:t>
            </w:r>
          </w:p>
        </w:tc>
        <w:tc>
          <w:tcPr>
            <w:tcW w:w="1982" w:type="pct"/>
            <w:vMerge w:val="restart"/>
            <w:tcBorders>
              <w:top w:val="single" w:sz="4" w:space="0" w:color="A6A6A6" w:themeColor="accent6" w:themeShade="A6"/>
              <w:left w:val="single" w:sz="4" w:space="0" w:color="A6A6A6" w:themeColor="accent6" w:themeShade="A6"/>
              <w:right w:val="single" w:sz="4" w:space="0" w:color="A6A6A6" w:themeColor="accent6" w:themeShade="A6"/>
            </w:tcBorders>
            <w:vAlign w:val="center"/>
          </w:tcPr>
          <w:p w14:paraId="7460D2BE" w14:textId="77777777" w:rsidR="00DF73C0" w:rsidRPr="00D757E4" w:rsidRDefault="00DF73C0" w:rsidP="00E67800">
            <w:pPr>
              <w:spacing w:before="50" w:after="50" w:line="228" w:lineRule="auto"/>
              <w:jc w:val="center"/>
              <w:rPr>
                <w:rFonts w:eastAsia="Times New Roman" w:cs="Arial"/>
                <w:sz w:val="18"/>
                <w:szCs w:val="18"/>
                <w:lang w:eastAsia="en-GB"/>
              </w:rPr>
            </w:pPr>
          </w:p>
        </w:tc>
        <w:tc>
          <w:tcPr>
            <w:tcW w:w="230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tcPr>
          <w:p w14:paraId="4181C819" w14:textId="77777777" w:rsidR="00DF73C0" w:rsidRPr="00D757E4" w:rsidRDefault="00DF73C0" w:rsidP="00E67800">
            <w:pPr>
              <w:spacing w:before="50" w:after="50" w:line="228" w:lineRule="auto"/>
              <w:jc w:val="center"/>
              <w:rPr>
                <w:rFonts w:eastAsia="Times New Roman" w:cs="Arial"/>
                <w:sz w:val="18"/>
                <w:szCs w:val="18"/>
                <w:lang w:eastAsia="en-GB"/>
              </w:rPr>
            </w:pPr>
            <w:r w:rsidRPr="00D757E4">
              <w:rPr>
                <w:rFonts w:eastAsia="Times New Roman" w:cs="Arial"/>
                <w:sz w:val="18"/>
                <w:szCs w:val="18"/>
                <w:lang w:eastAsia="en-GB"/>
              </w:rPr>
              <w:t>Assume a 12-month extension at a run rate of £400k per week, which equals £20.8m</w:t>
            </w:r>
          </w:p>
        </w:tc>
      </w:tr>
      <w:tr w:rsidR="00DF73C0" w:rsidRPr="00D757E4" w14:paraId="1B3F469F"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5BFF8A4E" w14:textId="77777777" w:rsidR="00DF73C0" w:rsidRPr="00D757E4" w:rsidRDefault="00DF73C0" w:rsidP="00E67800">
            <w:pPr>
              <w:spacing w:before="50" w:after="50" w:line="228" w:lineRule="auto"/>
              <w:rPr>
                <w:rFonts w:eastAsia="Times New Roman" w:cs="Arial"/>
                <w:sz w:val="18"/>
                <w:szCs w:val="18"/>
                <w:lang w:eastAsia="en-GB"/>
              </w:rPr>
            </w:pPr>
            <w:r w:rsidRPr="00D757E4">
              <w:rPr>
                <w:rFonts w:eastAsia="Times New Roman" w:cs="Arial"/>
                <w:sz w:val="18"/>
                <w:szCs w:val="18"/>
                <w:lang w:eastAsia="en-GB"/>
              </w:rPr>
              <w:t>Probability</w:t>
            </w:r>
          </w:p>
        </w:tc>
        <w:tc>
          <w:tcPr>
            <w:tcW w:w="1982" w:type="pct"/>
            <w:vMerge/>
            <w:tcBorders>
              <w:left w:val="single" w:sz="4" w:space="0" w:color="A6A6A6" w:themeColor="accent6" w:themeShade="A6"/>
              <w:right w:val="single" w:sz="4" w:space="0" w:color="A6A6A6" w:themeColor="accent6" w:themeShade="A6"/>
            </w:tcBorders>
            <w:vAlign w:val="center"/>
          </w:tcPr>
          <w:p w14:paraId="7569B8E9" w14:textId="77777777" w:rsidR="00DF73C0" w:rsidRPr="00D757E4" w:rsidRDefault="00DF73C0" w:rsidP="00E67800">
            <w:pPr>
              <w:spacing w:before="50" w:after="50" w:line="228" w:lineRule="auto"/>
              <w:jc w:val="center"/>
              <w:rPr>
                <w:rFonts w:eastAsia="Times New Roman" w:cs="Arial"/>
                <w:sz w:val="18"/>
                <w:szCs w:val="18"/>
                <w:lang w:eastAsia="en-GB"/>
              </w:rPr>
            </w:pPr>
          </w:p>
        </w:tc>
        <w:tc>
          <w:tcPr>
            <w:tcW w:w="230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73E7B608" w14:textId="77777777" w:rsidR="00DF73C0" w:rsidRPr="00D757E4" w:rsidRDefault="00DF73C0" w:rsidP="00E67800">
            <w:pPr>
              <w:spacing w:before="50" w:after="50" w:line="228" w:lineRule="auto"/>
              <w:jc w:val="center"/>
              <w:rPr>
                <w:rFonts w:eastAsia="Times New Roman" w:cs="Arial"/>
                <w:sz w:val="18"/>
                <w:szCs w:val="18"/>
                <w:lang w:eastAsia="en-GB"/>
              </w:rPr>
            </w:pPr>
            <w:r w:rsidRPr="00D757E4">
              <w:rPr>
                <w:rFonts w:eastAsia="Times New Roman" w:cs="Arial"/>
                <w:sz w:val="18"/>
                <w:szCs w:val="18"/>
                <w:lang w:eastAsia="en-GB"/>
              </w:rPr>
              <w:t>10%</w:t>
            </w:r>
          </w:p>
        </w:tc>
      </w:tr>
      <w:tr w:rsidR="00DF73C0" w:rsidRPr="00D757E4" w14:paraId="0D7E531B"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65850306" w14:textId="77777777" w:rsidR="00DF73C0" w:rsidRPr="00D757E4" w:rsidRDefault="00DF73C0" w:rsidP="00E67800">
            <w:pPr>
              <w:spacing w:before="50" w:after="50" w:line="228" w:lineRule="auto"/>
              <w:rPr>
                <w:rFonts w:eastAsia="Times New Roman" w:cs="Arial"/>
                <w:sz w:val="18"/>
                <w:szCs w:val="18"/>
                <w:lang w:eastAsia="en-GB"/>
              </w:rPr>
            </w:pPr>
            <w:r w:rsidRPr="00D757E4">
              <w:rPr>
                <w:rFonts w:eastAsia="Times New Roman" w:cs="Arial"/>
                <w:sz w:val="18"/>
                <w:szCs w:val="18"/>
                <w:lang w:eastAsia="en-GB"/>
              </w:rPr>
              <w:t>Timescales</w:t>
            </w:r>
          </w:p>
        </w:tc>
        <w:tc>
          <w:tcPr>
            <w:tcW w:w="1982" w:type="pct"/>
            <w:vMerge/>
            <w:tcBorders>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3AD1DF09" w14:textId="77777777" w:rsidR="00DF73C0" w:rsidRPr="00D757E4" w:rsidRDefault="00DF73C0" w:rsidP="00E67800">
            <w:pPr>
              <w:spacing w:before="50" w:after="50" w:line="228" w:lineRule="auto"/>
              <w:jc w:val="center"/>
              <w:rPr>
                <w:rFonts w:eastAsia="Times New Roman" w:cs="Arial"/>
                <w:sz w:val="18"/>
                <w:szCs w:val="18"/>
                <w:lang w:eastAsia="en-GB"/>
              </w:rPr>
            </w:pPr>
          </w:p>
        </w:tc>
        <w:tc>
          <w:tcPr>
            <w:tcW w:w="230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tcPr>
          <w:p w14:paraId="20663EA7" w14:textId="77777777" w:rsidR="00DF73C0" w:rsidRPr="00D757E4" w:rsidRDefault="00DF73C0" w:rsidP="00E67800">
            <w:pPr>
              <w:spacing w:before="50" w:after="50" w:line="228" w:lineRule="auto"/>
              <w:jc w:val="center"/>
              <w:rPr>
                <w:rFonts w:eastAsia="Times New Roman" w:cs="Arial"/>
                <w:sz w:val="18"/>
                <w:szCs w:val="18"/>
                <w:lang w:eastAsia="en-GB"/>
              </w:rPr>
            </w:pPr>
            <w:r w:rsidRPr="00D757E4">
              <w:rPr>
                <w:rFonts w:eastAsia="Times New Roman" w:cs="Arial"/>
                <w:sz w:val="18"/>
                <w:szCs w:val="18"/>
                <w:lang w:eastAsia="en-GB"/>
              </w:rPr>
              <w:t>Year 0</w:t>
            </w:r>
          </w:p>
        </w:tc>
      </w:tr>
      <w:tr w:rsidR="00DF73C0" w:rsidRPr="00D757E4" w14:paraId="0C4A6844" w14:textId="77777777" w:rsidTr="00E67800">
        <w:tc>
          <w:tcPr>
            <w:tcW w:w="718" w:type="pct"/>
            <w:tcBorders>
              <w:top w:val="single" w:sz="4" w:space="0" w:color="A6A6A6" w:themeColor="accent6" w:themeShade="A6"/>
              <w:left w:val="single" w:sz="4" w:space="0" w:color="A6A6A6" w:themeColor="accent6" w:themeShade="A6"/>
              <w:bottom w:val="single" w:sz="12" w:space="0" w:color="5C2A8A"/>
              <w:right w:val="single" w:sz="4" w:space="0" w:color="A6A6A6" w:themeColor="accent6" w:themeShade="A6"/>
            </w:tcBorders>
            <w:shd w:val="clear" w:color="000000" w:fill="F2F2F2"/>
            <w:vAlign w:val="center"/>
            <w:hideMark/>
          </w:tcPr>
          <w:p w14:paraId="4246DC65"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sz w:val="18"/>
                <w:szCs w:val="18"/>
                <w:lang w:eastAsia="en-GB"/>
              </w:rPr>
              <w:t>Total Risk Value £’000</w:t>
            </w:r>
          </w:p>
        </w:tc>
        <w:tc>
          <w:tcPr>
            <w:tcW w:w="1982" w:type="pct"/>
            <w:tcBorders>
              <w:top w:val="single" w:sz="4" w:space="0" w:color="A6A6A6" w:themeColor="accent6" w:themeShade="A6"/>
              <w:left w:val="single" w:sz="4" w:space="0" w:color="A6A6A6" w:themeColor="accent6" w:themeShade="A6"/>
              <w:bottom w:val="single" w:sz="12" w:space="0" w:color="5C2A8A"/>
              <w:right w:val="single" w:sz="4" w:space="0" w:color="A6A6A6" w:themeColor="accent6" w:themeShade="A6"/>
            </w:tcBorders>
            <w:shd w:val="clear" w:color="000000" w:fill="F2F2F2"/>
            <w:vAlign w:val="center"/>
          </w:tcPr>
          <w:p w14:paraId="3381E143" w14:textId="77777777" w:rsidR="00DF73C0" w:rsidRPr="00D757E4" w:rsidRDefault="00DF73C0" w:rsidP="00E67800">
            <w:pPr>
              <w:spacing w:before="50" w:after="50" w:line="228" w:lineRule="auto"/>
              <w:jc w:val="center"/>
              <w:rPr>
                <w:rFonts w:eastAsia="Times New Roman" w:cs="Arial"/>
                <w:b/>
                <w:bCs/>
                <w:sz w:val="18"/>
                <w:szCs w:val="18"/>
                <w:lang w:eastAsia="en-GB"/>
              </w:rPr>
            </w:pPr>
            <w:r w:rsidRPr="00D757E4">
              <w:rPr>
                <w:rFonts w:eastAsia="Times New Roman" w:cs="Arial"/>
                <w:b/>
                <w:bCs/>
                <w:sz w:val="18"/>
                <w:szCs w:val="18"/>
                <w:lang w:eastAsia="en-GB"/>
              </w:rPr>
              <w:t>Does Not Apply</w:t>
            </w:r>
          </w:p>
        </w:tc>
        <w:tc>
          <w:tcPr>
            <w:tcW w:w="2300" w:type="pct"/>
            <w:tcBorders>
              <w:top w:val="single" w:sz="4" w:space="0" w:color="A6A6A6" w:themeColor="accent6" w:themeShade="A6"/>
              <w:left w:val="single" w:sz="4" w:space="0" w:color="A6A6A6" w:themeColor="accent6" w:themeShade="A6"/>
              <w:bottom w:val="single" w:sz="12" w:space="0" w:color="5C2A8A"/>
              <w:right w:val="single" w:sz="4" w:space="0" w:color="A6A6A6" w:themeColor="accent6" w:themeShade="A6"/>
            </w:tcBorders>
            <w:shd w:val="clear" w:color="000000" w:fill="F2F2F2"/>
            <w:vAlign w:val="center"/>
          </w:tcPr>
          <w:p w14:paraId="18ABA7A0" w14:textId="77777777" w:rsidR="00DF73C0" w:rsidRPr="00D757E4" w:rsidRDefault="00DF73C0" w:rsidP="00E67800">
            <w:pPr>
              <w:spacing w:before="50" w:after="50" w:line="228" w:lineRule="auto"/>
              <w:jc w:val="center"/>
              <w:rPr>
                <w:rFonts w:eastAsia="Times New Roman" w:cs="Arial"/>
                <w:b/>
                <w:bCs/>
                <w:sz w:val="18"/>
                <w:szCs w:val="18"/>
                <w:lang w:eastAsia="en-GB"/>
              </w:rPr>
            </w:pPr>
            <w:r w:rsidRPr="00D757E4">
              <w:rPr>
                <w:rFonts w:eastAsia="Times New Roman" w:cs="Arial"/>
                <w:b/>
                <w:bCs/>
                <w:sz w:val="18"/>
                <w:szCs w:val="18"/>
                <w:lang w:eastAsia="en-GB"/>
              </w:rPr>
              <w:t>2,080</w:t>
            </w:r>
          </w:p>
        </w:tc>
      </w:tr>
      <w:tr w:rsidR="00DF73C0" w:rsidRPr="00D757E4" w14:paraId="040042F1" w14:textId="77777777" w:rsidTr="00E67800">
        <w:tc>
          <w:tcPr>
            <w:tcW w:w="5000" w:type="pct"/>
            <w:gridSpan w:val="3"/>
            <w:tcBorders>
              <w:top w:val="single" w:sz="12" w:space="0" w:color="5C2A8A"/>
              <w:left w:val="single" w:sz="4" w:space="0" w:color="A6A6A6" w:themeColor="accent6" w:themeShade="A6"/>
              <w:bottom w:val="single" w:sz="4" w:space="0" w:color="A6A6A6" w:themeColor="accent6" w:themeShade="A6"/>
              <w:right w:val="single" w:sz="4" w:space="0" w:color="A6A6A6" w:themeColor="accent6" w:themeShade="A6"/>
            </w:tcBorders>
            <w:shd w:val="clear" w:color="auto" w:fill="D1D6E5"/>
            <w:vAlign w:val="center"/>
            <w:hideMark/>
          </w:tcPr>
          <w:p w14:paraId="1D8EA297" w14:textId="77777777" w:rsidR="00DF73C0" w:rsidRPr="00D757E4" w:rsidRDefault="00DF73C0" w:rsidP="00E67800">
            <w:pPr>
              <w:keepNext/>
              <w:spacing w:before="50" w:after="50" w:line="228" w:lineRule="auto"/>
              <w:rPr>
                <w:rFonts w:eastAsia="Times New Roman" w:cs="Arial"/>
                <w:b/>
                <w:bCs/>
                <w:color w:val="000000"/>
                <w:sz w:val="20"/>
                <w:szCs w:val="20"/>
                <w:lang w:eastAsia="en-GB"/>
              </w:rPr>
            </w:pPr>
            <w:r w:rsidRPr="00D757E4">
              <w:rPr>
                <w:rFonts w:eastAsia="Times New Roman" w:cs="Arial"/>
                <w:b/>
                <w:bCs/>
                <w:color w:val="000000"/>
                <w:sz w:val="20"/>
                <w:szCs w:val="20"/>
                <w:lang w:eastAsia="en-GB"/>
              </w:rPr>
              <w:t>K</w:t>
            </w:r>
            <w:r>
              <w:rPr>
                <w:rFonts w:eastAsia="Times New Roman" w:cs="Arial"/>
                <w:b/>
                <w:bCs/>
                <w:color w:val="000000"/>
                <w:sz w:val="20"/>
                <w:szCs w:val="20"/>
                <w:lang w:eastAsia="en-GB"/>
              </w:rPr>
              <w:t>3</w:t>
            </w:r>
            <w:r w:rsidRPr="00D757E4">
              <w:rPr>
                <w:rFonts w:eastAsia="Times New Roman" w:cs="Arial"/>
                <w:b/>
                <w:bCs/>
                <w:color w:val="000000"/>
                <w:sz w:val="20"/>
                <w:szCs w:val="20"/>
                <w:lang w:eastAsia="en-GB"/>
              </w:rPr>
              <w:t xml:space="preserve"> - Workforce Risk: Recruitment and Retention (long term)</w:t>
            </w:r>
          </w:p>
        </w:tc>
      </w:tr>
      <w:tr w:rsidR="00DF73C0" w:rsidRPr="00D757E4" w14:paraId="4569B305"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1914C0FD" w14:textId="77777777" w:rsidR="00DF73C0" w:rsidRPr="00D757E4" w:rsidRDefault="00DF73C0" w:rsidP="00E67800">
            <w:pPr>
              <w:spacing w:before="50" w:after="50" w:line="228" w:lineRule="auto"/>
              <w:rPr>
                <w:rFonts w:eastAsia="Times New Roman" w:cs="Arial"/>
                <w:sz w:val="18"/>
                <w:szCs w:val="18"/>
                <w:lang w:eastAsia="en-GB"/>
              </w:rPr>
            </w:pPr>
            <w:r w:rsidRPr="00D757E4">
              <w:rPr>
                <w:rFonts w:eastAsia="Times New Roman" w:cs="Arial"/>
                <w:sz w:val="18"/>
                <w:szCs w:val="18"/>
                <w:lang w:eastAsia="en-GB"/>
              </w:rPr>
              <w:t>Risk</w:t>
            </w:r>
          </w:p>
        </w:tc>
        <w:tc>
          <w:tcPr>
            <w:tcW w:w="4282" w:type="pct"/>
            <w:gridSpan w:val="2"/>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4C3C6E8B"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color w:val="000000"/>
                <w:sz w:val="18"/>
                <w:szCs w:val="18"/>
                <w:lang w:eastAsia="en-GB"/>
              </w:rPr>
              <w:t xml:space="preserve">Unable to recruit </w:t>
            </w:r>
            <w:proofErr w:type="gramStart"/>
            <w:r w:rsidRPr="00D757E4">
              <w:rPr>
                <w:rFonts w:eastAsia="Times New Roman" w:cs="Arial"/>
                <w:b/>
                <w:bCs/>
                <w:color w:val="000000"/>
                <w:sz w:val="18"/>
                <w:szCs w:val="18"/>
                <w:lang w:eastAsia="en-GB"/>
              </w:rPr>
              <w:t>sufficient</w:t>
            </w:r>
            <w:proofErr w:type="gramEnd"/>
            <w:r w:rsidRPr="00D757E4">
              <w:rPr>
                <w:rFonts w:eastAsia="Times New Roman" w:cs="Arial"/>
                <w:b/>
                <w:bCs/>
                <w:color w:val="000000"/>
                <w:sz w:val="18"/>
                <w:szCs w:val="18"/>
                <w:lang w:eastAsia="en-GB"/>
              </w:rPr>
              <w:t xml:space="preserve"> staff to enable delivery of the model in the long term</w:t>
            </w:r>
          </w:p>
        </w:tc>
      </w:tr>
      <w:tr w:rsidR="00DF73C0" w:rsidRPr="00D757E4" w14:paraId="3AF00906"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0305AF92" w14:textId="77777777" w:rsidR="00DF73C0" w:rsidRPr="00D757E4" w:rsidRDefault="00DF73C0" w:rsidP="00E67800">
            <w:pPr>
              <w:spacing w:before="50" w:after="50" w:line="228" w:lineRule="auto"/>
              <w:rPr>
                <w:rFonts w:eastAsia="Times New Roman" w:cs="Arial"/>
                <w:sz w:val="18"/>
                <w:szCs w:val="18"/>
                <w:lang w:eastAsia="en-GB"/>
              </w:rPr>
            </w:pPr>
            <w:r w:rsidRPr="00D757E4">
              <w:rPr>
                <w:rFonts w:eastAsia="Times New Roman" w:cs="Arial"/>
                <w:sz w:val="18"/>
                <w:szCs w:val="18"/>
                <w:lang w:eastAsia="en-GB"/>
              </w:rPr>
              <w:t>Consequence</w:t>
            </w:r>
          </w:p>
        </w:tc>
        <w:tc>
          <w:tcPr>
            <w:tcW w:w="4282" w:type="pct"/>
            <w:gridSpan w:val="2"/>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0C2D24F9"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sz w:val="18"/>
                <w:szCs w:val="18"/>
                <w:lang w:eastAsia="en-GB"/>
              </w:rPr>
              <w:t>Reliance on unplanned outsourcing of services leading to increased costs</w:t>
            </w:r>
          </w:p>
        </w:tc>
      </w:tr>
      <w:tr w:rsidR="00DF73C0" w:rsidRPr="00D757E4" w14:paraId="0911D3E8"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25970E3A" w14:textId="77777777" w:rsidR="00DF73C0" w:rsidRPr="00D757E4" w:rsidRDefault="00DF73C0" w:rsidP="00E67800">
            <w:pPr>
              <w:spacing w:before="50" w:after="50" w:line="228" w:lineRule="auto"/>
              <w:rPr>
                <w:rFonts w:eastAsia="Times New Roman" w:cs="Arial"/>
                <w:sz w:val="18"/>
                <w:szCs w:val="18"/>
                <w:lang w:eastAsia="en-GB"/>
              </w:rPr>
            </w:pPr>
            <w:r w:rsidRPr="00D757E4">
              <w:rPr>
                <w:rFonts w:eastAsia="Times New Roman" w:cs="Arial"/>
                <w:sz w:val="18"/>
                <w:szCs w:val="18"/>
                <w:lang w:eastAsia="en-GB"/>
              </w:rPr>
              <w:t>Impact per year</w:t>
            </w:r>
          </w:p>
        </w:tc>
        <w:tc>
          <w:tcPr>
            <w:tcW w:w="1982" w:type="pct"/>
            <w:vMerge w:val="restart"/>
            <w:tcBorders>
              <w:top w:val="single" w:sz="4" w:space="0" w:color="A6A6A6" w:themeColor="accent6" w:themeShade="A6"/>
              <w:left w:val="single" w:sz="4" w:space="0" w:color="A6A6A6" w:themeColor="accent6" w:themeShade="A6"/>
              <w:right w:val="single" w:sz="4" w:space="0" w:color="A6A6A6" w:themeColor="accent6" w:themeShade="A6"/>
            </w:tcBorders>
            <w:vAlign w:val="center"/>
          </w:tcPr>
          <w:p w14:paraId="2F099692" w14:textId="77777777" w:rsidR="00DF73C0" w:rsidRPr="00D757E4" w:rsidRDefault="00DF73C0" w:rsidP="00E67800">
            <w:pPr>
              <w:spacing w:before="50" w:after="50" w:line="228" w:lineRule="auto"/>
              <w:jc w:val="center"/>
              <w:rPr>
                <w:rFonts w:eastAsia="Times New Roman" w:cs="Arial"/>
                <w:sz w:val="18"/>
                <w:szCs w:val="18"/>
                <w:lang w:eastAsia="en-GB"/>
              </w:rPr>
            </w:pPr>
          </w:p>
        </w:tc>
        <w:tc>
          <w:tcPr>
            <w:tcW w:w="230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tcPr>
          <w:p w14:paraId="1DE22E2A" w14:textId="77777777" w:rsidR="00DF73C0" w:rsidRPr="00D757E4" w:rsidRDefault="00DF73C0" w:rsidP="00E67800">
            <w:pPr>
              <w:spacing w:before="50" w:after="50" w:line="228" w:lineRule="auto"/>
              <w:jc w:val="center"/>
              <w:rPr>
                <w:rFonts w:eastAsia="Times New Roman" w:cs="Arial"/>
                <w:sz w:val="18"/>
                <w:szCs w:val="18"/>
                <w:lang w:eastAsia="en-GB"/>
              </w:rPr>
            </w:pPr>
            <w:r>
              <w:rPr>
                <w:rFonts w:eastAsia="Times New Roman" w:cs="Arial"/>
                <w:sz w:val="18"/>
                <w:szCs w:val="18"/>
                <w:lang w:eastAsia="en-GB"/>
              </w:rPr>
              <w:t>Pay costs re 10% higher than expected (£1.5m p.a.)</w:t>
            </w:r>
          </w:p>
        </w:tc>
      </w:tr>
      <w:tr w:rsidR="00DF73C0" w:rsidRPr="00D757E4" w14:paraId="025E79B0"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0BFB2C2C" w14:textId="77777777" w:rsidR="00DF73C0" w:rsidRPr="00D757E4" w:rsidRDefault="00DF73C0" w:rsidP="00E67800">
            <w:pPr>
              <w:spacing w:before="50" w:after="50" w:line="228" w:lineRule="auto"/>
              <w:rPr>
                <w:rFonts w:eastAsia="Times New Roman" w:cs="Arial"/>
                <w:sz w:val="18"/>
                <w:szCs w:val="18"/>
                <w:lang w:eastAsia="en-GB"/>
              </w:rPr>
            </w:pPr>
            <w:r w:rsidRPr="00D757E4">
              <w:rPr>
                <w:rFonts w:eastAsia="Times New Roman" w:cs="Arial"/>
                <w:sz w:val="18"/>
                <w:szCs w:val="18"/>
                <w:lang w:eastAsia="en-GB"/>
              </w:rPr>
              <w:t>Probability</w:t>
            </w:r>
          </w:p>
        </w:tc>
        <w:tc>
          <w:tcPr>
            <w:tcW w:w="1982" w:type="pct"/>
            <w:vMerge/>
            <w:tcBorders>
              <w:left w:val="single" w:sz="4" w:space="0" w:color="A6A6A6" w:themeColor="accent6" w:themeShade="A6"/>
              <w:right w:val="single" w:sz="4" w:space="0" w:color="A6A6A6" w:themeColor="accent6" w:themeShade="A6"/>
            </w:tcBorders>
            <w:vAlign w:val="center"/>
          </w:tcPr>
          <w:p w14:paraId="3DDA5300" w14:textId="77777777" w:rsidR="00DF73C0" w:rsidRPr="00D757E4" w:rsidRDefault="00DF73C0" w:rsidP="00E67800">
            <w:pPr>
              <w:spacing w:before="50" w:after="50" w:line="228" w:lineRule="auto"/>
              <w:jc w:val="center"/>
              <w:rPr>
                <w:rFonts w:eastAsia="Times New Roman" w:cs="Arial"/>
                <w:sz w:val="18"/>
                <w:szCs w:val="18"/>
                <w:lang w:eastAsia="en-GB"/>
              </w:rPr>
            </w:pPr>
          </w:p>
        </w:tc>
        <w:tc>
          <w:tcPr>
            <w:tcW w:w="230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tcPr>
          <w:p w14:paraId="7BAEF79F" w14:textId="77777777" w:rsidR="00DF73C0" w:rsidRPr="00D757E4" w:rsidRDefault="00DF73C0" w:rsidP="00E67800">
            <w:pPr>
              <w:spacing w:before="50" w:after="50" w:line="228" w:lineRule="auto"/>
              <w:jc w:val="center"/>
              <w:rPr>
                <w:rFonts w:eastAsia="Times New Roman" w:cs="Arial"/>
                <w:sz w:val="18"/>
                <w:szCs w:val="18"/>
                <w:lang w:eastAsia="en-GB"/>
              </w:rPr>
            </w:pPr>
            <w:r>
              <w:rPr>
                <w:rFonts w:eastAsia="Times New Roman" w:cs="Arial"/>
                <w:sz w:val="18"/>
                <w:szCs w:val="18"/>
                <w:lang w:eastAsia="en-GB"/>
              </w:rPr>
              <w:t>5</w:t>
            </w:r>
            <w:r w:rsidRPr="00D757E4">
              <w:rPr>
                <w:rFonts w:eastAsia="Times New Roman" w:cs="Arial"/>
                <w:sz w:val="18"/>
                <w:szCs w:val="18"/>
                <w:lang w:eastAsia="en-GB"/>
              </w:rPr>
              <w:t>%</w:t>
            </w:r>
          </w:p>
        </w:tc>
      </w:tr>
      <w:tr w:rsidR="00DF73C0" w:rsidRPr="00D757E4" w14:paraId="49BF22ED" w14:textId="77777777" w:rsidTr="00E67800">
        <w:tc>
          <w:tcPr>
            <w:tcW w:w="718"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vAlign w:val="center"/>
            <w:hideMark/>
          </w:tcPr>
          <w:p w14:paraId="7D6F1034" w14:textId="77777777" w:rsidR="00DF73C0" w:rsidRPr="00D757E4" w:rsidRDefault="00DF73C0" w:rsidP="00E67800">
            <w:pPr>
              <w:spacing w:before="50" w:after="50" w:line="228" w:lineRule="auto"/>
              <w:rPr>
                <w:rFonts w:eastAsia="Times New Roman" w:cs="Arial"/>
                <w:sz w:val="18"/>
                <w:szCs w:val="18"/>
                <w:lang w:eastAsia="en-GB"/>
              </w:rPr>
            </w:pPr>
            <w:r w:rsidRPr="00D757E4">
              <w:rPr>
                <w:rFonts w:eastAsia="Times New Roman" w:cs="Arial"/>
                <w:sz w:val="18"/>
                <w:szCs w:val="18"/>
                <w:lang w:eastAsia="en-GB"/>
              </w:rPr>
              <w:t>Timescales</w:t>
            </w:r>
          </w:p>
        </w:tc>
        <w:tc>
          <w:tcPr>
            <w:tcW w:w="1982" w:type="pct"/>
            <w:vMerge/>
            <w:tcBorders>
              <w:left w:val="single" w:sz="4" w:space="0" w:color="A6A6A6" w:themeColor="accent6" w:themeShade="A6"/>
              <w:bottom w:val="single" w:sz="4" w:space="0" w:color="A6A6A6" w:themeColor="accent6" w:themeShade="A6"/>
              <w:right w:val="single" w:sz="4" w:space="0" w:color="A6A6A6" w:themeColor="accent6" w:themeShade="A6"/>
            </w:tcBorders>
            <w:vAlign w:val="center"/>
          </w:tcPr>
          <w:p w14:paraId="28CD8EBC" w14:textId="77777777" w:rsidR="00DF73C0" w:rsidRPr="00D757E4" w:rsidRDefault="00DF73C0" w:rsidP="00E67800">
            <w:pPr>
              <w:spacing w:before="50" w:after="50" w:line="228" w:lineRule="auto"/>
              <w:jc w:val="center"/>
              <w:rPr>
                <w:rFonts w:eastAsia="Times New Roman" w:cs="Arial"/>
                <w:sz w:val="18"/>
                <w:szCs w:val="18"/>
                <w:lang w:eastAsia="en-GB"/>
              </w:rPr>
            </w:pPr>
          </w:p>
        </w:tc>
        <w:tc>
          <w:tcPr>
            <w:tcW w:w="230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tcPr>
          <w:p w14:paraId="70E985CE" w14:textId="77777777" w:rsidR="00DF73C0" w:rsidRPr="00D757E4" w:rsidRDefault="00DF73C0" w:rsidP="00E67800">
            <w:pPr>
              <w:spacing w:before="50" w:after="50" w:line="228" w:lineRule="auto"/>
              <w:jc w:val="center"/>
              <w:rPr>
                <w:rFonts w:eastAsia="Times New Roman" w:cs="Arial"/>
                <w:sz w:val="18"/>
                <w:szCs w:val="18"/>
                <w:lang w:eastAsia="en-GB"/>
              </w:rPr>
            </w:pPr>
            <w:r w:rsidRPr="00D757E4">
              <w:rPr>
                <w:rFonts w:eastAsia="Times New Roman" w:cs="Arial"/>
                <w:sz w:val="18"/>
                <w:szCs w:val="18"/>
                <w:lang w:eastAsia="en-GB"/>
              </w:rPr>
              <w:t xml:space="preserve">Years </w:t>
            </w:r>
            <w:r>
              <w:rPr>
                <w:rFonts w:eastAsia="Times New Roman" w:cs="Arial"/>
                <w:sz w:val="18"/>
                <w:szCs w:val="18"/>
                <w:lang w:eastAsia="en-GB"/>
              </w:rPr>
              <w:t>4</w:t>
            </w:r>
            <w:r w:rsidRPr="00D757E4">
              <w:rPr>
                <w:rFonts w:eastAsia="Times New Roman" w:cs="Arial"/>
                <w:sz w:val="18"/>
                <w:szCs w:val="18"/>
                <w:lang w:eastAsia="en-GB"/>
              </w:rPr>
              <w:t xml:space="preserve"> </w:t>
            </w:r>
            <w:r>
              <w:rPr>
                <w:rFonts w:eastAsia="Times New Roman" w:cs="Arial"/>
                <w:sz w:val="18"/>
                <w:szCs w:val="18"/>
                <w:lang w:eastAsia="en-GB"/>
              </w:rPr>
              <w:t>–</w:t>
            </w:r>
            <w:r w:rsidRPr="00D757E4">
              <w:rPr>
                <w:rFonts w:eastAsia="Times New Roman" w:cs="Arial"/>
                <w:sz w:val="18"/>
                <w:szCs w:val="18"/>
                <w:lang w:eastAsia="en-GB"/>
              </w:rPr>
              <w:t xml:space="preserve"> 6</w:t>
            </w:r>
            <w:r>
              <w:rPr>
                <w:rFonts w:eastAsia="Times New Roman" w:cs="Arial"/>
                <w:sz w:val="18"/>
                <w:szCs w:val="18"/>
                <w:lang w:eastAsia="en-GB"/>
              </w:rPr>
              <w:t>3</w:t>
            </w:r>
          </w:p>
        </w:tc>
      </w:tr>
      <w:tr w:rsidR="00DF73C0" w:rsidRPr="00D757E4" w14:paraId="300B534A" w14:textId="77777777" w:rsidTr="00E67800">
        <w:tc>
          <w:tcPr>
            <w:tcW w:w="718" w:type="pct"/>
            <w:tcBorders>
              <w:top w:val="single" w:sz="4" w:space="0" w:color="A6A6A6" w:themeColor="accent6" w:themeShade="A6"/>
              <w:left w:val="single" w:sz="4" w:space="0" w:color="A6A6A6" w:themeColor="accent6" w:themeShade="A6"/>
              <w:bottom w:val="single" w:sz="12" w:space="0" w:color="5C2A8A"/>
              <w:right w:val="single" w:sz="4" w:space="0" w:color="A6A6A6" w:themeColor="accent6" w:themeShade="A6"/>
            </w:tcBorders>
            <w:shd w:val="clear" w:color="000000" w:fill="F2F2F2"/>
            <w:vAlign w:val="center"/>
            <w:hideMark/>
          </w:tcPr>
          <w:p w14:paraId="44ABB7F0" w14:textId="77777777" w:rsidR="00DF73C0" w:rsidRPr="00D757E4" w:rsidRDefault="00DF73C0" w:rsidP="00E67800">
            <w:pPr>
              <w:spacing w:before="50" w:after="50" w:line="228" w:lineRule="auto"/>
              <w:rPr>
                <w:rFonts w:eastAsia="Times New Roman" w:cs="Arial"/>
                <w:b/>
                <w:bCs/>
                <w:sz w:val="18"/>
                <w:szCs w:val="18"/>
                <w:lang w:eastAsia="en-GB"/>
              </w:rPr>
            </w:pPr>
            <w:r w:rsidRPr="00D757E4">
              <w:rPr>
                <w:rFonts w:eastAsia="Times New Roman" w:cs="Arial"/>
                <w:b/>
                <w:bCs/>
                <w:sz w:val="18"/>
                <w:szCs w:val="18"/>
                <w:lang w:eastAsia="en-GB"/>
              </w:rPr>
              <w:t>Total Risk Value £’000</w:t>
            </w:r>
          </w:p>
        </w:tc>
        <w:tc>
          <w:tcPr>
            <w:tcW w:w="1982" w:type="pct"/>
            <w:tcBorders>
              <w:top w:val="single" w:sz="4" w:space="0" w:color="A6A6A6" w:themeColor="accent6" w:themeShade="A6"/>
              <w:left w:val="single" w:sz="4" w:space="0" w:color="A6A6A6" w:themeColor="accent6" w:themeShade="A6"/>
              <w:bottom w:val="single" w:sz="12" w:space="0" w:color="5C2A8A"/>
              <w:right w:val="single" w:sz="4" w:space="0" w:color="A6A6A6" w:themeColor="accent6" w:themeShade="A6"/>
            </w:tcBorders>
            <w:shd w:val="clear" w:color="000000" w:fill="F2F2F2"/>
            <w:vAlign w:val="center"/>
          </w:tcPr>
          <w:p w14:paraId="0ABC43DD" w14:textId="77777777" w:rsidR="00DF73C0" w:rsidRPr="00D757E4" w:rsidRDefault="00DF73C0" w:rsidP="00E67800">
            <w:pPr>
              <w:spacing w:before="50" w:after="50" w:line="228" w:lineRule="auto"/>
              <w:jc w:val="center"/>
              <w:rPr>
                <w:rFonts w:eastAsia="Times New Roman" w:cs="Arial"/>
                <w:b/>
                <w:bCs/>
                <w:sz w:val="18"/>
                <w:szCs w:val="18"/>
                <w:lang w:eastAsia="en-GB"/>
              </w:rPr>
            </w:pPr>
            <w:r w:rsidRPr="00D757E4">
              <w:rPr>
                <w:rFonts w:eastAsia="Times New Roman" w:cs="Arial"/>
                <w:b/>
                <w:bCs/>
                <w:sz w:val="18"/>
                <w:szCs w:val="18"/>
                <w:lang w:eastAsia="en-GB"/>
              </w:rPr>
              <w:t>Does Not Apply</w:t>
            </w:r>
          </w:p>
        </w:tc>
        <w:tc>
          <w:tcPr>
            <w:tcW w:w="2300" w:type="pct"/>
            <w:tcBorders>
              <w:top w:val="single" w:sz="4" w:space="0" w:color="A6A6A6" w:themeColor="accent6" w:themeShade="A6"/>
              <w:left w:val="single" w:sz="4" w:space="0" w:color="A6A6A6" w:themeColor="accent6" w:themeShade="A6"/>
              <w:bottom w:val="single" w:sz="12" w:space="0" w:color="5C2A8A"/>
              <w:right w:val="single" w:sz="4" w:space="0" w:color="A6A6A6" w:themeColor="accent6" w:themeShade="A6"/>
            </w:tcBorders>
            <w:shd w:val="clear" w:color="000000" w:fill="F2F2F2"/>
            <w:vAlign w:val="center"/>
          </w:tcPr>
          <w:p w14:paraId="7384284F" w14:textId="77777777" w:rsidR="00DF73C0" w:rsidRPr="00D757E4" w:rsidRDefault="00DF73C0" w:rsidP="00E67800">
            <w:pPr>
              <w:spacing w:before="50" w:after="50" w:line="228" w:lineRule="auto"/>
              <w:jc w:val="center"/>
              <w:rPr>
                <w:rFonts w:eastAsia="Times New Roman" w:cs="Arial"/>
                <w:b/>
                <w:bCs/>
                <w:sz w:val="18"/>
                <w:szCs w:val="18"/>
                <w:lang w:eastAsia="en-GB"/>
              </w:rPr>
            </w:pPr>
            <w:r>
              <w:rPr>
                <w:rFonts w:eastAsia="Times New Roman" w:cs="Arial"/>
                <w:b/>
                <w:bCs/>
                <w:sz w:val="18"/>
                <w:szCs w:val="18"/>
                <w:lang w:eastAsia="en-GB"/>
              </w:rPr>
              <w:t>4,511</w:t>
            </w:r>
          </w:p>
        </w:tc>
      </w:tr>
    </w:tbl>
    <w:p w14:paraId="3D8709A3" w14:textId="77777777" w:rsidR="00DF73C0" w:rsidRPr="00CB4ED1" w:rsidRDefault="00DF73C0" w:rsidP="00DF73C0"/>
    <w:p w14:paraId="00897E32" w14:textId="77777777" w:rsidR="00DF73C0" w:rsidRPr="00CB4ED1" w:rsidRDefault="00DF73C0" w:rsidP="00DF73C0">
      <w:pPr>
        <w:pStyle w:val="Heading2"/>
        <w:snapToGrid w:val="0"/>
      </w:pPr>
      <w:bookmarkStart w:id="203" w:name="_Toc213775093"/>
      <w:bookmarkStart w:id="204" w:name="_Toc213865243"/>
      <w:r w:rsidRPr="00CB4ED1">
        <w:t>Economic appraisal</w:t>
      </w:r>
      <w:bookmarkEnd w:id="178"/>
      <w:bookmarkEnd w:id="190"/>
      <w:bookmarkEnd w:id="191"/>
      <w:bookmarkEnd w:id="203"/>
      <w:bookmarkEnd w:id="204"/>
    </w:p>
    <w:p w14:paraId="35BAFEAF" w14:textId="77777777" w:rsidR="00DF73C0" w:rsidRPr="00CB4ED1" w:rsidRDefault="00DF73C0" w:rsidP="00DF73C0">
      <w:r w:rsidRPr="00CB4ED1">
        <w:t>The Comprehensive Investment Appraisal (CIA) model has been populated with the assumptions outlined above to support the appraisal of overall value for money by producing a cost-benefit analysis of the shortlisted options.</w:t>
      </w:r>
    </w:p>
    <w:p w14:paraId="61C95418" w14:textId="77777777" w:rsidR="00DF73C0" w:rsidRPr="00CB4ED1" w:rsidRDefault="00DF73C0" w:rsidP="00DF73C0">
      <w:r w:rsidRPr="00CB4ED1">
        <w:t>The assumptions above have been incorporated into a discounted cash flow for each of the costs, benefits and risks are calculated over a 6</w:t>
      </w:r>
      <w:r>
        <w:t>4</w:t>
      </w:r>
      <w:r w:rsidRPr="00CB4ED1">
        <w:t xml:space="preserve">-year appraisal period including Year 0 (base year) + </w:t>
      </w:r>
      <w:r>
        <w:t>~ 3</w:t>
      </w:r>
      <w:r w:rsidRPr="00CB4ED1">
        <w:t xml:space="preserve"> years construction</w:t>
      </w:r>
      <w:r>
        <w:t xml:space="preserve"> and commissioning</w:t>
      </w:r>
      <w:r w:rsidRPr="00CB4ED1">
        <w:t xml:space="preserve"> + 60 years estimated useful life.</w:t>
      </w:r>
    </w:p>
    <w:p w14:paraId="03ABFDD4" w14:textId="77777777" w:rsidR="00DF73C0" w:rsidRPr="00CB4ED1" w:rsidRDefault="00DF73C0" w:rsidP="00DF73C0">
      <w:pPr>
        <w:pStyle w:val="bullets1"/>
      </w:pPr>
      <w:r w:rsidRPr="00CB4ED1">
        <w:t>Year 0 is 2025/26</w:t>
      </w:r>
    </w:p>
    <w:p w14:paraId="78357113" w14:textId="77777777" w:rsidR="00DF73C0" w:rsidRPr="00CB4ED1" w:rsidRDefault="00DF73C0" w:rsidP="00DF73C0">
      <w:pPr>
        <w:pStyle w:val="bullets1"/>
      </w:pPr>
      <w:r w:rsidRPr="00CB4ED1">
        <w:t xml:space="preserve">Costs and benefits use real base year prices – all costs are expressed at 2025/26 prices in line with the baseline costs. </w:t>
      </w:r>
    </w:p>
    <w:p w14:paraId="353FD58C" w14:textId="77777777" w:rsidR="00DF73C0" w:rsidRPr="00CB4ED1" w:rsidRDefault="00DF73C0" w:rsidP="00DF73C0">
      <w:pPr>
        <w:pStyle w:val="NoSpacing"/>
      </w:pPr>
    </w:p>
    <w:p w14:paraId="6CF02835" w14:textId="77777777" w:rsidR="00DF73C0" w:rsidRPr="00CB4ED1" w:rsidRDefault="00DF73C0" w:rsidP="00DF73C0">
      <w:r w:rsidRPr="00CB4ED1">
        <w:t>The following costs are excluded from the economic appraisal:</w:t>
      </w:r>
    </w:p>
    <w:tbl>
      <w:tblPr>
        <w:tblW w:w="5100" w:type="pct"/>
        <w:tblInd w:w="-113" w:type="dxa"/>
        <w:tblLayout w:type="fixed"/>
        <w:tblLook w:val="04A0" w:firstRow="1" w:lastRow="0" w:firstColumn="1" w:lastColumn="0" w:noHBand="0" w:noVBand="1"/>
      </w:tblPr>
      <w:tblGrid>
        <w:gridCol w:w="5075"/>
        <w:gridCol w:w="4756"/>
      </w:tblGrid>
      <w:tr w:rsidR="00DF73C0" w:rsidRPr="00CB4ED1" w14:paraId="07962989" w14:textId="77777777" w:rsidTr="00E67800">
        <w:tc>
          <w:tcPr>
            <w:tcW w:w="5075" w:type="dxa"/>
          </w:tcPr>
          <w:p w14:paraId="54437CFA" w14:textId="77777777" w:rsidR="00DF73C0" w:rsidRPr="00CB4ED1" w:rsidRDefault="00DF73C0" w:rsidP="00E67800">
            <w:pPr>
              <w:pStyle w:val="bullets1"/>
              <w:rPr>
                <w:lang w:eastAsia="zh-CN"/>
              </w:rPr>
            </w:pPr>
            <w:r w:rsidRPr="00CB4ED1">
              <w:rPr>
                <w:lang w:eastAsia="zh-CN"/>
              </w:rPr>
              <w:t xml:space="preserve">Exchequer </w:t>
            </w:r>
            <w:r w:rsidRPr="00CB4ED1">
              <w:rPr>
                <w:b/>
                <w:bCs/>
                <w:i/>
                <w:iCs/>
                <w:lang w:eastAsia="zh-CN"/>
              </w:rPr>
              <w:t>transfer</w:t>
            </w:r>
            <w:r w:rsidRPr="00CB4ED1">
              <w:rPr>
                <w:lang w:eastAsia="zh-CN"/>
              </w:rPr>
              <w:t xml:space="preserve"> payments, such as VAT</w:t>
            </w:r>
          </w:p>
          <w:p w14:paraId="3C1E693F" w14:textId="77777777" w:rsidR="00DF73C0" w:rsidRPr="00CB4ED1" w:rsidRDefault="00DF73C0" w:rsidP="00E67800">
            <w:pPr>
              <w:pStyle w:val="bullets1"/>
              <w:rPr>
                <w:lang w:eastAsia="zh-CN"/>
              </w:rPr>
            </w:pPr>
            <w:r w:rsidRPr="00CB4ED1">
              <w:rPr>
                <w:lang w:eastAsia="zh-CN"/>
              </w:rPr>
              <w:t>General inflation</w:t>
            </w:r>
          </w:p>
          <w:p w14:paraId="75B87B56" w14:textId="77777777" w:rsidR="00DF73C0" w:rsidRPr="00CB4ED1" w:rsidRDefault="00DF73C0" w:rsidP="00E67800">
            <w:pPr>
              <w:pStyle w:val="bullets1"/>
            </w:pPr>
            <w:r w:rsidRPr="00CB4ED1">
              <w:rPr>
                <w:lang w:eastAsia="zh-CN"/>
              </w:rPr>
              <w:t>Sunk costs</w:t>
            </w:r>
          </w:p>
        </w:tc>
        <w:tc>
          <w:tcPr>
            <w:tcW w:w="4756" w:type="dxa"/>
          </w:tcPr>
          <w:p w14:paraId="41609032" w14:textId="77777777" w:rsidR="00DF73C0" w:rsidRPr="00CB4ED1" w:rsidRDefault="00DF73C0" w:rsidP="00E67800">
            <w:pPr>
              <w:pStyle w:val="bullets1"/>
              <w:rPr>
                <w:lang w:eastAsia="zh-CN"/>
              </w:rPr>
            </w:pPr>
            <w:r w:rsidRPr="00CB4ED1">
              <w:rPr>
                <w:lang w:eastAsia="zh-CN"/>
              </w:rPr>
              <w:t>Non-cash items such as depreciation and impairments</w:t>
            </w:r>
          </w:p>
          <w:p w14:paraId="3088B50B" w14:textId="77777777" w:rsidR="00DF73C0" w:rsidRPr="00CB4ED1" w:rsidRDefault="00DF73C0" w:rsidP="00E67800">
            <w:pPr>
              <w:pStyle w:val="bullets1"/>
            </w:pPr>
            <w:r w:rsidRPr="00CB4ED1">
              <w:t>A discount rate of 3.5% is applied to years 1-30, 3.0% from year 31 onwards.</w:t>
            </w:r>
          </w:p>
        </w:tc>
      </w:tr>
    </w:tbl>
    <w:p w14:paraId="26C42BA3" w14:textId="77777777" w:rsidR="00DF73C0" w:rsidRPr="00CB4ED1" w:rsidRDefault="00DF73C0" w:rsidP="00DF73C0">
      <w:pPr>
        <w:rPr>
          <w:rFonts w:cs="Arial"/>
        </w:rPr>
      </w:pPr>
      <w:r w:rsidRPr="00CB4ED1">
        <w:rPr>
          <w:rFonts w:cs="Arial"/>
        </w:rPr>
        <w:t xml:space="preserve">The economic summary is provided in the table below and a copy of the CIA model is provided in </w:t>
      </w:r>
      <w:r w:rsidRPr="00F338F9">
        <w:rPr>
          <w:rFonts w:cs="Arial"/>
        </w:rPr>
        <w:t>Appendix 9.</w:t>
      </w:r>
    </w:p>
    <w:p w14:paraId="255AC6AF" w14:textId="77777777" w:rsidR="008A14A7" w:rsidRDefault="008A14A7">
      <w:pPr>
        <w:spacing w:after="160" w:line="259" w:lineRule="auto"/>
        <w:rPr>
          <w:i/>
          <w:iCs/>
          <w:color w:val="29314A" w:themeColor="text2" w:themeShade="BF"/>
          <w:szCs w:val="18"/>
        </w:rPr>
      </w:pPr>
      <w:bookmarkStart w:id="205" w:name="_Toc133489143"/>
      <w:bookmarkStart w:id="206" w:name="_Toc158978210"/>
      <w:bookmarkStart w:id="207" w:name="_Toc213775147"/>
      <w:r>
        <w:br w:type="page"/>
      </w:r>
    </w:p>
    <w:p w14:paraId="4ECACEE7" w14:textId="433A71E7" w:rsidR="00DF73C0" w:rsidRPr="00CB4ED1" w:rsidRDefault="00DF73C0" w:rsidP="00DF73C0">
      <w:pPr>
        <w:pStyle w:val="Caption"/>
        <w:rPr>
          <w:noProof w:val="0"/>
        </w:rPr>
      </w:pPr>
      <w:bookmarkStart w:id="208" w:name="_Toc213865299"/>
      <w:r w:rsidRPr="00CB4ED1">
        <w:rPr>
          <w:noProof w:val="0"/>
        </w:rPr>
        <w:lastRenderedPageBreak/>
        <w:t xml:space="preserve">Table </w:t>
      </w:r>
      <w:r w:rsidRPr="00CB4ED1">
        <w:rPr>
          <w:noProof w:val="0"/>
        </w:rPr>
        <w:fldChar w:fldCharType="begin"/>
      </w:r>
      <w:r w:rsidRPr="00CB4ED1">
        <w:rPr>
          <w:noProof w:val="0"/>
          <w:highlight w:val="darkGray"/>
        </w:rPr>
        <w:instrText xml:space="preserve"> SEQ Table \* ARABIC </w:instrText>
      </w:r>
      <w:r w:rsidRPr="00CB4ED1">
        <w:rPr>
          <w:noProof w:val="0"/>
        </w:rPr>
        <w:fldChar w:fldCharType="separate"/>
      </w:r>
      <w:r w:rsidR="004A33ED">
        <w:rPr>
          <w:highlight w:val="darkGray"/>
        </w:rPr>
        <w:t>19</w:t>
      </w:r>
      <w:r w:rsidRPr="00CB4ED1">
        <w:rPr>
          <w:noProof w:val="0"/>
        </w:rPr>
        <w:fldChar w:fldCharType="end"/>
      </w:r>
      <w:r w:rsidRPr="00CB4ED1">
        <w:rPr>
          <w:noProof w:val="0"/>
        </w:rPr>
        <w:t xml:space="preserve"> </w:t>
      </w:r>
      <w:bookmarkEnd w:id="205"/>
      <w:bookmarkEnd w:id="206"/>
      <w:r w:rsidRPr="00CB4ED1">
        <w:rPr>
          <w:noProof w:val="0"/>
        </w:rPr>
        <w:t>- Economic summary</w:t>
      </w:r>
      <w:bookmarkEnd w:id="207"/>
      <w:bookmarkEnd w:id="208"/>
    </w:p>
    <w:tbl>
      <w:tblPr>
        <w:tblW w:w="5100" w:type="pct"/>
        <w:tblInd w:w="-113"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4A0" w:firstRow="1" w:lastRow="0" w:firstColumn="1" w:lastColumn="0" w:noHBand="0" w:noVBand="1"/>
      </w:tblPr>
      <w:tblGrid>
        <w:gridCol w:w="5909"/>
        <w:gridCol w:w="1956"/>
        <w:gridCol w:w="1956"/>
      </w:tblGrid>
      <w:tr w:rsidR="00DF73C0" w:rsidRPr="00CB4ED1" w14:paraId="55C8EFE2" w14:textId="77777777" w:rsidTr="00E67800">
        <w:trPr>
          <w:tblHeader/>
        </w:trPr>
        <w:tc>
          <w:tcPr>
            <w:tcW w:w="3008" w:type="pct"/>
            <w:shd w:val="clear" w:color="auto" w:fill="374264" w:themeFill="text2"/>
            <w:vAlign w:val="center"/>
          </w:tcPr>
          <w:p w14:paraId="557040B8" w14:textId="77777777" w:rsidR="00DF73C0" w:rsidRPr="00CB4ED1" w:rsidRDefault="00DF73C0" w:rsidP="00E67800">
            <w:pPr>
              <w:pStyle w:val="tableheading"/>
              <w:rPr>
                <w:color w:val="FFFFFF" w:themeColor="background1"/>
                <w:sz w:val="18"/>
                <w:szCs w:val="18"/>
              </w:rPr>
            </w:pPr>
            <w:r w:rsidRPr="00CB4ED1">
              <w:rPr>
                <w:color w:val="FFFFFF" w:themeColor="background1"/>
                <w:sz w:val="18"/>
                <w:szCs w:val="18"/>
              </w:rPr>
              <w:t xml:space="preserve">Element </w:t>
            </w:r>
          </w:p>
        </w:tc>
        <w:tc>
          <w:tcPr>
            <w:tcW w:w="996" w:type="pct"/>
            <w:shd w:val="clear" w:color="auto" w:fill="374264" w:themeFill="text2"/>
            <w:vAlign w:val="center"/>
          </w:tcPr>
          <w:p w14:paraId="4E6FB3A7" w14:textId="77777777" w:rsidR="00DF73C0" w:rsidRPr="00CB4ED1" w:rsidRDefault="00DF73C0" w:rsidP="00E67800">
            <w:pPr>
              <w:pStyle w:val="tabletext"/>
              <w:jc w:val="center"/>
              <w:rPr>
                <w:color w:val="FFFFFF" w:themeColor="background1"/>
                <w:sz w:val="18"/>
                <w:szCs w:val="18"/>
              </w:rPr>
            </w:pPr>
            <w:r w:rsidRPr="00CB4ED1">
              <w:rPr>
                <w:rFonts w:cstheme="minorHAnsi"/>
                <w:b/>
                <w:color w:val="FFFFFF" w:themeColor="background1"/>
                <w:sz w:val="18"/>
                <w:szCs w:val="18"/>
              </w:rPr>
              <w:t xml:space="preserve">Option 0 - </w:t>
            </w:r>
            <w:r w:rsidRPr="00CB4ED1">
              <w:rPr>
                <w:rFonts w:cstheme="minorHAnsi"/>
                <w:color w:val="FFFFFF" w:themeColor="background1"/>
                <w:sz w:val="18"/>
                <w:szCs w:val="18"/>
              </w:rPr>
              <w:t>BAU</w:t>
            </w:r>
          </w:p>
          <w:p w14:paraId="2E4BDB38" w14:textId="77777777" w:rsidR="00DF73C0" w:rsidRPr="00CB4ED1" w:rsidRDefault="00DF73C0" w:rsidP="00E67800">
            <w:pPr>
              <w:pStyle w:val="tableheading"/>
              <w:jc w:val="center"/>
              <w:rPr>
                <w:color w:val="FFFFFF" w:themeColor="background1"/>
                <w:sz w:val="18"/>
                <w:szCs w:val="18"/>
              </w:rPr>
            </w:pPr>
            <w:r w:rsidRPr="00CB4ED1">
              <w:rPr>
                <w:color w:val="FFFFFF" w:themeColor="background1"/>
                <w:sz w:val="18"/>
                <w:szCs w:val="18"/>
              </w:rPr>
              <w:t>£’000</w:t>
            </w:r>
          </w:p>
        </w:tc>
        <w:tc>
          <w:tcPr>
            <w:tcW w:w="996" w:type="pct"/>
            <w:shd w:val="clear" w:color="auto" w:fill="374264" w:themeFill="text2"/>
            <w:vAlign w:val="center"/>
          </w:tcPr>
          <w:p w14:paraId="2F25CD1C" w14:textId="77777777" w:rsidR="00DF73C0" w:rsidRPr="00CB4ED1" w:rsidRDefault="00DF73C0" w:rsidP="00E67800">
            <w:pPr>
              <w:pStyle w:val="tabletext"/>
              <w:jc w:val="center"/>
              <w:rPr>
                <w:rFonts w:cstheme="minorHAnsi"/>
                <w:b/>
                <w:color w:val="FFFFFF" w:themeColor="background1"/>
                <w:sz w:val="18"/>
                <w:szCs w:val="18"/>
              </w:rPr>
            </w:pPr>
            <w:r w:rsidRPr="00CB4ED1">
              <w:rPr>
                <w:rFonts w:cstheme="minorHAnsi"/>
                <w:b/>
                <w:color w:val="FFFFFF" w:themeColor="background1"/>
                <w:sz w:val="18"/>
                <w:szCs w:val="18"/>
              </w:rPr>
              <w:t xml:space="preserve">Option 1 - </w:t>
            </w:r>
            <w:r w:rsidRPr="00CB4ED1">
              <w:rPr>
                <w:b/>
                <w:color w:val="FFFFFF" w:themeColor="background1"/>
                <w:sz w:val="18"/>
                <w:szCs w:val="20"/>
              </w:rPr>
              <w:t>PWF</w:t>
            </w:r>
          </w:p>
          <w:p w14:paraId="583A75E0" w14:textId="77777777" w:rsidR="00DF73C0" w:rsidRPr="00CB4ED1" w:rsidRDefault="00DF73C0" w:rsidP="00E67800">
            <w:pPr>
              <w:pStyle w:val="tableheading"/>
              <w:jc w:val="center"/>
              <w:rPr>
                <w:rFonts w:cstheme="minorHAnsi"/>
                <w:b w:val="0"/>
                <w:color w:val="FFFFFF" w:themeColor="background1"/>
                <w:sz w:val="18"/>
                <w:szCs w:val="18"/>
              </w:rPr>
            </w:pPr>
            <w:r w:rsidRPr="00CB4ED1">
              <w:rPr>
                <w:color w:val="FFFFFF" w:themeColor="background1"/>
                <w:sz w:val="18"/>
                <w:szCs w:val="18"/>
              </w:rPr>
              <w:t>£’000</w:t>
            </w:r>
          </w:p>
        </w:tc>
      </w:tr>
      <w:tr w:rsidR="00075508" w:rsidRPr="00CB4ED1" w14:paraId="0F9081C2" w14:textId="77777777" w:rsidTr="00E67800">
        <w:tc>
          <w:tcPr>
            <w:tcW w:w="3008" w:type="pct"/>
            <w:vAlign w:val="center"/>
          </w:tcPr>
          <w:p w14:paraId="18A7A551" w14:textId="77777777" w:rsidR="00075508" w:rsidRPr="00CB4ED1" w:rsidRDefault="00075508" w:rsidP="00075508">
            <w:pPr>
              <w:pStyle w:val="tabletext"/>
              <w:rPr>
                <w:sz w:val="18"/>
                <w:szCs w:val="18"/>
              </w:rPr>
            </w:pPr>
            <w:r w:rsidRPr="00CB4ED1">
              <w:rPr>
                <w:rFonts w:cs="Arial"/>
                <w:color w:val="000000"/>
                <w:sz w:val="18"/>
                <w:szCs w:val="18"/>
              </w:rPr>
              <w:t>Capital Expenditure (discounted)</w:t>
            </w:r>
          </w:p>
        </w:tc>
        <w:tc>
          <w:tcPr>
            <w:tcW w:w="996" w:type="pct"/>
            <w:vAlign w:val="center"/>
          </w:tcPr>
          <w:p w14:paraId="727DE3B2" w14:textId="6CD1BDFC" w:rsidR="00075508" w:rsidRPr="00CB4ED1" w:rsidRDefault="00075508" w:rsidP="00075508">
            <w:pPr>
              <w:pStyle w:val="tabletext"/>
              <w:jc w:val="right"/>
              <w:rPr>
                <w:sz w:val="18"/>
                <w:szCs w:val="18"/>
              </w:rPr>
            </w:pPr>
            <w:r>
              <w:rPr>
                <w:rFonts w:cs="Arial"/>
                <w:color w:val="000000"/>
                <w:sz w:val="18"/>
                <w:szCs w:val="18"/>
              </w:rPr>
              <w:t>-7,102</w:t>
            </w:r>
          </w:p>
        </w:tc>
        <w:tc>
          <w:tcPr>
            <w:tcW w:w="996" w:type="pct"/>
            <w:vAlign w:val="center"/>
          </w:tcPr>
          <w:p w14:paraId="62952A9C" w14:textId="4F786DE1" w:rsidR="00075508" w:rsidRPr="00CB4ED1" w:rsidRDefault="00075508" w:rsidP="00075508">
            <w:pPr>
              <w:pStyle w:val="tabletext"/>
              <w:jc w:val="right"/>
              <w:rPr>
                <w:sz w:val="18"/>
                <w:szCs w:val="18"/>
              </w:rPr>
            </w:pPr>
            <w:r>
              <w:rPr>
                <w:rFonts w:cs="Arial"/>
                <w:color w:val="000000"/>
                <w:sz w:val="18"/>
                <w:szCs w:val="18"/>
              </w:rPr>
              <w:t>-166,999</w:t>
            </w:r>
          </w:p>
        </w:tc>
      </w:tr>
      <w:tr w:rsidR="00075508" w:rsidRPr="00CB4ED1" w14:paraId="613D8E7A" w14:textId="77777777" w:rsidTr="00E67800">
        <w:tc>
          <w:tcPr>
            <w:tcW w:w="3008" w:type="pct"/>
            <w:vAlign w:val="center"/>
          </w:tcPr>
          <w:p w14:paraId="35CEB636" w14:textId="77777777" w:rsidR="00075508" w:rsidRPr="00CB4ED1" w:rsidRDefault="00075508" w:rsidP="00075508">
            <w:pPr>
              <w:pStyle w:val="tabletext"/>
              <w:rPr>
                <w:sz w:val="18"/>
                <w:szCs w:val="18"/>
              </w:rPr>
            </w:pPr>
            <w:r w:rsidRPr="00CB4ED1">
              <w:rPr>
                <w:rFonts w:cs="Arial"/>
                <w:color w:val="000000"/>
                <w:sz w:val="18"/>
                <w:szCs w:val="18"/>
              </w:rPr>
              <w:t>Revenue Expenditure (discounted)</w:t>
            </w:r>
          </w:p>
        </w:tc>
        <w:tc>
          <w:tcPr>
            <w:tcW w:w="996" w:type="pct"/>
            <w:vAlign w:val="center"/>
          </w:tcPr>
          <w:p w14:paraId="5630FB13" w14:textId="0615DBE1" w:rsidR="00075508" w:rsidRPr="00CB4ED1" w:rsidRDefault="00075508" w:rsidP="00075508">
            <w:pPr>
              <w:pStyle w:val="tabletext"/>
              <w:jc w:val="right"/>
              <w:rPr>
                <w:sz w:val="18"/>
                <w:szCs w:val="18"/>
              </w:rPr>
            </w:pPr>
            <w:r>
              <w:rPr>
                <w:rFonts w:cs="Arial"/>
                <w:color w:val="000000"/>
                <w:sz w:val="18"/>
                <w:szCs w:val="18"/>
              </w:rPr>
              <w:t>-195,276</w:t>
            </w:r>
          </w:p>
        </w:tc>
        <w:tc>
          <w:tcPr>
            <w:tcW w:w="996" w:type="pct"/>
            <w:vAlign w:val="center"/>
          </w:tcPr>
          <w:p w14:paraId="301CF05B" w14:textId="2FCB2936" w:rsidR="00075508" w:rsidRPr="00CB4ED1" w:rsidRDefault="00075508" w:rsidP="00075508">
            <w:pPr>
              <w:pStyle w:val="tabletext"/>
              <w:jc w:val="right"/>
              <w:rPr>
                <w:sz w:val="18"/>
                <w:szCs w:val="18"/>
              </w:rPr>
            </w:pPr>
            <w:r>
              <w:rPr>
                <w:rFonts w:cs="Arial"/>
                <w:color w:val="000000"/>
                <w:sz w:val="18"/>
                <w:szCs w:val="18"/>
              </w:rPr>
              <w:t>-951,968</w:t>
            </w:r>
          </w:p>
        </w:tc>
      </w:tr>
      <w:tr w:rsidR="00075508" w:rsidRPr="00CB4ED1" w14:paraId="70E970A8" w14:textId="77777777" w:rsidTr="00E67800">
        <w:tc>
          <w:tcPr>
            <w:tcW w:w="3008" w:type="pct"/>
            <w:vAlign w:val="center"/>
          </w:tcPr>
          <w:p w14:paraId="118FB9BC" w14:textId="77777777" w:rsidR="00075508" w:rsidRPr="00CB4ED1" w:rsidRDefault="00075508" w:rsidP="00075508">
            <w:pPr>
              <w:pStyle w:val="tabletext"/>
              <w:rPr>
                <w:rFonts w:cs="Arial"/>
                <w:color w:val="000000"/>
                <w:sz w:val="18"/>
                <w:szCs w:val="18"/>
              </w:rPr>
            </w:pPr>
            <w:r>
              <w:rPr>
                <w:rFonts w:cs="Arial"/>
                <w:color w:val="000000"/>
                <w:sz w:val="18"/>
                <w:szCs w:val="18"/>
              </w:rPr>
              <w:t>Operational Risks (discounted)</w:t>
            </w:r>
          </w:p>
        </w:tc>
        <w:tc>
          <w:tcPr>
            <w:tcW w:w="996" w:type="pct"/>
            <w:vAlign w:val="center"/>
          </w:tcPr>
          <w:p w14:paraId="51D52BDA" w14:textId="26794D00" w:rsidR="00075508" w:rsidRDefault="00075508" w:rsidP="00075508">
            <w:pPr>
              <w:pStyle w:val="tabletext"/>
              <w:jc w:val="right"/>
              <w:rPr>
                <w:rFonts w:cs="Arial"/>
                <w:color w:val="000000"/>
                <w:sz w:val="18"/>
                <w:szCs w:val="18"/>
              </w:rPr>
            </w:pPr>
            <w:r>
              <w:rPr>
                <w:rFonts w:cs="Arial"/>
                <w:color w:val="000000"/>
                <w:sz w:val="18"/>
                <w:szCs w:val="18"/>
              </w:rPr>
              <w:t>0</w:t>
            </w:r>
          </w:p>
        </w:tc>
        <w:tc>
          <w:tcPr>
            <w:tcW w:w="996" w:type="pct"/>
            <w:vAlign w:val="center"/>
          </w:tcPr>
          <w:p w14:paraId="7A0019C4" w14:textId="0905633E" w:rsidR="00075508" w:rsidRDefault="00075508" w:rsidP="00075508">
            <w:pPr>
              <w:pStyle w:val="tabletext"/>
              <w:jc w:val="right"/>
              <w:rPr>
                <w:rFonts w:cs="Arial"/>
                <w:color w:val="000000"/>
                <w:sz w:val="18"/>
                <w:szCs w:val="18"/>
              </w:rPr>
            </w:pPr>
            <w:r>
              <w:rPr>
                <w:rFonts w:cs="Arial"/>
                <w:color w:val="000000"/>
                <w:sz w:val="18"/>
                <w:szCs w:val="18"/>
              </w:rPr>
              <w:t>-4,848</w:t>
            </w:r>
          </w:p>
        </w:tc>
      </w:tr>
      <w:tr w:rsidR="00075508" w:rsidRPr="00CB4ED1" w14:paraId="63EAD93F" w14:textId="77777777" w:rsidTr="00E67800">
        <w:tc>
          <w:tcPr>
            <w:tcW w:w="3008" w:type="pct"/>
            <w:shd w:val="clear" w:color="auto" w:fill="D9D9D9" w:themeFill="background1" w:themeFillShade="D9"/>
            <w:vAlign w:val="center"/>
          </w:tcPr>
          <w:p w14:paraId="4693D1FF" w14:textId="77777777" w:rsidR="00075508" w:rsidRPr="00CB4ED1" w:rsidRDefault="00075508" w:rsidP="00075508">
            <w:pPr>
              <w:pStyle w:val="tabletext"/>
              <w:rPr>
                <w:b/>
                <w:sz w:val="18"/>
                <w:szCs w:val="18"/>
              </w:rPr>
            </w:pPr>
            <w:r w:rsidRPr="00CB4ED1">
              <w:rPr>
                <w:rFonts w:cs="Arial"/>
                <w:b/>
                <w:bCs/>
                <w:color w:val="000000"/>
                <w:sz w:val="18"/>
                <w:szCs w:val="18"/>
              </w:rPr>
              <w:t>Risk-adjusted Present Cost</w:t>
            </w:r>
          </w:p>
        </w:tc>
        <w:tc>
          <w:tcPr>
            <w:tcW w:w="996" w:type="pct"/>
            <w:shd w:val="clear" w:color="auto" w:fill="D9D9D9" w:themeFill="background1" w:themeFillShade="D9"/>
            <w:vAlign w:val="center"/>
          </w:tcPr>
          <w:p w14:paraId="2FEBEBF2" w14:textId="246E5763" w:rsidR="00075508" w:rsidRPr="00CB4ED1" w:rsidRDefault="00075508" w:rsidP="00075508">
            <w:pPr>
              <w:pStyle w:val="tabletext"/>
              <w:jc w:val="right"/>
              <w:rPr>
                <w:b/>
                <w:sz w:val="18"/>
                <w:szCs w:val="18"/>
              </w:rPr>
            </w:pPr>
            <w:r>
              <w:rPr>
                <w:rFonts w:cs="Arial"/>
                <w:b/>
                <w:bCs/>
                <w:color w:val="000000"/>
                <w:sz w:val="18"/>
                <w:szCs w:val="18"/>
              </w:rPr>
              <w:t>-202,377</w:t>
            </w:r>
          </w:p>
        </w:tc>
        <w:tc>
          <w:tcPr>
            <w:tcW w:w="996" w:type="pct"/>
            <w:shd w:val="clear" w:color="auto" w:fill="D9D9D9" w:themeFill="background1" w:themeFillShade="D9"/>
            <w:vAlign w:val="center"/>
          </w:tcPr>
          <w:p w14:paraId="08C76142" w14:textId="062C1F63" w:rsidR="00075508" w:rsidRPr="00CB4ED1" w:rsidRDefault="00075508" w:rsidP="00075508">
            <w:pPr>
              <w:pStyle w:val="tabletext"/>
              <w:jc w:val="right"/>
              <w:rPr>
                <w:b/>
                <w:sz w:val="18"/>
                <w:szCs w:val="18"/>
              </w:rPr>
            </w:pPr>
            <w:r>
              <w:rPr>
                <w:rFonts w:cs="Arial"/>
                <w:b/>
                <w:bCs/>
                <w:color w:val="000000"/>
                <w:sz w:val="18"/>
                <w:szCs w:val="18"/>
              </w:rPr>
              <w:t>-1,123,816</w:t>
            </w:r>
          </w:p>
        </w:tc>
      </w:tr>
      <w:tr w:rsidR="00075508" w:rsidRPr="00CB4ED1" w14:paraId="7F3C4504" w14:textId="77777777" w:rsidTr="00E67800">
        <w:tc>
          <w:tcPr>
            <w:tcW w:w="3008" w:type="pct"/>
            <w:vAlign w:val="center"/>
          </w:tcPr>
          <w:p w14:paraId="439D2F89" w14:textId="77777777" w:rsidR="00075508" w:rsidRPr="00CB4ED1" w:rsidRDefault="00075508" w:rsidP="00075508">
            <w:pPr>
              <w:pStyle w:val="tabletext"/>
              <w:rPr>
                <w:sz w:val="18"/>
                <w:szCs w:val="18"/>
              </w:rPr>
            </w:pPr>
            <w:r w:rsidRPr="00CB4ED1">
              <w:rPr>
                <w:rFonts w:cs="Arial"/>
                <w:color w:val="000000"/>
                <w:sz w:val="18"/>
                <w:szCs w:val="18"/>
              </w:rPr>
              <w:t>Cash releasing benefits (discounted)</w:t>
            </w:r>
          </w:p>
        </w:tc>
        <w:tc>
          <w:tcPr>
            <w:tcW w:w="996" w:type="pct"/>
            <w:vAlign w:val="center"/>
          </w:tcPr>
          <w:p w14:paraId="003578F5" w14:textId="187FEB44" w:rsidR="00075508" w:rsidRPr="00CB4ED1" w:rsidRDefault="00075508" w:rsidP="00075508">
            <w:pPr>
              <w:pStyle w:val="tabletext"/>
              <w:jc w:val="right"/>
              <w:rPr>
                <w:sz w:val="18"/>
                <w:szCs w:val="18"/>
              </w:rPr>
            </w:pPr>
            <w:r>
              <w:rPr>
                <w:rFonts w:cs="Arial"/>
                <w:color w:val="000000"/>
                <w:sz w:val="18"/>
                <w:szCs w:val="18"/>
              </w:rPr>
              <w:t>0</w:t>
            </w:r>
          </w:p>
        </w:tc>
        <w:tc>
          <w:tcPr>
            <w:tcW w:w="996" w:type="pct"/>
            <w:vAlign w:val="center"/>
          </w:tcPr>
          <w:p w14:paraId="1E6E0ED8" w14:textId="5CF6CD2E" w:rsidR="00075508" w:rsidRPr="00CB4ED1" w:rsidRDefault="00075508" w:rsidP="00075508">
            <w:pPr>
              <w:pStyle w:val="tabletext"/>
              <w:jc w:val="right"/>
              <w:rPr>
                <w:sz w:val="18"/>
                <w:szCs w:val="18"/>
              </w:rPr>
            </w:pPr>
            <w:r>
              <w:rPr>
                <w:rFonts w:cs="Arial"/>
                <w:color w:val="000000"/>
                <w:sz w:val="18"/>
                <w:szCs w:val="18"/>
              </w:rPr>
              <w:t>0</w:t>
            </w:r>
          </w:p>
        </w:tc>
      </w:tr>
      <w:tr w:rsidR="00075508" w:rsidRPr="00CB4ED1" w14:paraId="3D52AF27" w14:textId="77777777" w:rsidTr="00E67800">
        <w:tc>
          <w:tcPr>
            <w:tcW w:w="3008" w:type="pct"/>
            <w:vAlign w:val="center"/>
          </w:tcPr>
          <w:p w14:paraId="46309CCB" w14:textId="77777777" w:rsidR="00075508" w:rsidRPr="00CB4ED1" w:rsidRDefault="00075508" w:rsidP="00075508">
            <w:pPr>
              <w:pStyle w:val="tabletext"/>
              <w:rPr>
                <w:sz w:val="18"/>
                <w:szCs w:val="18"/>
              </w:rPr>
            </w:pPr>
            <w:r w:rsidRPr="00CB4ED1">
              <w:rPr>
                <w:rFonts w:cs="Arial"/>
                <w:color w:val="000000"/>
                <w:sz w:val="18"/>
                <w:szCs w:val="18"/>
              </w:rPr>
              <w:t>Non-cash releasing benefits (discounted)</w:t>
            </w:r>
          </w:p>
        </w:tc>
        <w:tc>
          <w:tcPr>
            <w:tcW w:w="996" w:type="pct"/>
            <w:vAlign w:val="center"/>
          </w:tcPr>
          <w:p w14:paraId="51FBF8C7" w14:textId="07065DDD" w:rsidR="00075508" w:rsidRPr="00CB4ED1" w:rsidRDefault="00075508" w:rsidP="00075508">
            <w:pPr>
              <w:pStyle w:val="tabletext"/>
              <w:jc w:val="right"/>
              <w:rPr>
                <w:sz w:val="18"/>
                <w:szCs w:val="18"/>
              </w:rPr>
            </w:pPr>
            <w:r>
              <w:rPr>
                <w:rFonts w:cs="Arial"/>
                <w:color w:val="000000"/>
                <w:sz w:val="18"/>
                <w:szCs w:val="18"/>
              </w:rPr>
              <w:t>0</w:t>
            </w:r>
          </w:p>
        </w:tc>
        <w:tc>
          <w:tcPr>
            <w:tcW w:w="996" w:type="pct"/>
            <w:vAlign w:val="center"/>
          </w:tcPr>
          <w:p w14:paraId="4A83CCC0" w14:textId="5F94697D" w:rsidR="00075508" w:rsidRPr="00CB4ED1" w:rsidRDefault="00075508" w:rsidP="00075508">
            <w:pPr>
              <w:pStyle w:val="tabletext"/>
              <w:jc w:val="right"/>
              <w:rPr>
                <w:sz w:val="18"/>
                <w:szCs w:val="18"/>
              </w:rPr>
            </w:pPr>
            <w:r>
              <w:rPr>
                <w:rFonts w:cs="Arial"/>
                <w:color w:val="000000"/>
                <w:sz w:val="18"/>
                <w:szCs w:val="18"/>
              </w:rPr>
              <w:t>19,929</w:t>
            </w:r>
          </w:p>
        </w:tc>
      </w:tr>
      <w:tr w:rsidR="00075508" w:rsidRPr="00CB4ED1" w14:paraId="146D8EE0" w14:textId="77777777" w:rsidTr="00E67800">
        <w:tc>
          <w:tcPr>
            <w:tcW w:w="3008" w:type="pct"/>
            <w:vAlign w:val="center"/>
          </w:tcPr>
          <w:p w14:paraId="281636FF" w14:textId="77777777" w:rsidR="00075508" w:rsidRPr="00CB4ED1" w:rsidRDefault="00075508" w:rsidP="00075508">
            <w:pPr>
              <w:pStyle w:val="tabletext"/>
              <w:rPr>
                <w:sz w:val="18"/>
                <w:szCs w:val="18"/>
              </w:rPr>
            </w:pPr>
            <w:r w:rsidRPr="00CB4ED1">
              <w:rPr>
                <w:rFonts w:cs="Arial"/>
                <w:color w:val="000000"/>
                <w:sz w:val="18"/>
                <w:szCs w:val="18"/>
              </w:rPr>
              <w:t>Societal Benefits (discounted)</w:t>
            </w:r>
          </w:p>
        </w:tc>
        <w:tc>
          <w:tcPr>
            <w:tcW w:w="996" w:type="pct"/>
            <w:vAlign w:val="center"/>
          </w:tcPr>
          <w:p w14:paraId="7748A794" w14:textId="1D43E229" w:rsidR="00075508" w:rsidRPr="00CB4ED1" w:rsidRDefault="00075508" w:rsidP="00075508">
            <w:pPr>
              <w:pStyle w:val="tabletext"/>
              <w:jc w:val="right"/>
              <w:rPr>
                <w:sz w:val="18"/>
                <w:szCs w:val="18"/>
              </w:rPr>
            </w:pPr>
            <w:r>
              <w:rPr>
                <w:rFonts w:cs="Arial"/>
                <w:color w:val="000000"/>
                <w:sz w:val="18"/>
                <w:szCs w:val="18"/>
              </w:rPr>
              <w:t>0</w:t>
            </w:r>
          </w:p>
        </w:tc>
        <w:tc>
          <w:tcPr>
            <w:tcW w:w="996" w:type="pct"/>
            <w:vAlign w:val="center"/>
          </w:tcPr>
          <w:p w14:paraId="3951DBE4" w14:textId="743DEBC4" w:rsidR="00075508" w:rsidRPr="00CB4ED1" w:rsidRDefault="00075508" w:rsidP="00075508">
            <w:pPr>
              <w:pStyle w:val="tabletext"/>
              <w:jc w:val="right"/>
              <w:rPr>
                <w:sz w:val="18"/>
                <w:szCs w:val="18"/>
              </w:rPr>
            </w:pPr>
            <w:r>
              <w:rPr>
                <w:rFonts w:cs="Arial"/>
                <w:color w:val="000000"/>
                <w:sz w:val="18"/>
                <w:szCs w:val="18"/>
              </w:rPr>
              <w:t>1,402,254</w:t>
            </w:r>
          </w:p>
        </w:tc>
      </w:tr>
      <w:tr w:rsidR="00075508" w:rsidRPr="00CB4ED1" w14:paraId="0EDDD2B1" w14:textId="77777777" w:rsidTr="00E67800">
        <w:tc>
          <w:tcPr>
            <w:tcW w:w="3008" w:type="pct"/>
            <w:shd w:val="clear" w:color="auto" w:fill="D9D9D9" w:themeFill="background1" w:themeFillShade="D9"/>
            <w:vAlign w:val="center"/>
          </w:tcPr>
          <w:p w14:paraId="4A0EE112" w14:textId="77777777" w:rsidR="00075508" w:rsidRPr="00CB4ED1" w:rsidRDefault="00075508" w:rsidP="00075508">
            <w:pPr>
              <w:pStyle w:val="tabletext"/>
              <w:rPr>
                <w:b/>
                <w:sz w:val="18"/>
                <w:szCs w:val="18"/>
              </w:rPr>
            </w:pPr>
            <w:r w:rsidRPr="00CB4ED1">
              <w:rPr>
                <w:rFonts w:cs="Arial"/>
                <w:b/>
                <w:bCs/>
                <w:color w:val="000000"/>
                <w:sz w:val="18"/>
                <w:szCs w:val="18"/>
              </w:rPr>
              <w:t>Total Benefits</w:t>
            </w:r>
          </w:p>
        </w:tc>
        <w:tc>
          <w:tcPr>
            <w:tcW w:w="996" w:type="pct"/>
            <w:shd w:val="clear" w:color="auto" w:fill="D9D9D9" w:themeFill="background1" w:themeFillShade="D9"/>
            <w:vAlign w:val="center"/>
          </w:tcPr>
          <w:p w14:paraId="37DD4422" w14:textId="11DA4300" w:rsidR="00075508" w:rsidRPr="00CB4ED1" w:rsidRDefault="00075508" w:rsidP="00075508">
            <w:pPr>
              <w:pStyle w:val="tabletext"/>
              <w:jc w:val="right"/>
              <w:rPr>
                <w:b/>
                <w:sz w:val="18"/>
                <w:szCs w:val="18"/>
              </w:rPr>
            </w:pPr>
            <w:r>
              <w:rPr>
                <w:rFonts w:cs="Arial"/>
                <w:b/>
                <w:bCs/>
                <w:color w:val="000000"/>
                <w:sz w:val="18"/>
                <w:szCs w:val="18"/>
              </w:rPr>
              <w:t>0</w:t>
            </w:r>
          </w:p>
        </w:tc>
        <w:tc>
          <w:tcPr>
            <w:tcW w:w="996" w:type="pct"/>
            <w:shd w:val="clear" w:color="auto" w:fill="D9D9D9" w:themeFill="background1" w:themeFillShade="D9"/>
            <w:vAlign w:val="center"/>
          </w:tcPr>
          <w:p w14:paraId="3E8BA8F7" w14:textId="76269BDC" w:rsidR="00075508" w:rsidRPr="00CB4ED1" w:rsidRDefault="00075508" w:rsidP="00075508">
            <w:pPr>
              <w:pStyle w:val="tabletext"/>
              <w:jc w:val="right"/>
              <w:rPr>
                <w:b/>
                <w:sz w:val="18"/>
                <w:szCs w:val="18"/>
              </w:rPr>
            </w:pPr>
            <w:r>
              <w:rPr>
                <w:rFonts w:cs="Arial"/>
                <w:b/>
                <w:bCs/>
                <w:color w:val="000000"/>
                <w:sz w:val="18"/>
                <w:szCs w:val="18"/>
              </w:rPr>
              <w:t>1,422,183</w:t>
            </w:r>
          </w:p>
        </w:tc>
      </w:tr>
      <w:tr w:rsidR="00075508" w:rsidRPr="00CB4ED1" w14:paraId="2FC957C7" w14:textId="77777777" w:rsidTr="00E67800">
        <w:tc>
          <w:tcPr>
            <w:tcW w:w="3008" w:type="pct"/>
            <w:shd w:val="clear" w:color="auto" w:fill="D9F0FA" w:themeFill="background2" w:themeFillTint="33"/>
            <w:vAlign w:val="center"/>
          </w:tcPr>
          <w:p w14:paraId="6EE8844C" w14:textId="77777777" w:rsidR="00075508" w:rsidRPr="00CB4ED1" w:rsidRDefault="00075508" w:rsidP="00075508">
            <w:pPr>
              <w:pStyle w:val="tabletext"/>
              <w:rPr>
                <w:b/>
                <w:sz w:val="18"/>
                <w:szCs w:val="18"/>
              </w:rPr>
            </w:pPr>
            <w:r w:rsidRPr="00CB4ED1">
              <w:rPr>
                <w:rFonts w:cs="Arial"/>
                <w:b/>
                <w:bCs/>
                <w:sz w:val="18"/>
                <w:szCs w:val="18"/>
              </w:rPr>
              <w:t>Discounted Net Present Social Value (NPSV)</w:t>
            </w:r>
          </w:p>
        </w:tc>
        <w:tc>
          <w:tcPr>
            <w:tcW w:w="996" w:type="pct"/>
            <w:shd w:val="clear" w:color="auto" w:fill="D9F0FA" w:themeFill="background2" w:themeFillTint="33"/>
            <w:vAlign w:val="center"/>
          </w:tcPr>
          <w:p w14:paraId="69285A0F" w14:textId="36A6F022" w:rsidR="00075508" w:rsidRPr="00075508" w:rsidRDefault="00075508" w:rsidP="00075508">
            <w:pPr>
              <w:pStyle w:val="tabletext"/>
              <w:jc w:val="right"/>
              <w:rPr>
                <w:b/>
                <w:sz w:val="18"/>
                <w:szCs w:val="18"/>
              </w:rPr>
            </w:pPr>
            <w:r w:rsidRPr="00075508">
              <w:rPr>
                <w:rFonts w:cs="Arial"/>
                <w:b/>
                <w:bCs/>
                <w:sz w:val="18"/>
                <w:szCs w:val="18"/>
              </w:rPr>
              <w:t>-202,377</w:t>
            </w:r>
          </w:p>
        </w:tc>
        <w:tc>
          <w:tcPr>
            <w:tcW w:w="996" w:type="pct"/>
            <w:shd w:val="clear" w:color="auto" w:fill="D9F0FA" w:themeFill="background2" w:themeFillTint="33"/>
            <w:vAlign w:val="center"/>
          </w:tcPr>
          <w:p w14:paraId="4C13D46E" w14:textId="50913CF3" w:rsidR="00075508" w:rsidRPr="00075508" w:rsidRDefault="00075508" w:rsidP="00075508">
            <w:pPr>
              <w:pStyle w:val="tabletext"/>
              <w:jc w:val="right"/>
              <w:rPr>
                <w:b/>
                <w:sz w:val="18"/>
                <w:szCs w:val="18"/>
              </w:rPr>
            </w:pPr>
            <w:r w:rsidRPr="00075508">
              <w:rPr>
                <w:rFonts w:cs="Arial"/>
                <w:b/>
                <w:bCs/>
                <w:sz w:val="18"/>
                <w:szCs w:val="18"/>
              </w:rPr>
              <w:t>298,367</w:t>
            </w:r>
          </w:p>
        </w:tc>
      </w:tr>
      <w:tr w:rsidR="00075508" w:rsidRPr="00CB4ED1" w14:paraId="4C016319" w14:textId="77777777" w:rsidTr="00E67800">
        <w:tc>
          <w:tcPr>
            <w:tcW w:w="3008" w:type="pct"/>
            <w:vAlign w:val="center"/>
          </w:tcPr>
          <w:p w14:paraId="5A3942A3" w14:textId="77777777" w:rsidR="00075508" w:rsidRPr="00CB4ED1" w:rsidRDefault="00075508" w:rsidP="00075508">
            <w:pPr>
              <w:pStyle w:val="tabletext"/>
              <w:rPr>
                <w:sz w:val="18"/>
                <w:szCs w:val="18"/>
              </w:rPr>
            </w:pPr>
            <w:r w:rsidRPr="00CB4ED1">
              <w:rPr>
                <w:rFonts w:cs="Arial"/>
                <w:color w:val="000000"/>
                <w:sz w:val="18"/>
                <w:szCs w:val="18"/>
              </w:rPr>
              <w:t>Incremental costs - total</w:t>
            </w:r>
          </w:p>
        </w:tc>
        <w:tc>
          <w:tcPr>
            <w:tcW w:w="996" w:type="pct"/>
            <w:vAlign w:val="center"/>
          </w:tcPr>
          <w:p w14:paraId="61BE3CC8" w14:textId="0C40769E" w:rsidR="00075508" w:rsidRPr="00075508" w:rsidRDefault="00075508" w:rsidP="00075508">
            <w:pPr>
              <w:pStyle w:val="tabletext"/>
              <w:jc w:val="right"/>
              <w:rPr>
                <w:sz w:val="18"/>
                <w:szCs w:val="18"/>
              </w:rPr>
            </w:pPr>
            <w:r w:rsidRPr="00075508">
              <w:rPr>
                <w:rFonts w:cs="Arial"/>
                <w:sz w:val="18"/>
                <w:szCs w:val="18"/>
              </w:rPr>
              <w:t>0</w:t>
            </w:r>
          </w:p>
        </w:tc>
        <w:tc>
          <w:tcPr>
            <w:tcW w:w="996" w:type="pct"/>
            <w:vAlign w:val="center"/>
          </w:tcPr>
          <w:p w14:paraId="5A2EAF21" w14:textId="1BC1FBAC" w:rsidR="00075508" w:rsidRPr="00075508" w:rsidRDefault="00075508" w:rsidP="00075508">
            <w:pPr>
              <w:pStyle w:val="tabletext"/>
              <w:jc w:val="right"/>
              <w:rPr>
                <w:sz w:val="18"/>
                <w:szCs w:val="18"/>
              </w:rPr>
            </w:pPr>
            <w:r w:rsidRPr="00075508">
              <w:rPr>
                <w:rFonts w:cs="Arial"/>
                <w:sz w:val="18"/>
                <w:szCs w:val="18"/>
              </w:rPr>
              <w:t>-921,439</w:t>
            </w:r>
          </w:p>
        </w:tc>
      </w:tr>
      <w:tr w:rsidR="00075508" w:rsidRPr="00CB4ED1" w14:paraId="58EFB9A0" w14:textId="77777777" w:rsidTr="00E67800">
        <w:tc>
          <w:tcPr>
            <w:tcW w:w="3008" w:type="pct"/>
            <w:vAlign w:val="center"/>
          </w:tcPr>
          <w:p w14:paraId="6C439550" w14:textId="77777777" w:rsidR="00075508" w:rsidRPr="00CB4ED1" w:rsidRDefault="00075508" w:rsidP="00075508">
            <w:pPr>
              <w:pStyle w:val="tabletext"/>
              <w:rPr>
                <w:sz w:val="18"/>
                <w:szCs w:val="18"/>
              </w:rPr>
            </w:pPr>
            <w:r w:rsidRPr="00CB4ED1">
              <w:rPr>
                <w:rFonts w:cs="Arial"/>
                <w:color w:val="000000"/>
                <w:sz w:val="18"/>
                <w:szCs w:val="18"/>
              </w:rPr>
              <w:t>Incremental benefits - total</w:t>
            </w:r>
          </w:p>
        </w:tc>
        <w:tc>
          <w:tcPr>
            <w:tcW w:w="996" w:type="pct"/>
            <w:vAlign w:val="center"/>
          </w:tcPr>
          <w:p w14:paraId="77C41917" w14:textId="775F58C6" w:rsidR="00075508" w:rsidRPr="00075508" w:rsidRDefault="00075508" w:rsidP="00075508">
            <w:pPr>
              <w:pStyle w:val="tabletext"/>
              <w:jc w:val="right"/>
              <w:rPr>
                <w:sz w:val="18"/>
                <w:szCs w:val="18"/>
              </w:rPr>
            </w:pPr>
            <w:r w:rsidRPr="00075508">
              <w:rPr>
                <w:rFonts w:cs="Arial"/>
                <w:sz w:val="18"/>
                <w:szCs w:val="18"/>
              </w:rPr>
              <w:t>0</w:t>
            </w:r>
          </w:p>
        </w:tc>
        <w:tc>
          <w:tcPr>
            <w:tcW w:w="996" w:type="pct"/>
            <w:vAlign w:val="center"/>
          </w:tcPr>
          <w:p w14:paraId="39039173" w14:textId="141407EE" w:rsidR="00075508" w:rsidRPr="00075508" w:rsidRDefault="00075508" w:rsidP="00075508">
            <w:pPr>
              <w:pStyle w:val="tabletext"/>
              <w:jc w:val="right"/>
              <w:rPr>
                <w:sz w:val="18"/>
                <w:szCs w:val="18"/>
              </w:rPr>
            </w:pPr>
            <w:r w:rsidRPr="00075508">
              <w:rPr>
                <w:rFonts w:cs="Arial"/>
                <w:sz w:val="18"/>
                <w:szCs w:val="18"/>
              </w:rPr>
              <w:t>1,422,183</w:t>
            </w:r>
          </w:p>
        </w:tc>
      </w:tr>
      <w:tr w:rsidR="00075508" w:rsidRPr="00CB4ED1" w14:paraId="0ABDAF49" w14:textId="77777777" w:rsidTr="00E67800">
        <w:tc>
          <w:tcPr>
            <w:tcW w:w="3008" w:type="pct"/>
            <w:shd w:val="clear" w:color="auto" w:fill="D9F0FA" w:themeFill="background2" w:themeFillTint="33"/>
            <w:vAlign w:val="center"/>
          </w:tcPr>
          <w:p w14:paraId="7FB10896" w14:textId="77777777" w:rsidR="00075508" w:rsidRPr="00CB4ED1" w:rsidRDefault="00075508" w:rsidP="00075508">
            <w:pPr>
              <w:pStyle w:val="tabletext"/>
              <w:rPr>
                <w:b/>
                <w:sz w:val="18"/>
                <w:szCs w:val="18"/>
              </w:rPr>
            </w:pPr>
            <w:r w:rsidRPr="00CB4ED1">
              <w:rPr>
                <w:rFonts w:cs="Arial"/>
                <w:b/>
                <w:bCs/>
                <w:sz w:val="18"/>
                <w:szCs w:val="18"/>
              </w:rPr>
              <w:t>Risk-adjusted Incremental Net Present Social Value (NPSV)</w:t>
            </w:r>
          </w:p>
        </w:tc>
        <w:tc>
          <w:tcPr>
            <w:tcW w:w="996" w:type="pct"/>
            <w:shd w:val="clear" w:color="auto" w:fill="D9F0FA" w:themeFill="background2" w:themeFillTint="33"/>
            <w:vAlign w:val="center"/>
          </w:tcPr>
          <w:p w14:paraId="45A35E0D" w14:textId="71609ABE" w:rsidR="00075508" w:rsidRPr="00075508" w:rsidRDefault="00075508" w:rsidP="00075508">
            <w:pPr>
              <w:pStyle w:val="tabletext"/>
              <w:jc w:val="right"/>
              <w:rPr>
                <w:b/>
                <w:sz w:val="18"/>
                <w:szCs w:val="18"/>
              </w:rPr>
            </w:pPr>
            <w:r w:rsidRPr="00075508">
              <w:rPr>
                <w:rFonts w:cs="Arial"/>
                <w:b/>
                <w:bCs/>
                <w:sz w:val="18"/>
                <w:szCs w:val="18"/>
              </w:rPr>
              <w:t>0</w:t>
            </w:r>
          </w:p>
        </w:tc>
        <w:tc>
          <w:tcPr>
            <w:tcW w:w="996" w:type="pct"/>
            <w:shd w:val="clear" w:color="auto" w:fill="D9F0FA" w:themeFill="background2" w:themeFillTint="33"/>
            <w:vAlign w:val="center"/>
          </w:tcPr>
          <w:p w14:paraId="275BE06E" w14:textId="5B76DAF6" w:rsidR="00075508" w:rsidRPr="00075508" w:rsidRDefault="00075508" w:rsidP="00075508">
            <w:pPr>
              <w:pStyle w:val="tabletext"/>
              <w:jc w:val="right"/>
              <w:rPr>
                <w:b/>
                <w:sz w:val="18"/>
                <w:szCs w:val="18"/>
              </w:rPr>
            </w:pPr>
            <w:r w:rsidRPr="00075508">
              <w:rPr>
                <w:rFonts w:cs="Arial"/>
                <w:b/>
                <w:bCs/>
                <w:sz w:val="18"/>
                <w:szCs w:val="18"/>
              </w:rPr>
              <w:t>500,744</w:t>
            </w:r>
          </w:p>
        </w:tc>
      </w:tr>
      <w:tr w:rsidR="00075508" w:rsidRPr="00CB4ED1" w14:paraId="50D20508" w14:textId="77777777" w:rsidTr="00E67800">
        <w:tc>
          <w:tcPr>
            <w:tcW w:w="3008" w:type="pct"/>
            <w:shd w:val="clear" w:color="auto" w:fill="D1D6E5" w:themeFill="text2" w:themeFillTint="33"/>
            <w:vAlign w:val="center"/>
          </w:tcPr>
          <w:p w14:paraId="29FA3666" w14:textId="77777777" w:rsidR="00075508" w:rsidRPr="00CB4ED1" w:rsidRDefault="00075508" w:rsidP="00075508">
            <w:pPr>
              <w:pStyle w:val="tabletext"/>
              <w:rPr>
                <w:b/>
                <w:sz w:val="18"/>
                <w:szCs w:val="18"/>
              </w:rPr>
            </w:pPr>
            <w:r w:rsidRPr="00CB4ED1">
              <w:rPr>
                <w:rFonts w:cs="Arial"/>
                <w:b/>
                <w:bCs/>
                <w:sz w:val="18"/>
                <w:szCs w:val="18"/>
              </w:rPr>
              <w:t>Benefit-cost ratio</w:t>
            </w:r>
          </w:p>
        </w:tc>
        <w:tc>
          <w:tcPr>
            <w:tcW w:w="996" w:type="pct"/>
            <w:shd w:val="clear" w:color="auto" w:fill="D1D6E5" w:themeFill="text2" w:themeFillTint="33"/>
            <w:vAlign w:val="center"/>
          </w:tcPr>
          <w:p w14:paraId="7F05A757" w14:textId="12328C32" w:rsidR="00075508" w:rsidRPr="00075508" w:rsidRDefault="00075508" w:rsidP="00075508">
            <w:pPr>
              <w:pStyle w:val="tabletext"/>
              <w:jc w:val="right"/>
              <w:rPr>
                <w:b/>
                <w:sz w:val="18"/>
                <w:szCs w:val="18"/>
              </w:rPr>
            </w:pPr>
            <w:r w:rsidRPr="00075508">
              <w:rPr>
                <w:rFonts w:cs="Arial"/>
                <w:b/>
                <w:bCs/>
                <w:sz w:val="18"/>
                <w:szCs w:val="18"/>
              </w:rPr>
              <w:t>0.00</w:t>
            </w:r>
          </w:p>
        </w:tc>
        <w:tc>
          <w:tcPr>
            <w:tcW w:w="996" w:type="pct"/>
            <w:shd w:val="clear" w:color="auto" w:fill="D1D6E5" w:themeFill="text2" w:themeFillTint="33"/>
            <w:vAlign w:val="center"/>
          </w:tcPr>
          <w:p w14:paraId="16F1AEF7" w14:textId="02E0BAD2" w:rsidR="00075508" w:rsidRPr="00075508" w:rsidRDefault="00075508" w:rsidP="00075508">
            <w:pPr>
              <w:pStyle w:val="tabletext"/>
              <w:jc w:val="right"/>
              <w:rPr>
                <w:b/>
                <w:sz w:val="18"/>
                <w:szCs w:val="18"/>
              </w:rPr>
            </w:pPr>
            <w:r w:rsidRPr="00075508">
              <w:rPr>
                <w:rFonts w:cs="Arial"/>
                <w:b/>
                <w:bCs/>
                <w:sz w:val="18"/>
                <w:szCs w:val="18"/>
              </w:rPr>
              <w:t>1.54</w:t>
            </w:r>
          </w:p>
        </w:tc>
      </w:tr>
    </w:tbl>
    <w:p w14:paraId="2417F2CD" w14:textId="77777777" w:rsidR="00DF73C0" w:rsidRPr="00CB4ED1" w:rsidRDefault="00DF73C0" w:rsidP="00DF73C0">
      <w:pPr>
        <w:pStyle w:val="NoSpacing"/>
      </w:pPr>
    </w:p>
    <w:p w14:paraId="45CA75B8" w14:textId="7494E22E" w:rsidR="00DF73C0" w:rsidRPr="00CB4ED1" w:rsidRDefault="00DF73C0" w:rsidP="00DF73C0">
      <w:r w:rsidRPr="00CB4ED1">
        <w:t>The results of the economic modelling demonstrate that the preferred option will deliver an incremental Net Present Social Value (NPSV) of £</w:t>
      </w:r>
      <w:r>
        <w:t>5</w:t>
      </w:r>
      <w:r w:rsidR="00075508">
        <w:t>00</w:t>
      </w:r>
      <w:r>
        <w:t>.</w:t>
      </w:r>
      <w:r w:rsidR="00B15988">
        <w:t>7</w:t>
      </w:r>
      <w:r w:rsidRPr="00CB4ED1">
        <w:t>m when compared to the Business as Usual (BAU) position. This generates a Benefit Cost Ratio (BCR) of 1.</w:t>
      </w:r>
      <w:r>
        <w:t>5</w:t>
      </w:r>
      <w:r w:rsidR="00B15988">
        <w:t>4</w:t>
      </w:r>
      <w:r w:rsidRPr="00CB4ED1">
        <w:t>, which equates to £1.</w:t>
      </w:r>
      <w:r>
        <w:t>5</w:t>
      </w:r>
      <w:r w:rsidR="00B15988">
        <w:t>4</w:t>
      </w:r>
      <w:r w:rsidRPr="00CB4ED1">
        <w:t xml:space="preserve"> of incremental benefit delivered for every £1.00 of incremental whole life cost, which suggests LHP will deliver value for money.</w:t>
      </w:r>
    </w:p>
    <w:p w14:paraId="0312E61E" w14:textId="77777777" w:rsidR="00DF73C0" w:rsidRPr="00CB4ED1" w:rsidRDefault="00DF73C0" w:rsidP="00DF73C0">
      <w:r w:rsidRPr="00CB4ED1">
        <w:t xml:space="preserve">It should be noted that this is based on an initial assessment of benefits and further work is required to quantify </w:t>
      </w:r>
      <w:proofErr w:type="gramStart"/>
      <w:r w:rsidRPr="00CB4ED1">
        <w:t>a number of</w:t>
      </w:r>
      <w:proofErr w:type="gramEnd"/>
      <w:r w:rsidRPr="00CB4ED1">
        <w:t xml:space="preserve"> the benefits as the scheme progresses to Full Business Case (FBC) stage. Where benefits have been quantified, values have been estimated based on current assumptions as outlined in section 7.6 of this case. Given further work is required at FBC to validate and refine these assumptions, a relatively low confidence rating has been attached to the majority of these to ensure a prudent approach is taken to claiming benefits until a more detailed analysis can be undertaken. It is therefore reasonable to assume that at FBC stage, the BCR is likely to increase and further strengthen the value for money case.  </w:t>
      </w:r>
    </w:p>
    <w:p w14:paraId="0712D150" w14:textId="77777777" w:rsidR="00DF73C0" w:rsidRPr="00CB4ED1" w:rsidRDefault="00DF73C0" w:rsidP="00DF73C0">
      <w:pPr>
        <w:pStyle w:val="NoSpacing"/>
      </w:pPr>
    </w:p>
    <w:p w14:paraId="77F49752" w14:textId="77777777" w:rsidR="00DF73C0" w:rsidRPr="00CB4ED1" w:rsidRDefault="00DF73C0" w:rsidP="00DF73C0">
      <w:pPr>
        <w:pStyle w:val="Heading2"/>
      </w:pPr>
      <w:bookmarkStart w:id="209" w:name="_Toc99649068"/>
      <w:bookmarkStart w:id="210" w:name="_Toc158977999"/>
      <w:bookmarkStart w:id="211" w:name="_Toc213775094"/>
      <w:bookmarkStart w:id="212" w:name="_Toc213865244"/>
      <w:r w:rsidRPr="00CB4ED1">
        <w:t>Sensitivity analysis</w:t>
      </w:r>
      <w:bookmarkEnd w:id="209"/>
      <w:bookmarkEnd w:id="210"/>
      <w:bookmarkEnd w:id="211"/>
      <w:bookmarkEnd w:id="212"/>
    </w:p>
    <w:p w14:paraId="7D5E0A87" w14:textId="77777777" w:rsidR="00DF73C0" w:rsidRPr="00CB4ED1" w:rsidRDefault="00DF73C0" w:rsidP="00DF73C0">
      <w:r w:rsidRPr="00CB4ED1">
        <w:t xml:space="preserve">The results of the economic appraisal above have been subject to a sensitivity analysis to examine the impact of potential movements in capital and revenue costs. </w:t>
      </w:r>
    </w:p>
    <w:p w14:paraId="1BC6E7BD" w14:textId="77777777" w:rsidR="00DF73C0" w:rsidRPr="00CB4ED1" w:rsidRDefault="00DF73C0" w:rsidP="00DF73C0">
      <w:r w:rsidRPr="00CB4ED1">
        <w:t xml:space="preserve">The first part of this typically involves undertaking a switching values analysis to test the robustness of the ranking of options. This is applied to areas of material cash flows to identify the extent that costs and benefits of each of the alternative options must change </w:t>
      </w:r>
      <w:proofErr w:type="gramStart"/>
      <w:r w:rsidRPr="00CB4ED1">
        <w:t>in order for</w:t>
      </w:r>
      <w:proofErr w:type="gramEnd"/>
      <w:r w:rsidRPr="00CB4ED1">
        <w:t xml:space="preserve"> the Net Present Social Value (NPSV) to reflect that of the highest-ranking option (excluding BAU). Given that there are no alternative options to test in this case, this analysis is not required.</w:t>
      </w:r>
    </w:p>
    <w:p w14:paraId="38B4F987" w14:textId="77777777" w:rsidR="00DF73C0" w:rsidRPr="00CB4ED1" w:rsidRDefault="00DF73C0" w:rsidP="00DF73C0">
      <w:r w:rsidRPr="00CB4ED1">
        <w:t>Instead, alternative scenarios have been calculated to consider how the value for money of the preferred option may be affected by future uncertainty as outlined in the table below.</w:t>
      </w:r>
    </w:p>
    <w:p w14:paraId="11D58EE8" w14:textId="77777777" w:rsidR="00DF73C0" w:rsidRPr="00CB4ED1" w:rsidRDefault="00DF73C0" w:rsidP="00DF73C0">
      <w:pPr>
        <w:pStyle w:val="Caption"/>
        <w:rPr>
          <w:noProof w:val="0"/>
        </w:rPr>
      </w:pPr>
      <w:bookmarkStart w:id="213" w:name="_Toc158978212"/>
    </w:p>
    <w:p w14:paraId="48D80C1C" w14:textId="3EE4532B" w:rsidR="00DF73C0" w:rsidRPr="00CB4ED1" w:rsidRDefault="00DF73C0" w:rsidP="00DF73C0">
      <w:pPr>
        <w:pStyle w:val="Caption"/>
        <w:rPr>
          <w:noProof w:val="0"/>
        </w:rPr>
      </w:pPr>
      <w:bookmarkStart w:id="214" w:name="_Toc213775148"/>
      <w:bookmarkStart w:id="215" w:name="_Toc213865300"/>
      <w:r w:rsidRPr="00CB4ED1">
        <w:rPr>
          <w:noProof w:val="0"/>
        </w:rPr>
        <w:t xml:space="preserve">Table </w:t>
      </w:r>
      <w:r w:rsidRPr="00CB4ED1">
        <w:rPr>
          <w:noProof w:val="0"/>
        </w:rPr>
        <w:fldChar w:fldCharType="begin"/>
      </w:r>
      <w:r w:rsidRPr="00CB4ED1">
        <w:rPr>
          <w:noProof w:val="0"/>
          <w:highlight w:val="darkGray"/>
        </w:rPr>
        <w:instrText xml:space="preserve"> SEQ Table \* ARABIC </w:instrText>
      </w:r>
      <w:r w:rsidRPr="00CB4ED1">
        <w:rPr>
          <w:noProof w:val="0"/>
        </w:rPr>
        <w:fldChar w:fldCharType="separate"/>
      </w:r>
      <w:r w:rsidR="004A33ED">
        <w:rPr>
          <w:highlight w:val="darkGray"/>
        </w:rPr>
        <w:t>20</w:t>
      </w:r>
      <w:r w:rsidRPr="00CB4ED1">
        <w:rPr>
          <w:noProof w:val="0"/>
        </w:rPr>
        <w:fldChar w:fldCharType="end"/>
      </w:r>
      <w:r w:rsidRPr="00CB4ED1">
        <w:rPr>
          <w:noProof w:val="0"/>
        </w:rPr>
        <w:t xml:space="preserve"> - Sensitivity analysis – scenarios</w:t>
      </w:r>
      <w:bookmarkEnd w:id="213"/>
      <w:bookmarkEnd w:id="214"/>
      <w:bookmarkEnd w:id="215"/>
    </w:p>
    <w:tbl>
      <w:tblPr>
        <w:tblW w:w="4915" w:type="pct"/>
        <w:tblInd w:w="-113" w:type="dxa"/>
        <w:tbl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insideH w:val="single" w:sz="4" w:space="0" w:color="BFBFBF" w:themeColor="accent6" w:themeShade="BF"/>
          <w:insideV w:val="single" w:sz="4" w:space="0" w:color="BFBFBF" w:themeColor="accent6" w:themeShade="BF"/>
        </w:tblBorders>
        <w:tblLayout w:type="fixed"/>
        <w:tblLook w:val="04A0" w:firstRow="1" w:lastRow="0" w:firstColumn="1" w:lastColumn="0" w:noHBand="0" w:noVBand="1"/>
      </w:tblPr>
      <w:tblGrid>
        <w:gridCol w:w="4503"/>
        <w:gridCol w:w="1240"/>
        <w:gridCol w:w="1240"/>
        <w:gridCol w:w="1240"/>
        <w:gridCol w:w="1241"/>
      </w:tblGrid>
      <w:tr w:rsidR="00DF73C0" w:rsidRPr="00CB4ED1" w14:paraId="7E1B7CCA" w14:textId="77777777" w:rsidTr="008A14A7">
        <w:trPr>
          <w:tblHeader/>
        </w:trPr>
        <w:tc>
          <w:tcPr>
            <w:tcW w:w="4503" w:type="dxa"/>
            <w:shd w:val="clear" w:color="auto" w:fill="374264" w:themeFill="text2"/>
            <w:vAlign w:val="center"/>
          </w:tcPr>
          <w:p w14:paraId="23555FFF" w14:textId="77777777" w:rsidR="00DF73C0" w:rsidRPr="00CB4ED1" w:rsidRDefault="00DF73C0" w:rsidP="008A14A7">
            <w:pPr>
              <w:pStyle w:val="tabletext"/>
              <w:rPr>
                <w:b/>
                <w:color w:val="FFFFFF" w:themeColor="background1"/>
                <w:sz w:val="18"/>
                <w:szCs w:val="18"/>
              </w:rPr>
            </w:pPr>
            <w:bookmarkStart w:id="216" w:name="_Toc99649067"/>
            <w:r w:rsidRPr="00CB4ED1">
              <w:rPr>
                <w:rFonts w:cs="Arial"/>
                <w:b/>
                <w:bCs/>
                <w:color w:val="FFFFFF" w:themeColor="background1"/>
                <w:sz w:val="18"/>
                <w:szCs w:val="18"/>
              </w:rPr>
              <w:t>Scenario</w:t>
            </w:r>
          </w:p>
        </w:tc>
        <w:tc>
          <w:tcPr>
            <w:tcW w:w="1240" w:type="dxa"/>
            <w:shd w:val="clear" w:color="auto" w:fill="374264" w:themeFill="text2"/>
            <w:vAlign w:val="center"/>
          </w:tcPr>
          <w:p w14:paraId="1D507A9A" w14:textId="64D0A03D" w:rsidR="00DF73C0" w:rsidRPr="00CB4ED1" w:rsidRDefault="008A14A7" w:rsidP="008A14A7">
            <w:pPr>
              <w:pStyle w:val="tabletext"/>
              <w:jc w:val="center"/>
              <w:rPr>
                <w:b/>
                <w:color w:val="FFFFFF" w:themeColor="background1"/>
                <w:sz w:val="18"/>
                <w:szCs w:val="18"/>
              </w:rPr>
            </w:pPr>
            <w:r w:rsidRPr="00CB4ED1">
              <w:rPr>
                <w:rFonts w:cs="Arial"/>
                <w:b/>
                <w:bCs/>
                <w:color w:val="FFFFFF" w:themeColor="background1"/>
                <w:sz w:val="18"/>
                <w:szCs w:val="18"/>
              </w:rPr>
              <w:t>Revised incremental costs</w:t>
            </w:r>
          </w:p>
        </w:tc>
        <w:tc>
          <w:tcPr>
            <w:tcW w:w="1240" w:type="dxa"/>
            <w:shd w:val="clear" w:color="auto" w:fill="374264" w:themeFill="text2"/>
            <w:vAlign w:val="center"/>
          </w:tcPr>
          <w:p w14:paraId="337C2BEE" w14:textId="43D9B59A" w:rsidR="00DF73C0" w:rsidRPr="00CB4ED1" w:rsidRDefault="008A14A7" w:rsidP="008A14A7">
            <w:pPr>
              <w:pStyle w:val="tabletext"/>
              <w:jc w:val="center"/>
              <w:rPr>
                <w:b/>
                <w:color w:val="FFFFFF" w:themeColor="background1"/>
                <w:sz w:val="18"/>
                <w:szCs w:val="18"/>
              </w:rPr>
            </w:pPr>
            <w:r w:rsidRPr="00CB4ED1">
              <w:rPr>
                <w:rFonts w:cs="Arial"/>
                <w:b/>
                <w:bCs/>
                <w:color w:val="FFFFFF" w:themeColor="background1"/>
                <w:sz w:val="18"/>
                <w:szCs w:val="18"/>
              </w:rPr>
              <w:t>Revised incremental benefits</w:t>
            </w:r>
          </w:p>
        </w:tc>
        <w:tc>
          <w:tcPr>
            <w:tcW w:w="1240" w:type="dxa"/>
            <w:shd w:val="clear" w:color="auto" w:fill="374264" w:themeFill="text2"/>
            <w:vAlign w:val="center"/>
          </w:tcPr>
          <w:p w14:paraId="3DAE15F7" w14:textId="77777777" w:rsidR="00DF73C0" w:rsidRPr="00CB4ED1" w:rsidRDefault="00DF73C0" w:rsidP="008A14A7">
            <w:pPr>
              <w:pStyle w:val="tabletext"/>
              <w:jc w:val="center"/>
              <w:rPr>
                <w:rFonts w:cs="Arial"/>
                <w:b/>
                <w:color w:val="FFFFFF" w:themeColor="background1"/>
                <w:sz w:val="18"/>
                <w:szCs w:val="18"/>
              </w:rPr>
            </w:pPr>
            <w:r w:rsidRPr="00CB4ED1">
              <w:rPr>
                <w:rFonts w:cs="Arial"/>
                <w:b/>
                <w:bCs/>
                <w:color w:val="FFFFFF" w:themeColor="background1"/>
                <w:sz w:val="18"/>
                <w:szCs w:val="18"/>
              </w:rPr>
              <w:t>Revised NPSV</w:t>
            </w:r>
          </w:p>
        </w:tc>
        <w:tc>
          <w:tcPr>
            <w:tcW w:w="1241" w:type="dxa"/>
            <w:shd w:val="clear" w:color="auto" w:fill="374264" w:themeFill="text2"/>
            <w:vAlign w:val="center"/>
          </w:tcPr>
          <w:p w14:paraId="5A8D69AA" w14:textId="77777777" w:rsidR="00DF73C0" w:rsidRPr="00CB4ED1" w:rsidRDefault="00DF73C0" w:rsidP="008A14A7">
            <w:pPr>
              <w:pStyle w:val="tabletext"/>
              <w:jc w:val="center"/>
              <w:rPr>
                <w:rFonts w:cs="Arial"/>
                <w:b/>
                <w:color w:val="FFFFFF" w:themeColor="background1"/>
                <w:sz w:val="18"/>
                <w:szCs w:val="18"/>
              </w:rPr>
            </w:pPr>
            <w:r w:rsidRPr="00CB4ED1">
              <w:rPr>
                <w:rFonts w:cs="Arial"/>
                <w:b/>
                <w:bCs/>
                <w:color w:val="FFFFFF" w:themeColor="background1"/>
                <w:sz w:val="18"/>
                <w:szCs w:val="18"/>
              </w:rPr>
              <w:t>Revised BCR</w:t>
            </w:r>
          </w:p>
        </w:tc>
      </w:tr>
      <w:tr w:rsidR="003A3719" w:rsidRPr="008A14A7" w14:paraId="5F1326C7" w14:textId="77777777" w:rsidTr="008A14A7">
        <w:tc>
          <w:tcPr>
            <w:tcW w:w="4503" w:type="dxa"/>
            <w:shd w:val="clear" w:color="auto" w:fill="D7DBE9"/>
            <w:vAlign w:val="center"/>
          </w:tcPr>
          <w:p w14:paraId="7F8F5002" w14:textId="77777777" w:rsidR="003A3719" w:rsidRPr="008A14A7" w:rsidRDefault="003A3719" w:rsidP="003A3719">
            <w:pPr>
              <w:pStyle w:val="tabletext"/>
              <w:rPr>
                <w:sz w:val="18"/>
                <w:szCs w:val="18"/>
              </w:rPr>
            </w:pPr>
            <w:r w:rsidRPr="008A14A7">
              <w:rPr>
                <w:rFonts w:cs="Arial"/>
                <w:b/>
                <w:bCs/>
                <w:sz w:val="18"/>
                <w:szCs w:val="18"/>
              </w:rPr>
              <w:t>Original Results</w:t>
            </w:r>
          </w:p>
        </w:tc>
        <w:tc>
          <w:tcPr>
            <w:tcW w:w="1240" w:type="dxa"/>
            <w:shd w:val="clear" w:color="auto" w:fill="D7DBE9"/>
            <w:vAlign w:val="center"/>
          </w:tcPr>
          <w:p w14:paraId="37FD5C08" w14:textId="613E11CD" w:rsidR="003A3719" w:rsidRPr="003A3719" w:rsidRDefault="003A3719" w:rsidP="003A3719">
            <w:pPr>
              <w:pStyle w:val="tabletext"/>
              <w:jc w:val="right"/>
              <w:rPr>
                <w:sz w:val="18"/>
                <w:szCs w:val="18"/>
              </w:rPr>
            </w:pPr>
            <w:r w:rsidRPr="003A3719">
              <w:rPr>
                <w:rFonts w:cs="Arial"/>
                <w:b/>
                <w:bCs/>
                <w:sz w:val="18"/>
                <w:szCs w:val="18"/>
              </w:rPr>
              <w:t>-921,439</w:t>
            </w:r>
          </w:p>
        </w:tc>
        <w:tc>
          <w:tcPr>
            <w:tcW w:w="1240" w:type="dxa"/>
            <w:shd w:val="clear" w:color="auto" w:fill="D7DBE9"/>
            <w:vAlign w:val="center"/>
          </w:tcPr>
          <w:p w14:paraId="0DC069C3" w14:textId="4FFD6DE9" w:rsidR="003A3719" w:rsidRPr="003A3719" w:rsidRDefault="003A3719" w:rsidP="003A3719">
            <w:pPr>
              <w:pStyle w:val="tabletext"/>
              <w:jc w:val="right"/>
              <w:rPr>
                <w:sz w:val="18"/>
                <w:szCs w:val="18"/>
              </w:rPr>
            </w:pPr>
            <w:r w:rsidRPr="003A3719">
              <w:rPr>
                <w:rFonts w:cs="Arial"/>
                <w:b/>
                <w:bCs/>
                <w:sz w:val="18"/>
                <w:szCs w:val="18"/>
              </w:rPr>
              <w:t>1,422,183</w:t>
            </w:r>
          </w:p>
        </w:tc>
        <w:tc>
          <w:tcPr>
            <w:tcW w:w="1240" w:type="dxa"/>
            <w:shd w:val="clear" w:color="auto" w:fill="D7DBE9"/>
            <w:vAlign w:val="center"/>
          </w:tcPr>
          <w:p w14:paraId="29A622ED" w14:textId="4E5B4054" w:rsidR="003A3719" w:rsidRPr="003A3719" w:rsidRDefault="003A3719" w:rsidP="003A3719">
            <w:pPr>
              <w:pStyle w:val="tabletext"/>
              <w:jc w:val="right"/>
              <w:rPr>
                <w:rFonts w:cs="Arial"/>
                <w:b/>
                <w:sz w:val="18"/>
                <w:szCs w:val="18"/>
              </w:rPr>
            </w:pPr>
            <w:r w:rsidRPr="003A3719">
              <w:rPr>
                <w:rFonts w:cs="Arial"/>
                <w:b/>
                <w:bCs/>
                <w:sz w:val="18"/>
                <w:szCs w:val="18"/>
              </w:rPr>
              <w:t>500,744</w:t>
            </w:r>
          </w:p>
        </w:tc>
        <w:tc>
          <w:tcPr>
            <w:tcW w:w="1241" w:type="dxa"/>
            <w:shd w:val="clear" w:color="auto" w:fill="D7DBE9"/>
            <w:vAlign w:val="center"/>
          </w:tcPr>
          <w:p w14:paraId="6596A3B4" w14:textId="5F0B3726" w:rsidR="003A3719" w:rsidRPr="003A3719" w:rsidRDefault="003A3719" w:rsidP="003A3719">
            <w:pPr>
              <w:pStyle w:val="tabletext"/>
              <w:jc w:val="right"/>
              <w:rPr>
                <w:rFonts w:cs="Arial"/>
                <w:b/>
                <w:sz w:val="18"/>
                <w:szCs w:val="18"/>
              </w:rPr>
            </w:pPr>
            <w:r w:rsidRPr="003A3719">
              <w:rPr>
                <w:rFonts w:cs="Arial"/>
                <w:b/>
                <w:bCs/>
                <w:sz w:val="18"/>
                <w:szCs w:val="18"/>
              </w:rPr>
              <w:t>1.54</w:t>
            </w:r>
          </w:p>
        </w:tc>
      </w:tr>
      <w:tr w:rsidR="003A3719" w:rsidRPr="00CB4ED1" w14:paraId="6466FD26" w14:textId="77777777" w:rsidTr="008A14A7">
        <w:tc>
          <w:tcPr>
            <w:tcW w:w="4503" w:type="dxa"/>
            <w:vAlign w:val="center"/>
          </w:tcPr>
          <w:p w14:paraId="7CC379D4" w14:textId="77777777" w:rsidR="003A3719" w:rsidRPr="00CB4ED1" w:rsidRDefault="003A3719" w:rsidP="003A3719">
            <w:pPr>
              <w:pStyle w:val="tabletext"/>
              <w:rPr>
                <w:sz w:val="18"/>
                <w:szCs w:val="18"/>
              </w:rPr>
            </w:pPr>
            <w:r w:rsidRPr="00CB4ED1">
              <w:rPr>
                <w:rFonts w:cs="Arial"/>
                <w:sz w:val="18"/>
                <w:szCs w:val="18"/>
              </w:rPr>
              <w:t>1.Capital costs increase by 20%</w:t>
            </w:r>
          </w:p>
        </w:tc>
        <w:tc>
          <w:tcPr>
            <w:tcW w:w="1240" w:type="dxa"/>
            <w:vAlign w:val="center"/>
          </w:tcPr>
          <w:p w14:paraId="7225BC8A" w14:textId="2600AAAB" w:rsidR="003A3719" w:rsidRPr="003A3719" w:rsidRDefault="003A3719" w:rsidP="003A3719">
            <w:pPr>
              <w:pStyle w:val="tabletext"/>
              <w:jc w:val="right"/>
              <w:rPr>
                <w:sz w:val="18"/>
                <w:szCs w:val="18"/>
              </w:rPr>
            </w:pPr>
            <w:r w:rsidRPr="003A3719">
              <w:rPr>
                <w:rFonts w:cs="Arial"/>
                <w:sz w:val="18"/>
                <w:szCs w:val="18"/>
              </w:rPr>
              <w:t>-940,021</w:t>
            </w:r>
          </w:p>
        </w:tc>
        <w:tc>
          <w:tcPr>
            <w:tcW w:w="1240" w:type="dxa"/>
            <w:vAlign w:val="center"/>
          </w:tcPr>
          <w:p w14:paraId="2CBEE428" w14:textId="58207E6D" w:rsidR="003A3719" w:rsidRPr="003A3719" w:rsidRDefault="003A3719" w:rsidP="003A3719">
            <w:pPr>
              <w:pStyle w:val="tabletext"/>
              <w:jc w:val="right"/>
              <w:rPr>
                <w:sz w:val="18"/>
                <w:szCs w:val="18"/>
              </w:rPr>
            </w:pPr>
            <w:r w:rsidRPr="003A3719">
              <w:rPr>
                <w:rFonts w:cs="Arial"/>
                <w:sz w:val="18"/>
                <w:szCs w:val="18"/>
              </w:rPr>
              <w:t>1,422,183</w:t>
            </w:r>
          </w:p>
        </w:tc>
        <w:tc>
          <w:tcPr>
            <w:tcW w:w="1240" w:type="dxa"/>
            <w:vAlign w:val="center"/>
          </w:tcPr>
          <w:p w14:paraId="3243AD45" w14:textId="7C03BDCC" w:rsidR="003A3719" w:rsidRPr="003A3719" w:rsidRDefault="003A3719" w:rsidP="003A3719">
            <w:pPr>
              <w:pStyle w:val="tabletext"/>
              <w:jc w:val="right"/>
              <w:rPr>
                <w:rFonts w:cs="Arial"/>
                <w:sz w:val="18"/>
                <w:szCs w:val="18"/>
              </w:rPr>
            </w:pPr>
            <w:r w:rsidRPr="003A3719">
              <w:rPr>
                <w:rFonts w:cs="Arial"/>
                <w:sz w:val="18"/>
                <w:szCs w:val="18"/>
              </w:rPr>
              <w:t>482,162</w:t>
            </w:r>
          </w:p>
        </w:tc>
        <w:tc>
          <w:tcPr>
            <w:tcW w:w="1241" w:type="dxa"/>
            <w:vAlign w:val="center"/>
          </w:tcPr>
          <w:p w14:paraId="695B08A1" w14:textId="142E538A" w:rsidR="003A3719" w:rsidRPr="003A3719" w:rsidRDefault="003A3719" w:rsidP="003A3719">
            <w:pPr>
              <w:pStyle w:val="tabletext"/>
              <w:jc w:val="right"/>
              <w:rPr>
                <w:rFonts w:cs="Arial"/>
                <w:sz w:val="18"/>
                <w:szCs w:val="18"/>
              </w:rPr>
            </w:pPr>
            <w:r w:rsidRPr="003A3719">
              <w:rPr>
                <w:rFonts w:cs="Arial"/>
                <w:sz w:val="18"/>
                <w:szCs w:val="18"/>
              </w:rPr>
              <w:t>1.51</w:t>
            </w:r>
          </w:p>
        </w:tc>
      </w:tr>
      <w:tr w:rsidR="003A3719" w:rsidRPr="00CB4ED1" w14:paraId="366C19BF" w14:textId="77777777" w:rsidTr="008A14A7">
        <w:tc>
          <w:tcPr>
            <w:tcW w:w="4503" w:type="dxa"/>
            <w:vAlign w:val="center"/>
          </w:tcPr>
          <w:p w14:paraId="5E0A93E3" w14:textId="77777777" w:rsidR="003A3719" w:rsidRPr="00CB4ED1" w:rsidRDefault="003A3719" w:rsidP="003A3719">
            <w:pPr>
              <w:pStyle w:val="tabletext"/>
              <w:rPr>
                <w:sz w:val="18"/>
                <w:szCs w:val="18"/>
              </w:rPr>
            </w:pPr>
            <w:r w:rsidRPr="00CB4ED1">
              <w:rPr>
                <w:rFonts w:cs="Arial"/>
                <w:sz w:val="18"/>
                <w:szCs w:val="18"/>
              </w:rPr>
              <w:t>2. Revenue costs increase by 10%</w:t>
            </w:r>
          </w:p>
        </w:tc>
        <w:tc>
          <w:tcPr>
            <w:tcW w:w="1240" w:type="dxa"/>
            <w:vAlign w:val="center"/>
          </w:tcPr>
          <w:p w14:paraId="56D859AF" w14:textId="648FABFD" w:rsidR="003A3719" w:rsidRPr="003A3719" w:rsidRDefault="003A3719" w:rsidP="003A3719">
            <w:pPr>
              <w:pStyle w:val="tabletext"/>
              <w:jc w:val="right"/>
              <w:rPr>
                <w:sz w:val="18"/>
                <w:szCs w:val="18"/>
              </w:rPr>
            </w:pPr>
            <w:r w:rsidRPr="003A3719">
              <w:rPr>
                <w:rFonts w:cs="Arial"/>
                <w:sz w:val="18"/>
                <w:szCs w:val="18"/>
              </w:rPr>
              <w:t>-1,015,111</w:t>
            </w:r>
          </w:p>
        </w:tc>
        <w:tc>
          <w:tcPr>
            <w:tcW w:w="1240" w:type="dxa"/>
            <w:vAlign w:val="center"/>
          </w:tcPr>
          <w:p w14:paraId="44F56FD5" w14:textId="20F78D28" w:rsidR="003A3719" w:rsidRPr="003A3719" w:rsidRDefault="003A3719" w:rsidP="003A3719">
            <w:pPr>
              <w:pStyle w:val="tabletext"/>
              <w:jc w:val="right"/>
              <w:rPr>
                <w:sz w:val="18"/>
                <w:szCs w:val="18"/>
              </w:rPr>
            </w:pPr>
            <w:r w:rsidRPr="003A3719">
              <w:rPr>
                <w:rFonts w:cs="Arial"/>
                <w:sz w:val="18"/>
                <w:szCs w:val="18"/>
              </w:rPr>
              <w:t>1,422,183</w:t>
            </w:r>
          </w:p>
        </w:tc>
        <w:tc>
          <w:tcPr>
            <w:tcW w:w="1240" w:type="dxa"/>
            <w:vAlign w:val="center"/>
          </w:tcPr>
          <w:p w14:paraId="16D00F61" w14:textId="1249DFEA" w:rsidR="003A3719" w:rsidRPr="003A3719" w:rsidRDefault="003A3719" w:rsidP="003A3719">
            <w:pPr>
              <w:pStyle w:val="tabletext"/>
              <w:jc w:val="right"/>
              <w:rPr>
                <w:rFonts w:cs="Arial"/>
                <w:sz w:val="18"/>
                <w:szCs w:val="18"/>
              </w:rPr>
            </w:pPr>
            <w:r w:rsidRPr="003A3719">
              <w:rPr>
                <w:rFonts w:cs="Arial"/>
                <w:sz w:val="18"/>
                <w:szCs w:val="18"/>
              </w:rPr>
              <w:t>407,071</w:t>
            </w:r>
          </w:p>
        </w:tc>
        <w:tc>
          <w:tcPr>
            <w:tcW w:w="1241" w:type="dxa"/>
            <w:vAlign w:val="center"/>
          </w:tcPr>
          <w:p w14:paraId="46EABD47" w14:textId="5C0ED0DE" w:rsidR="003A3719" w:rsidRPr="003A3719" w:rsidRDefault="003A3719" w:rsidP="003A3719">
            <w:pPr>
              <w:pStyle w:val="tabletext"/>
              <w:jc w:val="right"/>
              <w:rPr>
                <w:rFonts w:cs="Arial"/>
                <w:sz w:val="18"/>
                <w:szCs w:val="18"/>
              </w:rPr>
            </w:pPr>
            <w:r w:rsidRPr="003A3719">
              <w:rPr>
                <w:rFonts w:cs="Arial"/>
                <w:sz w:val="18"/>
                <w:szCs w:val="18"/>
              </w:rPr>
              <w:t>1.40</w:t>
            </w:r>
          </w:p>
        </w:tc>
      </w:tr>
      <w:tr w:rsidR="003A3719" w:rsidRPr="00CB4ED1" w14:paraId="574BA3C7" w14:textId="77777777" w:rsidTr="008A14A7">
        <w:tc>
          <w:tcPr>
            <w:tcW w:w="4503" w:type="dxa"/>
            <w:vAlign w:val="center"/>
          </w:tcPr>
          <w:p w14:paraId="6C247CC4" w14:textId="77777777" w:rsidR="003A3719" w:rsidRPr="00C01BB1" w:rsidRDefault="003A3719" w:rsidP="003A3719">
            <w:pPr>
              <w:pStyle w:val="tabletext"/>
              <w:rPr>
                <w:sz w:val="18"/>
                <w:szCs w:val="18"/>
              </w:rPr>
            </w:pPr>
            <w:r w:rsidRPr="00C01BB1">
              <w:rPr>
                <w:rFonts w:cs="Arial"/>
                <w:sz w:val="18"/>
                <w:szCs w:val="18"/>
              </w:rPr>
              <w:t>3a. Reduced length of stay benefits confidence rating reduced from 50% to 25%</w:t>
            </w:r>
          </w:p>
        </w:tc>
        <w:tc>
          <w:tcPr>
            <w:tcW w:w="1240" w:type="dxa"/>
            <w:vAlign w:val="center"/>
          </w:tcPr>
          <w:p w14:paraId="4ED356E0" w14:textId="3E909486" w:rsidR="003A3719" w:rsidRPr="003A3719" w:rsidRDefault="003A3719" w:rsidP="003A3719">
            <w:pPr>
              <w:pStyle w:val="tabletext"/>
              <w:jc w:val="right"/>
              <w:rPr>
                <w:sz w:val="18"/>
                <w:szCs w:val="18"/>
              </w:rPr>
            </w:pPr>
            <w:r w:rsidRPr="003A3719">
              <w:rPr>
                <w:rFonts w:cs="Arial"/>
                <w:sz w:val="18"/>
                <w:szCs w:val="18"/>
              </w:rPr>
              <w:t>-921,439</w:t>
            </w:r>
          </w:p>
        </w:tc>
        <w:tc>
          <w:tcPr>
            <w:tcW w:w="1240" w:type="dxa"/>
            <w:vAlign w:val="center"/>
          </w:tcPr>
          <w:p w14:paraId="1CB8A9F7" w14:textId="2405150A" w:rsidR="003A3719" w:rsidRPr="003A3719" w:rsidRDefault="003A3719" w:rsidP="003A3719">
            <w:pPr>
              <w:pStyle w:val="tabletext"/>
              <w:jc w:val="right"/>
              <w:rPr>
                <w:sz w:val="18"/>
                <w:szCs w:val="18"/>
              </w:rPr>
            </w:pPr>
            <w:r w:rsidRPr="003A3719">
              <w:rPr>
                <w:rFonts w:cs="Arial"/>
                <w:sz w:val="18"/>
                <w:szCs w:val="18"/>
              </w:rPr>
              <w:t>1,393,179</w:t>
            </w:r>
          </w:p>
        </w:tc>
        <w:tc>
          <w:tcPr>
            <w:tcW w:w="1240" w:type="dxa"/>
            <w:vAlign w:val="center"/>
          </w:tcPr>
          <w:p w14:paraId="735D335B" w14:textId="41A8610C" w:rsidR="003A3719" w:rsidRPr="003A3719" w:rsidRDefault="003A3719" w:rsidP="003A3719">
            <w:pPr>
              <w:pStyle w:val="tabletext"/>
              <w:jc w:val="right"/>
              <w:rPr>
                <w:rFonts w:cs="Arial"/>
                <w:sz w:val="18"/>
                <w:szCs w:val="18"/>
              </w:rPr>
            </w:pPr>
            <w:r w:rsidRPr="003A3719">
              <w:rPr>
                <w:rFonts w:cs="Arial"/>
                <w:sz w:val="18"/>
                <w:szCs w:val="18"/>
              </w:rPr>
              <w:t>471,741</w:t>
            </w:r>
          </w:p>
        </w:tc>
        <w:tc>
          <w:tcPr>
            <w:tcW w:w="1241" w:type="dxa"/>
            <w:vAlign w:val="center"/>
          </w:tcPr>
          <w:p w14:paraId="598826F6" w14:textId="5682FCB8" w:rsidR="003A3719" w:rsidRPr="003A3719" w:rsidRDefault="003A3719" w:rsidP="003A3719">
            <w:pPr>
              <w:pStyle w:val="tabletext"/>
              <w:jc w:val="right"/>
              <w:rPr>
                <w:rFonts w:cs="Arial"/>
                <w:sz w:val="18"/>
                <w:szCs w:val="18"/>
              </w:rPr>
            </w:pPr>
            <w:r w:rsidRPr="003A3719">
              <w:rPr>
                <w:rFonts w:cs="Arial"/>
                <w:sz w:val="18"/>
                <w:szCs w:val="18"/>
              </w:rPr>
              <w:t>1.51</w:t>
            </w:r>
          </w:p>
        </w:tc>
      </w:tr>
      <w:tr w:rsidR="003A3719" w:rsidRPr="00CB4ED1" w14:paraId="28095971" w14:textId="77777777" w:rsidTr="008A14A7">
        <w:tc>
          <w:tcPr>
            <w:tcW w:w="4503" w:type="dxa"/>
            <w:vAlign w:val="center"/>
          </w:tcPr>
          <w:p w14:paraId="0BD6DF2A" w14:textId="77777777" w:rsidR="003A3719" w:rsidRPr="00C01BB1" w:rsidRDefault="003A3719" w:rsidP="003A3719">
            <w:pPr>
              <w:pStyle w:val="tabletext"/>
              <w:rPr>
                <w:rFonts w:cs="Arial"/>
                <w:sz w:val="18"/>
                <w:szCs w:val="18"/>
              </w:rPr>
            </w:pPr>
            <w:r w:rsidRPr="00C01BB1">
              <w:rPr>
                <w:rFonts w:cs="Arial"/>
                <w:sz w:val="18"/>
                <w:szCs w:val="18"/>
              </w:rPr>
              <w:t>3b. Reduced length of stay benefits confidence rating increased from 50% to 75%</w:t>
            </w:r>
          </w:p>
        </w:tc>
        <w:tc>
          <w:tcPr>
            <w:tcW w:w="1240" w:type="dxa"/>
            <w:vAlign w:val="center"/>
          </w:tcPr>
          <w:p w14:paraId="4D3C07E1" w14:textId="1D15AB02" w:rsidR="003A3719" w:rsidRPr="003A3719" w:rsidRDefault="003A3719" w:rsidP="003A3719">
            <w:pPr>
              <w:pStyle w:val="tabletext"/>
              <w:jc w:val="right"/>
              <w:rPr>
                <w:rFonts w:cs="Arial"/>
                <w:sz w:val="18"/>
                <w:szCs w:val="18"/>
              </w:rPr>
            </w:pPr>
            <w:r w:rsidRPr="003A3719">
              <w:rPr>
                <w:rFonts w:cs="Arial"/>
                <w:sz w:val="18"/>
                <w:szCs w:val="18"/>
              </w:rPr>
              <w:t>-921,439</w:t>
            </w:r>
          </w:p>
        </w:tc>
        <w:tc>
          <w:tcPr>
            <w:tcW w:w="1240" w:type="dxa"/>
            <w:vAlign w:val="center"/>
          </w:tcPr>
          <w:p w14:paraId="1307105E" w14:textId="4993C298" w:rsidR="003A3719" w:rsidRPr="003A3719" w:rsidRDefault="003A3719" w:rsidP="003A3719">
            <w:pPr>
              <w:pStyle w:val="tabletext"/>
              <w:jc w:val="right"/>
              <w:rPr>
                <w:rFonts w:cs="Arial"/>
                <w:sz w:val="18"/>
                <w:szCs w:val="18"/>
              </w:rPr>
            </w:pPr>
            <w:r w:rsidRPr="003A3719">
              <w:rPr>
                <w:rFonts w:cs="Arial"/>
                <w:sz w:val="18"/>
                <w:szCs w:val="18"/>
              </w:rPr>
              <w:t>1,451,186</w:t>
            </w:r>
          </w:p>
        </w:tc>
        <w:tc>
          <w:tcPr>
            <w:tcW w:w="1240" w:type="dxa"/>
            <w:vAlign w:val="center"/>
          </w:tcPr>
          <w:p w14:paraId="110BA085" w14:textId="59B6A509" w:rsidR="003A3719" w:rsidRPr="003A3719" w:rsidRDefault="003A3719" w:rsidP="003A3719">
            <w:pPr>
              <w:pStyle w:val="tabletext"/>
              <w:jc w:val="right"/>
              <w:rPr>
                <w:rFonts w:cs="Arial"/>
                <w:sz w:val="18"/>
                <w:szCs w:val="18"/>
              </w:rPr>
            </w:pPr>
            <w:r w:rsidRPr="003A3719">
              <w:rPr>
                <w:rFonts w:cs="Arial"/>
                <w:sz w:val="18"/>
                <w:szCs w:val="18"/>
              </w:rPr>
              <w:t>529,747</w:t>
            </w:r>
          </w:p>
        </w:tc>
        <w:tc>
          <w:tcPr>
            <w:tcW w:w="1241" w:type="dxa"/>
            <w:vAlign w:val="center"/>
          </w:tcPr>
          <w:p w14:paraId="0619D4E7" w14:textId="6E6B932F" w:rsidR="003A3719" w:rsidRPr="003A3719" w:rsidRDefault="003A3719" w:rsidP="003A3719">
            <w:pPr>
              <w:pStyle w:val="tabletext"/>
              <w:jc w:val="right"/>
              <w:rPr>
                <w:rFonts w:cs="Arial"/>
                <w:sz w:val="18"/>
                <w:szCs w:val="18"/>
              </w:rPr>
            </w:pPr>
            <w:r w:rsidRPr="003A3719">
              <w:rPr>
                <w:rFonts w:cs="Arial"/>
                <w:sz w:val="18"/>
                <w:szCs w:val="18"/>
              </w:rPr>
              <w:t>1.57</w:t>
            </w:r>
          </w:p>
        </w:tc>
      </w:tr>
      <w:tr w:rsidR="003A3719" w:rsidRPr="00CB4ED1" w14:paraId="79F7F772" w14:textId="77777777" w:rsidTr="008A14A7">
        <w:tc>
          <w:tcPr>
            <w:tcW w:w="4503" w:type="dxa"/>
            <w:vAlign w:val="center"/>
          </w:tcPr>
          <w:p w14:paraId="09B90E62" w14:textId="77777777" w:rsidR="003A3719" w:rsidRPr="00CB4ED1" w:rsidRDefault="003A3719" w:rsidP="003A3719">
            <w:pPr>
              <w:pStyle w:val="tabletext"/>
              <w:rPr>
                <w:rFonts w:cs="Arial"/>
                <w:sz w:val="18"/>
                <w:szCs w:val="18"/>
              </w:rPr>
            </w:pPr>
            <w:r>
              <w:rPr>
                <w:rFonts w:cs="Arial"/>
                <w:sz w:val="18"/>
                <w:szCs w:val="18"/>
              </w:rPr>
              <w:t>4</w:t>
            </w:r>
            <w:r w:rsidRPr="00CB4ED1">
              <w:rPr>
                <w:rFonts w:cs="Arial"/>
                <w:sz w:val="18"/>
                <w:szCs w:val="18"/>
              </w:rPr>
              <w:t>a. Improved patient outcomes because of shorter Arthroplasty waiting times and reduced LOS confidence rating increased from 25% to 12.5%</w:t>
            </w:r>
          </w:p>
        </w:tc>
        <w:tc>
          <w:tcPr>
            <w:tcW w:w="1240" w:type="dxa"/>
            <w:vAlign w:val="center"/>
          </w:tcPr>
          <w:p w14:paraId="1B698046" w14:textId="36B11786" w:rsidR="003A3719" w:rsidRPr="003A3719" w:rsidRDefault="003A3719" w:rsidP="003A3719">
            <w:pPr>
              <w:pStyle w:val="tabletext"/>
              <w:jc w:val="right"/>
              <w:rPr>
                <w:rFonts w:cs="Arial"/>
                <w:sz w:val="18"/>
                <w:szCs w:val="18"/>
              </w:rPr>
            </w:pPr>
            <w:r w:rsidRPr="003A3719">
              <w:rPr>
                <w:rFonts w:cs="Arial"/>
                <w:sz w:val="18"/>
                <w:szCs w:val="18"/>
              </w:rPr>
              <w:t>-921,439</w:t>
            </w:r>
          </w:p>
        </w:tc>
        <w:tc>
          <w:tcPr>
            <w:tcW w:w="1240" w:type="dxa"/>
            <w:vAlign w:val="center"/>
          </w:tcPr>
          <w:p w14:paraId="396AB986" w14:textId="2E9FC573" w:rsidR="003A3719" w:rsidRPr="003A3719" w:rsidRDefault="003A3719" w:rsidP="003A3719">
            <w:pPr>
              <w:pStyle w:val="tabletext"/>
              <w:jc w:val="right"/>
              <w:rPr>
                <w:rFonts w:cs="Arial"/>
                <w:sz w:val="18"/>
                <w:szCs w:val="18"/>
              </w:rPr>
            </w:pPr>
            <w:r w:rsidRPr="003A3719">
              <w:rPr>
                <w:rFonts w:cs="Arial"/>
                <w:sz w:val="18"/>
                <w:szCs w:val="18"/>
              </w:rPr>
              <w:t>755,071</w:t>
            </w:r>
          </w:p>
        </w:tc>
        <w:tc>
          <w:tcPr>
            <w:tcW w:w="1240" w:type="dxa"/>
            <w:vAlign w:val="center"/>
          </w:tcPr>
          <w:p w14:paraId="4E5C1714" w14:textId="76CAF04D" w:rsidR="003A3719" w:rsidRPr="003A3719" w:rsidRDefault="003A3719" w:rsidP="003A3719">
            <w:pPr>
              <w:pStyle w:val="tabletext"/>
              <w:jc w:val="right"/>
              <w:rPr>
                <w:rFonts w:cs="Arial"/>
                <w:sz w:val="18"/>
                <w:szCs w:val="18"/>
              </w:rPr>
            </w:pPr>
            <w:r w:rsidRPr="003A3719">
              <w:rPr>
                <w:rFonts w:cs="Arial"/>
                <w:sz w:val="18"/>
                <w:szCs w:val="18"/>
              </w:rPr>
              <w:t>-166,368</w:t>
            </w:r>
          </w:p>
        </w:tc>
        <w:tc>
          <w:tcPr>
            <w:tcW w:w="1241" w:type="dxa"/>
            <w:vAlign w:val="center"/>
          </w:tcPr>
          <w:p w14:paraId="3DEE4C75" w14:textId="3E20179E" w:rsidR="003A3719" w:rsidRPr="003A3719" w:rsidRDefault="003A3719" w:rsidP="003A3719">
            <w:pPr>
              <w:pStyle w:val="tabletext"/>
              <w:jc w:val="right"/>
              <w:rPr>
                <w:rFonts w:cs="Arial"/>
                <w:sz w:val="18"/>
                <w:szCs w:val="18"/>
              </w:rPr>
            </w:pPr>
            <w:r w:rsidRPr="003A3719">
              <w:rPr>
                <w:rFonts w:cs="Arial"/>
                <w:sz w:val="18"/>
                <w:szCs w:val="18"/>
              </w:rPr>
              <w:t>0.82</w:t>
            </w:r>
          </w:p>
        </w:tc>
      </w:tr>
      <w:tr w:rsidR="003A3719" w:rsidRPr="00CB4ED1" w14:paraId="2936FF5E" w14:textId="77777777" w:rsidTr="008A14A7">
        <w:tc>
          <w:tcPr>
            <w:tcW w:w="4503" w:type="dxa"/>
            <w:vAlign w:val="center"/>
          </w:tcPr>
          <w:p w14:paraId="38DCD38A" w14:textId="77777777" w:rsidR="003A3719" w:rsidRPr="00CB4ED1" w:rsidRDefault="003A3719" w:rsidP="003A3719">
            <w:pPr>
              <w:pStyle w:val="tabletext"/>
              <w:rPr>
                <w:rFonts w:cs="Arial"/>
                <w:sz w:val="18"/>
                <w:szCs w:val="18"/>
              </w:rPr>
            </w:pPr>
            <w:r>
              <w:rPr>
                <w:rFonts w:cs="Arial"/>
                <w:sz w:val="18"/>
                <w:szCs w:val="18"/>
              </w:rPr>
              <w:t>4</w:t>
            </w:r>
            <w:r w:rsidRPr="00CB4ED1">
              <w:rPr>
                <w:rFonts w:cs="Arial"/>
                <w:sz w:val="18"/>
                <w:szCs w:val="18"/>
              </w:rPr>
              <w:t>b. Improved patient outcomes because of shorter Arthroplasty waiting times and reduced LOS confidence rating increased from 25% to 50%</w:t>
            </w:r>
          </w:p>
        </w:tc>
        <w:tc>
          <w:tcPr>
            <w:tcW w:w="1240" w:type="dxa"/>
            <w:vAlign w:val="center"/>
          </w:tcPr>
          <w:p w14:paraId="0AAC2A2E" w14:textId="0427B49F" w:rsidR="003A3719" w:rsidRPr="003A3719" w:rsidRDefault="003A3719" w:rsidP="003A3719">
            <w:pPr>
              <w:pStyle w:val="tabletext"/>
              <w:jc w:val="right"/>
              <w:rPr>
                <w:rFonts w:cs="Arial"/>
                <w:sz w:val="18"/>
                <w:szCs w:val="18"/>
              </w:rPr>
            </w:pPr>
            <w:r w:rsidRPr="003A3719">
              <w:rPr>
                <w:rFonts w:cs="Arial"/>
                <w:sz w:val="18"/>
                <w:szCs w:val="18"/>
              </w:rPr>
              <w:t>-921,439</w:t>
            </w:r>
          </w:p>
        </w:tc>
        <w:tc>
          <w:tcPr>
            <w:tcW w:w="1240" w:type="dxa"/>
            <w:vAlign w:val="center"/>
          </w:tcPr>
          <w:p w14:paraId="09DAE069" w14:textId="42419729" w:rsidR="003A3719" w:rsidRPr="003A3719" w:rsidRDefault="003A3719" w:rsidP="003A3719">
            <w:pPr>
              <w:pStyle w:val="tabletext"/>
              <w:jc w:val="right"/>
              <w:rPr>
                <w:rFonts w:cs="Arial"/>
                <w:sz w:val="18"/>
                <w:szCs w:val="18"/>
              </w:rPr>
            </w:pPr>
            <w:r w:rsidRPr="003A3719">
              <w:rPr>
                <w:rFonts w:cs="Arial"/>
                <w:sz w:val="18"/>
                <w:szCs w:val="18"/>
              </w:rPr>
              <w:t>2,756,407</w:t>
            </w:r>
          </w:p>
        </w:tc>
        <w:tc>
          <w:tcPr>
            <w:tcW w:w="1240" w:type="dxa"/>
            <w:vAlign w:val="center"/>
          </w:tcPr>
          <w:p w14:paraId="2CDFCA60" w14:textId="5D4AEF25" w:rsidR="003A3719" w:rsidRPr="003A3719" w:rsidRDefault="003A3719" w:rsidP="003A3719">
            <w:pPr>
              <w:pStyle w:val="tabletext"/>
              <w:jc w:val="right"/>
              <w:rPr>
                <w:rFonts w:cs="Arial"/>
                <w:sz w:val="18"/>
                <w:szCs w:val="18"/>
              </w:rPr>
            </w:pPr>
            <w:r w:rsidRPr="003A3719">
              <w:rPr>
                <w:rFonts w:cs="Arial"/>
                <w:sz w:val="18"/>
                <w:szCs w:val="18"/>
              </w:rPr>
              <w:t>1,834,968</w:t>
            </w:r>
          </w:p>
        </w:tc>
        <w:tc>
          <w:tcPr>
            <w:tcW w:w="1241" w:type="dxa"/>
            <w:vAlign w:val="center"/>
          </w:tcPr>
          <w:p w14:paraId="2063A17D" w14:textId="0F54D099" w:rsidR="003A3719" w:rsidRPr="003A3719" w:rsidRDefault="003A3719" w:rsidP="003A3719">
            <w:pPr>
              <w:pStyle w:val="tabletext"/>
              <w:jc w:val="right"/>
              <w:rPr>
                <w:rFonts w:cs="Arial"/>
                <w:sz w:val="18"/>
                <w:szCs w:val="18"/>
              </w:rPr>
            </w:pPr>
            <w:r w:rsidRPr="003A3719">
              <w:rPr>
                <w:rFonts w:cs="Arial"/>
                <w:sz w:val="18"/>
                <w:szCs w:val="18"/>
              </w:rPr>
              <w:t>2.99</w:t>
            </w:r>
          </w:p>
        </w:tc>
      </w:tr>
    </w:tbl>
    <w:p w14:paraId="3DEF9383" w14:textId="77777777" w:rsidR="00DF73C0" w:rsidRPr="00CB4ED1" w:rsidRDefault="00DF73C0" w:rsidP="00DF73C0">
      <w:pPr>
        <w:pStyle w:val="NoSpacing"/>
      </w:pPr>
    </w:p>
    <w:p w14:paraId="2AFAE4AE" w14:textId="77777777" w:rsidR="00DF73C0" w:rsidRPr="00CB4ED1" w:rsidRDefault="00DF73C0" w:rsidP="00DF73C0">
      <w:r w:rsidRPr="00CB4ED1">
        <w:t>In summary:</w:t>
      </w:r>
    </w:p>
    <w:p w14:paraId="7623A3C0" w14:textId="24DF0A27" w:rsidR="00DF73C0" w:rsidRPr="00CB4ED1" w:rsidRDefault="00DF73C0" w:rsidP="00DF73C0">
      <w:pPr>
        <w:pStyle w:val="bullets1"/>
      </w:pPr>
      <w:r w:rsidRPr="00CB4ED1">
        <w:t>Scenario 1: Even if capital costs were to increase by 20% (c.£</w:t>
      </w:r>
      <w:r>
        <w:t>1</w:t>
      </w:r>
      <w:r w:rsidR="00B8116B">
        <w:t>9</w:t>
      </w:r>
      <w:r>
        <w:t>.</w:t>
      </w:r>
      <w:r w:rsidR="00B8116B">
        <w:t>8</w:t>
      </w:r>
      <w:r w:rsidRPr="00CB4ED1">
        <w:t xml:space="preserve">m excluding VAT), this would have minimal impact on BCR, and the project would still deliver a positive NPSV. </w:t>
      </w:r>
    </w:p>
    <w:p w14:paraId="504DF3F6" w14:textId="77777777" w:rsidR="00DF73C0" w:rsidRPr="00CB4ED1" w:rsidRDefault="00DF73C0" w:rsidP="00DF73C0">
      <w:pPr>
        <w:pStyle w:val="bullets1"/>
      </w:pPr>
      <w:r w:rsidRPr="00CB4ED1">
        <w:t>Scenario 2: A 10% increase in revenue costs (c. £</w:t>
      </w:r>
      <w:r>
        <w:t>4</w:t>
      </w:r>
      <w:r w:rsidRPr="00CB4ED1">
        <w:t>m p.a.) would result in a Net Present Social Cost, this would have minimal impact on BCR, and the project would still deliver a positive NPSV.</w:t>
      </w:r>
    </w:p>
    <w:p w14:paraId="5994FDE8" w14:textId="329B64CE" w:rsidR="00DF73C0" w:rsidRPr="00CB4ED1" w:rsidRDefault="00DF73C0" w:rsidP="00DF73C0">
      <w:pPr>
        <w:pStyle w:val="bullets1"/>
      </w:pPr>
      <w:r w:rsidRPr="00CB4ED1">
        <w:t xml:space="preserve">Scenario 3: The monetised benefits directly associated with reduced length of stay (increased throughput, value of patient time saved) appear to have minimal impact on the value for money indicators. For instance, if the confidence rating was reduced from </w:t>
      </w:r>
      <w:r>
        <w:t>50</w:t>
      </w:r>
      <w:r w:rsidRPr="00CB4ED1">
        <w:t xml:space="preserve">% to </w:t>
      </w:r>
      <w:r>
        <w:t>25</w:t>
      </w:r>
      <w:r w:rsidRPr="00CB4ED1">
        <w:t>% this would only slightly reduce the BCR from 1.</w:t>
      </w:r>
      <w:r>
        <w:t>5</w:t>
      </w:r>
      <w:r w:rsidR="00B8116B">
        <w:t>4</w:t>
      </w:r>
      <w:r w:rsidRPr="00CB4ED1">
        <w:t xml:space="preserve"> to 1.</w:t>
      </w:r>
      <w:r>
        <w:t>5</w:t>
      </w:r>
      <w:r w:rsidR="00B8116B">
        <w:t>1</w:t>
      </w:r>
      <w:r w:rsidRPr="00CB4ED1">
        <w:t xml:space="preserve">. Similarly increasing it to </w:t>
      </w:r>
      <w:r>
        <w:t>75</w:t>
      </w:r>
      <w:r w:rsidRPr="00CB4ED1">
        <w:t>% would only slightly improve the BCR from 1.</w:t>
      </w:r>
      <w:r>
        <w:t>5</w:t>
      </w:r>
      <w:r w:rsidR="00B8116B">
        <w:t>4</w:t>
      </w:r>
      <w:r w:rsidRPr="00CB4ED1">
        <w:t xml:space="preserve"> to 1.</w:t>
      </w:r>
      <w:r w:rsidR="00B8116B">
        <w:t>57</w:t>
      </w:r>
      <w:r w:rsidRPr="00CB4ED1">
        <w:t>.</w:t>
      </w:r>
    </w:p>
    <w:p w14:paraId="43DD8971" w14:textId="454559E3" w:rsidR="00DF73C0" w:rsidRPr="00CB4ED1" w:rsidRDefault="00DF73C0" w:rsidP="00DF73C0">
      <w:pPr>
        <w:pStyle w:val="bullets1"/>
      </w:pPr>
      <w:r w:rsidRPr="00CB4ED1">
        <w:t xml:space="preserve">Scenario </w:t>
      </w:r>
      <w:r>
        <w:t>4</w:t>
      </w:r>
      <w:r w:rsidRPr="00CB4ED1">
        <w:t>: However, the value for money indicators do appear to be relatively sensitive to changes in assumptions about improved patient outcomes because of reduced waiting times and reduced length of stay for Arthroplasty patients. For instance, if the confidence rating was reduced from 25% to 12.5% this would almost halve the BCR from 1.</w:t>
      </w:r>
      <w:r>
        <w:t>5</w:t>
      </w:r>
      <w:r w:rsidR="00B8116B">
        <w:t>4</w:t>
      </w:r>
      <w:r w:rsidRPr="00CB4ED1">
        <w:t xml:space="preserve"> to 0.</w:t>
      </w:r>
      <w:r>
        <w:t>8</w:t>
      </w:r>
      <w:r w:rsidR="00320085">
        <w:t>2</w:t>
      </w:r>
      <w:r w:rsidRPr="00CB4ED1">
        <w:t>, while increasing it to 50% would almost double the BCR from 1.</w:t>
      </w:r>
      <w:r>
        <w:t>5</w:t>
      </w:r>
      <w:r w:rsidR="00320085">
        <w:t>4</w:t>
      </w:r>
      <w:r w:rsidRPr="00CB4ED1">
        <w:t xml:space="preserve"> to </w:t>
      </w:r>
      <w:r w:rsidR="00320085">
        <w:t>2.99</w:t>
      </w:r>
      <w:r w:rsidRPr="00CB4ED1">
        <w:t xml:space="preserve">. It should be noted that the baseline confidence rating of 25% is already relatively prudent to reflect the degree of uncertainty about the assumptions made within the calculation (for instance that the current run-rate of waiting times would continue without LHP but would be reduced by 17 weeks in line with targets as a result of LHP, and that, following recovery from surgery, each patient benefiting from this would see full improvement from 0.548 to 1 quality adjusted life year). It is assumed that any sensitivity in these assumptions are already accounted for within the prudent 25% confidence rating and, if these assumptions can be firmed up at FBC, the confidence rating would increase.   </w:t>
      </w:r>
    </w:p>
    <w:p w14:paraId="24EE9DED" w14:textId="77777777" w:rsidR="00DF73C0" w:rsidRPr="00CB4ED1" w:rsidRDefault="00DF73C0" w:rsidP="00DF73C0">
      <w:pPr>
        <w:pStyle w:val="NoSpacing"/>
      </w:pPr>
    </w:p>
    <w:p w14:paraId="712D59D2" w14:textId="77777777" w:rsidR="00DF73C0" w:rsidRPr="00CB4ED1" w:rsidRDefault="00DF73C0" w:rsidP="00DF73C0">
      <w:pPr>
        <w:pStyle w:val="bullets1"/>
        <w:numPr>
          <w:ilvl w:val="0"/>
          <w:numId w:val="0"/>
        </w:numPr>
      </w:pPr>
      <w:r w:rsidRPr="00CB4ED1">
        <w:t>The results of the scenario analysis show that the BCR is relatively sensitive to some changes in assumptions, specifically patient outcomes associated with reducing surgical waiting times. However, it is believed that as the project progresses to FBC and assumptions can be firmed up, it will be possible to monetise further benefits and increase the confidence rating applied to those already quantified. This would likely increase the BCR overall.</w:t>
      </w:r>
    </w:p>
    <w:p w14:paraId="73DBCD7D" w14:textId="77777777" w:rsidR="00DF73C0" w:rsidRPr="00CB4ED1" w:rsidRDefault="00DF73C0" w:rsidP="00DF73C0">
      <w:pPr>
        <w:pStyle w:val="NoSpacing"/>
      </w:pPr>
    </w:p>
    <w:p w14:paraId="52672C85" w14:textId="77777777" w:rsidR="00DF73C0" w:rsidRPr="00CB4ED1" w:rsidRDefault="00DF73C0" w:rsidP="00DF73C0">
      <w:pPr>
        <w:pStyle w:val="Heading2"/>
      </w:pPr>
      <w:bookmarkStart w:id="217" w:name="_Toc103170640"/>
      <w:bookmarkStart w:id="218" w:name="_Toc158978000"/>
      <w:bookmarkStart w:id="219" w:name="_Toc213775095"/>
      <w:bookmarkStart w:id="220" w:name="_Toc213865245"/>
      <w:bookmarkEnd w:id="216"/>
      <w:r w:rsidRPr="00CB4ED1">
        <w:lastRenderedPageBreak/>
        <w:t>Preferred option</w:t>
      </w:r>
      <w:bookmarkEnd w:id="217"/>
      <w:bookmarkEnd w:id="218"/>
      <w:bookmarkEnd w:id="219"/>
      <w:bookmarkEnd w:id="220"/>
    </w:p>
    <w:p w14:paraId="5B23CABF" w14:textId="415D7C14" w:rsidR="00DF73C0" w:rsidRPr="00CB4ED1" w:rsidRDefault="00DF73C0" w:rsidP="00DF73C0">
      <w:r w:rsidRPr="00CB4ED1">
        <w:t xml:space="preserve">The results of the economic appraisal demonstrate that the preferred way forward offers value for public money. </w:t>
      </w:r>
      <w:r w:rsidR="005D2E8A">
        <w:t>This option is an NHS-funded capital build for the Orthopaedic Surgical Hub at Llantrisant Health Park, delivering theatres and ward accommodation for high-volume, low-complexity arthroplasty procedures.</w:t>
      </w:r>
    </w:p>
    <w:p w14:paraId="0725F8D4" w14:textId="0E113C99" w:rsidR="00DF73C0" w:rsidRPr="00CB4ED1" w:rsidRDefault="00DF73C0" w:rsidP="00DF73C0">
      <w:r w:rsidRPr="00CB4ED1">
        <w:t>Requiring capital investment of £</w:t>
      </w:r>
      <w:r>
        <w:t>1</w:t>
      </w:r>
      <w:r w:rsidR="00320085">
        <w:t>23</w:t>
      </w:r>
      <w:r>
        <w:t>.</w:t>
      </w:r>
      <w:r w:rsidR="00320085">
        <w:t>6</w:t>
      </w:r>
      <w:r w:rsidRPr="00CB4ED1">
        <w:t>m</w:t>
      </w:r>
      <w:r>
        <w:t xml:space="preserve"> (including VAT)</w:t>
      </w:r>
      <w:r w:rsidRPr="00CB4ED1">
        <w:t xml:space="preserve"> and ongoing revenue costs of £</w:t>
      </w:r>
      <w:r>
        <w:t>36.8</w:t>
      </w:r>
      <w:r w:rsidRPr="00CB4ED1">
        <w:t>m</w:t>
      </w:r>
      <w:r>
        <w:t xml:space="preserve"> p.a.</w:t>
      </w:r>
      <w:r w:rsidRPr="00CB4ED1">
        <w:t xml:space="preserve"> (excluding depreciation), based on estimated costs and benefits, it is anticipated that </w:t>
      </w:r>
      <w:r w:rsidR="009759BC">
        <w:t xml:space="preserve">phase 2 of the </w:t>
      </w:r>
      <w:r w:rsidRPr="00CB4ED1">
        <w:t>LHP will deliver an incremental Net Present Social Value (NPSV) of £</w:t>
      </w:r>
      <w:r>
        <w:t>5</w:t>
      </w:r>
      <w:r w:rsidR="007D6605">
        <w:t>00.7</w:t>
      </w:r>
      <w:r w:rsidRPr="00CB4ED1">
        <w:t>m and a Benefit Cost Ratio (BCR) of 1.</w:t>
      </w:r>
      <w:r>
        <w:t>5</w:t>
      </w:r>
      <w:r w:rsidR="007D6605">
        <w:t xml:space="preserve">4. </w:t>
      </w:r>
      <w:r w:rsidRPr="00CB4ED1">
        <w:t>This represents £1.</w:t>
      </w:r>
      <w:r>
        <w:t>5</w:t>
      </w:r>
      <w:r w:rsidR="007D6605">
        <w:t>4</w:t>
      </w:r>
      <w:r w:rsidRPr="00CB4ED1">
        <w:t xml:space="preserve"> of incremental benefit delivered for every £1.00 of incremental whole life cost, because of the quantifiable benefits that it has been possible to state in monetary values </w:t>
      </w:r>
      <w:proofErr w:type="gramStart"/>
      <w:r w:rsidRPr="00CB4ED1">
        <w:t>at this point in time</w:t>
      </w:r>
      <w:proofErr w:type="gramEnd"/>
      <w:r w:rsidRPr="00CB4ED1">
        <w:t>, including:</w:t>
      </w:r>
    </w:p>
    <w:p w14:paraId="56C77EA8" w14:textId="77777777" w:rsidR="00DF73C0" w:rsidRPr="00CB4ED1" w:rsidRDefault="00DF73C0" w:rsidP="00DF73C0">
      <w:pPr>
        <w:pStyle w:val="bullets1"/>
      </w:pPr>
      <w:r w:rsidRPr="00CB4ED1">
        <w:rPr>
          <w:b/>
          <w:bCs/>
        </w:rPr>
        <w:t xml:space="preserve">High volume, low acuity model of care increasing throughput: </w:t>
      </w:r>
      <w:r w:rsidRPr="00CB4ED1">
        <w:t xml:space="preserve">Delivery of the surgical hub will address current regional Arthroplasty capacity shortfalls and ensure future demand can be met. As well as reducing waiting times for patients, the delivery of high volume, low acuity model will enable the delivery of a standardised pathway, </w:t>
      </w:r>
      <w:r>
        <w:t>increasing</w:t>
      </w:r>
      <w:r w:rsidRPr="00CB4ED1">
        <w:t xml:space="preserve"> throughput and making best use of resources.</w:t>
      </w:r>
    </w:p>
    <w:p w14:paraId="3E52E23A" w14:textId="77777777" w:rsidR="00DF73C0" w:rsidRPr="00CB4ED1" w:rsidRDefault="00DF73C0" w:rsidP="00DF73C0">
      <w:pPr>
        <w:pStyle w:val="bullets1"/>
      </w:pPr>
      <w:r w:rsidRPr="00CB4ED1">
        <w:rPr>
          <w:b/>
          <w:bCs/>
        </w:rPr>
        <w:t>Improved patient outcomes from earlier access to surgical intervention</w:t>
      </w:r>
      <w:r>
        <w:rPr>
          <w:b/>
          <w:bCs/>
        </w:rPr>
        <w:t>,</w:t>
      </w:r>
      <w:r w:rsidRPr="00CB4ED1">
        <w:rPr>
          <w:b/>
          <w:bCs/>
        </w:rPr>
        <w:t xml:space="preserve"> reduced length of stay</w:t>
      </w:r>
      <w:r>
        <w:rPr>
          <w:b/>
          <w:bCs/>
        </w:rPr>
        <w:t xml:space="preserve"> and less healthcare acquired infections</w:t>
      </w:r>
      <w:r w:rsidRPr="00CB4ED1">
        <w:rPr>
          <w:b/>
          <w:bCs/>
        </w:rPr>
        <w:t>:</w:t>
      </w:r>
      <w:r w:rsidRPr="00CB4ED1">
        <w:t xml:space="preserve"> Reduced length of stay is known to result in fewer complications and support speedier recovery times. This, combined with the reduced waiting times, lead directly to better patient outcomes, specifically improving quality of life for those requiring surgical interventions such as arthroplasties. </w:t>
      </w:r>
    </w:p>
    <w:p w14:paraId="0CBD93D4" w14:textId="77777777" w:rsidR="00DF73C0" w:rsidRPr="00CB4ED1" w:rsidRDefault="00DF73C0" w:rsidP="00DF73C0">
      <w:pPr>
        <w:pStyle w:val="NoSpacing"/>
      </w:pPr>
    </w:p>
    <w:p w14:paraId="5FDCEDCD" w14:textId="77777777" w:rsidR="00DF73C0" w:rsidRPr="00CB4ED1" w:rsidRDefault="00DF73C0" w:rsidP="00DF73C0">
      <w:r w:rsidRPr="00CB4ED1">
        <w:t>In addition to this, there are other quantifiable benefits which it has not yet been possible to state in monetary values given the information that is available at this time. These will be explored further at FBC-stage and, it is expected, will further strengthen the BCR. These include:</w:t>
      </w:r>
    </w:p>
    <w:p w14:paraId="399BBDBF" w14:textId="77777777" w:rsidR="00DF73C0" w:rsidRPr="00CB4ED1" w:rsidRDefault="00DF73C0" w:rsidP="00DF73C0">
      <w:pPr>
        <w:pStyle w:val="bullets1"/>
      </w:pPr>
      <w:r w:rsidRPr="00CB4ED1">
        <w:rPr>
          <w:b/>
          <w:bCs/>
        </w:rPr>
        <w:t xml:space="preserve">Productivity gains because of standardised pathways: </w:t>
      </w:r>
      <w:r w:rsidRPr="00CB4ED1">
        <w:t>In addition to the reduced length of stay and increased throughput, the standardised pathway is likely to provide other opportunities to deliver productivity gains, such as delivering rota efficiencies and enabling more efficient procurement and reduced waste. Predictability of care also reduces the risk of cancellations and Did Not Attends (DNAs).</w:t>
      </w:r>
    </w:p>
    <w:p w14:paraId="26CB0DEC" w14:textId="77777777" w:rsidR="00DF73C0" w:rsidRPr="00CB4ED1" w:rsidRDefault="00DF73C0" w:rsidP="00DF73C0">
      <w:pPr>
        <w:pStyle w:val="bullets1"/>
      </w:pPr>
      <w:r w:rsidRPr="00CB4ED1">
        <w:rPr>
          <w:b/>
          <w:bCs/>
        </w:rPr>
        <w:t>Impact of a more sustainable workforce:</w:t>
      </w:r>
      <w:r w:rsidRPr="00CB4ED1">
        <w:t xml:space="preserve"> The benefits identified in terms of improved recruitment and retention provide opportunities to reduce the impact of long-term vacancies reducing agency, locum and bank usage and, potentially, reducing recruitment time and costs. </w:t>
      </w:r>
    </w:p>
    <w:p w14:paraId="56E1DFCA" w14:textId="77777777" w:rsidR="00DF73C0" w:rsidRPr="00CB4ED1" w:rsidRDefault="00DF73C0" w:rsidP="00DF73C0">
      <w:pPr>
        <w:pStyle w:val="NoSpacing"/>
      </w:pPr>
    </w:p>
    <w:p w14:paraId="3253260B" w14:textId="77777777" w:rsidR="00DF73C0" w:rsidRPr="00CB4ED1" w:rsidRDefault="00DF73C0" w:rsidP="00DF73C0">
      <w:r w:rsidRPr="00CB4ED1">
        <w:t>LHP will also deliver various non-financial benefits which while they cannot be quantified in monetary terms are equally important to the delivery of local, regional and national policy. These include:</w:t>
      </w:r>
    </w:p>
    <w:p w14:paraId="3AE74FC9" w14:textId="77777777" w:rsidR="00DF73C0" w:rsidRPr="00CB4ED1" w:rsidRDefault="00DF73C0" w:rsidP="00DF73C0">
      <w:pPr>
        <w:pStyle w:val="bullets1"/>
      </w:pPr>
      <w:r w:rsidRPr="00CB4ED1">
        <w:rPr>
          <w:b/>
          <w:bCs/>
        </w:rPr>
        <w:t>Improved patient experience:</w:t>
      </w:r>
      <w:r w:rsidRPr="00CB4ED1">
        <w:t xml:space="preserve"> As well as reduced waiting times and length of stay, patient experience is enhanced by the modern fit for purpose facilities and the ease of access the location of LHP offers, with its good road links and parking.</w:t>
      </w:r>
    </w:p>
    <w:p w14:paraId="56EC990D" w14:textId="77777777" w:rsidR="00DF73C0" w:rsidRPr="00CB4ED1" w:rsidRDefault="00DF73C0" w:rsidP="00DF73C0">
      <w:pPr>
        <w:pStyle w:val="bullets1"/>
      </w:pPr>
      <w:r w:rsidRPr="00CB4ED1">
        <w:rPr>
          <w:b/>
          <w:bCs/>
        </w:rPr>
        <w:t xml:space="preserve">Increased staff satisfaction: </w:t>
      </w:r>
      <w:r w:rsidRPr="00CB4ED1">
        <w:t>The improved training pathway and increased training opportunities, along with the modern fit for purpose facilities and a consolidated service model that enables more effective ways of working, contributes to staff satisfaction and creates an attractive place to work which will support recruitment and retention of highly trained health professionals.</w:t>
      </w:r>
    </w:p>
    <w:p w14:paraId="4DB8690E" w14:textId="77777777" w:rsidR="00DF73C0" w:rsidRPr="00CB4ED1" w:rsidRDefault="00DF73C0" w:rsidP="00DF73C0">
      <w:pPr>
        <w:pStyle w:val="bullets1"/>
      </w:pPr>
      <w:r w:rsidRPr="00CB4ED1">
        <w:rPr>
          <w:b/>
          <w:bCs/>
        </w:rPr>
        <w:t>Increased training opportunities:</w:t>
      </w:r>
      <w:r w:rsidRPr="00CB4ED1">
        <w:t xml:space="preserve">  The additional theatre capacity will provide significant opportunities to increase the number of training places available in the region. </w:t>
      </w:r>
    </w:p>
    <w:p w14:paraId="36A3160D" w14:textId="77777777" w:rsidR="00DF73C0" w:rsidRPr="00CB4ED1" w:rsidRDefault="00DF73C0" w:rsidP="00DF73C0">
      <w:pPr>
        <w:pStyle w:val="bullets1"/>
      </w:pPr>
      <w:r w:rsidRPr="00CB4ED1">
        <w:rPr>
          <w:b/>
          <w:bCs/>
        </w:rPr>
        <w:lastRenderedPageBreak/>
        <w:t xml:space="preserve">Increased compliance: </w:t>
      </w:r>
      <w:r w:rsidRPr="00CB4ED1">
        <w:t xml:space="preserve">Delivery of </w:t>
      </w:r>
      <w:r>
        <w:t>orthopaedic</w:t>
      </w:r>
      <w:r w:rsidRPr="00CB4ED1">
        <w:t xml:space="preserve"> services </w:t>
      </w:r>
      <w:r>
        <w:t xml:space="preserve">in a hub </w:t>
      </w:r>
      <w:r w:rsidRPr="00CB4ED1">
        <w:t>will ensure alignment with GIRFT principles. Modern fit for purpose facilities that are compliant with WHBNs and HTNs, achieve BREEAM rating of Excellent.</w:t>
      </w:r>
    </w:p>
    <w:p w14:paraId="2991D401" w14:textId="77777777" w:rsidR="00DF73C0" w:rsidRPr="00D757E4" w:rsidRDefault="00DF73C0" w:rsidP="00DF73C0">
      <w:pPr>
        <w:pStyle w:val="bullets1"/>
        <w:rPr>
          <w:b/>
          <w:bCs/>
        </w:rPr>
      </w:pPr>
      <w:r w:rsidRPr="00D757E4">
        <w:rPr>
          <w:b/>
          <w:bCs/>
        </w:rPr>
        <w:t>Reduced health inequalities:</w:t>
      </w:r>
      <w:r w:rsidRPr="00D757E4">
        <w:t xml:space="preserve"> Reduction in waiting times and ease of access supports equality of access.</w:t>
      </w:r>
    </w:p>
    <w:p w14:paraId="5A7EF7B0" w14:textId="77777777" w:rsidR="00DF73C0" w:rsidRPr="00F2565E" w:rsidRDefault="00DF73C0" w:rsidP="00DF73C0">
      <w:pPr>
        <w:pStyle w:val="bullets1"/>
      </w:pPr>
      <w:r w:rsidRPr="00D757E4">
        <w:rPr>
          <w:b/>
          <w:bCs/>
        </w:rPr>
        <w:t xml:space="preserve">Community Benefits: </w:t>
      </w:r>
      <w:r w:rsidRPr="00D757E4">
        <w:t>The contractor has agreed to implementing several community benefits, including hiring local, providing volunteering and donations to local organisations, investing in people learning and using Welsh and investing in the local supply chain.</w:t>
      </w:r>
    </w:p>
    <w:p w14:paraId="53F10629" w14:textId="77777777" w:rsidR="00DF73C0" w:rsidRDefault="00DF73C0" w:rsidP="00DF73C0">
      <w:pPr>
        <w:pStyle w:val="bullets1"/>
      </w:pPr>
      <w:r w:rsidRPr="00CB4ED1">
        <w:rPr>
          <w:b/>
          <w:bCs/>
        </w:rPr>
        <w:t xml:space="preserve">Future proofing: </w:t>
      </w:r>
      <w:r w:rsidRPr="00CB4ED1">
        <w:t>The site also provides a level of future proofing by providing expansion space that offers opportunities for other future developments.</w:t>
      </w:r>
    </w:p>
    <w:p w14:paraId="608629F6" w14:textId="77777777" w:rsidR="00DF73C0" w:rsidRPr="00A30EC1" w:rsidRDefault="00DF73C0" w:rsidP="00DF73C0">
      <w:pPr>
        <w:pStyle w:val="bullets1"/>
      </w:pPr>
      <w:r w:rsidRPr="00A30EC1">
        <w:rPr>
          <w:b/>
          <w:bCs/>
        </w:rPr>
        <w:t>Impact of a more sustainable estate:</w:t>
      </w:r>
      <w:r w:rsidRPr="00A30EC1">
        <w:t xml:space="preserve"> The delivery of appropriately designed compliant facilities provides opportunities to contribute to CTM UHB’s environmentally sustainable goals and national strategies around decarbonisation and optimising energy efficiency. The transformed model of care with its standardised pathway is likely to make it easier to implement and maintain sustainability programmes that CTM UHB has instituted in other areas, such as reducing waste and single use products.</w:t>
      </w:r>
    </w:p>
    <w:p w14:paraId="16049EC2" w14:textId="77777777" w:rsidR="00DF73C0" w:rsidRPr="00CB4ED1" w:rsidRDefault="00DF73C0" w:rsidP="00DF73C0">
      <w:pPr>
        <w:pStyle w:val="bullets1"/>
      </w:pPr>
      <w:r w:rsidRPr="00CB4ED1">
        <w:rPr>
          <w:b/>
          <w:bCs/>
        </w:rPr>
        <w:t xml:space="preserve">Opportunities for future transformation: </w:t>
      </w:r>
      <w:r w:rsidRPr="00CB4ED1">
        <w:t>The additional capacity offered by LHP provides opportunities to transform and reconfigure core local services and deliver things differently in the future. The successful delivery of a regional centre will also provide proof of concept as the basis for the development of any future regional pathways.</w:t>
      </w:r>
    </w:p>
    <w:p w14:paraId="4A4B2A87" w14:textId="77777777" w:rsidR="00DF73C0" w:rsidRPr="00CB4ED1" w:rsidRDefault="00DF73C0" w:rsidP="00DF73C0">
      <w:pPr>
        <w:pStyle w:val="NoSpacing"/>
      </w:pPr>
    </w:p>
    <w:p w14:paraId="40AB63C5" w14:textId="77777777" w:rsidR="00DF73C0" w:rsidRPr="00CB4ED1" w:rsidRDefault="00DF73C0" w:rsidP="00DF73C0">
      <w:r w:rsidRPr="00CB4ED1">
        <w:t>The results of the options appraisal are presented in the table below.</w:t>
      </w:r>
    </w:p>
    <w:p w14:paraId="0A1F5788" w14:textId="576DE1E7" w:rsidR="00DF73C0" w:rsidRPr="00CB4ED1" w:rsidRDefault="00DF73C0" w:rsidP="00DF73C0">
      <w:pPr>
        <w:pStyle w:val="Caption"/>
        <w:rPr>
          <w:noProof w:val="0"/>
        </w:rPr>
      </w:pPr>
      <w:bookmarkStart w:id="221" w:name="_Toc158978213"/>
      <w:bookmarkStart w:id="222" w:name="_Toc213865301"/>
      <w:r w:rsidRPr="00CB4ED1">
        <w:rPr>
          <w:noProof w:val="0"/>
        </w:rPr>
        <w:t xml:space="preserve">Table </w:t>
      </w:r>
      <w:r w:rsidRPr="00CB4ED1">
        <w:rPr>
          <w:noProof w:val="0"/>
        </w:rPr>
        <w:fldChar w:fldCharType="begin"/>
      </w:r>
      <w:r w:rsidRPr="00CB4ED1">
        <w:rPr>
          <w:noProof w:val="0"/>
          <w:highlight w:val="darkGray"/>
        </w:rPr>
        <w:instrText xml:space="preserve"> SEQ Table \* ARABIC </w:instrText>
      </w:r>
      <w:r w:rsidRPr="00CB4ED1">
        <w:rPr>
          <w:noProof w:val="0"/>
        </w:rPr>
        <w:fldChar w:fldCharType="separate"/>
      </w:r>
      <w:r w:rsidR="004A33ED">
        <w:rPr>
          <w:highlight w:val="darkGray"/>
        </w:rPr>
        <w:t>21</w:t>
      </w:r>
      <w:r w:rsidRPr="00CB4ED1">
        <w:rPr>
          <w:noProof w:val="0"/>
        </w:rPr>
        <w:fldChar w:fldCharType="end"/>
      </w:r>
      <w:r w:rsidRPr="00CB4ED1">
        <w:rPr>
          <w:noProof w:val="0"/>
        </w:rPr>
        <w:t xml:space="preserve"> - Results of options appraisal</w:t>
      </w:r>
      <w:bookmarkEnd w:id="221"/>
      <w:bookmarkEnd w:id="222"/>
    </w:p>
    <w:tbl>
      <w:tblPr>
        <w:tblW w:w="5100" w:type="pct"/>
        <w:tblInd w:w="-113" w:type="dxa"/>
        <w:tbl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insideH w:val="single" w:sz="4" w:space="0" w:color="BFBFBF" w:themeColor="accent6" w:themeShade="BF"/>
          <w:insideV w:val="single" w:sz="4" w:space="0" w:color="BFBFBF" w:themeColor="accent6" w:themeShade="BF"/>
        </w:tblBorders>
        <w:tblLayout w:type="fixed"/>
        <w:tblLook w:val="04A0" w:firstRow="1" w:lastRow="0" w:firstColumn="1" w:lastColumn="0" w:noHBand="0" w:noVBand="1"/>
      </w:tblPr>
      <w:tblGrid>
        <w:gridCol w:w="4361"/>
        <w:gridCol w:w="2730"/>
        <w:gridCol w:w="2730"/>
      </w:tblGrid>
      <w:tr w:rsidR="00DF73C0" w:rsidRPr="00B17345" w14:paraId="241A5024" w14:textId="77777777" w:rsidTr="00E67800">
        <w:trPr>
          <w:tblHeader/>
        </w:trPr>
        <w:tc>
          <w:tcPr>
            <w:tcW w:w="4219" w:type="dxa"/>
            <w:shd w:val="clear" w:color="auto" w:fill="374264" w:themeFill="text2"/>
            <w:vAlign w:val="center"/>
          </w:tcPr>
          <w:p w14:paraId="6F6DC383" w14:textId="77777777" w:rsidR="00DF73C0" w:rsidRPr="00B17345" w:rsidRDefault="00DF73C0" w:rsidP="00E67800">
            <w:pPr>
              <w:pStyle w:val="tabletext"/>
              <w:rPr>
                <w:b/>
                <w:color w:val="FFFFFF" w:themeColor="background1"/>
                <w:szCs w:val="20"/>
              </w:rPr>
            </w:pPr>
            <w:r w:rsidRPr="00B17345">
              <w:rPr>
                <w:b/>
                <w:color w:val="FFFFFF" w:themeColor="background1"/>
                <w:szCs w:val="20"/>
              </w:rPr>
              <w:t xml:space="preserve">Element </w:t>
            </w:r>
          </w:p>
        </w:tc>
        <w:tc>
          <w:tcPr>
            <w:tcW w:w="2641" w:type="dxa"/>
            <w:shd w:val="clear" w:color="auto" w:fill="374264" w:themeFill="text2"/>
            <w:vAlign w:val="center"/>
          </w:tcPr>
          <w:p w14:paraId="60F260E3" w14:textId="77777777" w:rsidR="00DF73C0" w:rsidRPr="00B17345" w:rsidRDefault="00DF73C0" w:rsidP="00E67800">
            <w:pPr>
              <w:pStyle w:val="tabletext"/>
              <w:jc w:val="center"/>
              <w:rPr>
                <w:b/>
                <w:color w:val="FFFFFF" w:themeColor="background1"/>
                <w:szCs w:val="20"/>
              </w:rPr>
            </w:pPr>
            <w:r w:rsidRPr="00B17345">
              <w:rPr>
                <w:rFonts w:cstheme="minorHAnsi"/>
                <w:b/>
                <w:color w:val="FFFFFF" w:themeColor="background1"/>
                <w:szCs w:val="20"/>
              </w:rPr>
              <w:t>Option 0 - BAU</w:t>
            </w:r>
          </w:p>
        </w:tc>
        <w:tc>
          <w:tcPr>
            <w:tcW w:w="2641" w:type="dxa"/>
            <w:shd w:val="clear" w:color="auto" w:fill="374264" w:themeFill="text2"/>
            <w:vAlign w:val="center"/>
          </w:tcPr>
          <w:p w14:paraId="4D7BDEAC" w14:textId="77777777" w:rsidR="00DF73C0" w:rsidRPr="00B17345" w:rsidRDefault="00DF73C0" w:rsidP="00E67800">
            <w:pPr>
              <w:pStyle w:val="tabletext"/>
              <w:jc w:val="center"/>
              <w:rPr>
                <w:b/>
                <w:color w:val="FFFFFF" w:themeColor="background1"/>
                <w:szCs w:val="20"/>
              </w:rPr>
            </w:pPr>
            <w:r w:rsidRPr="00B17345">
              <w:rPr>
                <w:rFonts w:cstheme="minorHAnsi"/>
                <w:b/>
                <w:color w:val="FFFFFF" w:themeColor="background1"/>
                <w:szCs w:val="20"/>
              </w:rPr>
              <w:t xml:space="preserve">Option 1 - </w:t>
            </w:r>
            <w:r w:rsidRPr="00B17345">
              <w:rPr>
                <w:b/>
                <w:color w:val="FFFFFF" w:themeColor="background1"/>
                <w:szCs w:val="20"/>
              </w:rPr>
              <w:t>PWF</w:t>
            </w:r>
          </w:p>
        </w:tc>
      </w:tr>
      <w:tr w:rsidR="00DF73C0" w:rsidRPr="00B17345" w14:paraId="4C4152CC" w14:textId="77777777" w:rsidTr="00E67800">
        <w:tc>
          <w:tcPr>
            <w:tcW w:w="4219" w:type="dxa"/>
            <w:vAlign w:val="center"/>
          </w:tcPr>
          <w:p w14:paraId="20813EE2" w14:textId="77777777" w:rsidR="00DF73C0" w:rsidRPr="00B17345" w:rsidRDefault="00DF73C0" w:rsidP="00E67800">
            <w:pPr>
              <w:pStyle w:val="tabletext"/>
              <w:rPr>
                <w:szCs w:val="20"/>
              </w:rPr>
            </w:pPr>
            <w:r w:rsidRPr="00B17345">
              <w:rPr>
                <w:rFonts w:cs="Arial"/>
                <w:szCs w:val="20"/>
              </w:rPr>
              <w:t>Initial capital investment (including VAT)</w:t>
            </w:r>
          </w:p>
        </w:tc>
        <w:tc>
          <w:tcPr>
            <w:tcW w:w="2641" w:type="dxa"/>
            <w:vAlign w:val="center"/>
          </w:tcPr>
          <w:p w14:paraId="19563AB9" w14:textId="77777777" w:rsidR="00DF73C0" w:rsidRPr="00B17345" w:rsidRDefault="00DF73C0" w:rsidP="00E67800">
            <w:pPr>
              <w:pStyle w:val="tabletext"/>
              <w:jc w:val="right"/>
              <w:rPr>
                <w:szCs w:val="20"/>
              </w:rPr>
            </w:pPr>
            <w:r w:rsidRPr="00B17345">
              <w:rPr>
                <w:szCs w:val="20"/>
              </w:rPr>
              <w:t>-</w:t>
            </w:r>
          </w:p>
        </w:tc>
        <w:tc>
          <w:tcPr>
            <w:tcW w:w="2641" w:type="dxa"/>
            <w:vAlign w:val="center"/>
          </w:tcPr>
          <w:p w14:paraId="1C177DC9" w14:textId="00673E9F" w:rsidR="00DF73C0" w:rsidRPr="00B17345" w:rsidRDefault="00DF73C0" w:rsidP="00E67800">
            <w:pPr>
              <w:pStyle w:val="tabletext"/>
              <w:jc w:val="right"/>
              <w:rPr>
                <w:szCs w:val="20"/>
              </w:rPr>
            </w:pPr>
            <w:r w:rsidRPr="00B17345">
              <w:rPr>
                <w:szCs w:val="20"/>
              </w:rPr>
              <w:t>£1</w:t>
            </w:r>
            <w:r w:rsidR="007D6605">
              <w:rPr>
                <w:szCs w:val="20"/>
              </w:rPr>
              <w:t>23</w:t>
            </w:r>
            <w:r w:rsidRPr="00B17345">
              <w:rPr>
                <w:szCs w:val="20"/>
              </w:rPr>
              <w:t>.</w:t>
            </w:r>
            <w:r w:rsidR="00F47FE6">
              <w:rPr>
                <w:szCs w:val="20"/>
              </w:rPr>
              <w:t>6</w:t>
            </w:r>
            <w:r w:rsidRPr="00B17345">
              <w:rPr>
                <w:szCs w:val="20"/>
              </w:rPr>
              <w:t>m</w:t>
            </w:r>
          </w:p>
        </w:tc>
      </w:tr>
      <w:tr w:rsidR="00DF73C0" w:rsidRPr="00B17345" w14:paraId="454BA9A4" w14:textId="77777777" w:rsidTr="00E67800">
        <w:tc>
          <w:tcPr>
            <w:tcW w:w="4219" w:type="dxa"/>
            <w:vAlign w:val="center"/>
          </w:tcPr>
          <w:p w14:paraId="01124098" w14:textId="77777777" w:rsidR="00DF73C0" w:rsidRPr="00B17345" w:rsidRDefault="00DF73C0" w:rsidP="00E67800">
            <w:pPr>
              <w:pStyle w:val="tabletext"/>
              <w:rPr>
                <w:szCs w:val="20"/>
              </w:rPr>
            </w:pPr>
            <w:r w:rsidRPr="00B17345">
              <w:rPr>
                <w:rFonts w:cs="Arial"/>
                <w:szCs w:val="20"/>
              </w:rPr>
              <w:t>Incremental NPSV</w:t>
            </w:r>
          </w:p>
        </w:tc>
        <w:tc>
          <w:tcPr>
            <w:tcW w:w="2641" w:type="dxa"/>
            <w:vAlign w:val="center"/>
          </w:tcPr>
          <w:p w14:paraId="3444AA96" w14:textId="77777777" w:rsidR="00DF73C0" w:rsidRPr="00B17345" w:rsidRDefault="00DF73C0" w:rsidP="00E67800">
            <w:pPr>
              <w:pStyle w:val="tabletext"/>
              <w:jc w:val="right"/>
              <w:rPr>
                <w:szCs w:val="20"/>
              </w:rPr>
            </w:pPr>
            <w:r w:rsidRPr="00B17345">
              <w:rPr>
                <w:szCs w:val="20"/>
              </w:rPr>
              <w:t>-</w:t>
            </w:r>
          </w:p>
        </w:tc>
        <w:tc>
          <w:tcPr>
            <w:tcW w:w="2641" w:type="dxa"/>
            <w:vAlign w:val="center"/>
          </w:tcPr>
          <w:p w14:paraId="49510C24" w14:textId="2A525B36" w:rsidR="00DF73C0" w:rsidRPr="00B17345" w:rsidRDefault="00DF73C0" w:rsidP="00E67800">
            <w:pPr>
              <w:pStyle w:val="tabletext"/>
              <w:jc w:val="right"/>
              <w:rPr>
                <w:szCs w:val="20"/>
              </w:rPr>
            </w:pPr>
            <w:r w:rsidRPr="00B17345">
              <w:rPr>
                <w:szCs w:val="20"/>
              </w:rPr>
              <w:t>£5</w:t>
            </w:r>
            <w:r w:rsidR="00F47FE6">
              <w:rPr>
                <w:szCs w:val="20"/>
              </w:rPr>
              <w:t>00</w:t>
            </w:r>
            <w:r w:rsidRPr="00B17345">
              <w:rPr>
                <w:szCs w:val="20"/>
              </w:rPr>
              <w:t>.</w:t>
            </w:r>
            <w:r w:rsidR="00F47FE6">
              <w:rPr>
                <w:szCs w:val="20"/>
              </w:rPr>
              <w:t>7</w:t>
            </w:r>
            <w:r w:rsidRPr="00B17345">
              <w:rPr>
                <w:szCs w:val="20"/>
              </w:rPr>
              <w:t>m</w:t>
            </w:r>
          </w:p>
        </w:tc>
      </w:tr>
      <w:tr w:rsidR="00DF73C0" w:rsidRPr="00B17345" w14:paraId="4E119476" w14:textId="77777777" w:rsidTr="00E67800">
        <w:tc>
          <w:tcPr>
            <w:tcW w:w="4219" w:type="dxa"/>
            <w:vAlign w:val="center"/>
          </w:tcPr>
          <w:p w14:paraId="02B7D199" w14:textId="77777777" w:rsidR="00DF73C0" w:rsidRPr="00B17345" w:rsidRDefault="00DF73C0" w:rsidP="00E67800">
            <w:pPr>
              <w:pStyle w:val="tabletext"/>
              <w:rPr>
                <w:szCs w:val="20"/>
              </w:rPr>
            </w:pPr>
            <w:r w:rsidRPr="00B17345">
              <w:rPr>
                <w:rFonts w:cs="Arial"/>
                <w:szCs w:val="20"/>
              </w:rPr>
              <w:t>Benefit Cost Ratio</w:t>
            </w:r>
          </w:p>
        </w:tc>
        <w:tc>
          <w:tcPr>
            <w:tcW w:w="2641" w:type="dxa"/>
            <w:vAlign w:val="center"/>
          </w:tcPr>
          <w:p w14:paraId="60F085F7" w14:textId="77777777" w:rsidR="00DF73C0" w:rsidRPr="00B17345" w:rsidRDefault="00DF73C0" w:rsidP="00E67800">
            <w:pPr>
              <w:pStyle w:val="tabletext"/>
              <w:jc w:val="right"/>
              <w:rPr>
                <w:szCs w:val="20"/>
              </w:rPr>
            </w:pPr>
            <w:r w:rsidRPr="00B17345">
              <w:rPr>
                <w:szCs w:val="20"/>
              </w:rPr>
              <w:t>-</w:t>
            </w:r>
          </w:p>
        </w:tc>
        <w:tc>
          <w:tcPr>
            <w:tcW w:w="2641" w:type="dxa"/>
            <w:vAlign w:val="center"/>
          </w:tcPr>
          <w:p w14:paraId="06503518" w14:textId="7997C2D6" w:rsidR="00DF73C0" w:rsidRPr="00B17345" w:rsidRDefault="00DF73C0" w:rsidP="00E67800">
            <w:pPr>
              <w:pStyle w:val="tabletext"/>
              <w:jc w:val="right"/>
              <w:rPr>
                <w:szCs w:val="20"/>
              </w:rPr>
            </w:pPr>
            <w:r w:rsidRPr="00B17345">
              <w:rPr>
                <w:szCs w:val="20"/>
              </w:rPr>
              <w:t>1.5</w:t>
            </w:r>
            <w:r w:rsidR="00F47FE6">
              <w:rPr>
                <w:szCs w:val="20"/>
              </w:rPr>
              <w:t>4</w:t>
            </w:r>
          </w:p>
        </w:tc>
      </w:tr>
    </w:tbl>
    <w:p w14:paraId="13795C4B" w14:textId="77777777" w:rsidR="00DF73C0" w:rsidRPr="00CB4ED1" w:rsidRDefault="00DF73C0" w:rsidP="00DF73C0">
      <w:pPr>
        <w:pStyle w:val="NoSpacing"/>
      </w:pPr>
    </w:p>
    <w:p w14:paraId="31D67287" w14:textId="77777777" w:rsidR="00DF73C0" w:rsidRPr="00B17345" w:rsidRDefault="00DF73C0" w:rsidP="00B17345">
      <w:r w:rsidRPr="00B17345">
        <w:t xml:space="preserve">It should be noted that this assessment is based on an initial assessment of benefits and further work is required to quantify these more fully. As outlined above, it is anticipated that this is likely to further strengthen the BCR and value for money case as the scheme progresses to FBC stage. </w:t>
      </w:r>
    </w:p>
    <w:p w14:paraId="700B7936" w14:textId="35FADE15" w:rsidR="001020B2" w:rsidRPr="00B17345" w:rsidRDefault="001020B2" w:rsidP="00B17345"/>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5E5DDD" w:rsidRPr="00CB4ED1" w14:paraId="2A2A6426" w14:textId="77777777" w:rsidTr="00C55B2F">
        <w:trPr>
          <w:trHeight w:val="8505"/>
        </w:trPr>
        <w:tc>
          <w:tcPr>
            <w:tcW w:w="9628" w:type="dxa"/>
            <w:vAlign w:val="center"/>
          </w:tcPr>
          <w:p w14:paraId="3EC517AF" w14:textId="2CE6C43C" w:rsidR="009A1DB7" w:rsidRPr="00CB4ED1" w:rsidRDefault="005E5DDD" w:rsidP="00C55B2F">
            <w:pPr>
              <w:pStyle w:val="Heading0"/>
            </w:pPr>
            <w:bookmarkStart w:id="223" w:name="_Toc213865246"/>
            <w:r w:rsidRPr="00CB4ED1">
              <w:lastRenderedPageBreak/>
              <w:t>Commercial Case</w:t>
            </w:r>
            <w:bookmarkEnd w:id="223"/>
          </w:p>
        </w:tc>
      </w:tr>
    </w:tbl>
    <w:p w14:paraId="568324A6" w14:textId="5B2B82B2" w:rsidR="00067BA1" w:rsidRPr="00CB4ED1" w:rsidRDefault="00783BFF" w:rsidP="00CB4F57">
      <w:pPr>
        <w:pStyle w:val="Heading1"/>
      </w:pPr>
      <w:bookmarkStart w:id="224" w:name="_Toc213865247"/>
      <w:r w:rsidRPr="00CB4ED1">
        <w:lastRenderedPageBreak/>
        <w:t xml:space="preserve">Procurement </w:t>
      </w:r>
      <w:r w:rsidR="008C7DB9" w:rsidRPr="00CB4ED1">
        <w:t>strategy</w:t>
      </w:r>
      <w:bookmarkEnd w:id="224"/>
    </w:p>
    <w:p w14:paraId="7CD583C0" w14:textId="5DE966B4" w:rsidR="00783BFF" w:rsidRPr="00CB4ED1" w:rsidRDefault="00783BFF" w:rsidP="00783BFF">
      <w:pPr>
        <w:pStyle w:val="Heading2"/>
      </w:pPr>
      <w:bookmarkStart w:id="225" w:name="_Toc213865248"/>
      <w:r w:rsidRPr="00CB4ED1">
        <w:t>Introduction</w:t>
      </w:r>
      <w:bookmarkEnd w:id="225"/>
    </w:p>
    <w:p w14:paraId="613E7EF6" w14:textId="77777777" w:rsidR="00ED3E9C" w:rsidRPr="00A338C5" w:rsidRDefault="00ED3E9C" w:rsidP="00ED3E9C">
      <w:r>
        <w:t>This section of the business case outlines the procurement strategy and proposed deal to deliver the preferred option</w:t>
      </w:r>
      <w:r w:rsidRPr="009A1DB7">
        <w:t xml:space="preserve"> </w:t>
      </w:r>
      <w:r w:rsidRPr="00A338C5">
        <w:t xml:space="preserve">develop a </w:t>
      </w:r>
      <w:r>
        <w:t xml:space="preserve">regional orthopaedic surgical hub, </w:t>
      </w:r>
      <w:r w:rsidRPr="00A338C5">
        <w:t xml:space="preserve">co-located with a regional </w:t>
      </w:r>
      <w:r>
        <w:t xml:space="preserve">diagnostics and </w:t>
      </w:r>
      <w:r w:rsidRPr="00A338C5">
        <w:t xml:space="preserve">endoscopy centre on the Llantrisant Health Park site, as discussed in the economic case.  </w:t>
      </w:r>
    </w:p>
    <w:p w14:paraId="35997CE8" w14:textId="77777777" w:rsidR="00ED3E9C" w:rsidRPr="00A338C5" w:rsidRDefault="00ED3E9C" w:rsidP="00ED3E9C">
      <w:r w:rsidRPr="00A338C5">
        <w:t xml:space="preserve">The former </w:t>
      </w:r>
      <w:r w:rsidRPr="00A338C5">
        <w:rPr>
          <w:rFonts w:eastAsia="Arial" w:cs="Arial"/>
        </w:rPr>
        <w:t>British Airways Avionics Engineering (</w:t>
      </w:r>
      <w:r w:rsidRPr="00A338C5">
        <w:t xml:space="preserve">BAAE) site was acquired by </w:t>
      </w:r>
      <w:r>
        <w:t>CTMUHB</w:t>
      </w:r>
      <w:r w:rsidRPr="00A338C5">
        <w:t xml:space="preserve"> in February 2023.  </w:t>
      </w:r>
      <w:r>
        <w:t>T</w:t>
      </w:r>
      <w:r w:rsidRPr="00A338C5">
        <w:t>he Llantrisant Health Park</w:t>
      </w:r>
      <w:r>
        <w:t xml:space="preserve"> </w:t>
      </w:r>
      <w:r w:rsidRPr="00A338C5">
        <w:t>site will comprise a Community Diagnostics Hub</w:t>
      </w:r>
      <w:r>
        <w:t>,</w:t>
      </w:r>
      <w:r w:rsidRPr="00A338C5">
        <w:t xml:space="preserve"> Orthopaedic Surgical Hub with associated ward accommodation</w:t>
      </w:r>
      <w:r>
        <w:t>,</w:t>
      </w:r>
      <w:r w:rsidRPr="00A338C5">
        <w:t xml:space="preserve"> and other regional services</w:t>
      </w:r>
      <w:r>
        <w:t>,</w:t>
      </w:r>
      <w:r w:rsidRPr="00A338C5">
        <w:t xml:space="preserve"> which </w:t>
      </w:r>
      <w:r>
        <w:t>may</w:t>
      </w:r>
      <w:r w:rsidRPr="00A338C5">
        <w:t xml:space="preserve"> include Day Surgery. The </w:t>
      </w:r>
      <w:r>
        <w:t>Orthopaedic Surgical Hub</w:t>
      </w:r>
      <w:r w:rsidRPr="00A338C5">
        <w:t xml:space="preserve"> will be delivered as the </w:t>
      </w:r>
      <w:r>
        <w:t>second</w:t>
      </w:r>
      <w:r w:rsidRPr="00A338C5">
        <w:t xml:space="preserve"> phase of a multi-phase development. </w:t>
      </w:r>
    </w:p>
    <w:p w14:paraId="5C59AC71" w14:textId="77777777" w:rsidR="00ED3E9C" w:rsidRDefault="00ED3E9C" w:rsidP="00ED3E9C">
      <w:r w:rsidRPr="00A338C5">
        <w:t>The following section sets out the commercial arrangements for the capital LHP site</w:t>
      </w:r>
      <w:r>
        <w:t>.</w:t>
      </w:r>
    </w:p>
    <w:p w14:paraId="773954EC" w14:textId="77777777" w:rsidR="00ED3E9C" w:rsidRPr="005F64D0" w:rsidRDefault="00ED3E9C" w:rsidP="00ED3E9C">
      <w:pPr>
        <w:rPr>
          <w:rFonts w:eastAsia="Times New Roman"/>
        </w:rPr>
      </w:pPr>
      <w:r w:rsidRPr="005F64D0">
        <w:rPr>
          <w:rFonts w:eastAsia="Times New Roman"/>
        </w:rPr>
        <w:t>To maintain momentum within the programme, a decision was made to proceed with demolitions under a separate contract.  The main contractor was appointed in March 2025 during the original programme RIBA 3 stage to support continued development of the design and construction elements. This ensured that the contractor was involved in the more detailed design incorporating the latest technology and identifying programme opportunities. In addition, the contractor has been able to lead on the SAB and planning applications which are based on their design.</w:t>
      </w:r>
    </w:p>
    <w:p w14:paraId="6D7BD4D2" w14:textId="77777777" w:rsidR="00ED3E9C" w:rsidRPr="005F64D0" w:rsidRDefault="00ED3E9C" w:rsidP="00ED3E9C">
      <w:pPr>
        <w:spacing w:after="0"/>
        <w:rPr>
          <w:rFonts w:eastAsia="Times New Roman"/>
        </w:rPr>
      </w:pPr>
    </w:p>
    <w:p w14:paraId="42A07C7E" w14:textId="627CF0B4" w:rsidR="00ED3E9C" w:rsidRPr="005F64D0" w:rsidRDefault="00ED3E9C" w:rsidP="00ED3E9C">
      <w:pPr>
        <w:pStyle w:val="Heading2"/>
      </w:pPr>
      <w:bookmarkStart w:id="226" w:name="_Toc213865249"/>
      <w:r w:rsidRPr="005F64D0">
        <w:t xml:space="preserve">Demolition Contractor </w:t>
      </w:r>
      <w:r w:rsidR="004E717A" w:rsidRPr="005F64D0">
        <w:t>procurement</w:t>
      </w:r>
      <w:bookmarkEnd w:id="226"/>
      <w:r w:rsidR="004E717A" w:rsidRPr="005F64D0">
        <w:t xml:space="preserve"> </w:t>
      </w:r>
    </w:p>
    <w:p w14:paraId="21D4BF86" w14:textId="77777777" w:rsidR="00ED3E9C" w:rsidRPr="005F64D0" w:rsidRDefault="00ED3E9C" w:rsidP="00ED3E9C">
      <w:pPr>
        <w:rPr>
          <w:rFonts w:eastAsia="Times New Roman"/>
        </w:rPr>
      </w:pPr>
      <w:r w:rsidRPr="005F64D0">
        <w:rPr>
          <w:rFonts w:eastAsia="Times New Roman"/>
        </w:rPr>
        <w:t>A detailed procurement tender was undertaken by CTMUHB procurement and NWSSP using the Crown Commercial Services Framework, Construction Works and Associated Services Lot 10 Demolition framework.</w:t>
      </w:r>
    </w:p>
    <w:p w14:paraId="79C431AC" w14:textId="77777777" w:rsidR="00ED3E9C" w:rsidRPr="005F64D0" w:rsidRDefault="00ED3E9C" w:rsidP="00ED3E9C">
      <w:pPr>
        <w:rPr>
          <w:rFonts w:eastAsia="Times New Roman"/>
        </w:rPr>
      </w:pPr>
      <w:r w:rsidRPr="005F64D0">
        <w:rPr>
          <w:rFonts w:eastAsia="Times New Roman"/>
        </w:rPr>
        <w:t xml:space="preserve">The procurement was prepared and completed by CTMUHB, the appointed design team and NWSSP procurement services. The procurement process was undertaken for a new contract, whereby an Expression of Interest was issued to 13 national demolition providers on 30 October 2024 and providers had until 31 October 2024 to respond. Following the deadline, only five providers responded to the Expression of Interest. </w:t>
      </w:r>
    </w:p>
    <w:p w14:paraId="76B283F3" w14:textId="77777777" w:rsidR="00ED3E9C" w:rsidRPr="005F64D0" w:rsidRDefault="00ED3E9C" w:rsidP="00ED3E9C">
      <w:pPr>
        <w:rPr>
          <w:rFonts w:eastAsia="Times New Roman"/>
        </w:rPr>
      </w:pPr>
      <w:r w:rsidRPr="005F64D0">
        <w:rPr>
          <w:rFonts w:eastAsia="Times New Roman"/>
        </w:rPr>
        <w:t xml:space="preserve">A Mini competition was undertaken, utilising </w:t>
      </w:r>
      <w:r w:rsidRPr="005F64D0">
        <w:rPr>
          <w:rFonts w:eastAsia="Times New Roman"/>
          <w:i/>
          <w:iCs/>
        </w:rPr>
        <w:t>RM6088 Construction Works and Associated Services Framework lot 10 Demolition</w:t>
      </w:r>
      <w:r w:rsidRPr="005F64D0">
        <w:rPr>
          <w:rFonts w:eastAsia="Times New Roman"/>
        </w:rPr>
        <w:t>, and was published via e-Tender Bravo portal, in which certain selection criteria was applied at the qualification, technical and commercial evaluation stages.</w:t>
      </w:r>
    </w:p>
    <w:p w14:paraId="397CF3D8" w14:textId="77777777" w:rsidR="00ED3E9C" w:rsidRPr="005F64D0" w:rsidRDefault="00ED3E9C" w:rsidP="00ED3E9C">
      <w:pPr>
        <w:rPr>
          <w:rFonts w:eastAsia="Times New Roman"/>
        </w:rPr>
      </w:pPr>
      <w:r w:rsidRPr="005F64D0">
        <w:rPr>
          <w:rFonts w:eastAsia="Times New Roman"/>
        </w:rPr>
        <w:t>Tenders were published on 1 November with the deadline for submission on 25 November. At the end of the tender period, five submissions were received, however after review, two suppliers failed to meet the minimum criteria, leaving three for scoring. Detail of the scoring approach is included in the tender analysis submitted as part of the estates annex.</w:t>
      </w:r>
    </w:p>
    <w:p w14:paraId="09A374F9" w14:textId="77777777" w:rsidR="00ED3E9C" w:rsidRPr="005F64D0" w:rsidRDefault="00ED3E9C" w:rsidP="00ED3E9C">
      <w:pPr>
        <w:rPr>
          <w:rFonts w:eastAsia="Times New Roman"/>
        </w:rPr>
      </w:pPr>
      <w:r w:rsidRPr="005F64D0">
        <w:rPr>
          <w:rFonts w:eastAsia="Times New Roman"/>
        </w:rPr>
        <w:t xml:space="preserve">A preferred supplier was identified and appointed in January 2025 following WG approval of funding for demolition works to proceed.  </w:t>
      </w:r>
    </w:p>
    <w:p w14:paraId="5ECB1D37" w14:textId="756AAA18" w:rsidR="00ED3E9C" w:rsidRPr="005F64D0" w:rsidRDefault="00ED3E9C" w:rsidP="00ED3E9C">
      <w:pPr>
        <w:rPr>
          <w:rFonts w:eastAsia="Times New Roman"/>
        </w:rPr>
      </w:pPr>
      <w:r w:rsidRPr="005F64D0">
        <w:rPr>
          <w:rFonts w:eastAsia="Times New Roman"/>
        </w:rPr>
        <w:t>The contract commenced and work began on site on 14 April 2025. This contract was originally programmed to conclude by 22 August 2025, however, there was a delay caused by contractor methodology in the earlier stages and plant failing in the latter phases.  The contract completed with the contractor leaving site on the 3</w:t>
      </w:r>
      <w:r w:rsidRPr="005F64D0">
        <w:rPr>
          <w:rFonts w:eastAsia="Times New Roman"/>
          <w:vertAlign w:val="superscript"/>
        </w:rPr>
        <w:t>rd</w:t>
      </w:r>
      <w:r w:rsidRPr="005F64D0">
        <w:rPr>
          <w:rFonts w:eastAsia="Times New Roman"/>
        </w:rPr>
        <w:t xml:space="preserve"> October.  The delays were not at the cost of CTM therefore the demolition programme completed within the approved funding level.    </w:t>
      </w:r>
    </w:p>
    <w:p w14:paraId="312CBFFE" w14:textId="77777777" w:rsidR="00ED3E9C" w:rsidRPr="005F64D0" w:rsidRDefault="00ED3E9C" w:rsidP="00ED3E9C">
      <w:pPr>
        <w:rPr>
          <w:rFonts w:eastAsia="Times New Roman"/>
        </w:rPr>
      </w:pPr>
      <w:r w:rsidRPr="005F64D0">
        <w:rPr>
          <w:rFonts w:eastAsia="Times New Roman"/>
        </w:rPr>
        <w:t xml:space="preserve"> </w:t>
      </w:r>
    </w:p>
    <w:p w14:paraId="1CCE342A" w14:textId="77777777" w:rsidR="00ED3E9C" w:rsidRPr="0078426B" w:rsidRDefault="00ED3E9C" w:rsidP="00ED3E9C">
      <w:pPr>
        <w:pStyle w:val="Heading3"/>
      </w:pPr>
      <w:r w:rsidRPr="0078426B">
        <w:lastRenderedPageBreak/>
        <w:t>Main Contractor procurement</w:t>
      </w:r>
    </w:p>
    <w:p w14:paraId="2DB3EE46" w14:textId="77777777" w:rsidR="00ED3E9C" w:rsidRPr="005F64D0" w:rsidRDefault="00ED3E9C" w:rsidP="00ED3E9C">
      <w:pPr>
        <w:rPr>
          <w:rFonts w:eastAsia="Times New Roman"/>
        </w:rPr>
      </w:pPr>
      <w:r w:rsidRPr="005F64D0">
        <w:rPr>
          <w:rFonts w:eastAsia="Times New Roman"/>
        </w:rPr>
        <w:t>The main contractor tender process completed in November 2024. The tender was issued via the Crown Commercial Services (CCS) framework. The Welsh NHS run Building for Wales (</w:t>
      </w:r>
      <w:proofErr w:type="spellStart"/>
      <w:r w:rsidRPr="005F64D0">
        <w:rPr>
          <w:rFonts w:eastAsia="Times New Roman"/>
        </w:rPr>
        <w:t>BfW</w:t>
      </w:r>
      <w:proofErr w:type="spellEnd"/>
      <w:r w:rsidRPr="005F64D0">
        <w:rPr>
          <w:rFonts w:eastAsia="Times New Roman"/>
        </w:rPr>
        <w:t>) framework was not selected due to:</w:t>
      </w:r>
    </w:p>
    <w:p w14:paraId="6AC8C40D" w14:textId="77777777" w:rsidR="00ED3E9C" w:rsidRPr="005F64D0" w:rsidRDefault="00ED3E9C" w:rsidP="00ED3E9C">
      <w:pPr>
        <w:pStyle w:val="bullets1"/>
      </w:pPr>
      <w:r w:rsidRPr="005F64D0">
        <w:t>Delays in the implementation of the new framework after the previous one ended in April 2024</w:t>
      </w:r>
    </w:p>
    <w:p w14:paraId="331611A5" w14:textId="77777777" w:rsidR="00ED3E9C" w:rsidRPr="005F64D0" w:rsidRDefault="00ED3E9C" w:rsidP="00ED3E9C">
      <w:pPr>
        <w:pStyle w:val="bullets1"/>
      </w:pPr>
      <w:r w:rsidRPr="005F64D0">
        <w:t>Delays associated with securing the funding information required to commence the tender</w:t>
      </w:r>
    </w:p>
    <w:p w14:paraId="70AFC892" w14:textId="77777777" w:rsidR="00ED3E9C" w:rsidRPr="005F64D0" w:rsidRDefault="00ED3E9C" w:rsidP="00ED3E9C">
      <w:pPr>
        <w:pStyle w:val="bullets1"/>
      </w:pPr>
      <w:r w:rsidRPr="005F64D0">
        <w:t xml:space="preserve">Inclusion of high levels of modular development in the design, with no modular supplier on </w:t>
      </w:r>
      <w:proofErr w:type="spellStart"/>
      <w:r w:rsidRPr="005F64D0">
        <w:t>BfW</w:t>
      </w:r>
      <w:proofErr w:type="spellEnd"/>
      <w:r w:rsidRPr="005F64D0">
        <w:t xml:space="preserve"> this would not have provided value for money.</w:t>
      </w:r>
    </w:p>
    <w:p w14:paraId="22AE7CE1" w14:textId="77777777" w:rsidR="00ED3E9C" w:rsidRPr="005F64D0" w:rsidRDefault="00ED3E9C" w:rsidP="00ED3E9C">
      <w:pPr>
        <w:spacing w:after="0"/>
        <w:rPr>
          <w:rFonts w:eastAsia="Times New Roman"/>
        </w:rPr>
      </w:pPr>
    </w:p>
    <w:p w14:paraId="1AF996B0" w14:textId="77777777" w:rsidR="00ED3E9C" w:rsidRPr="005F64D0" w:rsidRDefault="00ED3E9C" w:rsidP="00ED3E9C">
      <w:pPr>
        <w:rPr>
          <w:rFonts w:eastAsia="Times New Roman"/>
        </w:rPr>
      </w:pPr>
      <w:r w:rsidRPr="005F64D0">
        <w:rPr>
          <w:rFonts w:eastAsia="Times New Roman"/>
        </w:rPr>
        <w:t>As a result, a framework was selected that enabled the Programme to test the appetite and ability of both modular and other modern methods of construction (MMC) contractors to respond and offer the most advantageous infrastructure solution to the programme. A two-stage design and build contract solution was selected with a fixed price for the professional services and a target cost model for the construction phase (</w:t>
      </w:r>
      <w:proofErr w:type="gramStart"/>
      <w:r w:rsidRPr="005F64D0">
        <w:rPr>
          <w:rFonts w:eastAsia="Times New Roman"/>
        </w:rPr>
        <w:t>similar to</w:t>
      </w:r>
      <w:proofErr w:type="gramEnd"/>
      <w:r w:rsidRPr="005F64D0">
        <w:rPr>
          <w:rFonts w:eastAsia="Times New Roman"/>
        </w:rPr>
        <w:t xml:space="preserve"> the contractual arrangements under </w:t>
      </w:r>
      <w:proofErr w:type="spellStart"/>
      <w:r w:rsidRPr="005F64D0">
        <w:rPr>
          <w:rFonts w:eastAsia="Times New Roman"/>
        </w:rPr>
        <w:t>BfW</w:t>
      </w:r>
      <w:proofErr w:type="spellEnd"/>
      <w:r w:rsidRPr="005F64D0">
        <w:rPr>
          <w:rFonts w:eastAsia="Times New Roman"/>
        </w:rPr>
        <w:t>).</w:t>
      </w:r>
    </w:p>
    <w:p w14:paraId="74169455" w14:textId="180C5C1F" w:rsidR="00ED3E9C" w:rsidRPr="005F64D0" w:rsidRDefault="00ED3E9C" w:rsidP="00ED3E9C">
      <w:pPr>
        <w:rPr>
          <w:rFonts w:eastAsia="Times New Roman"/>
        </w:rPr>
      </w:pPr>
      <w:r w:rsidRPr="005F64D0">
        <w:rPr>
          <w:rFonts w:eastAsia="Times New Roman"/>
        </w:rPr>
        <w:t>An expression of interest was issued in October 2024</w:t>
      </w:r>
      <w:r w:rsidR="00BA5D8B">
        <w:rPr>
          <w:rFonts w:eastAsia="Times New Roman"/>
        </w:rPr>
        <w:t>,</w:t>
      </w:r>
      <w:r w:rsidRPr="005F64D0">
        <w:rPr>
          <w:rFonts w:eastAsia="Times New Roman"/>
        </w:rPr>
        <w:t xml:space="preserve"> and seven companies opted in to show an interest. The tender was published on 13 November 2024 and after two extensions, closed on 31 January 2025.  </w:t>
      </w:r>
    </w:p>
    <w:p w14:paraId="21457C23" w14:textId="77777777" w:rsidR="00ED3E9C" w:rsidRPr="005F64D0" w:rsidRDefault="00ED3E9C" w:rsidP="00ED3E9C">
      <w:pPr>
        <w:rPr>
          <w:rFonts w:eastAsia="Times New Roman"/>
        </w:rPr>
      </w:pPr>
      <w:r w:rsidRPr="005F64D0">
        <w:rPr>
          <w:rFonts w:eastAsia="Times New Roman"/>
        </w:rPr>
        <w:t xml:space="preserve">The process has been managed by Mott McDonald, acting as primary PM for tender and procurement exercise and at all stages support has been provided by NWSSP procurement services.  </w:t>
      </w:r>
    </w:p>
    <w:p w14:paraId="01B81CEA" w14:textId="77777777" w:rsidR="00ED3E9C" w:rsidRPr="005F64D0" w:rsidRDefault="00ED3E9C" w:rsidP="00ED3E9C">
      <w:pPr>
        <w:rPr>
          <w:rFonts w:eastAsia="Times New Roman"/>
        </w:rPr>
      </w:pPr>
      <w:r w:rsidRPr="005F64D0">
        <w:rPr>
          <w:rFonts w:eastAsia="Times New Roman"/>
        </w:rPr>
        <w:t>The tender period closed on 31 January 2025 with three responses received. There were some clarifications required from tendering parties, the detail of which is available if required. Legal advice was sought regarding the contractual terms and conditions.</w:t>
      </w:r>
    </w:p>
    <w:p w14:paraId="0F39FA74" w14:textId="77777777" w:rsidR="00ED3E9C" w:rsidRPr="005F64D0" w:rsidRDefault="00ED3E9C" w:rsidP="00ED3E9C">
      <w:pPr>
        <w:rPr>
          <w:rFonts w:eastAsia="Times New Roman"/>
        </w:rPr>
      </w:pPr>
      <w:r w:rsidRPr="005F64D0">
        <w:rPr>
          <w:rFonts w:eastAsia="Times New Roman"/>
        </w:rPr>
        <w:t xml:space="preserve">By the end of the process, only one contractor confirmed full acceptance of the proposed terms and conditions for both design and build contracts. In addition, the same contractor offered the best overall score in the combined qualitative and quantitative analysis.  This information can be found in the tender analysis report contained in the estates annex to the business case.  </w:t>
      </w:r>
    </w:p>
    <w:p w14:paraId="3E49E585" w14:textId="5048922F" w:rsidR="00ED3E9C" w:rsidRPr="005F64D0" w:rsidRDefault="00ED3E9C" w:rsidP="00ED3E9C">
      <w:pPr>
        <w:rPr>
          <w:rFonts w:eastAsia="Times New Roman"/>
        </w:rPr>
      </w:pPr>
      <w:r w:rsidRPr="005F64D0">
        <w:rPr>
          <w:rFonts w:eastAsia="Times New Roman"/>
        </w:rPr>
        <w:t>Following completion of the tender scoring, the outcome was presented to NWSSP-SES and a paper prepared for WG approval for CTMUHB to appoint MTX, the preferred contractor.  This approval was granted by letter on 14 March and, following the mandatory 10</w:t>
      </w:r>
      <w:r w:rsidR="00DA1A79">
        <w:rPr>
          <w:rFonts w:eastAsia="Times New Roman"/>
        </w:rPr>
        <w:t>-</w:t>
      </w:r>
      <w:r w:rsidRPr="005F64D0">
        <w:rPr>
          <w:rFonts w:eastAsia="Times New Roman"/>
        </w:rPr>
        <w:t xml:space="preserve">day standstill period, MTX were appointed as the successful contractor on 31 March 2025, under an NEC professional services contract, to deliver the design up to completion of RIBA 4 and development of target cost.  </w:t>
      </w:r>
    </w:p>
    <w:p w14:paraId="33F704B2" w14:textId="77777777" w:rsidR="00ED3E9C" w:rsidRPr="005F64D0" w:rsidRDefault="00ED3E9C" w:rsidP="00ED3E9C">
      <w:pPr>
        <w:rPr>
          <w:rFonts w:eastAsia="Times New Roman"/>
        </w:rPr>
      </w:pPr>
      <w:r w:rsidRPr="005F64D0">
        <w:rPr>
          <w:rFonts w:eastAsia="Times New Roman"/>
        </w:rPr>
        <w:t>Tendering parties provided costs up to RIBA 4 completion, as per standard NEC professional services contract (PSC). This will enable generation of completed design, securing of planning and SAB approvals, with fully tendered build costs. As a design and build arrangement, and to proceed to construction, an ECC contract will be required to be entered into on FBC approval.</w:t>
      </w:r>
    </w:p>
    <w:p w14:paraId="267BF14A" w14:textId="77777777" w:rsidR="00ED3E9C" w:rsidRPr="005F64D0" w:rsidRDefault="00ED3E9C" w:rsidP="00ED3E9C">
      <w:pPr>
        <w:rPr>
          <w:rFonts w:eastAsia="Times New Roman"/>
        </w:rPr>
      </w:pPr>
      <w:r w:rsidRPr="005F64D0">
        <w:rPr>
          <w:rFonts w:eastAsia="Times New Roman"/>
        </w:rPr>
        <w:t xml:space="preserve">CTMUHB requested WG approval to </w:t>
      </w:r>
      <w:proofErr w:type="gramStart"/>
      <w:r w:rsidRPr="005F64D0">
        <w:rPr>
          <w:rFonts w:eastAsia="Times New Roman"/>
        </w:rPr>
        <w:t>enter into</w:t>
      </w:r>
      <w:proofErr w:type="gramEnd"/>
      <w:r w:rsidRPr="005F64D0">
        <w:rPr>
          <w:rFonts w:eastAsia="Times New Roman"/>
        </w:rPr>
        <w:t xml:space="preserve"> the full PSC contract, which would take the scheme up to RIBA 4, at a contractor design fee cost of £3.935m. This cost excludes VAT and the additional health board fees associated with both RIBA 3 and 4. Full costs are included in the finance section of this case.</w:t>
      </w:r>
    </w:p>
    <w:p w14:paraId="7BE46870" w14:textId="77777777" w:rsidR="00ED3E9C" w:rsidRPr="005F64D0" w:rsidRDefault="00ED3E9C" w:rsidP="00ED3E9C">
      <w:pPr>
        <w:rPr>
          <w:rFonts w:eastAsia="Times New Roman"/>
        </w:rPr>
      </w:pPr>
      <w:r w:rsidRPr="005F64D0">
        <w:rPr>
          <w:rFonts w:eastAsia="Times New Roman"/>
        </w:rPr>
        <w:t xml:space="preserve">It should be noted that the cost tendered by the contractor was based on a single business case process and start-on-site of a phased construction completion programme.  The recent decision and instruction to split this work into phases, each with its own business case and development programme, has subsequently elongated the programme and increased the level of costs and fees incurred.  A longer design period will mean further costs for all time-based consultants.  </w:t>
      </w:r>
    </w:p>
    <w:p w14:paraId="0487989D" w14:textId="77777777" w:rsidR="00ED3E9C" w:rsidRPr="005F64D0" w:rsidRDefault="00ED3E9C" w:rsidP="00ED3E9C">
      <w:pPr>
        <w:rPr>
          <w:rFonts w:eastAsia="Times New Roman"/>
        </w:rPr>
      </w:pPr>
      <w:r w:rsidRPr="005F64D0">
        <w:rPr>
          <w:rFonts w:eastAsia="Times New Roman"/>
        </w:rPr>
        <w:lastRenderedPageBreak/>
        <w:t>As mentioned in the strategic case, the split to a phase approach has increased the design fees over and above the original tendered sum.  There are 3 reasons for this:</w:t>
      </w:r>
    </w:p>
    <w:p w14:paraId="60F65F54" w14:textId="77777777" w:rsidR="00ED3E9C" w:rsidRPr="00625155" w:rsidRDefault="00ED3E9C" w:rsidP="00D24CFB">
      <w:pPr>
        <w:numPr>
          <w:ilvl w:val="0"/>
          <w:numId w:val="24"/>
        </w:numPr>
        <w:spacing w:after="80"/>
        <w:ind w:left="284" w:hanging="284"/>
        <w:rPr>
          <w:rFonts w:asciiTheme="minorHAnsi" w:eastAsia="Times New Roman" w:hAnsiTheme="minorHAnsi"/>
        </w:rPr>
      </w:pPr>
      <w:r w:rsidRPr="00625155">
        <w:rPr>
          <w:rFonts w:asciiTheme="minorHAnsi" w:eastAsia="Times New Roman" w:hAnsiTheme="minorHAnsi"/>
        </w:rPr>
        <w:t xml:space="preserve">The redesign elements to ensure that Phase 1 can be fully stand alone and to change some of the supporting infrastructure to support a fully phased approach </w:t>
      </w:r>
    </w:p>
    <w:p w14:paraId="66B3FE5E" w14:textId="77777777" w:rsidR="00ED3E9C" w:rsidRPr="00625155" w:rsidRDefault="00ED3E9C" w:rsidP="00D24CFB">
      <w:pPr>
        <w:numPr>
          <w:ilvl w:val="0"/>
          <w:numId w:val="24"/>
        </w:numPr>
        <w:spacing w:after="80"/>
        <w:ind w:left="284" w:hanging="284"/>
        <w:rPr>
          <w:rFonts w:asciiTheme="minorHAnsi" w:eastAsia="Times New Roman" w:hAnsiTheme="minorHAnsi"/>
        </w:rPr>
      </w:pPr>
      <w:r w:rsidRPr="00625155">
        <w:rPr>
          <w:rFonts w:asciiTheme="minorHAnsi" w:eastAsia="Times New Roman" w:hAnsiTheme="minorHAnsi"/>
        </w:rPr>
        <w:t>The elongated programme as a result of the splitting of the programme into phases and confirmation of an OBC and FBC requirement for each separate phase</w:t>
      </w:r>
      <w:r>
        <w:rPr>
          <w:rFonts w:asciiTheme="minorHAnsi" w:eastAsia="Times New Roman" w:hAnsiTheme="minorHAnsi"/>
        </w:rPr>
        <w:t>, this has added circa 6 months to the PSC programme with Phase 2 FBC being completed by May 2026, previously October 2025 for the whole programme.</w:t>
      </w:r>
    </w:p>
    <w:p w14:paraId="223248B9" w14:textId="03CAF4DE" w:rsidR="00ED3E9C" w:rsidRDefault="00ED3E9C" w:rsidP="00B52127">
      <w:pPr>
        <w:numPr>
          <w:ilvl w:val="0"/>
          <w:numId w:val="24"/>
        </w:numPr>
        <w:spacing w:after="120"/>
        <w:ind w:left="284" w:hanging="284"/>
        <w:rPr>
          <w:rFonts w:asciiTheme="minorHAnsi" w:eastAsia="Times New Roman" w:hAnsiTheme="minorHAnsi"/>
        </w:rPr>
      </w:pPr>
      <w:r w:rsidRPr="00625155">
        <w:rPr>
          <w:rFonts w:asciiTheme="minorHAnsi" w:eastAsia="Times New Roman" w:hAnsiTheme="minorHAnsi"/>
        </w:rPr>
        <w:t xml:space="preserve">The decision made to reconfigure the former surgical hub area in the phased </w:t>
      </w:r>
      <w:r w:rsidRPr="004B212B">
        <w:rPr>
          <w:rFonts w:asciiTheme="minorHAnsi" w:eastAsia="Times New Roman" w:hAnsiTheme="minorHAnsi"/>
        </w:rPr>
        <w:t>approach</w:t>
      </w:r>
      <w:r w:rsidRPr="00625155">
        <w:rPr>
          <w:rFonts w:asciiTheme="minorHAnsi" w:eastAsia="Times New Roman" w:hAnsiTheme="minorHAnsi"/>
        </w:rPr>
        <w:t xml:space="preserve"> to focus phase 2 on the delivery of the regional orthopaedic hub and a future </w:t>
      </w:r>
      <w:r w:rsidR="00D24CFB" w:rsidRPr="00625155">
        <w:rPr>
          <w:rFonts w:asciiTheme="minorHAnsi" w:eastAsia="Times New Roman" w:hAnsiTheme="minorHAnsi"/>
        </w:rPr>
        <w:t xml:space="preserve">Phase </w:t>
      </w:r>
      <w:r w:rsidRPr="00625155">
        <w:rPr>
          <w:rFonts w:asciiTheme="minorHAnsi" w:eastAsia="Times New Roman" w:hAnsiTheme="minorHAnsi"/>
        </w:rPr>
        <w:t>3 to be further scoped and possibly include day surgery.</w:t>
      </w:r>
    </w:p>
    <w:p w14:paraId="7E1C9C3F" w14:textId="77777777" w:rsidR="00ED3E9C" w:rsidRPr="00625155" w:rsidRDefault="00ED3E9C" w:rsidP="00ED3E9C">
      <w:pPr>
        <w:spacing w:after="0"/>
        <w:contextualSpacing/>
        <w:rPr>
          <w:rFonts w:asciiTheme="minorHAnsi" w:eastAsia="Times New Roman" w:hAnsiTheme="minorHAnsi"/>
        </w:rPr>
      </w:pPr>
    </w:p>
    <w:p w14:paraId="2AA32230" w14:textId="54DAFA95" w:rsidR="00ED3E9C" w:rsidRPr="005F64D0" w:rsidRDefault="00ED3E9C" w:rsidP="00ED3E9C">
      <w:pPr>
        <w:rPr>
          <w:rFonts w:eastAsia="Times New Roman"/>
        </w:rPr>
      </w:pPr>
      <w:r w:rsidRPr="005F64D0">
        <w:rPr>
          <w:rFonts w:eastAsia="Times New Roman"/>
        </w:rPr>
        <w:t>The changes to the design on point 3 above have meant that there has had to be a</w:t>
      </w:r>
      <w:r>
        <w:rPr>
          <w:rFonts w:eastAsia="Times New Roman"/>
        </w:rPr>
        <w:t>n</w:t>
      </w:r>
      <w:r w:rsidRPr="005F64D0">
        <w:rPr>
          <w:rFonts w:eastAsia="Times New Roman"/>
        </w:rPr>
        <w:t xml:space="preserve"> architectural revisit of RIBA 2 which has been used as the basis for this OBC.  RIBA 3 and 4 stages will take place during the FBC development works which explains the longer time between OBC and FBC for </w:t>
      </w:r>
      <w:r w:rsidR="00D24CFB" w:rsidRPr="005F64D0">
        <w:rPr>
          <w:rFonts w:eastAsia="Times New Roman"/>
        </w:rPr>
        <w:t xml:space="preserve">Phases </w:t>
      </w:r>
      <w:r w:rsidRPr="005F64D0">
        <w:rPr>
          <w:rFonts w:eastAsia="Times New Roman"/>
        </w:rPr>
        <w:t xml:space="preserve">1 and 2 than for </w:t>
      </w:r>
      <w:r w:rsidR="00D24CFB" w:rsidRPr="005F64D0">
        <w:rPr>
          <w:rFonts w:eastAsia="Times New Roman"/>
        </w:rPr>
        <w:t xml:space="preserve">Phase </w:t>
      </w:r>
      <w:r w:rsidRPr="005F64D0">
        <w:rPr>
          <w:rFonts w:eastAsia="Times New Roman"/>
        </w:rPr>
        <w:t>1.</w:t>
      </w:r>
    </w:p>
    <w:p w14:paraId="4F63444F" w14:textId="77777777" w:rsidR="00ED3E9C" w:rsidRPr="005F64D0" w:rsidRDefault="00ED3E9C" w:rsidP="00ED3E9C">
      <w:pPr>
        <w:rPr>
          <w:rFonts w:eastAsia="Times New Roman"/>
        </w:rPr>
      </w:pPr>
      <w:r w:rsidRPr="005F64D0">
        <w:rPr>
          <w:rFonts w:eastAsia="Times New Roman"/>
        </w:rPr>
        <w:t>As a result</w:t>
      </w:r>
      <w:r>
        <w:rPr>
          <w:rFonts w:eastAsia="Times New Roman"/>
        </w:rPr>
        <w:t xml:space="preserve"> of the changes outlined </w:t>
      </w:r>
      <w:proofErr w:type="gramStart"/>
      <w:r>
        <w:rPr>
          <w:rFonts w:eastAsia="Times New Roman"/>
        </w:rPr>
        <w:t xml:space="preserve">above </w:t>
      </w:r>
      <w:r w:rsidRPr="005F64D0">
        <w:rPr>
          <w:rFonts w:eastAsia="Times New Roman"/>
        </w:rPr>
        <w:t xml:space="preserve"> the</w:t>
      </w:r>
      <w:proofErr w:type="gramEnd"/>
      <w:r w:rsidRPr="005F64D0">
        <w:rPr>
          <w:rFonts w:eastAsia="Times New Roman"/>
        </w:rPr>
        <w:t xml:space="preserve"> amended PSC total fees </w:t>
      </w:r>
      <w:r>
        <w:rPr>
          <w:rFonts w:eastAsia="Times New Roman"/>
        </w:rPr>
        <w:t xml:space="preserve">for phases 1 and 2 </w:t>
      </w:r>
      <w:r w:rsidRPr="005F64D0">
        <w:rPr>
          <w:rFonts w:eastAsia="Times New Roman"/>
        </w:rPr>
        <w:t>are as set out in the table below</w:t>
      </w:r>
    </w:p>
    <w:p w14:paraId="69266FB1" w14:textId="4B954F6D" w:rsidR="001B07F7" w:rsidRDefault="001B07F7" w:rsidP="001B07F7">
      <w:pPr>
        <w:pStyle w:val="Caption"/>
      </w:pPr>
      <w:bookmarkStart w:id="227" w:name="_Toc213865302"/>
      <w:r>
        <w:t xml:space="preserve">Table </w:t>
      </w:r>
      <w:r>
        <w:fldChar w:fldCharType="begin"/>
      </w:r>
      <w:r>
        <w:instrText xml:space="preserve"> SEQ Table \* ARABIC </w:instrText>
      </w:r>
      <w:r>
        <w:fldChar w:fldCharType="separate"/>
      </w:r>
      <w:r w:rsidR="004A33ED">
        <w:t>22</w:t>
      </w:r>
      <w:r>
        <w:fldChar w:fldCharType="end"/>
      </w:r>
      <w:r>
        <w:t xml:space="preserve"> - </w:t>
      </w:r>
      <w:r w:rsidRPr="003C1F7A">
        <w:t xml:space="preserve">Comparison of </w:t>
      </w:r>
      <w:r w:rsidR="004E717A" w:rsidRPr="003C1F7A">
        <w:t xml:space="preserve">phased </w:t>
      </w:r>
      <w:r w:rsidRPr="003C1F7A">
        <w:t xml:space="preserve">PSC fees to </w:t>
      </w:r>
      <w:r w:rsidR="004E717A" w:rsidRPr="003C1F7A">
        <w:t>original tendered fees</w:t>
      </w:r>
      <w:bookmarkEnd w:id="227"/>
    </w:p>
    <w:tbl>
      <w:tblPr>
        <w:tblW w:w="5100" w:type="pct"/>
        <w:tblInd w:w="-113" w:type="dxa"/>
        <w:tblLayout w:type="fixed"/>
        <w:tblLook w:val="04A0" w:firstRow="1" w:lastRow="0" w:firstColumn="1" w:lastColumn="0" w:noHBand="0" w:noVBand="1"/>
      </w:tblPr>
      <w:tblGrid>
        <w:gridCol w:w="2405"/>
        <w:gridCol w:w="1814"/>
        <w:gridCol w:w="1667"/>
        <w:gridCol w:w="1857"/>
        <w:gridCol w:w="2067"/>
      </w:tblGrid>
      <w:tr w:rsidR="000829C3" w:rsidRPr="00D24CFB" w14:paraId="08ECEECF" w14:textId="77777777" w:rsidTr="000829C3">
        <w:tc>
          <w:tcPr>
            <w:tcW w:w="2280" w:type="dxa"/>
            <w:tcBorders>
              <w:top w:val="single" w:sz="8" w:space="0" w:color="A6A6A6"/>
              <w:left w:val="single" w:sz="8" w:space="0" w:color="A6A6A6"/>
              <w:bottom w:val="single" w:sz="8" w:space="0" w:color="A6A6A6"/>
              <w:right w:val="single" w:sz="8" w:space="0" w:color="A6A6A6"/>
            </w:tcBorders>
            <w:shd w:val="clear" w:color="auto" w:fill="374264"/>
            <w:vAlign w:val="center"/>
            <w:hideMark/>
          </w:tcPr>
          <w:p w14:paraId="76977CBA" w14:textId="77777777" w:rsidR="00ED3E9C" w:rsidRPr="00D24CFB" w:rsidRDefault="00ED3E9C" w:rsidP="000829C3">
            <w:pPr>
              <w:pStyle w:val="tabletext"/>
              <w:rPr>
                <w:b/>
                <w:bCs/>
                <w:color w:val="FFFFFF" w:themeColor="background1"/>
                <w:sz w:val="19"/>
                <w:szCs w:val="19"/>
                <w:lang w:eastAsia="en-GB"/>
              </w:rPr>
            </w:pPr>
            <w:r w:rsidRPr="00D24CFB">
              <w:rPr>
                <w:b/>
                <w:bCs/>
                <w:color w:val="FFFFFF" w:themeColor="background1"/>
                <w:sz w:val="19"/>
                <w:szCs w:val="19"/>
                <w:lang w:eastAsia="en-GB"/>
              </w:rPr>
              <w:t>Cost element</w:t>
            </w:r>
          </w:p>
        </w:tc>
        <w:tc>
          <w:tcPr>
            <w:tcW w:w="1720" w:type="dxa"/>
            <w:tcBorders>
              <w:top w:val="single" w:sz="8" w:space="0" w:color="A6A6A6"/>
              <w:left w:val="nil"/>
              <w:bottom w:val="single" w:sz="8" w:space="0" w:color="A6A6A6"/>
              <w:right w:val="single" w:sz="8" w:space="0" w:color="A6A6A6"/>
            </w:tcBorders>
            <w:shd w:val="clear" w:color="auto" w:fill="374264"/>
            <w:vAlign w:val="center"/>
            <w:hideMark/>
          </w:tcPr>
          <w:p w14:paraId="2C98D4C5" w14:textId="77777777" w:rsidR="00ED3E9C" w:rsidRPr="00D24CFB" w:rsidRDefault="00ED3E9C" w:rsidP="000829C3">
            <w:pPr>
              <w:pStyle w:val="tabletext"/>
              <w:jc w:val="right"/>
              <w:rPr>
                <w:b/>
                <w:bCs/>
                <w:color w:val="FFFFFF" w:themeColor="background1"/>
                <w:sz w:val="19"/>
                <w:szCs w:val="19"/>
                <w:lang w:eastAsia="en-GB"/>
              </w:rPr>
            </w:pPr>
            <w:r w:rsidRPr="00D24CFB">
              <w:rPr>
                <w:b/>
                <w:bCs/>
                <w:color w:val="FFFFFF" w:themeColor="background1"/>
                <w:sz w:val="19"/>
                <w:szCs w:val="19"/>
                <w:lang w:eastAsia="en-GB"/>
              </w:rPr>
              <w:t>Original Tender</w:t>
            </w:r>
            <w:r w:rsidRPr="00D24CFB">
              <w:rPr>
                <w:b/>
                <w:bCs/>
                <w:color w:val="FFFFFF" w:themeColor="background1"/>
                <w:sz w:val="19"/>
                <w:szCs w:val="19"/>
                <w:lang w:eastAsia="en-GB"/>
              </w:rPr>
              <w:br/>
              <w:t>£000</w:t>
            </w:r>
          </w:p>
        </w:tc>
        <w:tc>
          <w:tcPr>
            <w:tcW w:w="1580" w:type="dxa"/>
            <w:tcBorders>
              <w:top w:val="single" w:sz="8" w:space="0" w:color="A6A6A6"/>
              <w:left w:val="nil"/>
              <w:bottom w:val="single" w:sz="8" w:space="0" w:color="A6A6A6"/>
              <w:right w:val="single" w:sz="8" w:space="0" w:color="A6A6A6"/>
            </w:tcBorders>
            <w:shd w:val="clear" w:color="auto" w:fill="374264"/>
            <w:vAlign w:val="center"/>
            <w:hideMark/>
          </w:tcPr>
          <w:p w14:paraId="7E27644D" w14:textId="77777777" w:rsidR="00ED3E9C" w:rsidRPr="00D24CFB" w:rsidRDefault="00ED3E9C" w:rsidP="000829C3">
            <w:pPr>
              <w:pStyle w:val="tabletext"/>
              <w:jc w:val="right"/>
              <w:rPr>
                <w:b/>
                <w:bCs/>
                <w:color w:val="FFFFFF" w:themeColor="background1"/>
                <w:sz w:val="19"/>
                <w:szCs w:val="19"/>
                <w:lang w:eastAsia="en-GB"/>
              </w:rPr>
            </w:pPr>
            <w:proofErr w:type="gramStart"/>
            <w:r w:rsidRPr="00D24CFB">
              <w:rPr>
                <w:b/>
                <w:bCs/>
                <w:color w:val="FFFFFF" w:themeColor="background1"/>
                <w:sz w:val="19"/>
                <w:szCs w:val="19"/>
                <w:lang w:eastAsia="en-GB"/>
              </w:rPr>
              <w:t>Phase  1</w:t>
            </w:r>
            <w:proofErr w:type="gramEnd"/>
            <w:r w:rsidRPr="00D24CFB">
              <w:rPr>
                <w:b/>
                <w:bCs/>
                <w:color w:val="FFFFFF" w:themeColor="background1"/>
                <w:sz w:val="19"/>
                <w:szCs w:val="19"/>
                <w:lang w:eastAsia="en-GB"/>
              </w:rPr>
              <w:t xml:space="preserve">  PSC</w:t>
            </w:r>
            <w:r w:rsidRPr="00D24CFB">
              <w:rPr>
                <w:b/>
                <w:bCs/>
                <w:color w:val="FFFFFF" w:themeColor="background1"/>
                <w:sz w:val="19"/>
                <w:szCs w:val="19"/>
                <w:lang w:eastAsia="en-GB"/>
              </w:rPr>
              <w:br/>
              <w:t>£000</w:t>
            </w:r>
          </w:p>
        </w:tc>
        <w:tc>
          <w:tcPr>
            <w:tcW w:w="1760" w:type="dxa"/>
            <w:tcBorders>
              <w:top w:val="single" w:sz="8" w:space="0" w:color="A6A6A6"/>
              <w:left w:val="nil"/>
              <w:bottom w:val="single" w:sz="8" w:space="0" w:color="A6A6A6"/>
              <w:right w:val="single" w:sz="8" w:space="0" w:color="A6A6A6"/>
            </w:tcBorders>
            <w:shd w:val="clear" w:color="auto" w:fill="374264"/>
            <w:vAlign w:val="center"/>
            <w:hideMark/>
          </w:tcPr>
          <w:p w14:paraId="483FDCE7" w14:textId="77777777" w:rsidR="00ED3E9C" w:rsidRPr="00D24CFB" w:rsidRDefault="00ED3E9C" w:rsidP="000829C3">
            <w:pPr>
              <w:pStyle w:val="tabletext"/>
              <w:jc w:val="right"/>
              <w:rPr>
                <w:b/>
                <w:bCs/>
                <w:color w:val="FFFFFF" w:themeColor="background1"/>
                <w:sz w:val="19"/>
                <w:szCs w:val="19"/>
                <w:lang w:eastAsia="en-GB"/>
              </w:rPr>
            </w:pPr>
            <w:r w:rsidRPr="00D24CFB">
              <w:rPr>
                <w:b/>
                <w:bCs/>
                <w:color w:val="FFFFFF" w:themeColor="background1"/>
                <w:sz w:val="19"/>
                <w:szCs w:val="19"/>
                <w:lang w:eastAsia="en-GB"/>
              </w:rPr>
              <w:t>Phase2 PSC</w:t>
            </w:r>
            <w:r w:rsidRPr="00D24CFB">
              <w:rPr>
                <w:b/>
                <w:bCs/>
                <w:color w:val="FFFFFF" w:themeColor="background1"/>
                <w:sz w:val="19"/>
                <w:szCs w:val="19"/>
                <w:lang w:eastAsia="en-GB"/>
              </w:rPr>
              <w:br/>
              <w:t>£000</w:t>
            </w:r>
          </w:p>
        </w:tc>
        <w:tc>
          <w:tcPr>
            <w:tcW w:w="1960" w:type="dxa"/>
            <w:tcBorders>
              <w:top w:val="single" w:sz="8" w:space="0" w:color="A6A6A6"/>
              <w:left w:val="nil"/>
              <w:bottom w:val="single" w:sz="8" w:space="0" w:color="A6A6A6"/>
              <w:right w:val="single" w:sz="8" w:space="0" w:color="A6A6A6"/>
            </w:tcBorders>
            <w:shd w:val="clear" w:color="auto" w:fill="374264"/>
            <w:vAlign w:val="center"/>
            <w:hideMark/>
          </w:tcPr>
          <w:p w14:paraId="550A585E" w14:textId="77777777" w:rsidR="00ED3E9C" w:rsidRPr="00D24CFB" w:rsidRDefault="00ED3E9C" w:rsidP="000829C3">
            <w:pPr>
              <w:pStyle w:val="tabletext"/>
              <w:jc w:val="right"/>
              <w:rPr>
                <w:b/>
                <w:bCs/>
                <w:color w:val="FFFFFF" w:themeColor="background1"/>
                <w:sz w:val="19"/>
                <w:szCs w:val="19"/>
                <w:lang w:eastAsia="en-GB"/>
              </w:rPr>
            </w:pPr>
            <w:r w:rsidRPr="00D24CFB">
              <w:rPr>
                <w:b/>
                <w:bCs/>
                <w:color w:val="FFFFFF" w:themeColor="background1"/>
                <w:sz w:val="19"/>
                <w:szCs w:val="19"/>
                <w:lang w:eastAsia="en-GB"/>
              </w:rPr>
              <w:t>Revised Total PCSC Fees</w:t>
            </w:r>
            <w:r w:rsidRPr="00D24CFB">
              <w:rPr>
                <w:b/>
                <w:bCs/>
                <w:color w:val="FFFFFF" w:themeColor="background1"/>
                <w:sz w:val="19"/>
                <w:szCs w:val="19"/>
                <w:lang w:eastAsia="en-GB"/>
              </w:rPr>
              <w:br/>
              <w:t>£000</w:t>
            </w:r>
          </w:p>
        </w:tc>
      </w:tr>
      <w:tr w:rsidR="00ED3E9C" w:rsidRPr="00D24CFB" w14:paraId="588AF7E6" w14:textId="77777777" w:rsidTr="000829C3">
        <w:tc>
          <w:tcPr>
            <w:tcW w:w="2280" w:type="dxa"/>
            <w:tcBorders>
              <w:top w:val="nil"/>
              <w:left w:val="single" w:sz="8" w:space="0" w:color="A6A6A6"/>
              <w:bottom w:val="single" w:sz="8" w:space="0" w:color="A6A6A6"/>
              <w:right w:val="single" w:sz="8" w:space="0" w:color="A6A6A6"/>
            </w:tcBorders>
            <w:vAlign w:val="center"/>
            <w:hideMark/>
          </w:tcPr>
          <w:p w14:paraId="04923AD1" w14:textId="77777777" w:rsidR="00ED3E9C" w:rsidRPr="00D24CFB" w:rsidRDefault="00ED3E9C" w:rsidP="000829C3">
            <w:pPr>
              <w:pStyle w:val="tabletext"/>
              <w:rPr>
                <w:color w:val="000000"/>
                <w:sz w:val="19"/>
                <w:szCs w:val="19"/>
                <w:lang w:eastAsia="en-GB"/>
              </w:rPr>
            </w:pPr>
            <w:r w:rsidRPr="00D24CFB">
              <w:rPr>
                <w:color w:val="000000"/>
                <w:sz w:val="19"/>
                <w:szCs w:val="19"/>
                <w:lang w:eastAsia="en-GB"/>
              </w:rPr>
              <w:t>RIBA 3</w:t>
            </w:r>
          </w:p>
        </w:tc>
        <w:tc>
          <w:tcPr>
            <w:tcW w:w="1720" w:type="dxa"/>
            <w:tcBorders>
              <w:top w:val="nil"/>
              <w:left w:val="nil"/>
              <w:bottom w:val="single" w:sz="8" w:space="0" w:color="A6A6A6"/>
              <w:right w:val="single" w:sz="8" w:space="0" w:color="A6A6A6"/>
            </w:tcBorders>
            <w:vAlign w:val="center"/>
            <w:hideMark/>
          </w:tcPr>
          <w:p w14:paraId="78E71F91" w14:textId="77777777" w:rsidR="00ED3E9C" w:rsidRPr="00D24CFB" w:rsidRDefault="00ED3E9C" w:rsidP="000829C3">
            <w:pPr>
              <w:pStyle w:val="tabletext"/>
              <w:jc w:val="right"/>
              <w:rPr>
                <w:color w:val="000000"/>
                <w:sz w:val="19"/>
                <w:szCs w:val="19"/>
                <w:lang w:eastAsia="en-GB"/>
              </w:rPr>
            </w:pPr>
            <w:r w:rsidRPr="00D24CFB">
              <w:rPr>
                <w:color w:val="000000"/>
                <w:sz w:val="19"/>
                <w:szCs w:val="19"/>
                <w:lang w:eastAsia="en-GB"/>
              </w:rPr>
              <w:t>400</w:t>
            </w:r>
          </w:p>
        </w:tc>
        <w:tc>
          <w:tcPr>
            <w:tcW w:w="1580" w:type="dxa"/>
            <w:tcBorders>
              <w:top w:val="nil"/>
              <w:left w:val="nil"/>
              <w:bottom w:val="single" w:sz="8" w:space="0" w:color="A6A6A6"/>
              <w:right w:val="single" w:sz="8" w:space="0" w:color="A6A6A6"/>
            </w:tcBorders>
            <w:vAlign w:val="center"/>
            <w:hideMark/>
          </w:tcPr>
          <w:p w14:paraId="55B2EDFE" w14:textId="77777777" w:rsidR="00ED3E9C" w:rsidRPr="00D24CFB" w:rsidRDefault="00ED3E9C" w:rsidP="000829C3">
            <w:pPr>
              <w:pStyle w:val="tabletext"/>
              <w:jc w:val="right"/>
              <w:rPr>
                <w:color w:val="000000"/>
                <w:sz w:val="19"/>
                <w:szCs w:val="19"/>
                <w:lang w:eastAsia="en-GB"/>
              </w:rPr>
            </w:pPr>
            <w:r w:rsidRPr="00D24CFB">
              <w:rPr>
                <w:color w:val="000000"/>
                <w:sz w:val="19"/>
                <w:szCs w:val="19"/>
                <w:lang w:eastAsia="en-GB"/>
              </w:rPr>
              <w:t>1,491</w:t>
            </w:r>
          </w:p>
        </w:tc>
        <w:tc>
          <w:tcPr>
            <w:tcW w:w="1760" w:type="dxa"/>
            <w:tcBorders>
              <w:top w:val="nil"/>
              <w:left w:val="nil"/>
              <w:bottom w:val="single" w:sz="8" w:space="0" w:color="A6A6A6"/>
              <w:right w:val="single" w:sz="8" w:space="0" w:color="A6A6A6"/>
            </w:tcBorders>
            <w:vAlign w:val="center"/>
            <w:hideMark/>
          </w:tcPr>
          <w:p w14:paraId="4C610DE7" w14:textId="77777777" w:rsidR="00ED3E9C" w:rsidRPr="00D24CFB" w:rsidRDefault="00ED3E9C" w:rsidP="000829C3">
            <w:pPr>
              <w:pStyle w:val="tabletext"/>
              <w:jc w:val="right"/>
              <w:rPr>
                <w:color w:val="000000"/>
                <w:sz w:val="19"/>
                <w:szCs w:val="19"/>
                <w:lang w:eastAsia="en-GB"/>
              </w:rPr>
            </w:pPr>
            <w:r w:rsidRPr="00D24CFB">
              <w:rPr>
                <w:color w:val="000000"/>
                <w:sz w:val="19"/>
                <w:szCs w:val="19"/>
                <w:lang w:eastAsia="en-GB"/>
              </w:rPr>
              <w:t>1,534</w:t>
            </w:r>
          </w:p>
        </w:tc>
        <w:tc>
          <w:tcPr>
            <w:tcW w:w="1960" w:type="dxa"/>
            <w:tcBorders>
              <w:top w:val="nil"/>
              <w:left w:val="nil"/>
              <w:bottom w:val="single" w:sz="8" w:space="0" w:color="A6A6A6"/>
              <w:right w:val="single" w:sz="8" w:space="0" w:color="A6A6A6"/>
            </w:tcBorders>
            <w:vAlign w:val="center"/>
            <w:hideMark/>
          </w:tcPr>
          <w:p w14:paraId="425F2E96" w14:textId="77777777" w:rsidR="00ED3E9C" w:rsidRPr="00D24CFB" w:rsidRDefault="00ED3E9C" w:rsidP="000829C3">
            <w:pPr>
              <w:pStyle w:val="tabletext"/>
              <w:jc w:val="right"/>
              <w:rPr>
                <w:color w:val="000000"/>
                <w:sz w:val="19"/>
                <w:szCs w:val="19"/>
                <w:lang w:eastAsia="en-GB"/>
              </w:rPr>
            </w:pPr>
            <w:r w:rsidRPr="00D24CFB">
              <w:rPr>
                <w:color w:val="000000"/>
                <w:sz w:val="19"/>
                <w:szCs w:val="19"/>
                <w:lang w:eastAsia="en-GB"/>
              </w:rPr>
              <w:t>3,025</w:t>
            </w:r>
          </w:p>
        </w:tc>
      </w:tr>
      <w:tr w:rsidR="00ED3E9C" w:rsidRPr="00D24CFB" w14:paraId="1E04748D" w14:textId="77777777" w:rsidTr="000829C3">
        <w:tc>
          <w:tcPr>
            <w:tcW w:w="2280" w:type="dxa"/>
            <w:tcBorders>
              <w:top w:val="nil"/>
              <w:left w:val="single" w:sz="8" w:space="0" w:color="A6A6A6"/>
              <w:bottom w:val="single" w:sz="8" w:space="0" w:color="A6A6A6"/>
              <w:right w:val="single" w:sz="8" w:space="0" w:color="A6A6A6"/>
            </w:tcBorders>
            <w:vAlign w:val="center"/>
            <w:hideMark/>
          </w:tcPr>
          <w:p w14:paraId="6655105D" w14:textId="77777777" w:rsidR="00ED3E9C" w:rsidRPr="00D24CFB" w:rsidRDefault="00ED3E9C" w:rsidP="000829C3">
            <w:pPr>
              <w:pStyle w:val="tabletext"/>
              <w:rPr>
                <w:color w:val="000000"/>
                <w:sz w:val="19"/>
                <w:szCs w:val="19"/>
                <w:lang w:eastAsia="en-GB"/>
              </w:rPr>
            </w:pPr>
            <w:r w:rsidRPr="00D24CFB">
              <w:rPr>
                <w:color w:val="000000"/>
                <w:sz w:val="19"/>
                <w:szCs w:val="19"/>
                <w:lang w:eastAsia="en-GB"/>
              </w:rPr>
              <w:t>RIBA 4</w:t>
            </w:r>
          </w:p>
        </w:tc>
        <w:tc>
          <w:tcPr>
            <w:tcW w:w="1720" w:type="dxa"/>
            <w:tcBorders>
              <w:top w:val="nil"/>
              <w:left w:val="nil"/>
              <w:bottom w:val="single" w:sz="8" w:space="0" w:color="A6A6A6"/>
              <w:right w:val="single" w:sz="8" w:space="0" w:color="A6A6A6"/>
            </w:tcBorders>
            <w:vAlign w:val="center"/>
            <w:hideMark/>
          </w:tcPr>
          <w:p w14:paraId="6861A982" w14:textId="77777777" w:rsidR="00ED3E9C" w:rsidRPr="00D24CFB" w:rsidRDefault="00ED3E9C" w:rsidP="000829C3">
            <w:pPr>
              <w:pStyle w:val="tabletext"/>
              <w:jc w:val="right"/>
              <w:rPr>
                <w:color w:val="000000"/>
                <w:sz w:val="19"/>
                <w:szCs w:val="19"/>
                <w:lang w:eastAsia="en-GB"/>
              </w:rPr>
            </w:pPr>
            <w:r w:rsidRPr="00D24CFB">
              <w:rPr>
                <w:color w:val="000000"/>
                <w:sz w:val="19"/>
                <w:szCs w:val="19"/>
                <w:lang w:eastAsia="en-GB"/>
              </w:rPr>
              <w:t>3534</w:t>
            </w:r>
          </w:p>
        </w:tc>
        <w:tc>
          <w:tcPr>
            <w:tcW w:w="1580" w:type="dxa"/>
            <w:tcBorders>
              <w:top w:val="nil"/>
              <w:left w:val="nil"/>
              <w:bottom w:val="single" w:sz="8" w:space="0" w:color="A6A6A6"/>
              <w:right w:val="single" w:sz="8" w:space="0" w:color="A6A6A6"/>
            </w:tcBorders>
            <w:vAlign w:val="center"/>
            <w:hideMark/>
          </w:tcPr>
          <w:p w14:paraId="05B0C562" w14:textId="77777777" w:rsidR="00ED3E9C" w:rsidRPr="00D24CFB" w:rsidRDefault="00ED3E9C" w:rsidP="000829C3">
            <w:pPr>
              <w:pStyle w:val="tabletext"/>
              <w:jc w:val="right"/>
              <w:rPr>
                <w:color w:val="000000"/>
                <w:sz w:val="19"/>
                <w:szCs w:val="19"/>
                <w:lang w:eastAsia="en-GB"/>
              </w:rPr>
            </w:pPr>
            <w:r w:rsidRPr="00D24CFB">
              <w:rPr>
                <w:color w:val="000000"/>
                <w:sz w:val="19"/>
                <w:szCs w:val="19"/>
                <w:lang w:eastAsia="en-GB"/>
              </w:rPr>
              <w:t>1,405</w:t>
            </w:r>
          </w:p>
        </w:tc>
        <w:tc>
          <w:tcPr>
            <w:tcW w:w="1760" w:type="dxa"/>
            <w:tcBorders>
              <w:top w:val="nil"/>
              <w:left w:val="nil"/>
              <w:bottom w:val="single" w:sz="8" w:space="0" w:color="A6A6A6"/>
              <w:right w:val="single" w:sz="8" w:space="0" w:color="A6A6A6"/>
            </w:tcBorders>
            <w:vAlign w:val="center"/>
            <w:hideMark/>
          </w:tcPr>
          <w:p w14:paraId="6990FC51" w14:textId="77777777" w:rsidR="00ED3E9C" w:rsidRPr="00D24CFB" w:rsidRDefault="00ED3E9C" w:rsidP="000829C3">
            <w:pPr>
              <w:pStyle w:val="tabletext"/>
              <w:jc w:val="right"/>
              <w:rPr>
                <w:color w:val="000000"/>
                <w:sz w:val="19"/>
                <w:szCs w:val="19"/>
                <w:lang w:eastAsia="en-GB"/>
              </w:rPr>
            </w:pPr>
            <w:r w:rsidRPr="00D24CFB">
              <w:rPr>
                <w:color w:val="000000"/>
                <w:sz w:val="19"/>
                <w:szCs w:val="19"/>
                <w:lang w:eastAsia="en-GB"/>
              </w:rPr>
              <w:t>924</w:t>
            </w:r>
          </w:p>
        </w:tc>
        <w:tc>
          <w:tcPr>
            <w:tcW w:w="1960" w:type="dxa"/>
            <w:tcBorders>
              <w:top w:val="nil"/>
              <w:left w:val="nil"/>
              <w:bottom w:val="single" w:sz="8" w:space="0" w:color="A6A6A6"/>
              <w:right w:val="single" w:sz="8" w:space="0" w:color="A6A6A6"/>
            </w:tcBorders>
            <w:vAlign w:val="center"/>
            <w:hideMark/>
          </w:tcPr>
          <w:p w14:paraId="7A2CA6B5" w14:textId="77777777" w:rsidR="00ED3E9C" w:rsidRPr="00D24CFB" w:rsidRDefault="00ED3E9C" w:rsidP="000829C3">
            <w:pPr>
              <w:pStyle w:val="tabletext"/>
              <w:jc w:val="right"/>
              <w:rPr>
                <w:color w:val="000000"/>
                <w:sz w:val="19"/>
                <w:szCs w:val="19"/>
                <w:lang w:eastAsia="en-GB"/>
              </w:rPr>
            </w:pPr>
            <w:r w:rsidRPr="00D24CFB">
              <w:rPr>
                <w:color w:val="000000"/>
                <w:sz w:val="19"/>
                <w:szCs w:val="19"/>
                <w:lang w:eastAsia="en-GB"/>
              </w:rPr>
              <w:t>2,328</w:t>
            </w:r>
          </w:p>
        </w:tc>
      </w:tr>
      <w:tr w:rsidR="00ED3E9C" w:rsidRPr="00D24CFB" w14:paraId="276A25AC" w14:textId="77777777" w:rsidTr="000829C3">
        <w:tc>
          <w:tcPr>
            <w:tcW w:w="2280" w:type="dxa"/>
            <w:tcBorders>
              <w:top w:val="nil"/>
              <w:left w:val="single" w:sz="8" w:space="0" w:color="A6A6A6"/>
              <w:bottom w:val="single" w:sz="8" w:space="0" w:color="A6A6A6"/>
              <w:right w:val="single" w:sz="8" w:space="0" w:color="A6A6A6"/>
            </w:tcBorders>
            <w:shd w:val="clear" w:color="000000" w:fill="D1D6E5"/>
            <w:vAlign w:val="center"/>
            <w:hideMark/>
          </w:tcPr>
          <w:p w14:paraId="2BF8165F" w14:textId="77777777" w:rsidR="00ED3E9C" w:rsidRPr="00D24CFB" w:rsidRDefault="00ED3E9C" w:rsidP="000829C3">
            <w:pPr>
              <w:pStyle w:val="tabletext"/>
              <w:rPr>
                <w:b/>
                <w:bCs/>
                <w:i/>
                <w:iCs/>
                <w:color w:val="000000"/>
                <w:sz w:val="19"/>
                <w:szCs w:val="19"/>
                <w:lang w:eastAsia="en-GB"/>
              </w:rPr>
            </w:pPr>
            <w:r w:rsidRPr="00D24CFB">
              <w:rPr>
                <w:b/>
                <w:bCs/>
                <w:i/>
                <w:iCs/>
                <w:color w:val="000000"/>
                <w:sz w:val="19"/>
                <w:szCs w:val="19"/>
                <w:lang w:eastAsia="en-GB"/>
              </w:rPr>
              <w:t>Total</w:t>
            </w:r>
          </w:p>
        </w:tc>
        <w:tc>
          <w:tcPr>
            <w:tcW w:w="1720" w:type="dxa"/>
            <w:tcBorders>
              <w:top w:val="nil"/>
              <w:left w:val="nil"/>
              <w:bottom w:val="single" w:sz="8" w:space="0" w:color="A6A6A6"/>
              <w:right w:val="single" w:sz="8" w:space="0" w:color="A6A6A6"/>
            </w:tcBorders>
            <w:shd w:val="clear" w:color="000000" w:fill="D1D6E5"/>
            <w:vAlign w:val="center"/>
            <w:hideMark/>
          </w:tcPr>
          <w:p w14:paraId="677F097C" w14:textId="77777777" w:rsidR="00ED3E9C" w:rsidRPr="00D24CFB" w:rsidRDefault="00ED3E9C" w:rsidP="000829C3">
            <w:pPr>
              <w:pStyle w:val="tabletext"/>
              <w:jc w:val="right"/>
              <w:rPr>
                <w:b/>
                <w:bCs/>
                <w:i/>
                <w:iCs/>
                <w:color w:val="000000"/>
                <w:sz w:val="19"/>
                <w:szCs w:val="19"/>
                <w:lang w:eastAsia="en-GB"/>
              </w:rPr>
            </w:pPr>
            <w:r w:rsidRPr="00D24CFB">
              <w:rPr>
                <w:b/>
                <w:bCs/>
                <w:i/>
                <w:iCs/>
                <w:color w:val="000000"/>
                <w:sz w:val="19"/>
                <w:szCs w:val="19"/>
                <w:lang w:eastAsia="en-GB"/>
              </w:rPr>
              <w:t>3,934</w:t>
            </w:r>
          </w:p>
        </w:tc>
        <w:tc>
          <w:tcPr>
            <w:tcW w:w="1580" w:type="dxa"/>
            <w:tcBorders>
              <w:top w:val="nil"/>
              <w:left w:val="nil"/>
              <w:bottom w:val="single" w:sz="8" w:space="0" w:color="A6A6A6"/>
              <w:right w:val="single" w:sz="8" w:space="0" w:color="A6A6A6"/>
            </w:tcBorders>
            <w:shd w:val="clear" w:color="000000" w:fill="D1D6E5"/>
            <w:vAlign w:val="center"/>
            <w:hideMark/>
          </w:tcPr>
          <w:p w14:paraId="0F9BC51F" w14:textId="77777777" w:rsidR="00ED3E9C" w:rsidRPr="00D24CFB" w:rsidRDefault="00ED3E9C" w:rsidP="000829C3">
            <w:pPr>
              <w:pStyle w:val="tabletext"/>
              <w:jc w:val="right"/>
              <w:rPr>
                <w:b/>
                <w:bCs/>
                <w:i/>
                <w:iCs/>
                <w:color w:val="000000"/>
                <w:sz w:val="19"/>
                <w:szCs w:val="19"/>
                <w:lang w:eastAsia="en-GB"/>
              </w:rPr>
            </w:pPr>
            <w:r w:rsidRPr="00D24CFB">
              <w:rPr>
                <w:b/>
                <w:bCs/>
                <w:i/>
                <w:iCs/>
                <w:color w:val="000000"/>
                <w:sz w:val="19"/>
                <w:szCs w:val="19"/>
                <w:lang w:eastAsia="en-GB"/>
              </w:rPr>
              <w:t>2,896</w:t>
            </w:r>
          </w:p>
        </w:tc>
        <w:tc>
          <w:tcPr>
            <w:tcW w:w="1760" w:type="dxa"/>
            <w:tcBorders>
              <w:top w:val="nil"/>
              <w:left w:val="nil"/>
              <w:bottom w:val="single" w:sz="8" w:space="0" w:color="A6A6A6"/>
              <w:right w:val="single" w:sz="8" w:space="0" w:color="A6A6A6"/>
            </w:tcBorders>
            <w:shd w:val="clear" w:color="000000" w:fill="D1D6E5"/>
            <w:vAlign w:val="center"/>
            <w:hideMark/>
          </w:tcPr>
          <w:p w14:paraId="65E5FF64" w14:textId="77777777" w:rsidR="00ED3E9C" w:rsidRPr="00D24CFB" w:rsidRDefault="00ED3E9C" w:rsidP="000829C3">
            <w:pPr>
              <w:pStyle w:val="tabletext"/>
              <w:jc w:val="right"/>
              <w:rPr>
                <w:b/>
                <w:bCs/>
                <w:i/>
                <w:iCs/>
                <w:color w:val="000000"/>
                <w:sz w:val="19"/>
                <w:szCs w:val="19"/>
                <w:lang w:eastAsia="en-GB"/>
              </w:rPr>
            </w:pPr>
            <w:r w:rsidRPr="00D24CFB">
              <w:rPr>
                <w:b/>
                <w:bCs/>
                <w:i/>
                <w:iCs/>
                <w:color w:val="000000"/>
                <w:sz w:val="19"/>
                <w:szCs w:val="19"/>
                <w:lang w:eastAsia="en-GB"/>
              </w:rPr>
              <w:t>2,457</w:t>
            </w:r>
          </w:p>
        </w:tc>
        <w:tc>
          <w:tcPr>
            <w:tcW w:w="1960" w:type="dxa"/>
            <w:tcBorders>
              <w:top w:val="nil"/>
              <w:left w:val="nil"/>
              <w:bottom w:val="single" w:sz="8" w:space="0" w:color="A6A6A6"/>
              <w:right w:val="single" w:sz="8" w:space="0" w:color="A6A6A6"/>
            </w:tcBorders>
            <w:shd w:val="clear" w:color="000000" w:fill="D1D6E5"/>
            <w:vAlign w:val="center"/>
            <w:hideMark/>
          </w:tcPr>
          <w:p w14:paraId="438383F5" w14:textId="77777777" w:rsidR="00ED3E9C" w:rsidRPr="00D24CFB" w:rsidRDefault="00ED3E9C" w:rsidP="000829C3">
            <w:pPr>
              <w:pStyle w:val="tabletext"/>
              <w:jc w:val="right"/>
              <w:rPr>
                <w:b/>
                <w:bCs/>
                <w:i/>
                <w:iCs/>
                <w:color w:val="000000"/>
                <w:sz w:val="19"/>
                <w:szCs w:val="19"/>
                <w:lang w:eastAsia="en-GB"/>
              </w:rPr>
            </w:pPr>
            <w:r w:rsidRPr="00D24CFB">
              <w:rPr>
                <w:b/>
                <w:bCs/>
                <w:i/>
                <w:iCs/>
                <w:color w:val="000000"/>
                <w:sz w:val="19"/>
                <w:szCs w:val="19"/>
                <w:lang w:eastAsia="en-GB"/>
              </w:rPr>
              <w:t>5,353</w:t>
            </w:r>
          </w:p>
        </w:tc>
      </w:tr>
      <w:tr w:rsidR="00ED3E9C" w:rsidRPr="00D24CFB" w14:paraId="21C3ACF1" w14:textId="77777777" w:rsidTr="000829C3">
        <w:tc>
          <w:tcPr>
            <w:tcW w:w="7340" w:type="dxa"/>
            <w:gridSpan w:val="4"/>
            <w:tcBorders>
              <w:top w:val="single" w:sz="8" w:space="0" w:color="A6A6A6"/>
              <w:left w:val="single" w:sz="8" w:space="0" w:color="A6A6A6"/>
              <w:bottom w:val="single" w:sz="8" w:space="0" w:color="A6A6A6"/>
              <w:right w:val="single" w:sz="8" w:space="0" w:color="A6A6A6"/>
            </w:tcBorders>
            <w:shd w:val="clear" w:color="auto" w:fill="E4E7F0"/>
            <w:vAlign w:val="center"/>
            <w:hideMark/>
          </w:tcPr>
          <w:p w14:paraId="2E33FEE4" w14:textId="77777777" w:rsidR="00ED3E9C" w:rsidRPr="00D24CFB" w:rsidRDefault="00ED3E9C" w:rsidP="000829C3">
            <w:pPr>
              <w:pStyle w:val="tabletext"/>
              <w:rPr>
                <w:color w:val="000000"/>
                <w:sz w:val="19"/>
                <w:szCs w:val="19"/>
                <w:lang w:eastAsia="en-GB"/>
              </w:rPr>
            </w:pPr>
            <w:r w:rsidRPr="00D24CFB">
              <w:rPr>
                <w:color w:val="000000"/>
                <w:sz w:val="19"/>
                <w:szCs w:val="19"/>
                <w:lang w:eastAsia="en-GB"/>
              </w:rPr>
              <w:t>Increase from Tendered Cost</w:t>
            </w:r>
          </w:p>
        </w:tc>
        <w:tc>
          <w:tcPr>
            <w:tcW w:w="1960" w:type="dxa"/>
            <w:tcBorders>
              <w:top w:val="nil"/>
              <w:left w:val="nil"/>
              <w:bottom w:val="single" w:sz="8" w:space="0" w:color="A6A6A6"/>
              <w:right w:val="single" w:sz="8" w:space="0" w:color="A6A6A6"/>
            </w:tcBorders>
            <w:shd w:val="clear" w:color="auto" w:fill="E4E7F0"/>
            <w:vAlign w:val="center"/>
            <w:hideMark/>
          </w:tcPr>
          <w:p w14:paraId="1BC64EA4" w14:textId="77777777" w:rsidR="00ED3E9C" w:rsidRPr="00D24CFB" w:rsidRDefault="00ED3E9C" w:rsidP="000829C3">
            <w:pPr>
              <w:pStyle w:val="tabletext"/>
              <w:jc w:val="right"/>
              <w:rPr>
                <w:color w:val="000000"/>
                <w:sz w:val="19"/>
                <w:szCs w:val="19"/>
                <w:lang w:eastAsia="en-GB"/>
              </w:rPr>
            </w:pPr>
            <w:r w:rsidRPr="00D24CFB">
              <w:rPr>
                <w:color w:val="000000"/>
                <w:sz w:val="19"/>
                <w:szCs w:val="19"/>
                <w:lang w:eastAsia="en-GB"/>
              </w:rPr>
              <w:t>1,419</w:t>
            </w:r>
          </w:p>
        </w:tc>
      </w:tr>
      <w:tr w:rsidR="00ED3E9C" w:rsidRPr="00D24CFB" w14:paraId="276EA7F0" w14:textId="77777777" w:rsidTr="000829C3">
        <w:tc>
          <w:tcPr>
            <w:tcW w:w="7340" w:type="dxa"/>
            <w:gridSpan w:val="4"/>
            <w:tcBorders>
              <w:top w:val="single" w:sz="8" w:space="0" w:color="A6A6A6"/>
              <w:left w:val="single" w:sz="8" w:space="0" w:color="A6A6A6"/>
              <w:bottom w:val="single" w:sz="8" w:space="0" w:color="A6A6A6"/>
              <w:right w:val="single" w:sz="8" w:space="0" w:color="A6A6A6"/>
            </w:tcBorders>
            <w:shd w:val="clear" w:color="auto" w:fill="E4E7F0"/>
            <w:vAlign w:val="center"/>
            <w:hideMark/>
          </w:tcPr>
          <w:p w14:paraId="6ACE5857" w14:textId="77777777" w:rsidR="00ED3E9C" w:rsidRPr="00D24CFB" w:rsidRDefault="00ED3E9C" w:rsidP="000829C3">
            <w:pPr>
              <w:pStyle w:val="tabletext"/>
              <w:rPr>
                <w:color w:val="000000"/>
                <w:sz w:val="19"/>
                <w:szCs w:val="19"/>
                <w:lang w:eastAsia="en-GB"/>
              </w:rPr>
            </w:pPr>
            <w:r w:rsidRPr="00D24CFB">
              <w:rPr>
                <w:color w:val="000000"/>
                <w:sz w:val="19"/>
                <w:szCs w:val="19"/>
                <w:lang w:eastAsia="en-GB"/>
              </w:rPr>
              <w:t xml:space="preserve">% Uplift on Tendered Cost </w:t>
            </w:r>
          </w:p>
        </w:tc>
        <w:tc>
          <w:tcPr>
            <w:tcW w:w="1960" w:type="dxa"/>
            <w:tcBorders>
              <w:top w:val="nil"/>
              <w:left w:val="nil"/>
              <w:bottom w:val="single" w:sz="8" w:space="0" w:color="A6A6A6"/>
              <w:right w:val="single" w:sz="8" w:space="0" w:color="A6A6A6"/>
            </w:tcBorders>
            <w:shd w:val="clear" w:color="auto" w:fill="E4E7F0"/>
            <w:vAlign w:val="center"/>
            <w:hideMark/>
          </w:tcPr>
          <w:p w14:paraId="091FE3B1" w14:textId="77777777" w:rsidR="00ED3E9C" w:rsidRPr="00D24CFB" w:rsidRDefault="00ED3E9C" w:rsidP="000829C3">
            <w:pPr>
              <w:pStyle w:val="tabletext"/>
              <w:jc w:val="right"/>
              <w:rPr>
                <w:color w:val="000000"/>
                <w:sz w:val="19"/>
                <w:szCs w:val="19"/>
                <w:lang w:eastAsia="en-GB"/>
              </w:rPr>
            </w:pPr>
            <w:r w:rsidRPr="00D24CFB">
              <w:rPr>
                <w:color w:val="000000"/>
                <w:sz w:val="19"/>
                <w:szCs w:val="19"/>
                <w:lang w:eastAsia="en-GB"/>
              </w:rPr>
              <w:t>36%</w:t>
            </w:r>
          </w:p>
        </w:tc>
      </w:tr>
    </w:tbl>
    <w:p w14:paraId="5B2D6339" w14:textId="77777777" w:rsidR="00ED3E9C" w:rsidRPr="005F64D0" w:rsidRDefault="00ED3E9C" w:rsidP="00ED3E9C">
      <w:pPr>
        <w:spacing w:after="0"/>
        <w:rPr>
          <w:rFonts w:eastAsia="Times New Roman"/>
        </w:rPr>
      </w:pPr>
    </w:p>
    <w:p w14:paraId="77447505" w14:textId="77777777" w:rsidR="00ED3E9C" w:rsidRPr="005F64D0" w:rsidRDefault="00ED3E9C" w:rsidP="00ED3E9C">
      <w:pPr>
        <w:rPr>
          <w:rFonts w:eastAsia="Times New Roman"/>
        </w:rPr>
      </w:pPr>
      <w:r>
        <w:rPr>
          <w:rFonts w:eastAsia="Times New Roman"/>
        </w:rPr>
        <w:t xml:space="preserve">These costs only cover the MTX costs for each of the phases. </w:t>
      </w:r>
      <w:r w:rsidRPr="005F64D0">
        <w:rPr>
          <w:rFonts w:eastAsia="Times New Roman"/>
        </w:rPr>
        <w:t xml:space="preserve">The increase is within procurement and framework permitted allowances and has been fully scrutinised by the programme cost advisors, Mott MacDonald.  </w:t>
      </w:r>
    </w:p>
    <w:p w14:paraId="184A2F90" w14:textId="77777777" w:rsidR="00ED3E9C" w:rsidRPr="005F64D0" w:rsidRDefault="00ED3E9C" w:rsidP="00ED3E9C">
      <w:pPr>
        <w:rPr>
          <w:rFonts w:eastAsia="Times New Roman"/>
        </w:rPr>
      </w:pPr>
      <w:r w:rsidRPr="005F64D0">
        <w:rPr>
          <w:rFonts w:eastAsia="Times New Roman"/>
        </w:rPr>
        <w:t xml:space="preserve">For this Phase 2 OBC, the above table sets out the main contractor fees from resumption of duties in September to FBC approval covering completion of RIBA stages 2, 3 and 4.   The total costs are as set out in the table below and include internal HB and external consultant costs.  </w:t>
      </w:r>
    </w:p>
    <w:p w14:paraId="710F6CC5" w14:textId="0CB2AD7D" w:rsidR="00ED3E9C" w:rsidRDefault="00ED3E9C" w:rsidP="00ED3E9C">
      <w:pPr>
        <w:pStyle w:val="Caption"/>
      </w:pPr>
      <w:bookmarkStart w:id="228" w:name="_Toc213865303"/>
      <w:r>
        <w:t xml:space="preserve">Table </w:t>
      </w:r>
      <w:r>
        <w:fldChar w:fldCharType="begin"/>
      </w:r>
      <w:r>
        <w:instrText xml:space="preserve"> SEQ Table \* ARABIC </w:instrText>
      </w:r>
      <w:r>
        <w:fldChar w:fldCharType="separate"/>
      </w:r>
      <w:r w:rsidR="004A33ED">
        <w:t>23</w:t>
      </w:r>
      <w:r>
        <w:fldChar w:fldCharType="end"/>
      </w:r>
      <w:r>
        <w:t xml:space="preserve"> </w:t>
      </w:r>
      <w:r w:rsidR="00FB5AF7">
        <w:t>–</w:t>
      </w:r>
      <w:r>
        <w:t xml:space="preserve"> </w:t>
      </w:r>
      <w:r w:rsidR="001E4E48">
        <w:t>Total costs</w:t>
      </w:r>
      <w:bookmarkEnd w:id="228"/>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2397"/>
        <w:gridCol w:w="2398"/>
        <w:gridCol w:w="2399"/>
        <w:gridCol w:w="2627"/>
      </w:tblGrid>
      <w:tr w:rsidR="00313BB7" w:rsidRPr="00313BB7" w14:paraId="6E3F9C2D" w14:textId="77777777" w:rsidTr="00944FDB">
        <w:trPr>
          <w:tblHeader/>
        </w:trPr>
        <w:tc>
          <w:tcPr>
            <w:tcW w:w="2397" w:type="dxa"/>
            <w:shd w:val="clear" w:color="auto" w:fill="374264"/>
            <w:vAlign w:val="center"/>
          </w:tcPr>
          <w:p w14:paraId="7AED38BE" w14:textId="77777777" w:rsidR="00FB5AF7" w:rsidRPr="00313BB7" w:rsidRDefault="00FB5AF7" w:rsidP="00D24CFB">
            <w:pPr>
              <w:pStyle w:val="tabletext"/>
              <w:spacing w:before="40" w:after="40"/>
              <w:rPr>
                <w:b/>
                <w:bCs/>
                <w:color w:val="FFFFFF" w:themeColor="background1"/>
              </w:rPr>
            </w:pPr>
            <w:r w:rsidRPr="00313BB7">
              <w:rPr>
                <w:b/>
                <w:bCs/>
                <w:color w:val="FFFFFF" w:themeColor="background1"/>
              </w:rPr>
              <w:t>Cost element</w:t>
            </w:r>
          </w:p>
        </w:tc>
        <w:tc>
          <w:tcPr>
            <w:tcW w:w="2398" w:type="dxa"/>
            <w:shd w:val="clear" w:color="auto" w:fill="374264"/>
            <w:vAlign w:val="center"/>
          </w:tcPr>
          <w:p w14:paraId="79A6C708" w14:textId="77777777" w:rsidR="00FB5AF7" w:rsidRPr="00313BB7" w:rsidRDefault="00FB5AF7" w:rsidP="00D24CFB">
            <w:pPr>
              <w:pStyle w:val="tabletext"/>
              <w:spacing w:before="40" w:after="40"/>
              <w:jc w:val="right"/>
              <w:rPr>
                <w:b/>
                <w:bCs/>
                <w:color w:val="FFFFFF" w:themeColor="background1"/>
              </w:rPr>
            </w:pPr>
            <w:r w:rsidRPr="00313BB7">
              <w:rPr>
                <w:b/>
                <w:bCs/>
                <w:color w:val="FFFFFF" w:themeColor="background1"/>
              </w:rPr>
              <w:t>OBC</w:t>
            </w:r>
          </w:p>
          <w:p w14:paraId="0E2E8169" w14:textId="77777777" w:rsidR="00FB5AF7" w:rsidRPr="00313BB7" w:rsidRDefault="00FB5AF7" w:rsidP="00D24CFB">
            <w:pPr>
              <w:pStyle w:val="tabletext"/>
              <w:spacing w:before="40" w:after="40"/>
              <w:jc w:val="right"/>
              <w:rPr>
                <w:b/>
                <w:bCs/>
                <w:color w:val="FFFFFF" w:themeColor="background1"/>
              </w:rPr>
            </w:pPr>
            <w:r w:rsidRPr="00313BB7">
              <w:rPr>
                <w:b/>
                <w:bCs/>
                <w:color w:val="FFFFFF" w:themeColor="background1"/>
              </w:rPr>
              <w:t>£000</w:t>
            </w:r>
          </w:p>
        </w:tc>
        <w:tc>
          <w:tcPr>
            <w:tcW w:w="2399" w:type="dxa"/>
            <w:shd w:val="clear" w:color="auto" w:fill="374264"/>
            <w:vAlign w:val="center"/>
          </w:tcPr>
          <w:p w14:paraId="2927443B" w14:textId="77777777" w:rsidR="00FB5AF7" w:rsidRPr="00313BB7" w:rsidRDefault="00FB5AF7" w:rsidP="00D24CFB">
            <w:pPr>
              <w:pStyle w:val="tabletext"/>
              <w:spacing w:before="40" w:after="40"/>
              <w:jc w:val="right"/>
              <w:rPr>
                <w:b/>
                <w:bCs/>
                <w:color w:val="FFFFFF" w:themeColor="background1"/>
              </w:rPr>
            </w:pPr>
            <w:r w:rsidRPr="00313BB7">
              <w:rPr>
                <w:b/>
                <w:bCs/>
                <w:color w:val="FFFFFF" w:themeColor="background1"/>
              </w:rPr>
              <w:t>FBC</w:t>
            </w:r>
          </w:p>
          <w:p w14:paraId="62714FEB" w14:textId="77777777" w:rsidR="00FB5AF7" w:rsidRPr="00313BB7" w:rsidRDefault="00FB5AF7" w:rsidP="00D24CFB">
            <w:pPr>
              <w:pStyle w:val="tabletext"/>
              <w:spacing w:before="40" w:after="40"/>
              <w:jc w:val="right"/>
              <w:rPr>
                <w:b/>
                <w:bCs/>
                <w:color w:val="FFFFFF" w:themeColor="background1"/>
              </w:rPr>
            </w:pPr>
            <w:r w:rsidRPr="00313BB7">
              <w:rPr>
                <w:b/>
                <w:bCs/>
                <w:color w:val="FFFFFF" w:themeColor="background1"/>
              </w:rPr>
              <w:t>£000</w:t>
            </w:r>
          </w:p>
        </w:tc>
        <w:tc>
          <w:tcPr>
            <w:tcW w:w="2627" w:type="dxa"/>
            <w:shd w:val="clear" w:color="auto" w:fill="374264"/>
            <w:vAlign w:val="center"/>
          </w:tcPr>
          <w:p w14:paraId="3013C4F6" w14:textId="77777777" w:rsidR="00FB5AF7" w:rsidRPr="00313BB7" w:rsidRDefault="00FB5AF7" w:rsidP="00D24CFB">
            <w:pPr>
              <w:pStyle w:val="tabletext"/>
              <w:spacing w:before="40" w:after="40"/>
              <w:jc w:val="right"/>
              <w:rPr>
                <w:b/>
                <w:bCs/>
                <w:color w:val="FFFFFF" w:themeColor="background1"/>
              </w:rPr>
            </w:pPr>
            <w:r w:rsidRPr="00313BB7">
              <w:rPr>
                <w:b/>
                <w:bCs/>
                <w:color w:val="FFFFFF" w:themeColor="background1"/>
              </w:rPr>
              <w:t>Total Phase 2 PSC</w:t>
            </w:r>
          </w:p>
          <w:p w14:paraId="0177DC00" w14:textId="77777777" w:rsidR="00FB5AF7" w:rsidRPr="00313BB7" w:rsidRDefault="00FB5AF7" w:rsidP="00D24CFB">
            <w:pPr>
              <w:pStyle w:val="tabletext"/>
              <w:spacing w:before="40" w:after="40"/>
              <w:jc w:val="right"/>
              <w:rPr>
                <w:b/>
                <w:bCs/>
                <w:color w:val="FFFFFF" w:themeColor="background1"/>
              </w:rPr>
            </w:pPr>
            <w:r w:rsidRPr="00313BB7">
              <w:rPr>
                <w:b/>
                <w:bCs/>
                <w:color w:val="FFFFFF" w:themeColor="background1"/>
              </w:rPr>
              <w:t>£000</w:t>
            </w:r>
          </w:p>
        </w:tc>
      </w:tr>
      <w:tr w:rsidR="00313BB7" w:rsidRPr="00132394" w14:paraId="10A0F04C" w14:textId="77777777" w:rsidTr="00944FDB">
        <w:tc>
          <w:tcPr>
            <w:tcW w:w="2397" w:type="dxa"/>
            <w:vAlign w:val="center"/>
          </w:tcPr>
          <w:p w14:paraId="195762B0" w14:textId="77777777" w:rsidR="00FB5AF7" w:rsidRPr="00132394" w:rsidRDefault="00FB5AF7" w:rsidP="00D24CFB">
            <w:pPr>
              <w:pStyle w:val="tabletext"/>
              <w:spacing w:before="40" w:after="40"/>
            </w:pPr>
            <w:r w:rsidRPr="00132394">
              <w:t>CTM Fees</w:t>
            </w:r>
          </w:p>
        </w:tc>
        <w:tc>
          <w:tcPr>
            <w:tcW w:w="2398" w:type="dxa"/>
            <w:vAlign w:val="center"/>
          </w:tcPr>
          <w:p w14:paraId="4871AE03" w14:textId="77777777" w:rsidR="00FB5AF7" w:rsidRPr="00132394" w:rsidRDefault="00FB5AF7" w:rsidP="00D24CFB">
            <w:pPr>
              <w:pStyle w:val="tabletext"/>
              <w:spacing w:before="40" w:after="40"/>
              <w:jc w:val="right"/>
            </w:pPr>
            <w:r w:rsidRPr="00132394">
              <w:t>228</w:t>
            </w:r>
          </w:p>
        </w:tc>
        <w:tc>
          <w:tcPr>
            <w:tcW w:w="2399" w:type="dxa"/>
            <w:vAlign w:val="center"/>
          </w:tcPr>
          <w:p w14:paraId="4C2D8C25" w14:textId="77777777" w:rsidR="00FB5AF7" w:rsidRPr="00132394" w:rsidRDefault="00FB5AF7" w:rsidP="00D24CFB">
            <w:pPr>
              <w:pStyle w:val="tabletext"/>
              <w:spacing w:before="40" w:after="40"/>
              <w:jc w:val="right"/>
            </w:pPr>
            <w:r w:rsidRPr="00132394">
              <w:t>340</w:t>
            </w:r>
          </w:p>
        </w:tc>
        <w:tc>
          <w:tcPr>
            <w:tcW w:w="2627" w:type="dxa"/>
            <w:vAlign w:val="center"/>
          </w:tcPr>
          <w:p w14:paraId="0A66463B" w14:textId="77777777" w:rsidR="00FB5AF7" w:rsidRPr="00132394" w:rsidRDefault="00FB5AF7" w:rsidP="00D24CFB">
            <w:pPr>
              <w:pStyle w:val="tabletext"/>
              <w:spacing w:before="40" w:after="40"/>
              <w:jc w:val="right"/>
            </w:pPr>
            <w:r w:rsidRPr="00132394">
              <w:t>568</w:t>
            </w:r>
          </w:p>
        </w:tc>
      </w:tr>
      <w:tr w:rsidR="00313BB7" w:rsidRPr="00132394" w14:paraId="4A9E5257" w14:textId="77777777" w:rsidTr="00944FDB">
        <w:tc>
          <w:tcPr>
            <w:tcW w:w="2397" w:type="dxa"/>
            <w:vAlign w:val="center"/>
          </w:tcPr>
          <w:p w14:paraId="092F4331" w14:textId="77777777" w:rsidR="00FB5AF7" w:rsidRPr="00132394" w:rsidRDefault="00FB5AF7" w:rsidP="00D24CFB">
            <w:pPr>
              <w:pStyle w:val="tabletext"/>
              <w:spacing w:before="40" w:after="40"/>
            </w:pPr>
            <w:r w:rsidRPr="00132394">
              <w:t>MTX</w:t>
            </w:r>
          </w:p>
        </w:tc>
        <w:tc>
          <w:tcPr>
            <w:tcW w:w="2398" w:type="dxa"/>
            <w:vAlign w:val="center"/>
          </w:tcPr>
          <w:p w14:paraId="75316F63" w14:textId="77777777" w:rsidR="00FB5AF7" w:rsidRPr="00132394" w:rsidRDefault="00FB5AF7" w:rsidP="00D24CFB">
            <w:pPr>
              <w:pStyle w:val="tabletext"/>
              <w:spacing w:before="40" w:after="40"/>
              <w:jc w:val="right"/>
            </w:pPr>
            <w:r w:rsidRPr="00132394">
              <w:t>1,534</w:t>
            </w:r>
          </w:p>
        </w:tc>
        <w:tc>
          <w:tcPr>
            <w:tcW w:w="2399" w:type="dxa"/>
            <w:vAlign w:val="center"/>
          </w:tcPr>
          <w:p w14:paraId="048B18D6" w14:textId="77777777" w:rsidR="00FB5AF7" w:rsidRPr="00132394" w:rsidRDefault="00FB5AF7" w:rsidP="00D24CFB">
            <w:pPr>
              <w:pStyle w:val="tabletext"/>
              <w:spacing w:before="40" w:after="40"/>
              <w:jc w:val="right"/>
            </w:pPr>
            <w:r w:rsidRPr="00132394">
              <w:t>924</w:t>
            </w:r>
          </w:p>
        </w:tc>
        <w:tc>
          <w:tcPr>
            <w:tcW w:w="2627" w:type="dxa"/>
            <w:vAlign w:val="center"/>
          </w:tcPr>
          <w:p w14:paraId="6744848F" w14:textId="77777777" w:rsidR="00FB5AF7" w:rsidRPr="00132394" w:rsidRDefault="00FB5AF7" w:rsidP="00D24CFB">
            <w:pPr>
              <w:pStyle w:val="tabletext"/>
              <w:spacing w:before="40" w:after="40"/>
              <w:jc w:val="right"/>
            </w:pPr>
            <w:r w:rsidRPr="00132394">
              <w:rPr>
                <w:b/>
                <w:bCs/>
              </w:rPr>
              <w:t>2,457</w:t>
            </w:r>
          </w:p>
        </w:tc>
      </w:tr>
      <w:tr w:rsidR="00313BB7" w:rsidRPr="00132394" w14:paraId="334D31B9" w14:textId="77777777" w:rsidTr="00944FDB">
        <w:tc>
          <w:tcPr>
            <w:tcW w:w="2397" w:type="dxa"/>
            <w:vAlign w:val="center"/>
          </w:tcPr>
          <w:p w14:paraId="36C9BF21" w14:textId="77777777" w:rsidR="00FB5AF7" w:rsidRPr="00132394" w:rsidRDefault="00FB5AF7" w:rsidP="00D24CFB">
            <w:pPr>
              <w:pStyle w:val="tabletext"/>
              <w:spacing w:before="40" w:after="40"/>
            </w:pPr>
            <w:r w:rsidRPr="00132394">
              <w:t>External Consultant</w:t>
            </w:r>
          </w:p>
        </w:tc>
        <w:tc>
          <w:tcPr>
            <w:tcW w:w="2398" w:type="dxa"/>
            <w:vAlign w:val="center"/>
          </w:tcPr>
          <w:p w14:paraId="74B62190" w14:textId="2312B56B" w:rsidR="00FB5AF7" w:rsidRPr="00132394" w:rsidRDefault="00FB5AF7" w:rsidP="00D24CFB">
            <w:pPr>
              <w:pStyle w:val="tabletext"/>
              <w:spacing w:before="40" w:after="40"/>
              <w:jc w:val="right"/>
            </w:pPr>
            <w:r w:rsidRPr="00132394">
              <w:t>1</w:t>
            </w:r>
            <w:r w:rsidR="00596B57">
              <w:t>25</w:t>
            </w:r>
          </w:p>
        </w:tc>
        <w:tc>
          <w:tcPr>
            <w:tcW w:w="2399" w:type="dxa"/>
            <w:vAlign w:val="center"/>
          </w:tcPr>
          <w:p w14:paraId="0A328395" w14:textId="1FC696AD" w:rsidR="00FB5AF7" w:rsidRPr="00132394" w:rsidRDefault="00596B57" w:rsidP="00D24CFB">
            <w:pPr>
              <w:pStyle w:val="tabletext"/>
              <w:spacing w:before="40" w:after="40"/>
              <w:jc w:val="right"/>
            </w:pPr>
            <w:r>
              <w:t>227</w:t>
            </w:r>
          </w:p>
        </w:tc>
        <w:tc>
          <w:tcPr>
            <w:tcW w:w="2627" w:type="dxa"/>
            <w:vAlign w:val="center"/>
          </w:tcPr>
          <w:p w14:paraId="4EEE9EC1" w14:textId="208F254B" w:rsidR="00FB5AF7" w:rsidRPr="00132394" w:rsidRDefault="00596B57" w:rsidP="00D24CFB">
            <w:pPr>
              <w:pStyle w:val="tabletext"/>
              <w:spacing w:before="40" w:after="40"/>
              <w:jc w:val="right"/>
            </w:pPr>
            <w:r>
              <w:t>352</w:t>
            </w:r>
          </w:p>
        </w:tc>
      </w:tr>
      <w:tr w:rsidR="00313BB7" w:rsidRPr="00132394" w14:paraId="22AEF5B1" w14:textId="77777777" w:rsidTr="00944FDB">
        <w:tc>
          <w:tcPr>
            <w:tcW w:w="2397" w:type="dxa"/>
            <w:vAlign w:val="center"/>
          </w:tcPr>
          <w:p w14:paraId="3379575B" w14:textId="77777777" w:rsidR="00FB5AF7" w:rsidRPr="00132394" w:rsidRDefault="00FB5AF7" w:rsidP="00D24CFB">
            <w:pPr>
              <w:pStyle w:val="tabletext"/>
              <w:spacing w:before="40" w:after="40"/>
            </w:pPr>
            <w:r w:rsidRPr="00132394">
              <w:t>Surveys &amp; Planning</w:t>
            </w:r>
          </w:p>
        </w:tc>
        <w:tc>
          <w:tcPr>
            <w:tcW w:w="2398" w:type="dxa"/>
            <w:vAlign w:val="center"/>
          </w:tcPr>
          <w:p w14:paraId="51190D08" w14:textId="2E967BCC" w:rsidR="00FB5AF7" w:rsidRPr="00132394" w:rsidRDefault="00596B57" w:rsidP="00D24CFB">
            <w:pPr>
              <w:pStyle w:val="tabletext"/>
              <w:spacing w:before="40" w:after="40"/>
              <w:jc w:val="right"/>
            </w:pPr>
            <w:r>
              <w:t>17</w:t>
            </w:r>
          </w:p>
        </w:tc>
        <w:tc>
          <w:tcPr>
            <w:tcW w:w="2399" w:type="dxa"/>
            <w:vAlign w:val="center"/>
          </w:tcPr>
          <w:p w14:paraId="4915D6FB" w14:textId="5E181ADF" w:rsidR="00FB5AF7" w:rsidRPr="00132394" w:rsidRDefault="00FB5AF7" w:rsidP="00D24CFB">
            <w:pPr>
              <w:pStyle w:val="tabletext"/>
              <w:spacing w:before="40" w:after="40"/>
              <w:jc w:val="right"/>
            </w:pPr>
            <w:r w:rsidRPr="00132394">
              <w:t>1</w:t>
            </w:r>
            <w:r w:rsidR="00596B57">
              <w:t>49</w:t>
            </w:r>
          </w:p>
        </w:tc>
        <w:tc>
          <w:tcPr>
            <w:tcW w:w="2627" w:type="dxa"/>
            <w:vAlign w:val="center"/>
          </w:tcPr>
          <w:p w14:paraId="65E52450" w14:textId="5DCBCE14" w:rsidR="00FB5AF7" w:rsidRPr="00132394" w:rsidRDefault="00FB5AF7" w:rsidP="00D24CFB">
            <w:pPr>
              <w:pStyle w:val="tabletext"/>
              <w:spacing w:before="40" w:after="40"/>
              <w:jc w:val="right"/>
            </w:pPr>
            <w:r w:rsidRPr="00132394">
              <w:rPr>
                <w:b/>
                <w:bCs/>
              </w:rPr>
              <w:t>1</w:t>
            </w:r>
            <w:r w:rsidR="00596B57">
              <w:rPr>
                <w:b/>
                <w:bCs/>
              </w:rPr>
              <w:t>66</w:t>
            </w:r>
          </w:p>
        </w:tc>
      </w:tr>
      <w:tr w:rsidR="00313BB7" w:rsidRPr="00132394" w14:paraId="7754BF00" w14:textId="77777777" w:rsidTr="00944FDB">
        <w:tc>
          <w:tcPr>
            <w:tcW w:w="2397" w:type="dxa"/>
            <w:vAlign w:val="center"/>
          </w:tcPr>
          <w:p w14:paraId="2D145EF8" w14:textId="77777777" w:rsidR="00FB5AF7" w:rsidRPr="00132394" w:rsidRDefault="00FB5AF7" w:rsidP="00D24CFB">
            <w:pPr>
              <w:pStyle w:val="tabletext"/>
              <w:spacing w:before="40" w:after="40"/>
            </w:pPr>
            <w:r w:rsidRPr="00132394">
              <w:t>Risk</w:t>
            </w:r>
          </w:p>
        </w:tc>
        <w:tc>
          <w:tcPr>
            <w:tcW w:w="2398" w:type="dxa"/>
            <w:vAlign w:val="center"/>
          </w:tcPr>
          <w:p w14:paraId="018C1781" w14:textId="77777777" w:rsidR="00FB5AF7" w:rsidRPr="00132394" w:rsidRDefault="00FB5AF7" w:rsidP="00D24CFB">
            <w:pPr>
              <w:pStyle w:val="tabletext"/>
              <w:spacing w:before="40" w:after="40"/>
              <w:jc w:val="right"/>
            </w:pPr>
            <w:r w:rsidRPr="00132394">
              <w:t>31</w:t>
            </w:r>
          </w:p>
        </w:tc>
        <w:tc>
          <w:tcPr>
            <w:tcW w:w="2399" w:type="dxa"/>
            <w:vAlign w:val="center"/>
          </w:tcPr>
          <w:p w14:paraId="766E674F" w14:textId="77777777" w:rsidR="00FB5AF7" w:rsidRPr="00132394" w:rsidRDefault="00FB5AF7" w:rsidP="00D24CFB">
            <w:pPr>
              <w:pStyle w:val="tabletext"/>
              <w:spacing w:before="40" w:after="40"/>
              <w:jc w:val="right"/>
            </w:pPr>
            <w:r w:rsidRPr="00132394">
              <w:t>29</w:t>
            </w:r>
          </w:p>
        </w:tc>
        <w:tc>
          <w:tcPr>
            <w:tcW w:w="2627" w:type="dxa"/>
            <w:vAlign w:val="center"/>
          </w:tcPr>
          <w:p w14:paraId="047E2B6E" w14:textId="77777777" w:rsidR="00FB5AF7" w:rsidRPr="00132394" w:rsidRDefault="00FB5AF7" w:rsidP="00D24CFB">
            <w:pPr>
              <w:pStyle w:val="tabletext"/>
              <w:spacing w:before="40" w:after="40"/>
              <w:jc w:val="right"/>
            </w:pPr>
            <w:r w:rsidRPr="00132394">
              <w:t>60</w:t>
            </w:r>
          </w:p>
        </w:tc>
      </w:tr>
      <w:tr w:rsidR="00313BB7" w:rsidRPr="001E4E48" w14:paraId="658EA782" w14:textId="77777777" w:rsidTr="00944FDB">
        <w:tc>
          <w:tcPr>
            <w:tcW w:w="2397" w:type="dxa"/>
            <w:shd w:val="clear" w:color="auto" w:fill="BDD5E6"/>
            <w:vAlign w:val="center"/>
          </w:tcPr>
          <w:p w14:paraId="3053915E" w14:textId="77777777" w:rsidR="00FB5AF7" w:rsidRPr="001E4E48" w:rsidRDefault="00FB5AF7" w:rsidP="00D24CFB">
            <w:pPr>
              <w:pStyle w:val="tabletext"/>
              <w:spacing w:before="40" w:after="40"/>
              <w:rPr>
                <w:b/>
                <w:bCs/>
                <w:i/>
                <w:iCs/>
              </w:rPr>
            </w:pPr>
            <w:r w:rsidRPr="001E4E48">
              <w:rPr>
                <w:b/>
                <w:bCs/>
                <w:i/>
                <w:iCs/>
              </w:rPr>
              <w:t>Total</w:t>
            </w:r>
          </w:p>
        </w:tc>
        <w:tc>
          <w:tcPr>
            <w:tcW w:w="2398" w:type="dxa"/>
            <w:shd w:val="clear" w:color="auto" w:fill="BDD5E6"/>
            <w:vAlign w:val="center"/>
          </w:tcPr>
          <w:p w14:paraId="10FC8670" w14:textId="77777777" w:rsidR="00FB5AF7" w:rsidRPr="001E4E48" w:rsidRDefault="00FB5AF7" w:rsidP="00D24CFB">
            <w:pPr>
              <w:pStyle w:val="tabletext"/>
              <w:spacing w:before="40" w:after="40"/>
              <w:jc w:val="right"/>
              <w:rPr>
                <w:b/>
                <w:bCs/>
                <w:i/>
                <w:iCs/>
              </w:rPr>
            </w:pPr>
            <w:r w:rsidRPr="001E4E48">
              <w:rPr>
                <w:b/>
                <w:bCs/>
                <w:i/>
                <w:iCs/>
              </w:rPr>
              <w:t>1,934</w:t>
            </w:r>
          </w:p>
        </w:tc>
        <w:tc>
          <w:tcPr>
            <w:tcW w:w="2399" w:type="dxa"/>
            <w:shd w:val="clear" w:color="auto" w:fill="BDD5E6"/>
            <w:vAlign w:val="center"/>
          </w:tcPr>
          <w:p w14:paraId="42BE2E82" w14:textId="77777777" w:rsidR="00FB5AF7" w:rsidRPr="001E4E48" w:rsidRDefault="00FB5AF7" w:rsidP="00D24CFB">
            <w:pPr>
              <w:pStyle w:val="tabletext"/>
              <w:spacing w:before="40" w:after="40"/>
              <w:jc w:val="right"/>
              <w:rPr>
                <w:b/>
                <w:bCs/>
                <w:i/>
                <w:iCs/>
              </w:rPr>
            </w:pPr>
            <w:r w:rsidRPr="001E4E48">
              <w:rPr>
                <w:b/>
                <w:bCs/>
                <w:i/>
                <w:iCs/>
              </w:rPr>
              <w:t>1,669</w:t>
            </w:r>
          </w:p>
        </w:tc>
        <w:tc>
          <w:tcPr>
            <w:tcW w:w="2627" w:type="dxa"/>
            <w:shd w:val="clear" w:color="auto" w:fill="BDD5E6"/>
            <w:vAlign w:val="center"/>
          </w:tcPr>
          <w:p w14:paraId="150B176F" w14:textId="77777777" w:rsidR="00FB5AF7" w:rsidRPr="001E4E48" w:rsidRDefault="00FB5AF7" w:rsidP="00D24CFB">
            <w:pPr>
              <w:pStyle w:val="tabletext"/>
              <w:spacing w:before="40" w:after="40"/>
              <w:jc w:val="right"/>
              <w:rPr>
                <w:b/>
                <w:bCs/>
                <w:i/>
                <w:iCs/>
              </w:rPr>
            </w:pPr>
            <w:r w:rsidRPr="001E4E48">
              <w:rPr>
                <w:b/>
                <w:bCs/>
                <w:i/>
                <w:iCs/>
              </w:rPr>
              <w:t>3,603</w:t>
            </w:r>
          </w:p>
        </w:tc>
      </w:tr>
      <w:tr w:rsidR="00313BB7" w:rsidRPr="00132394" w14:paraId="5319C664" w14:textId="77777777" w:rsidTr="00944FDB">
        <w:tc>
          <w:tcPr>
            <w:tcW w:w="2397" w:type="dxa"/>
            <w:vAlign w:val="center"/>
          </w:tcPr>
          <w:p w14:paraId="2CBD0A2F" w14:textId="77777777" w:rsidR="00FB5AF7" w:rsidRPr="00132394" w:rsidRDefault="00FB5AF7" w:rsidP="00D24CFB">
            <w:pPr>
              <w:pStyle w:val="tabletext"/>
              <w:spacing w:before="40" w:after="40"/>
            </w:pPr>
            <w:r w:rsidRPr="00132394">
              <w:t>Funded</w:t>
            </w:r>
          </w:p>
        </w:tc>
        <w:tc>
          <w:tcPr>
            <w:tcW w:w="2398" w:type="dxa"/>
            <w:vAlign w:val="center"/>
          </w:tcPr>
          <w:p w14:paraId="6B3C6C63" w14:textId="77777777" w:rsidR="00FB5AF7" w:rsidRPr="00132394" w:rsidRDefault="00FB5AF7" w:rsidP="00D24CFB">
            <w:pPr>
              <w:pStyle w:val="tabletext"/>
              <w:spacing w:before="40" w:after="40"/>
              <w:jc w:val="right"/>
            </w:pPr>
            <w:r w:rsidRPr="00132394">
              <w:t>-1,934</w:t>
            </w:r>
          </w:p>
        </w:tc>
        <w:tc>
          <w:tcPr>
            <w:tcW w:w="2399" w:type="dxa"/>
            <w:vAlign w:val="center"/>
          </w:tcPr>
          <w:p w14:paraId="0816FE77" w14:textId="77777777" w:rsidR="00FB5AF7" w:rsidRPr="00132394" w:rsidRDefault="00FB5AF7" w:rsidP="00D24CFB">
            <w:pPr>
              <w:pStyle w:val="tabletext"/>
              <w:spacing w:before="40" w:after="40"/>
              <w:jc w:val="right"/>
            </w:pPr>
            <w:r w:rsidRPr="00132394">
              <w:t>0</w:t>
            </w:r>
          </w:p>
        </w:tc>
        <w:tc>
          <w:tcPr>
            <w:tcW w:w="2627" w:type="dxa"/>
            <w:vAlign w:val="center"/>
          </w:tcPr>
          <w:p w14:paraId="752CCF4D" w14:textId="77777777" w:rsidR="00FB5AF7" w:rsidRPr="00132394" w:rsidRDefault="00FB5AF7" w:rsidP="00D24CFB">
            <w:pPr>
              <w:pStyle w:val="tabletext"/>
              <w:spacing w:before="40" w:after="40"/>
              <w:jc w:val="right"/>
            </w:pPr>
            <w:r w:rsidRPr="00132394">
              <w:t>-1,934</w:t>
            </w:r>
          </w:p>
        </w:tc>
      </w:tr>
      <w:tr w:rsidR="00313BB7" w:rsidRPr="00D04886" w14:paraId="0B16F7E6" w14:textId="77777777" w:rsidTr="00944FDB">
        <w:tc>
          <w:tcPr>
            <w:tcW w:w="2397" w:type="dxa"/>
            <w:shd w:val="clear" w:color="auto" w:fill="E6F0F6"/>
            <w:vAlign w:val="center"/>
          </w:tcPr>
          <w:p w14:paraId="1EDCC944" w14:textId="77777777" w:rsidR="00FB5AF7" w:rsidRPr="00D04886" w:rsidRDefault="00FB5AF7" w:rsidP="00D24CFB">
            <w:pPr>
              <w:pStyle w:val="tabletext"/>
              <w:spacing w:before="40" w:after="40"/>
              <w:rPr>
                <w:b/>
                <w:bCs/>
              </w:rPr>
            </w:pPr>
            <w:r w:rsidRPr="00D04886">
              <w:rPr>
                <w:b/>
                <w:bCs/>
              </w:rPr>
              <w:t>Awaiting Funding</w:t>
            </w:r>
          </w:p>
        </w:tc>
        <w:tc>
          <w:tcPr>
            <w:tcW w:w="2398" w:type="dxa"/>
            <w:shd w:val="clear" w:color="auto" w:fill="E6F0F6"/>
            <w:vAlign w:val="center"/>
          </w:tcPr>
          <w:p w14:paraId="1721EE80" w14:textId="77777777" w:rsidR="00FB5AF7" w:rsidRPr="00D04886" w:rsidRDefault="00FB5AF7" w:rsidP="00D24CFB">
            <w:pPr>
              <w:pStyle w:val="tabletext"/>
              <w:spacing w:before="40" w:after="40"/>
              <w:jc w:val="right"/>
              <w:rPr>
                <w:b/>
                <w:bCs/>
              </w:rPr>
            </w:pPr>
            <w:r w:rsidRPr="00D04886">
              <w:rPr>
                <w:b/>
                <w:bCs/>
              </w:rPr>
              <w:t>0</w:t>
            </w:r>
          </w:p>
        </w:tc>
        <w:tc>
          <w:tcPr>
            <w:tcW w:w="2399" w:type="dxa"/>
            <w:shd w:val="clear" w:color="auto" w:fill="E6F0F6"/>
            <w:vAlign w:val="center"/>
          </w:tcPr>
          <w:p w14:paraId="0BC77234" w14:textId="77777777" w:rsidR="00FB5AF7" w:rsidRPr="00D04886" w:rsidRDefault="00FB5AF7" w:rsidP="00D24CFB">
            <w:pPr>
              <w:pStyle w:val="tabletext"/>
              <w:spacing w:before="40" w:after="40"/>
              <w:jc w:val="right"/>
              <w:rPr>
                <w:b/>
                <w:bCs/>
              </w:rPr>
            </w:pPr>
            <w:r w:rsidRPr="00D04886">
              <w:rPr>
                <w:b/>
                <w:bCs/>
              </w:rPr>
              <w:t>-1,669</w:t>
            </w:r>
          </w:p>
        </w:tc>
        <w:tc>
          <w:tcPr>
            <w:tcW w:w="2627" w:type="dxa"/>
            <w:shd w:val="clear" w:color="auto" w:fill="E6F0F6"/>
            <w:vAlign w:val="center"/>
          </w:tcPr>
          <w:p w14:paraId="7D74F63A" w14:textId="77777777" w:rsidR="00FB5AF7" w:rsidRPr="00D04886" w:rsidRDefault="00FB5AF7" w:rsidP="00D24CFB">
            <w:pPr>
              <w:pStyle w:val="tabletext"/>
              <w:spacing w:before="40" w:after="40"/>
              <w:jc w:val="right"/>
              <w:rPr>
                <w:b/>
                <w:bCs/>
              </w:rPr>
            </w:pPr>
            <w:r w:rsidRPr="00D04886">
              <w:rPr>
                <w:b/>
                <w:bCs/>
              </w:rPr>
              <w:t>-1,669</w:t>
            </w:r>
          </w:p>
        </w:tc>
      </w:tr>
    </w:tbl>
    <w:p w14:paraId="01A33D63" w14:textId="35BF5EE3" w:rsidR="00ED3E9C" w:rsidRPr="005F64D0" w:rsidRDefault="00ED3E9C" w:rsidP="00ED3E9C">
      <w:pPr>
        <w:rPr>
          <w:rFonts w:eastAsia="Times New Roman"/>
        </w:rPr>
      </w:pPr>
      <w:r w:rsidRPr="005F64D0">
        <w:rPr>
          <w:rFonts w:eastAsia="Times New Roman"/>
        </w:rPr>
        <w:lastRenderedPageBreak/>
        <w:t xml:space="preserve">Total design stage fees amount to £3.6M with £1.9M fees to approval of OBC.  </w:t>
      </w:r>
      <w:r>
        <w:rPr>
          <w:rFonts w:eastAsia="Times New Roman"/>
        </w:rPr>
        <w:t>The OBC fees have been approved that t</w:t>
      </w:r>
      <w:r w:rsidRPr="005F64D0">
        <w:rPr>
          <w:rFonts w:eastAsia="Times New Roman"/>
        </w:rPr>
        <w:t xml:space="preserve">he balance of fees will be required on OBC approval to progress the programme to approval of FBC.  These fees will be profiled over </w:t>
      </w:r>
      <w:r w:rsidR="00D04886">
        <w:rPr>
          <w:rFonts w:eastAsia="Times New Roman"/>
        </w:rPr>
        <w:t>two</w:t>
      </w:r>
      <w:r w:rsidRPr="005F64D0">
        <w:rPr>
          <w:rFonts w:eastAsia="Times New Roman"/>
        </w:rPr>
        <w:t xml:space="preserve"> financial years.  If the OBC is approved in January 202</w:t>
      </w:r>
      <w:r>
        <w:rPr>
          <w:rFonts w:eastAsia="Times New Roman"/>
        </w:rPr>
        <w:t>6</w:t>
      </w:r>
      <w:r w:rsidRPr="005F64D0">
        <w:rPr>
          <w:rFonts w:eastAsia="Times New Roman"/>
        </w:rPr>
        <w:t xml:space="preserve">, a further £0.9M fees will be required to progress RIBA 4 design work to end March 2025.  The balance of £0.77M will be required in the 2026/27 financial year. </w:t>
      </w:r>
    </w:p>
    <w:p w14:paraId="6E76C206" w14:textId="77777777" w:rsidR="00ED3E9C" w:rsidRPr="005F64D0" w:rsidRDefault="00ED3E9C" w:rsidP="00ED3E9C">
      <w:pPr>
        <w:pStyle w:val="NoSpacing"/>
      </w:pPr>
    </w:p>
    <w:p w14:paraId="5CFE4FD3" w14:textId="77777777" w:rsidR="00ED3E9C" w:rsidRPr="006B15CE" w:rsidRDefault="00ED3E9C" w:rsidP="00ED3E9C">
      <w:pPr>
        <w:pStyle w:val="Heading2"/>
      </w:pPr>
      <w:bookmarkStart w:id="229" w:name="_Toc213865250"/>
      <w:r w:rsidRPr="006B15CE">
        <w:t>Payment mechanism</w:t>
      </w:r>
      <w:bookmarkEnd w:id="229"/>
      <w:r w:rsidRPr="006B15CE">
        <w:t xml:space="preserve"> </w:t>
      </w:r>
    </w:p>
    <w:p w14:paraId="23492965" w14:textId="77777777" w:rsidR="00ED3E9C" w:rsidRPr="005F64D0" w:rsidRDefault="00ED3E9C" w:rsidP="00ED3E9C">
      <w:pPr>
        <w:rPr>
          <w:rFonts w:eastAsia="Times New Roman"/>
        </w:rPr>
      </w:pPr>
      <w:r w:rsidRPr="005F64D0">
        <w:rPr>
          <w:rFonts w:eastAsia="Times New Roman"/>
        </w:rPr>
        <w:t>As mentioned previously all tendering parties provided costs up to RIBA 4 completion, as per standard NEC professional services contract (PSC). This enables generation of completed design, securing of planning and SAB approvals, with fully tendered build costs. As a design and build arrangement and to proceed to construction, an ECC contract will be required to be entered into on FBC approval.</w:t>
      </w:r>
    </w:p>
    <w:p w14:paraId="48C5D611" w14:textId="77777777" w:rsidR="00ED3E9C" w:rsidRPr="005F64D0" w:rsidRDefault="00ED3E9C" w:rsidP="00ED3E9C">
      <w:pPr>
        <w:rPr>
          <w:rFonts w:eastAsia="Times New Roman"/>
        </w:rPr>
      </w:pPr>
      <w:r w:rsidRPr="005F64D0">
        <w:rPr>
          <w:rFonts w:eastAsia="Times New Roman"/>
        </w:rPr>
        <w:t xml:space="preserve">On contractor appointment CTMUHB requested WG approval to </w:t>
      </w:r>
      <w:proofErr w:type="gramStart"/>
      <w:r w:rsidRPr="005F64D0">
        <w:rPr>
          <w:rFonts w:eastAsia="Times New Roman"/>
        </w:rPr>
        <w:t>enter into</w:t>
      </w:r>
      <w:proofErr w:type="gramEnd"/>
      <w:r w:rsidRPr="005F64D0">
        <w:rPr>
          <w:rFonts w:eastAsia="Times New Roman"/>
        </w:rPr>
        <w:t xml:space="preserve"> the full PSC contract, which would have taken the original scheme up to RIBA 4, at a contractor design fee cost of £3.935m. As mentioned in the sections above this has now been uplifted to cover the additional phase associated with the phased approach and the changed focus for phase 2 of the development. </w:t>
      </w:r>
    </w:p>
    <w:p w14:paraId="68B223DD" w14:textId="0E7A8D59" w:rsidR="00ED3E9C" w:rsidRDefault="00ED3E9C" w:rsidP="00ED3E9C">
      <w:pPr>
        <w:rPr>
          <w:rFonts w:eastAsia="Times New Roman"/>
        </w:rPr>
      </w:pPr>
      <w:r w:rsidRPr="005F64D0">
        <w:rPr>
          <w:rFonts w:eastAsia="Times New Roman"/>
        </w:rPr>
        <w:t xml:space="preserve">To date funding has been approved for the RIBA 2 and 3 design stage of £1.93M. This has enabled the revisit of RIBA </w:t>
      </w:r>
      <w:r w:rsidR="00D04886" w:rsidRPr="005F64D0">
        <w:rPr>
          <w:rFonts w:eastAsia="Times New Roman"/>
        </w:rPr>
        <w:t xml:space="preserve">Stage </w:t>
      </w:r>
      <w:r w:rsidRPr="005F64D0">
        <w:rPr>
          <w:rFonts w:eastAsia="Times New Roman"/>
        </w:rPr>
        <w:t xml:space="preserve">2 for the amended design and work has commenced on RIBA 3 redesign and engineering elements.  </w:t>
      </w:r>
    </w:p>
    <w:p w14:paraId="1516BF63" w14:textId="77777777" w:rsidR="00ED3E9C" w:rsidRPr="005F64D0" w:rsidRDefault="00ED3E9C" w:rsidP="00ED3E9C">
      <w:pPr>
        <w:pStyle w:val="NoSpacing"/>
      </w:pPr>
    </w:p>
    <w:p w14:paraId="24B8F43C" w14:textId="77777777" w:rsidR="00ED3E9C" w:rsidRPr="006B15CE" w:rsidRDefault="00ED3E9C" w:rsidP="00ED3E9C">
      <w:pPr>
        <w:pStyle w:val="Heading2"/>
      </w:pPr>
      <w:bookmarkStart w:id="230" w:name="_Toc213865251"/>
      <w:r w:rsidRPr="006B15CE">
        <w:t>Health Board contracting arrangements</w:t>
      </w:r>
      <w:bookmarkEnd w:id="230"/>
    </w:p>
    <w:p w14:paraId="667E6F45" w14:textId="77777777" w:rsidR="00ED3E9C" w:rsidRPr="005F64D0" w:rsidRDefault="00ED3E9C" w:rsidP="00ED3E9C">
      <w:pPr>
        <w:rPr>
          <w:rFonts w:eastAsia="Times New Roman"/>
        </w:rPr>
      </w:pPr>
      <w:r w:rsidRPr="005F64D0">
        <w:rPr>
          <w:rFonts w:eastAsia="Times New Roman"/>
        </w:rPr>
        <w:t xml:space="preserve">As mentioned above, for the PSC design phase a single contract under NEC 4 has been </w:t>
      </w:r>
      <w:proofErr w:type="gramStart"/>
      <w:r w:rsidRPr="005F64D0">
        <w:rPr>
          <w:rFonts w:eastAsia="Times New Roman"/>
        </w:rPr>
        <w:t>entered into</w:t>
      </w:r>
      <w:proofErr w:type="gramEnd"/>
      <w:r w:rsidRPr="005F64D0">
        <w:rPr>
          <w:rFonts w:eastAsia="Times New Roman"/>
        </w:rPr>
        <w:t xml:space="preserve">.  The change to a phased construction approach will have an impact on the ECC contract for the construction phase.  This will still be under NEC 4 Option C however will need to accommodate future option with differing approval and start on site timescales. </w:t>
      </w:r>
    </w:p>
    <w:p w14:paraId="1B7FA33A" w14:textId="35C5BEA3" w:rsidR="00ED3E9C" w:rsidRPr="00AB6A4C" w:rsidRDefault="00ED3E9C" w:rsidP="00AB6A4C">
      <w:r w:rsidRPr="00AB6A4C">
        <w:t xml:space="preserve">When a phased approach was confirmed, CTM conducted a detailed review of the contractual options for the programme considering the likely timeline in relation to the timing of WG approvals and funding release.  </w:t>
      </w:r>
      <w:r w:rsidR="009554D1" w:rsidRPr="00AB6A4C">
        <w:t>Four</w:t>
      </w:r>
      <w:r w:rsidRPr="00AB6A4C">
        <w:t xml:space="preserve"> potential contract structures were considered:</w:t>
      </w:r>
    </w:p>
    <w:p w14:paraId="0AA5B6E6" w14:textId="77777777" w:rsidR="00ED3E9C" w:rsidRPr="00AB6A4C" w:rsidRDefault="00ED3E9C" w:rsidP="00AB6A4C">
      <w:pPr>
        <w:pStyle w:val="letteredlist"/>
      </w:pPr>
      <w:proofErr w:type="gramStart"/>
      <w:r w:rsidRPr="00AB6A4C">
        <w:t>Enter into</w:t>
      </w:r>
      <w:proofErr w:type="gramEnd"/>
      <w:r w:rsidRPr="00AB6A4C">
        <w:t xml:space="preserve"> full contract award for Phase 1 CDH approved works cost with a provisional sum allowance for phase 2.</w:t>
      </w:r>
    </w:p>
    <w:p w14:paraId="12664C55" w14:textId="77777777" w:rsidR="00ED3E9C" w:rsidRPr="00AB6A4C" w:rsidRDefault="00ED3E9C" w:rsidP="00AB6A4C">
      <w:pPr>
        <w:pStyle w:val="letteredlist"/>
      </w:pPr>
      <w:proofErr w:type="gramStart"/>
      <w:r w:rsidRPr="00AB6A4C">
        <w:t>Enter into</w:t>
      </w:r>
      <w:proofErr w:type="gramEnd"/>
      <w:r w:rsidRPr="00AB6A4C">
        <w:t xml:space="preserve"> contract for phase 1 CDH with a later instructed compensation event for phase 2 (and possibly phase 3)</w:t>
      </w:r>
    </w:p>
    <w:p w14:paraId="798B03E2" w14:textId="77777777" w:rsidR="00ED3E9C" w:rsidRPr="00AB6A4C" w:rsidRDefault="00ED3E9C" w:rsidP="00AB6A4C">
      <w:pPr>
        <w:pStyle w:val="letteredlist"/>
      </w:pPr>
      <w:r w:rsidRPr="00AB6A4C">
        <w:t xml:space="preserve">Separate ECC Contracts for each Phase </w:t>
      </w:r>
    </w:p>
    <w:p w14:paraId="6520FF58" w14:textId="77777777" w:rsidR="00ED3E9C" w:rsidRPr="00AB6A4C" w:rsidRDefault="00ED3E9C" w:rsidP="00AB6A4C">
      <w:pPr>
        <w:pStyle w:val="letteredlist"/>
      </w:pPr>
      <w:r w:rsidRPr="00AB6A4C">
        <w:t xml:space="preserve">Contract for Phase 1 but include future phases using X22 Break Clause </w:t>
      </w:r>
    </w:p>
    <w:p w14:paraId="3DF0B1C1" w14:textId="77777777" w:rsidR="00ED3E9C" w:rsidRPr="006B15CE" w:rsidRDefault="00ED3E9C" w:rsidP="00ED3E9C">
      <w:pPr>
        <w:pStyle w:val="NoSpacing"/>
      </w:pPr>
    </w:p>
    <w:p w14:paraId="55E00A56" w14:textId="77777777" w:rsidR="00ED3E9C" w:rsidRPr="005F64D0" w:rsidRDefault="00ED3E9C" w:rsidP="00ED3E9C">
      <w:pPr>
        <w:rPr>
          <w:rFonts w:eastAsia="Times New Roman"/>
        </w:rPr>
      </w:pPr>
      <w:r w:rsidRPr="005F64D0">
        <w:rPr>
          <w:rFonts w:eastAsia="Times New Roman"/>
        </w:rPr>
        <w:t xml:space="preserve">The PM, CA and LHP technical team considered all 4 options and the risks and opportunities considered with each which are set out in the table below: </w:t>
      </w:r>
    </w:p>
    <w:p w14:paraId="0EF95B30" w14:textId="1714975E" w:rsidR="00ED3E9C" w:rsidRDefault="00ED3E9C" w:rsidP="00ED3E9C">
      <w:pPr>
        <w:pStyle w:val="Caption"/>
      </w:pPr>
      <w:bookmarkStart w:id="231" w:name="_Toc213865304"/>
      <w:r>
        <w:t xml:space="preserve">Table </w:t>
      </w:r>
      <w:r>
        <w:fldChar w:fldCharType="begin"/>
      </w:r>
      <w:r>
        <w:instrText xml:space="preserve"> SEQ Table \* ARABIC </w:instrText>
      </w:r>
      <w:r>
        <w:fldChar w:fldCharType="separate"/>
      </w:r>
      <w:r w:rsidR="004A33ED">
        <w:t>24</w:t>
      </w:r>
      <w:r>
        <w:fldChar w:fldCharType="end"/>
      </w:r>
      <w:r>
        <w:t xml:space="preserve"> </w:t>
      </w:r>
      <w:r w:rsidR="0092551D">
        <w:t>–</w:t>
      </w:r>
      <w:r>
        <w:t xml:space="preserve"> </w:t>
      </w:r>
      <w:r w:rsidR="00F02D61" w:rsidRPr="00F02D61">
        <w:t xml:space="preserve">Opportunities </w:t>
      </w:r>
      <w:r w:rsidR="00F02D61">
        <w:t>and risks</w:t>
      </w:r>
      <w:bookmarkEnd w:id="231"/>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1105"/>
        <w:gridCol w:w="3965"/>
        <w:gridCol w:w="4751"/>
      </w:tblGrid>
      <w:tr w:rsidR="0092551D" w:rsidRPr="009C1029" w14:paraId="4FE13F16" w14:textId="77777777" w:rsidTr="00F02D61">
        <w:trPr>
          <w:tblHeader/>
        </w:trPr>
        <w:tc>
          <w:tcPr>
            <w:tcW w:w="1106" w:type="dxa"/>
            <w:shd w:val="clear" w:color="auto" w:fill="374264"/>
          </w:tcPr>
          <w:p w14:paraId="53E5EA20" w14:textId="77777777" w:rsidR="0092551D" w:rsidRPr="00625155" w:rsidRDefault="0092551D" w:rsidP="00377EA9">
            <w:pPr>
              <w:pStyle w:val="tabletext"/>
              <w:rPr>
                <w:b/>
                <w:bCs/>
                <w:color w:val="FFFFFF" w:themeColor="background1"/>
              </w:rPr>
            </w:pPr>
            <w:r w:rsidRPr="00625155">
              <w:rPr>
                <w:b/>
                <w:bCs/>
                <w:color w:val="FFFFFF" w:themeColor="background1"/>
              </w:rPr>
              <w:t>Option</w:t>
            </w:r>
          </w:p>
        </w:tc>
        <w:tc>
          <w:tcPr>
            <w:tcW w:w="3969" w:type="dxa"/>
            <w:shd w:val="clear" w:color="auto" w:fill="374264"/>
          </w:tcPr>
          <w:p w14:paraId="3653A2D2" w14:textId="77777777" w:rsidR="0092551D" w:rsidRPr="00625155" w:rsidRDefault="0092551D" w:rsidP="00377EA9">
            <w:pPr>
              <w:pStyle w:val="tabletext"/>
              <w:rPr>
                <w:b/>
                <w:bCs/>
                <w:color w:val="FFFFFF" w:themeColor="background1"/>
              </w:rPr>
            </w:pPr>
            <w:r w:rsidRPr="00625155">
              <w:rPr>
                <w:b/>
                <w:bCs/>
                <w:color w:val="FFFFFF" w:themeColor="background1"/>
              </w:rPr>
              <w:t>Opportunities</w:t>
            </w:r>
          </w:p>
        </w:tc>
        <w:tc>
          <w:tcPr>
            <w:tcW w:w="4756" w:type="dxa"/>
            <w:shd w:val="clear" w:color="auto" w:fill="374264"/>
          </w:tcPr>
          <w:p w14:paraId="419A19EC" w14:textId="77777777" w:rsidR="0092551D" w:rsidRPr="00625155" w:rsidRDefault="0092551D" w:rsidP="00377EA9">
            <w:pPr>
              <w:pStyle w:val="tabletext"/>
              <w:rPr>
                <w:b/>
                <w:bCs/>
                <w:color w:val="FFFFFF" w:themeColor="background1"/>
              </w:rPr>
            </w:pPr>
            <w:r w:rsidRPr="00625155">
              <w:rPr>
                <w:b/>
                <w:bCs/>
                <w:color w:val="FFFFFF" w:themeColor="background1"/>
              </w:rPr>
              <w:t>Risks</w:t>
            </w:r>
          </w:p>
        </w:tc>
      </w:tr>
      <w:tr w:rsidR="0092551D" w:rsidRPr="00F2076E" w14:paraId="64F6A808" w14:textId="77777777" w:rsidTr="00F02D61">
        <w:tc>
          <w:tcPr>
            <w:tcW w:w="1106" w:type="dxa"/>
          </w:tcPr>
          <w:p w14:paraId="0F3E0C5B" w14:textId="77777777" w:rsidR="0092551D" w:rsidRPr="00F2076E" w:rsidRDefault="0092551D" w:rsidP="00377EA9">
            <w:pPr>
              <w:pStyle w:val="tabletext"/>
            </w:pPr>
            <w:r>
              <w:t>1</w:t>
            </w:r>
          </w:p>
        </w:tc>
        <w:tc>
          <w:tcPr>
            <w:tcW w:w="3969" w:type="dxa"/>
          </w:tcPr>
          <w:p w14:paraId="5A6CBEF9" w14:textId="77777777" w:rsidR="0092551D" w:rsidRDefault="0092551D" w:rsidP="00377EA9">
            <w:pPr>
              <w:pStyle w:val="tablebulletsLHP"/>
            </w:pPr>
            <w:r>
              <w:t>Early inclusion of Phase 2 allows for some planning continuity and contractor engagement.</w:t>
            </w:r>
          </w:p>
          <w:p w14:paraId="18E72DFA" w14:textId="77777777" w:rsidR="0092551D" w:rsidRDefault="0092551D" w:rsidP="00377EA9">
            <w:pPr>
              <w:pStyle w:val="tablebulletsLHP"/>
            </w:pPr>
            <w:r>
              <w:lastRenderedPageBreak/>
              <w:t>May simplify procurement and contract administration by keeping both phases under one contract.</w:t>
            </w:r>
          </w:p>
          <w:p w14:paraId="77DB894A" w14:textId="77777777" w:rsidR="0092551D" w:rsidRDefault="0092551D" w:rsidP="00377EA9">
            <w:pPr>
              <w:pStyle w:val="tablebulletsLHP"/>
            </w:pPr>
            <w:r>
              <w:t>Continuity of workforce or shared resources across phases.</w:t>
            </w:r>
          </w:p>
          <w:p w14:paraId="3C2EC1F0" w14:textId="77777777" w:rsidR="0092551D" w:rsidRPr="00F2076E" w:rsidRDefault="0092551D" w:rsidP="00377EA9">
            <w:pPr>
              <w:pStyle w:val="tablebulletsLHP"/>
            </w:pPr>
            <w:r>
              <w:t>Reduces risk of contractor re negotiation</w:t>
            </w:r>
          </w:p>
        </w:tc>
        <w:tc>
          <w:tcPr>
            <w:tcW w:w="4756" w:type="dxa"/>
          </w:tcPr>
          <w:p w14:paraId="68D2D6F2" w14:textId="77777777" w:rsidR="0092551D" w:rsidRDefault="0092551D" w:rsidP="00377EA9">
            <w:pPr>
              <w:pStyle w:val="tablebulletsLHP"/>
            </w:pPr>
            <w:r>
              <w:lastRenderedPageBreak/>
              <w:t xml:space="preserve">Possible claim against £60m </w:t>
            </w:r>
            <w:proofErr w:type="spellStart"/>
            <w:r>
              <w:t>Prov</w:t>
            </w:r>
            <w:proofErr w:type="spellEnd"/>
            <w:r>
              <w:t xml:space="preserve"> sum not being proceeded with (6% loss of profit)</w:t>
            </w:r>
          </w:p>
          <w:p w14:paraId="7B8CFC0B" w14:textId="15CBE0FB" w:rsidR="0092551D" w:rsidRDefault="0092551D" w:rsidP="00377EA9">
            <w:pPr>
              <w:pStyle w:val="tablebulletsLHP"/>
            </w:pPr>
            <w:r>
              <w:t xml:space="preserve">Provisional sums are not well-defined </w:t>
            </w:r>
            <w:r w:rsidR="005F422E">
              <w:t>in</w:t>
            </w:r>
            <w:r>
              <w:t xml:space="preserve"> NEC contracts, which may lead to ambiguity and </w:t>
            </w:r>
            <w:r>
              <w:lastRenderedPageBreak/>
              <w:t>disputes (mitigated with comprehensive Z clauses)</w:t>
            </w:r>
          </w:p>
          <w:p w14:paraId="6AAE350B" w14:textId="77777777" w:rsidR="0092551D" w:rsidRDefault="0092551D" w:rsidP="00377EA9">
            <w:pPr>
              <w:pStyle w:val="tablebulletsLHP"/>
            </w:pPr>
            <w:r>
              <w:t>Opportunity for MTX to increase Prelims, mitigated by negotiation reducing% back to original 6%</w:t>
            </w:r>
          </w:p>
          <w:p w14:paraId="3835DB5C" w14:textId="77777777" w:rsidR="0092551D" w:rsidRDefault="0092551D" w:rsidP="00377EA9">
            <w:pPr>
              <w:pStyle w:val="tablebulletsLHP"/>
            </w:pPr>
            <w:r>
              <w:t xml:space="preserve">Lack of clarity on scope, pricing, and risk allocation for Phase 2 will reduce accuracy of </w:t>
            </w:r>
            <w:proofErr w:type="spellStart"/>
            <w:r>
              <w:t>Prov</w:t>
            </w:r>
            <w:proofErr w:type="spellEnd"/>
            <w:r>
              <w:t xml:space="preserve"> sum</w:t>
            </w:r>
          </w:p>
          <w:p w14:paraId="052D35A3" w14:textId="77777777" w:rsidR="0092551D" w:rsidRDefault="0092551D" w:rsidP="00377EA9">
            <w:pPr>
              <w:pStyle w:val="tablebulletsLHP"/>
            </w:pPr>
            <w:r>
              <w:t>Contractor may price risk conservatively, inflating the Phase 1 Target Cost.</w:t>
            </w:r>
          </w:p>
          <w:p w14:paraId="326F6031" w14:textId="2393BE3E" w:rsidR="0092551D" w:rsidRDefault="00F02D61" w:rsidP="00377EA9">
            <w:pPr>
              <w:pStyle w:val="tablebulletsLHP"/>
            </w:pPr>
            <w:r>
              <w:t>Difficult</w:t>
            </w:r>
            <w:r w:rsidR="0092551D">
              <w:t xml:space="preserve"> to manage change control and performance incentives for Phase 2, mitigated through management of sectional completion</w:t>
            </w:r>
          </w:p>
          <w:p w14:paraId="75CA178E" w14:textId="77777777" w:rsidR="0092551D" w:rsidRPr="00F2076E" w:rsidRDefault="0092551D" w:rsidP="00377EA9">
            <w:pPr>
              <w:pStyle w:val="tablebulletsLHP"/>
            </w:pPr>
            <w:r>
              <w:t>•HB approval of a contract which exceeds approved capital funding- SFI breach</w:t>
            </w:r>
          </w:p>
        </w:tc>
      </w:tr>
      <w:tr w:rsidR="0092551D" w:rsidRPr="00F2076E" w14:paraId="2E189D66" w14:textId="77777777" w:rsidTr="00F02D61">
        <w:tc>
          <w:tcPr>
            <w:tcW w:w="1106" w:type="dxa"/>
          </w:tcPr>
          <w:p w14:paraId="65992813" w14:textId="77777777" w:rsidR="0092551D" w:rsidRPr="00F2076E" w:rsidRDefault="0092551D" w:rsidP="00377EA9">
            <w:pPr>
              <w:pStyle w:val="tabletext"/>
            </w:pPr>
            <w:r>
              <w:lastRenderedPageBreak/>
              <w:t>2</w:t>
            </w:r>
          </w:p>
        </w:tc>
        <w:tc>
          <w:tcPr>
            <w:tcW w:w="3969" w:type="dxa"/>
          </w:tcPr>
          <w:p w14:paraId="3FA353B1" w14:textId="77777777" w:rsidR="0092551D" w:rsidRDefault="0092551D" w:rsidP="00377EA9">
            <w:pPr>
              <w:pStyle w:val="tablebulletsLHP"/>
            </w:pPr>
            <w:r>
              <w:t>Allows flexibility to define Phase 2 scope and cost later, based on Phase 1 outcomes.</w:t>
            </w:r>
          </w:p>
          <w:p w14:paraId="77CE91A0" w14:textId="674B6FC4" w:rsidR="0092551D" w:rsidRDefault="0092551D" w:rsidP="00377EA9">
            <w:pPr>
              <w:pStyle w:val="tablebulletsLHP"/>
            </w:pPr>
            <w:r>
              <w:t>Keeps Phase 2 within the same contract, maintaining continuity and reducing procurement overhead.</w:t>
            </w:r>
          </w:p>
          <w:p w14:paraId="4AB5AFA5" w14:textId="7407B8DA" w:rsidR="0092551D" w:rsidRDefault="0092551D" w:rsidP="00377EA9">
            <w:pPr>
              <w:pStyle w:val="tablebulletsLHP"/>
            </w:pPr>
            <w:r>
              <w:t xml:space="preserve">Can be used to quickly mobilise Phase 2 if timing is </w:t>
            </w:r>
            <w:r w:rsidR="00F02D61">
              <w:t>critical</w:t>
            </w:r>
            <w:r>
              <w:t>.</w:t>
            </w:r>
          </w:p>
          <w:p w14:paraId="372024FC" w14:textId="77777777" w:rsidR="0092551D" w:rsidRPr="00F2076E" w:rsidRDefault="0092551D" w:rsidP="00377EA9">
            <w:pPr>
              <w:pStyle w:val="tablebulletsLHP"/>
            </w:pPr>
            <w:r>
              <w:t>Contractually protects client as no commitment to Phase 2</w:t>
            </w:r>
          </w:p>
        </w:tc>
        <w:tc>
          <w:tcPr>
            <w:tcW w:w="4756" w:type="dxa"/>
          </w:tcPr>
          <w:p w14:paraId="67379B6E" w14:textId="77777777" w:rsidR="0092551D" w:rsidRDefault="0092551D" w:rsidP="00377EA9">
            <w:pPr>
              <w:pStyle w:val="tablebulletsLHP"/>
            </w:pPr>
            <w:r>
              <w:t>Opportunity for MTX to increase Prelims, mitigated by negotiation reducing% back to original 6%</w:t>
            </w:r>
          </w:p>
          <w:p w14:paraId="5B52BA87" w14:textId="77777777" w:rsidR="0092551D" w:rsidRDefault="0092551D" w:rsidP="00377EA9">
            <w:pPr>
              <w:pStyle w:val="tablebulletsLHP"/>
            </w:pPr>
            <w:r>
              <w:t>Compensation events are reactive, not ideal for large, planned works like Phase 2, mitigation would be managed as 2nd stage tender</w:t>
            </w:r>
          </w:p>
          <w:p w14:paraId="0FCAB8A5" w14:textId="77777777" w:rsidR="0092551D" w:rsidRDefault="0092551D" w:rsidP="00377EA9">
            <w:pPr>
              <w:pStyle w:val="tablebulletsLHP"/>
            </w:pPr>
            <w:r>
              <w:t>Risk of contractor pricing Phase 2 with limited competitive tension or transparency, mitigation would be managed as 2nd stage tender</w:t>
            </w:r>
          </w:p>
          <w:p w14:paraId="6F1A3F1F" w14:textId="77777777" w:rsidR="0092551D" w:rsidRDefault="0092551D" w:rsidP="00377EA9">
            <w:pPr>
              <w:pStyle w:val="tablebulletsLHP"/>
            </w:pPr>
            <w:r>
              <w:t>•Potential for misalignment with NEC principles of early warning and collaboration.</w:t>
            </w:r>
          </w:p>
          <w:p w14:paraId="5CF47668" w14:textId="77777777" w:rsidR="0092551D" w:rsidRDefault="0092551D" w:rsidP="00377EA9">
            <w:pPr>
              <w:pStyle w:val="tablebulletsLHP"/>
            </w:pPr>
            <w:r>
              <w:t xml:space="preserve">Framework and commercial acceptability of a compensation event </w:t>
            </w:r>
            <w:proofErr w:type="spellStart"/>
            <w:r>
              <w:t>ea</w:t>
            </w:r>
            <w:proofErr w:type="spellEnd"/>
            <w:r>
              <w:t xml:space="preserve"> 100% of awarded value</w:t>
            </w:r>
          </w:p>
          <w:p w14:paraId="296F4E39" w14:textId="559D0D37" w:rsidR="0092551D" w:rsidRPr="00F2076E" w:rsidRDefault="0092551D" w:rsidP="0092551D">
            <w:pPr>
              <w:pStyle w:val="tablebulletsLHP"/>
            </w:pPr>
            <w:r>
              <w:t>Due to above could not be used for Phase 3</w:t>
            </w:r>
          </w:p>
        </w:tc>
      </w:tr>
      <w:tr w:rsidR="0092551D" w:rsidRPr="00F2076E" w14:paraId="2CB28920" w14:textId="77777777" w:rsidTr="00F02D61">
        <w:trPr>
          <w:cantSplit/>
        </w:trPr>
        <w:tc>
          <w:tcPr>
            <w:tcW w:w="1106" w:type="dxa"/>
          </w:tcPr>
          <w:p w14:paraId="015B30D8" w14:textId="77777777" w:rsidR="0092551D" w:rsidRDefault="0092551D" w:rsidP="00377EA9">
            <w:pPr>
              <w:pStyle w:val="tabletext"/>
            </w:pPr>
            <w:r>
              <w:t>3</w:t>
            </w:r>
          </w:p>
        </w:tc>
        <w:tc>
          <w:tcPr>
            <w:tcW w:w="3969" w:type="dxa"/>
          </w:tcPr>
          <w:p w14:paraId="226D7954" w14:textId="77777777" w:rsidR="0092551D" w:rsidRDefault="0092551D" w:rsidP="00377EA9">
            <w:pPr>
              <w:pStyle w:val="tablebulletsLHP"/>
            </w:pPr>
            <w:r>
              <w:t>Clear commercial and legal separation between phases, reducing ambiguity.</w:t>
            </w:r>
          </w:p>
          <w:p w14:paraId="5CD46175" w14:textId="77777777" w:rsidR="0092551D" w:rsidRDefault="0092551D" w:rsidP="00377EA9">
            <w:pPr>
              <w:pStyle w:val="tablebulletsLHP"/>
            </w:pPr>
            <w:r>
              <w:t>Allows competitive tendering for Phase 2, potentially improving value for money.</w:t>
            </w:r>
          </w:p>
          <w:p w14:paraId="5AABB7F5" w14:textId="72878F9A" w:rsidR="0092551D" w:rsidRPr="00F2076E" w:rsidRDefault="0092551D" w:rsidP="00377EA9">
            <w:pPr>
              <w:pStyle w:val="tablebulletsLHP"/>
            </w:pPr>
            <w:r>
              <w:t>Lessons learned from Phase 1 can inform Phase 2 scope, risk allocation, and pricing.</w:t>
            </w:r>
          </w:p>
        </w:tc>
        <w:tc>
          <w:tcPr>
            <w:tcW w:w="4756" w:type="dxa"/>
          </w:tcPr>
          <w:p w14:paraId="08BD0A20" w14:textId="77777777" w:rsidR="0092551D" w:rsidRDefault="0092551D" w:rsidP="00377EA9">
            <w:pPr>
              <w:pStyle w:val="tablebulletsLHP"/>
            </w:pPr>
            <w:r>
              <w:t>Opportunity for MTX to increase Prelims</w:t>
            </w:r>
          </w:p>
          <w:p w14:paraId="573A121D" w14:textId="77777777" w:rsidR="0092551D" w:rsidRDefault="0092551D" w:rsidP="00377EA9">
            <w:pPr>
              <w:pStyle w:val="tablebulletsLHP"/>
            </w:pPr>
            <w:r>
              <w:t>Loss of continuity in delivery team and supply chain.</w:t>
            </w:r>
          </w:p>
          <w:p w14:paraId="69D5CDFB" w14:textId="77777777" w:rsidR="0092551D" w:rsidRDefault="0092551D" w:rsidP="00377EA9">
            <w:pPr>
              <w:pStyle w:val="tablebulletsLHP"/>
            </w:pPr>
            <w:r>
              <w:t>Potential delays between phases due to contract negotiation</w:t>
            </w:r>
          </w:p>
          <w:p w14:paraId="4A4C0228" w14:textId="77777777" w:rsidR="0092551D" w:rsidRDefault="0092551D" w:rsidP="00377EA9">
            <w:pPr>
              <w:pStyle w:val="tablebulletsLHP"/>
            </w:pPr>
            <w:r>
              <w:t>Risk of misalignment in programme, design standards, or stakeholder expectations</w:t>
            </w:r>
          </w:p>
          <w:p w14:paraId="60FB888E" w14:textId="77777777" w:rsidR="0092551D" w:rsidRPr="00F2076E" w:rsidRDefault="0092551D" w:rsidP="00377EA9">
            <w:pPr>
              <w:pStyle w:val="tablebulletsLHP"/>
            </w:pPr>
            <w:r>
              <w:t>Possible duplication of resources between 2 contracts</w:t>
            </w:r>
          </w:p>
        </w:tc>
      </w:tr>
      <w:tr w:rsidR="00F02D61" w:rsidRPr="00F2076E" w14:paraId="3E76636F" w14:textId="77777777" w:rsidTr="00F02D61">
        <w:trPr>
          <w:cantSplit/>
        </w:trPr>
        <w:tc>
          <w:tcPr>
            <w:tcW w:w="1106" w:type="dxa"/>
          </w:tcPr>
          <w:p w14:paraId="58436CC9" w14:textId="77777777" w:rsidR="0092551D" w:rsidRDefault="0092551D" w:rsidP="00377EA9">
            <w:pPr>
              <w:pStyle w:val="tabletext"/>
            </w:pPr>
            <w:r>
              <w:t>4</w:t>
            </w:r>
          </w:p>
        </w:tc>
        <w:tc>
          <w:tcPr>
            <w:tcW w:w="3969" w:type="dxa"/>
          </w:tcPr>
          <w:p w14:paraId="2DB144E5" w14:textId="77777777" w:rsidR="0092551D" w:rsidRDefault="0092551D" w:rsidP="00377EA9">
            <w:pPr>
              <w:pStyle w:val="tablebulletsLHP"/>
            </w:pPr>
            <w:r>
              <w:t xml:space="preserve">Clause X22 (Early Contractor Involvement) </w:t>
            </w:r>
            <w:proofErr w:type="spellStart"/>
            <w:proofErr w:type="gramStart"/>
            <w:r>
              <w:t>su</w:t>
            </w:r>
            <w:proofErr w:type="spellEnd"/>
            <w:r>
              <w:t>[</w:t>
            </w:r>
            <w:proofErr w:type="spellStart"/>
            <w:proofErr w:type="gramEnd"/>
            <w:r>
              <w:t>Pports</w:t>
            </w:r>
            <w:proofErr w:type="spellEnd"/>
            <w:r>
              <w:t xml:space="preserve"> collaborative planning and progressive cost definition.</w:t>
            </w:r>
          </w:p>
          <w:p w14:paraId="04ACD1EC" w14:textId="0DBEF9F3" w:rsidR="0092551D" w:rsidRDefault="0092551D" w:rsidP="00377EA9">
            <w:pPr>
              <w:pStyle w:val="tablebulletsLHP"/>
            </w:pPr>
            <w:r>
              <w:t>Break clause provides flexibility to exit or re-scope Phase 2 if needed.</w:t>
            </w:r>
          </w:p>
          <w:p w14:paraId="74FDFE35" w14:textId="77777777" w:rsidR="0092551D" w:rsidRPr="00F2076E" w:rsidRDefault="0092551D" w:rsidP="00377EA9">
            <w:pPr>
              <w:pStyle w:val="tablebulletsLHP"/>
            </w:pPr>
            <w:r>
              <w:t>Aligns well with NEC principles of collaboration and transparency.</w:t>
            </w:r>
          </w:p>
        </w:tc>
        <w:tc>
          <w:tcPr>
            <w:tcW w:w="4756" w:type="dxa"/>
          </w:tcPr>
          <w:p w14:paraId="4F0E2F4A" w14:textId="77777777" w:rsidR="0092551D" w:rsidRDefault="0092551D" w:rsidP="00377EA9">
            <w:pPr>
              <w:pStyle w:val="tablebulletsLHP"/>
            </w:pPr>
            <w:r>
              <w:t>X22 currently not included within ECC contract at tender stage</w:t>
            </w:r>
          </w:p>
          <w:p w14:paraId="6E39036B" w14:textId="77777777" w:rsidR="0092551D" w:rsidRDefault="0092551D" w:rsidP="00377EA9">
            <w:pPr>
              <w:pStyle w:val="tablebulletsLHP"/>
            </w:pPr>
            <w:r>
              <w:t>Requires robust governance and clarity on break clause triggers.</w:t>
            </w:r>
          </w:p>
          <w:p w14:paraId="1C452266" w14:textId="77777777" w:rsidR="0092551D" w:rsidRDefault="0092551D" w:rsidP="00377EA9">
            <w:pPr>
              <w:pStyle w:val="tablebulletsLHP"/>
            </w:pPr>
            <w:r>
              <w:t>Contractor may invest effort in Phase 2 planning without guarantee of delivery.</w:t>
            </w:r>
          </w:p>
          <w:p w14:paraId="234566B8" w14:textId="36E51763" w:rsidR="0092551D" w:rsidRDefault="0092551D" w:rsidP="00377EA9">
            <w:pPr>
              <w:pStyle w:val="tablebulletsLHP"/>
            </w:pPr>
            <w:r>
              <w:t>Potential for sunk costs or disputes if Phase 2 is not progressed.</w:t>
            </w:r>
          </w:p>
          <w:p w14:paraId="38825525" w14:textId="77777777" w:rsidR="0092551D" w:rsidRDefault="0092551D" w:rsidP="00377EA9">
            <w:pPr>
              <w:pStyle w:val="tablebulletsLHP"/>
            </w:pPr>
            <w:r>
              <w:t>•May require careful drafting to ensure Phase 2 scope and pricing are appropriately managed.</w:t>
            </w:r>
          </w:p>
          <w:p w14:paraId="2C9DD80E" w14:textId="601F96B2" w:rsidR="0092551D" w:rsidRPr="00F2076E" w:rsidRDefault="0092551D" w:rsidP="00F02D61">
            <w:pPr>
              <w:pStyle w:val="tablebulletsLHP"/>
            </w:pPr>
            <w:r>
              <w:t>Opportunity for MTX to increase Prelims, mitigated by</w:t>
            </w:r>
            <w:r w:rsidR="00F02D61">
              <w:t xml:space="preserve"> </w:t>
            </w:r>
            <w:r>
              <w:t>negotiation reducing% back to original 6%</w:t>
            </w:r>
          </w:p>
        </w:tc>
      </w:tr>
    </w:tbl>
    <w:p w14:paraId="1F6D201F" w14:textId="77777777" w:rsidR="0092551D" w:rsidRPr="0092551D" w:rsidRDefault="0092551D" w:rsidP="0092551D"/>
    <w:p w14:paraId="2630330D" w14:textId="0B1CFAC1" w:rsidR="00ED3E9C" w:rsidRPr="005F64D0" w:rsidRDefault="00ED3E9C" w:rsidP="00ED3E9C">
      <w:pPr>
        <w:rPr>
          <w:rFonts w:eastAsia="Times New Roman"/>
        </w:rPr>
      </w:pPr>
      <w:proofErr w:type="gramStart"/>
      <w:r w:rsidRPr="005F64D0">
        <w:rPr>
          <w:rFonts w:eastAsia="Times New Roman"/>
        </w:rPr>
        <w:lastRenderedPageBreak/>
        <w:t>In reality Option</w:t>
      </w:r>
      <w:proofErr w:type="gramEnd"/>
      <w:r w:rsidRPr="005F64D0">
        <w:rPr>
          <w:rFonts w:eastAsia="Times New Roman"/>
        </w:rPr>
        <w:t xml:space="preserve"> 1 would be almost impossible to reconcile with CTMs standing financial instructions as it would require signing a contract with a value in excess of CTM approved capital sums.  Whilst the provisional sum could be excluded from the contract in future it is included in the contract sum and could also give risk to a loss of profits claim from the contractor if they acted in reliance of the same and future phase were not approved.  Further to this as any phase 3 is programmed behind phase 2 and does not yet have a fully confirmed scope.  As a </w:t>
      </w:r>
      <w:proofErr w:type="gramStart"/>
      <w:r w:rsidRPr="005F64D0">
        <w:rPr>
          <w:rFonts w:eastAsia="Times New Roman"/>
        </w:rPr>
        <w:t>result</w:t>
      </w:r>
      <w:proofErr w:type="gramEnd"/>
      <w:r w:rsidRPr="005F64D0">
        <w:rPr>
          <w:rFonts w:eastAsia="Times New Roman"/>
        </w:rPr>
        <w:t xml:space="preserve"> any inclusion of a provisional sum for this phase would be highly forecast with a large number of caveats and risk allowances.  The major risks of potential disputes and of HB financial noncompliance ruled this option out.</w:t>
      </w:r>
    </w:p>
    <w:p w14:paraId="22233478" w14:textId="77777777" w:rsidR="00ED3E9C" w:rsidRPr="005F64D0" w:rsidRDefault="00ED3E9C" w:rsidP="00ED3E9C">
      <w:pPr>
        <w:rPr>
          <w:rFonts w:eastAsia="Times New Roman"/>
        </w:rPr>
      </w:pPr>
      <w:r w:rsidRPr="005F64D0">
        <w:rPr>
          <w:rFonts w:eastAsia="Times New Roman"/>
        </w:rPr>
        <w:t xml:space="preserve">Similarly, the position in relation to Option 2 was considered too high risk for a similar reason in terms of the contract being for more than one phase therefore possibly also giving rise to a claim of loss of profit if the future phase(s) did not proceed.  In addition, current procurement rules preclude contract sum increases over 50% of the original value awarded.  Any sum would be well in excess of this and in excess of 100% therefore this was not recommended.  </w:t>
      </w:r>
    </w:p>
    <w:p w14:paraId="3BA0A2A8" w14:textId="77777777" w:rsidR="00ED3E9C" w:rsidRPr="005F64D0" w:rsidRDefault="00ED3E9C" w:rsidP="00ED3E9C">
      <w:pPr>
        <w:rPr>
          <w:rFonts w:eastAsia="Times New Roman"/>
        </w:rPr>
      </w:pPr>
      <w:r>
        <w:rPr>
          <w:rFonts w:eastAsia="Times New Roman"/>
        </w:rPr>
        <w:t>I</w:t>
      </w:r>
      <w:r w:rsidRPr="005F64D0">
        <w:rPr>
          <w:rFonts w:eastAsia="Times New Roman"/>
        </w:rPr>
        <w:t>t was felt that despite specific protection in contractual clauses that option 4 would offer similar finance and procurement SFI risks around the contract values as well as use of largely untested contractual clauses.  Drafting and agreement of the same could be timely and costly with specialist legal advisors.</w:t>
      </w:r>
    </w:p>
    <w:p w14:paraId="1C8CD050" w14:textId="77777777" w:rsidR="00ED3E9C" w:rsidRPr="005F64D0" w:rsidRDefault="00ED3E9C" w:rsidP="00ED3E9C">
      <w:pPr>
        <w:rPr>
          <w:rFonts w:eastAsia="Times New Roman"/>
        </w:rPr>
      </w:pPr>
      <w:proofErr w:type="gramStart"/>
      <w:r w:rsidRPr="005F64D0">
        <w:rPr>
          <w:rFonts w:eastAsia="Times New Roman"/>
        </w:rPr>
        <w:t>In reality the</w:t>
      </w:r>
      <w:proofErr w:type="gramEnd"/>
      <w:r w:rsidRPr="005F64D0">
        <w:rPr>
          <w:rFonts w:eastAsia="Times New Roman"/>
        </w:rPr>
        <w:t xml:space="preserve"> differing approval timescales and associated funding release make separate contractual arrangements the lowest risk position for this programme.  There is a risk of loss of administrative efficiency in terms of contract management as well as the risk that MTX may seek to vary contractual terms however this will need to be managed.  </w:t>
      </w:r>
    </w:p>
    <w:p w14:paraId="61205943" w14:textId="77777777" w:rsidR="00ED3E9C" w:rsidRPr="005F64D0" w:rsidRDefault="00ED3E9C" w:rsidP="00ED3E9C">
      <w:pPr>
        <w:rPr>
          <w:rFonts w:eastAsia="Times New Roman"/>
        </w:rPr>
      </w:pPr>
      <w:r w:rsidRPr="005F64D0">
        <w:rPr>
          <w:rFonts w:eastAsia="Times New Roman"/>
        </w:rPr>
        <w:t xml:space="preserve">This was the preferred option proposed to MTX who agreed with the same as being the most logical way forward.  Revised Phase 1 ECC contracts have been issued on the same contractual terms as the original single phase and to date no discussion re their variance has been received or included in their submitted construction costs.  </w:t>
      </w:r>
    </w:p>
    <w:p w14:paraId="310D5521" w14:textId="71CC843E" w:rsidR="00ED3E9C" w:rsidRDefault="00ED3E9C" w:rsidP="00ED3E9C">
      <w:pPr>
        <w:rPr>
          <w:rFonts w:eastAsia="Times New Roman"/>
        </w:rPr>
      </w:pPr>
      <w:r w:rsidRPr="005F64D0">
        <w:rPr>
          <w:rFonts w:eastAsia="Times New Roman"/>
        </w:rPr>
        <w:t>As a result</w:t>
      </w:r>
      <w:r w:rsidR="00DA1A79">
        <w:rPr>
          <w:rFonts w:eastAsia="Times New Roman"/>
        </w:rPr>
        <w:t>,</w:t>
      </w:r>
      <w:r w:rsidRPr="005F64D0">
        <w:rPr>
          <w:rFonts w:eastAsia="Times New Roman"/>
        </w:rPr>
        <w:t xml:space="preserve"> it is proposed that each phase will require a separate ECC contract and this will be the proposed contracting solution for all approved phases. </w:t>
      </w:r>
    </w:p>
    <w:p w14:paraId="333B4BE4" w14:textId="77777777" w:rsidR="00ED3E9C" w:rsidRPr="001C5F7E" w:rsidRDefault="00ED3E9C" w:rsidP="00ED3E9C">
      <w:pPr>
        <w:pStyle w:val="NoSpacing"/>
      </w:pPr>
    </w:p>
    <w:p w14:paraId="04DB28B2" w14:textId="77777777" w:rsidR="00ED3E9C" w:rsidRDefault="00ED3E9C" w:rsidP="00ED3E9C">
      <w:pPr>
        <w:pStyle w:val="Heading2"/>
      </w:pPr>
      <w:bookmarkStart w:id="232" w:name="_Toc213865253"/>
      <w:r>
        <w:t>Associated disposals</w:t>
      </w:r>
      <w:bookmarkEnd w:id="232"/>
    </w:p>
    <w:p w14:paraId="66B4F759" w14:textId="40DE6F60" w:rsidR="00ED3E9C" w:rsidRDefault="00ED3E9C" w:rsidP="00ED3E9C">
      <w:r>
        <w:t xml:space="preserve">There are no known disposals associated with this development, which would generate income for the </w:t>
      </w:r>
      <w:r w:rsidR="00E56F77">
        <w:t>three</w:t>
      </w:r>
      <w:r>
        <w:t xml:space="preserve"> UHBs.</w:t>
      </w:r>
    </w:p>
    <w:p w14:paraId="4782047F" w14:textId="77777777" w:rsidR="00ED3E9C" w:rsidRDefault="00ED3E9C" w:rsidP="00ED3E9C">
      <w:pPr>
        <w:pStyle w:val="NoSpacing"/>
      </w:pPr>
    </w:p>
    <w:p w14:paraId="61F35CF1" w14:textId="77777777" w:rsidR="00ED3E9C" w:rsidRDefault="00ED3E9C" w:rsidP="00ED3E9C">
      <w:pPr>
        <w:pStyle w:val="Heading2"/>
      </w:pPr>
      <w:bookmarkStart w:id="233" w:name="_Toc213865254"/>
      <w:r>
        <w:t>Design and compliance with mandatory standards</w:t>
      </w:r>
      <w:bookmarkEnd w:id="233"/>
    </w:p>
    <w:p w14:paraId="50417D77" w14:textId="77777777" w:rsidR="00ED3E9C" w:rsidRPr="0086260A" w:rsidRDefault="00ED3E9C" w:rsidP="00ED3E9C">
      <w:pPr>
        <w:pStyle w:val="Heading3"/>
      </w:pPr>
      <w:r>
        <w:t>NHS Net Zero compliance</w:t>
      </w:r>
    </w:p>
    <w:p w14:paraId="7B7717FE" w14:textId="77777777" w:rsidR="00ED3E9C" w:rsidRDefault="00ED3E9C" w:rsidP="00ED3E9C">
      <w:r w:rsidRPr="56EE322B">
        <w:t xml:space="preserve">In October 2020 the NHS published the </w:t>
      </w:r>
      <w:r w:rsidRPr="00A93BDA">
        <w:rPr>
          <w:b/>
          <w:bCs/>
          <w:i/>
          <w:iCs/>
        </w:rPr>
        <w:t>Delivering a Net Zero National Health Service</w:t>
      </w:r>
      <w:r w:rsidRPr="56EE322B">
        <w:t xml:space="preserve"> in response to the health emergency that climate change will bring.  More intense storms and floods, more frequent heat waves and the spread of infectious diseases resulting from climate change threaten to undermine years of health gains.</w:t>
      </w:r>
    </w:p>
    <w:p w14:paraId="22E05C58" w14:textId="77777777" w:rsidR="00ED3E9C" w:rsidRDefault="00ED3E9C" w:rsidP="00ED3E9C">
      <w:r w:rsidRPr="56EE322B">
        <w:t>Two clear and feasible targets emerge for the NHS net zero commitment, based on the scale of the challenge posed by climate change, current knowledge, and the interventions and assumptions that underpin this analysis:</w:t>
      </w:r>
    </w:p>
    <w:p w14:paraId="14435332" w14:textId="77777777" w:rsidR="00ED3E9C" w:rsidRDefault="00ED3E9C" w:rsidP="00ED3E9C">
      <w:pPr>
        <w:pStyle w:val="bullets1"/>
        <w:rPr>
          <w:sz w:val="24"/>
          <w:szCs w:val="24"/>
        </w:rPr>
      </w:pPr>
      <w:r w:rsidRPr="23BE62B5">
        <w:t>For the emissions the NHS controls directly (the NHS Carbon Footprint), net zero by 2040, with an ambition to reach an 80% reduction by 2028 to 2032;</w:t>
      </w:r>
    </w:p>
    <w:p w14:paraId="75DB539E" w14:textId="77777777" w:rsidR="00ED3E9C" w:rsidRDefault="00ED3E9C" w:rsidP="00ED3E9C">
      <w:pPr>
        <w:pStyle w:val="bullets1"/>
        <w:rPr>
          <w:sz w:val="24"/>
          <w:szCs w:val="24"/>
        </w:rPr>
      </w:pPr>
      <w:r w:rsidRPr="23BE62B5">
        <w:lastRenderedPageBreak/>
        <w:t>For the emissions that can be influenced (the NHS Carbon Footprint Plus), net zero by 2045, with an ambition to reach an 80% reduction by 2036 to 2039.</w:t>
      </w:r>
    </w:p>
    <w:p w14:paraId="7A23C5E9" w14:textId="77777777" w:rsidR="00ED3E9C" w:rsidRPr="00E56F77" w:rsidRDefault="00ED3E9C" w:rsidP="006229F9">
      <w:pPr>
        <w:pStyle w:val="NoSpacing"/>
      </w:pPr>
      <w:r w:rsidRPr="00E56F77">
        <w:t xml:space="preserve"> </w:t>
      </w:r>
    </w:p>
    <w:p w14:paraId="496C830A" w14:textId="77777777" w:rsidR="00ED3E9C" w:rsidRDefault="00ED3E9C" w:rsidP="00ED3E9C">
      <w:pPr>
        <w:pStyle w:val="Heading5"/>
      </w:pPr>
      <w:r w:rsidRPr="56EE322B">
        <w:t>NHS Net Zero Building Standard</w:t>
      </w:r>
    </w:p>
    <w:p w14:paraId="62EBF929" w14:textId="76ED8FD7" w:rsidR="00ED3E9C" w:rsidRDefault="00ED3E9C" w:rsidP="00ED3E9C">
      <w:r w:rsidRPr="56EE322B">
        <w:t xml:space="preserve">The </w:t>
      </w:r>
      <w:hyperlink r:id="rId58">
        <w:r w:rsidRPr="56EE322B">
          <w:t>NHS Net Zero Building Standard</w:t>
        </w:r>
      </w:hyperlink>
      <w:r w:rsidRPr="56EE322B">
        <w:t xml:space="preserve">, published </w:t>
      </w:r>
      <w:r>
        <w:t>i</w:t>
      </w:r>
      <w:r w:rsidRPr="56EE322B">
        <w:t>n February 2023, provides technical guidance to support the development of sustainable, resilient, and energy efficient buildings that meet the needs of patients now and in the future. 10% plus of the carbon emissions associated with operating the NHS estates are as a result of energy usage (operational carbon) alongside embodied carbon. The standard is a critical element in ensuring that the design and construction of new NHS buildings and the inevitable refurbishment / repurposing of the existing estate supports the “Delivering Net Zero” commitment to a zero-carbon estate by 2040.</w:t>
      </w:r>
    </w:p>
    <w:p w14:paraId="11C294A1" w14:textId="77777777" w:rsidR="00ED3E9C" w:rsidRDefault="00ED3E9C" w:rsidP="00ED3E9C">
      <w:r w:rsidRPr="56EE322B">
        <w:t>The proposed LHP development design process will follow the guidance of the standard through RIBA stages 1</w:t>
      </w:r>
      <w:r>
        <w:t>-</w:t>
      </w:r>
      <w:r w:rsidRPr="56EE322B">
        <w:t xml:space="preserve">4. </w:t>
      </w:r>
    </w:p>
    <w:p w14:paraId="70CCAC31" w14:textId="77777777" w:rsidR="00ED3E9C" w:rsidRDefault="00ED3E9C" w:rsidP="00ED3E9C">
      <w:r w:rsidRPr="56EE322B">
        <w:t>The construction process for LHP will follow the guidance of the standard through RIBA stages 5-7.  To facilitate this as required</w:t>
      </w:r>
      <w:r>
        <w:t xml:space="preserve"> a</w:t>
      </w:r>
      <w:r w:rsidRPr="56EE322B">
        <w:t xml:space="preserve"> Net Zero Carbon (NZC) Coordinator</w:t>
      </w:r>
      <w:r>
        <w:t xml:space="preserve"> will be appointed</w:t>
      </w:r>
      <w:r w:rsidRPr="56EE322B">
        <w:t xml:space="preserve"> who will be responsible for managing the process as well as being an advocate for Zero Carbon within the design team.</w:t>
      </w:r>
    </w:p>
    <w:p w14:paraId="76F6CD7B" w14:textId="77777777" w:rsidR="00ED3E9C" w:rsidRPr="003458D3" w:rsidRDefault="00ED3E9C" w:rsidP="00ED3E9C">
      <w:pPr>
        <w:pStyle w:val="Heading3"/>
      </w:pPr>
      <w:r w:rsidRPr="003458D3">
        <w:t>Modern Methods of Construction</w:t>
      </w:r>
    </w:p>
    <w:p w14:paraId="7535E749" w14:textId="77777777" w:rsidR="00ED3E9C" w:rsidRPr="003458D3" w:rsidRDefault="00ED3E9C" w:rsidP="00ED3E9C">
      <w:proofErr w:type="gramStart"/>
      <w:r w:rsidRPr="003458D3">
        <w:t>NHS Wales and NHS Improvement with the Department of Health and Social Care,</w:t>
      </w:r>
      <w:proofErr w:type="gramEnd"/>
      <w:r w:rsidRPr="003458D3">
        <w:t xml:space="preserve"> are working on progressing the approaches used to increase the use of Modern Methods of Construction (MMC) on all business cases requiring central NHS sign off. As part of this, an interim draft guidance has been developed for inclusion in the NHS Capital Business Case Fundamental Criteria Checklist.</w:t>
      </w:r>
    </w:p>
    <w:p w14:paraId="2FF6C23F" w14:textId="77777777" w:rsidR="00ED3E9C" w:rsidRPr="003458D3" w:rsidRDefault="00ED3E9C" w:rsidP="00ED3E9C">
      <w:r w:rsidRPr="003458D3">
        <w:t xml:space="preserve">Early consideration of the use of off-site manufacture, allows the process to be streamlined through the design and construction process, maximising the benefits this approach can bring. Agreement to an early BIM Execution Plan and sharing information in a project specific Common Data Environment (CDE) allows all parties to input in an integrated design, manufacturing, and assembly process. </w:t>
      </w:r>
    </w:p>
    <w:p w14:paraId="2886C5ED" w14:textId="77777777" w:rsidR="00ED3E9C" w:rsidRPr="003458D3" w:rsidRDefault="00ED3E9C" w:rsidP="00ED3E9C">
      <w:r w:rsidRPr="003458D3">
        <w:t xml:space="preserve">LHP will be constructed using MMC and </w:t>
      </w:r>
      <w:r>
        <w:t>be</w:t>
      </w:r>
      <w:r w:rsidRPr="003458D3">
        <w:t xml:space="preserve"> entirely modular.</w:t>
      </w:r>
    </w:p>
    <w:p w14:paraId="5563E32C" w14:textId="77777777" w:rsidR="00ED3E9C" w:rsidRDefault="00ED3E9C" w:rsidP="00ED3E9C">
      <w:pPr>
        <w:pStyle w:val="Heading3"/>
      </w:pPr>
      <w:r>
        <w:t>BREEAM</w:t>
      </w:r>
    </w:p>
    <w:p w14:paraId="740EF329" w14:textId="77777777" w:rsidR="00ED3E9C" w:rsidRPr="003458D3" w:rsidRDefault="00ED3E9C" w:rsidP="00ED3E9C">
      <w:r w:rsidRPr="003458D3">
        <w:t>The Building Research Establishment Environmental Assessment Method (BREEAM) is the leading and most widely used environmental assessment method for buildings and communities. It sets the standard for best practice in sustainable design and has become the de facto measure used to describe a building's environmental performance.</w:t>
      </w:r>
    </w:p>
    <w:p w14:paraId="7C936679" w14:textId="77777777" w:rsidR="00ED3E9C" w:rsidRPr="003458D3" w:rsidRDefault="00ED3E9C" w:rsidP="00ED3E9C">
      <w:r w:rsidRPr="003458D3">
        <w:t xml:space="preserve">As of 1 July 2008, all developments </w:t>
      </w:r>
      <w:r>
        <w:t xml:space="preserve">of new </w:t>
      </w:r>
      <w:r w:rsidRPr="003458D3">
        <w:t>healthcare buildings in the UK seeking O</w:t>
      </w:r>
      <w:r>
        <w:t>B</w:t>
      </w:r>
      <w:r w:rsidRPr="003458D3">
        <w:t xml:space="preserve">C approval </w:t>
      </w:r>
      <w:r>
        <w:t xml:space="preserve">must </w:t>
      </w:r>
      <w:r w:rsidRPr="003458D3">
        <w:t>commit to</w:t>
      </w:r>
      <w:r>
        <w:t xml:space="preserve"> </w:t>
      </w:r>
      <w:proofErr w:type="spellStart"/>
      <w:r>
        <w:t>acheiving</w:t>
      </w:r>
      <w:proofErr w:type="spellEnd"/>
      <w:r w:rsidRPr="003458D3">
        <w:t xml:space="preserve"> an EXCELLENT rating (assessed against BREEAM New Construction) and all refurbishments (assessed against BREEAM Non-Domestic refurbishment and fit-out) to commit to a VERY GOOD rating. </w:t>
      </w:r>
      <w:r>
        <w:t xml:space="preserve">Any </w:t>
      </w:r>
      <w:r w:rsidRPr="003458D3">
        <w:t>project with a capital value exceeding</w:t>
      </w:r>
      <w:r>
        <w:t xml:space="preserve"> the</w:t>
      </w:r>
      <w:r w:rsidRPr="003458D3">
        <w:t xml:space="preserve"> £2m </w:t>
      </w:r>
      <w:r>
        <w:t xml:space="preserve">threshold </w:t>
      </w:r>
      <w:r w:rsidRPr="003458D3">
        <w:t xml:space="preserve">must include a BREEAM assessment. </w:t>
      </w:r>
    </w:p>
    <w:p w14:paraId="28349E7D" w14:textId="77777777" w:rsidR="006229F9" w:rsidRDefault="006229F9">
      <w:pPr>
        <w:spacing w:after="160" w:line="259" w:lineRule="auto"/>
      </w:pPr>
      <w:r>
        <w:br w:type="page"/>
      </w:r>
    </w:p>
    <w:p w14:paraId="3DCF3674" w14:textId="2D36BE70" w:rsidR="00ED3E9C" w:rsidRPr="003458D3" w:rsidRDefault="00ED3E9C" w:rsidP="00ED3E9C">
      <w:r w:rsidRPr="003458D3">
        <w:lastRenderedPageBreak/>
        <w:t>BREEAM provides clients, developers, designers and others with:</w:t>
      </w:r>
    </w:p>
    <w:p w14:paraId="5168DBC7" w14:textId="77777777" w:rsidR="00ED3E9C" w:rsidRDefault="00ED3E9C" w:rsidP="00ED3E9C">
      <w:pPr>
        <w:pStyle w:val="bullets1"/>
      </w:pPr>
      <w:r w:rsidRPr="22FF6682">
        <w:t>Market recognition for low environmental impact buildings</w:t>
      </w:r>
    </w:p>
    <w:p w14:paraId="3EC440C1" w14:textId="77777777" w:rsidR="00ED3E9C" w:rsidRDefault="00ED3E9C" w:rsidP="00ED3E9C">
      <w:pPr>
        <w:pStyle w:val="bullets1"/>
      </w:pPr>
      <w:r w:rsidRPr="22FF6682">
        <w:t>Assurance that best environmental practice is incorporated into a building development</w:t>
      </w:r>
    </w:p>
    <w:p w14:paraId="09F4EF54" w14:textId="77777777" w:rsidR="00ED3E9C" w:rsidRDefault="00ED3E9C" w:rsidP="00ED3E9C">
      <w:pPr>
        <w:pStyle w:val="bullets1"/>
      </w:pPr>
      <w:r w:rsidRPr="22FF6682">
        <w:t>Inspiration to find innovative solutions that minimise the environmental impact</w:t>
      </w:r>
    </w:p>
    <w:p w14:paraId="148E1A5F" w14:textId="77777777" w:rsidR="00ED3E9C" w:rsidRDefault="00ED3E9C" w:rsidP="00ED3E9C">
      <w:pPr>
        <w:pStyle w:val="bullets1"/>
      </w:pPr>
      <w:r w:rsidRPr="22FF6682">
        <w:t>A benchmark that is higher than regulation</w:t>
      </w:r>
    </w:p>
    <w:p w14:paraId="2A967279" w14:textId="77777777" w:rsidR="00ED3E9C" w:rsidRDefault="00ED3E9C" w:rsidP="00ED3E9C">
      <w:pPr>
        <w:pStyle w:val="bullets1"/>
      </w:pPr>
      <w:r w:rsidRPr="22FF6682">
        <w:t>A tool to help reduce running costs, improve working and living environments</w:t>
      </w:r>
    </w:p>
    <w:p w14:paraId="68B25C21" w14:textId="77777777" w:rsidR="00ED3E9C" w:rsidRDefault="00ED3E9C" w:rsidP="00ED3E9C">
      <w:pPr>
        <w:pStyle w:val="bullets1"/>
      </w:pPr>
      <w:r w:rsidRPr="22FF6682">
        <w:t>A standard that demonstrates progress towards corporate and organisational environmental objectives.</w:t>
      </w:r>
    </w:p>
    <w:p w14:paraId="1D854577" w14:textId="77777777" w:rsidR="00ED3E9C" w:rsidRDefault="00ED3E9C" w:rsidP="00ED3E9C">
      <w:pPr>
        <w:pStyle w:val="NoSpacing"/>
        <w:rPr>
          <w:rFonts w:eastAsiaTheme="minorEastAsia"/>
        </w:rPr>
      </w:pPr>
      <w:r w:rsidRPr="56EE322B">
        <w:rPr>
          <w:rFonts w:eastAsiaTheme="minorEastAsia"/>
        </w:rPr>
        <w:t xml:space="preserve"> </w:t>
      </w:r>
    </w:p>
    <w:p w14:paraId="1CC6BA27" w14:textId="77777777" w:rsidR="00ED3E9C" w:rsidRDefault="00ED3E9C" w:rsidP="00ED3E9C">
      <w:pPr>
        <w:spacing w:line="228" w:lineRule="auto"/>
        <w:rPr>
          <w:rFonts w:eastAsiaTheme="minorEastAsia"/>
        </w:rPr>
      </w:pPr>
      <w:r w:rsidRPr="56EE322B">
        <w:rPr>
          <w:rFonts w:eastAsiaTheme="minorEastAsia"/>
        </w:rPr>
        <w:t>BREEAM addresses wide ranging environmental and sustainability issues and enables developers and designers to prove the environmental credentials of their buildings to planners and clients and:</w:t>
      </w:r>
    </w:p>
    <w:p w14:paraId="0EE02E6E" w14:textId="77777777" w:rsidR="00ED3E9C" w:rsidRPr="00B16823" w:rsidRDefault="00ED3E9C" w:rsidP="00ED3E9C">
      <w:pPr>
        <w:pStyle w:val="bullets1"/>
      </w:pPr>
      <w:r w:rsidRPr="00C3506A">
        <w:t>Uses a straightforward scoring system that is transparent, easy to understand and supported by evidence-based research</w:t>
      </w:r>
    </w:p>
    <w:p w14:paraId="4961F7A5" w14:textId="77777777" w:rsidR="00ED3E9C" w:rsidRDefault="00ED3E9C" w:rsidP="00ED3E9C">
      <w:pPr>
        <w:pStyle w:val="bullets1"/>
      </w:pPr>
      <w:r>
        <w:t>Has a positive influence on the design, construction and management of buildings</w:t>
      </w:r>
    </w:p>
    <w:p w14:paraId="4E664BEF" w14:textId="77777777" w:rsidR="00ED3E9C" w:rsidRDefault="00ED3E9C" w:rsidP="00ED3E9C">
      <w:pPr>
        <w:pStyle w:val="bullets1"/>
      </w:pPr>
      <w:r>
        <w:t>Sets and maintains a robust technical standard with rigorous quality assurance and certification.</w:t>
      </w:r>
    </w:p>
    <w:p w14:paraId="457BE53E" w14:textId="77777777" w:rsidR="00ED3E9C" w:rsidRPr="00854CD8" w:rsidRDefault="00ED3E9C" w:rsidP="00ED3E9C">
      <w:pPr>
        <w:pStyle w:val="NoSpacing"/>
      </w:pPr>
    </w:p>
    <w:p w14:paraId="3D16580F" w14:textId="77777777" w:rsidR="00ED3E9C" w:rsidRDefault="00ED3E9C" w:rsidP="00ED3E9C">
      <w:r w:rsidRPr="44C296A8">
        <w:t xml:space="preserve">BREEAM is a compulsory requirement for projects of this scale in Wales, as such work towards accreditation has been ongoing since RIBA Stage 1. The Design Stage Tracker set out the target ambition for the project to achieve BREEAM ‘Excellent’. Moving forward, </w:t>
      </w:r>
      <w:r>
        <w:t>w</w:t>
      </w:r>
      <w:r w:rsidRPr="44C296A8">
        <w:t xml:space="preserve">orkshops are to be set </w:t>
      </w:r>
      <w:r>
        <w:t>up</w:t>
      </w:r>
      <w:r w:rsidRPr="44C296A8">
        <w:t xml:space="preserve"> for RIBA 3B stage, ensuring that design adaptions do not compromise the project trajectory</w:t>
      </w:r>
      <w:r>
        <w:t>.</w:t>
      </w:r>
    </w:p>
    <w:p w14:paraId="1D3D1DCE" w14:textId="77777777" w:rsidR="00ED3E9C" w:rsidRDefault="00ED3E9C" w:rsidP="00ED3E9C">
      <w:pPr>
        <w:pStyle w:val="Heading4"/>
      </w:pPr>
      <w:r>
        <w:t>Infection control</w:t>
      </w:r>
    </w:p>
    <w:p w14:paraId="4CAD1FF5" w14:textId="77777777" w:rsidR="00ED3E9C" w:rsidRDefault="00ED3E9C" w:rsidP="00ED3E9C">
      <w:pPr>
        <w:spacing w:line="245" w:lineRule="auto"/>
        <w:rPr>
          <w:rFonts w:eastAsiaTheme="minorEastAsia"/>
        </w:rPr>
      </w:pPr>
      <w:r w:rsidRPr="56EE322B">
        <w:rPr>
          <w:rFonts w:eastAsiaTheme="minorEastAsia"/>
        </w:rPr>
        <w:t xml:space="preserve">The proposed development will be designed and configured in compliance with </w:t>
      </w:r>
      <w:r>
        <w:rPr>
          <w:rFonts w:eastAsiaTheme="minorEastAsia"/>
        </w:rPr>
        <w:t>W</w:t>
      </w:r>
      <w:r w:rsidRPr="56EE322B">
        <w:rPr>
          <w:rFonts w:eastAsiaTheme="minorEastAsia"/>
        </w:rPr>
        <w:t xml:space="preserve">HBN and </w:t>
      </w:r>
      <w:r>
        <w:rPr>
          <w:rFonts w:eastAsiaTheme="minorEastAsia"/>
        </w:rPr>
        <w:t>W</w:t>
      </w:r>
      <w:r w:rsidRPr="56EE322B">
        <w:rPr>
          <w:rFonts w:eastAsiaTheme="minorEastAsia"/>
        </w:rPr>
        <w:t>HTM guidance to provide clean, well-designed environments within which clinical services and procedures can be carried out safely. Infection prevention and control measures will be designed into the new building through zoning, with appropriate clinical adjacencies to facilitate clean to dirty flows and the provision of good access for cleaning and maintenance to take place.</w:t>
      </w:r>
    </w:p>
    <w:p w14:paraId="28AFD5B8" w14:textId="77777777" w:rsidR="00ED3E9C" w:rsidRDefault="00ED3E9C" w:rsidP="00ED3E9C">
      <w:pPr>
        <w:spacing w:line="245" w:lineRule="auto"/>
        <w:rPr>
          <w:rFonts w:eastAsiaTheme="minorEastAsia"/>
        </w:rPr>
      </w:pPr>
      <w:r w:rsidRPr="56EE322B">
        <w:rPr>
          <w:rFonts w:eastAsiaTheme="minorEastAsia"/>
        </w:rPr>
        <w:t xml:space="preserve">As planned for the design development at OBC stage, the clinical leads will be fully engaged to ensure the needs of users are understood and clearly articulated in the design brief. Health Board Infection Prevention and Control Teams will also be </w:t>
      </w:r>
      <w:r>
        <w:rPr>
          <w:rFonts w:eastAsiaTheme="minorEastAsia"/>
        </w:rPr>
        <w:t>continually</w:t>
      </w:r>
      <w:r w:rsidRPr="56EE322B">
        <w:rPr>
          <w:rFonts w:eastAsiaTheme="minorEastAsia"/>
        </w:rPr>
        <w:t xml:space="preserve"> engaged by the Project Team and Design Team to inform the detailed designs.</w:t>
      </w:r>
    </w:p>
    <w:p w14:paraId="7CA6B3E7" w14:textId="77777777" w:rsidR="00ED3E9C" w:rsidRPr="0086260A" w:rsidRDefault="00ED3E9C" w:rsidP="00ED3E9C">
      <w:pPr>
        <w:pStyle w:val="Heading4"/>
      </w:pPr>
      <w:r>
        <w:t>Sustainability</w:t>
      </w:r>
    </w:p>
    <w:p w14:paraId="5926F8D5" w14:textId="77777777" w:rsidR="00E56F77" w:rsidRDefault="00ED3E9C" w:rsidP="00ED3E9C">
      <w:pPr>
        <w:rPr>
          <w:rFonts w:eastAsiaTheme="minorEastAsia"/>
        </w:rPr>
      </w:pPr>
      <w:r w:rsidRPr="56EE322B">
        <w:rPr>
          <w:rFonts w:eastAsiaTheme="minorEastAsia"/>
        </w:rPr>
        <w:t xml:space="preserve">Efficient building services design can have a positive impact on future climate scenarios by reducing energy consumption and greenhouse gas emissions associated with buildings. </w:t>
      </w:r>
    </w:p>
    <w:p w14:paraId="2250B0BC" w14:textId="686A82C0" w:rsidR="00ED3E9C" w:rsidRDefault="00ED3E9C" w:rsidP="00ED3E9C">
      <w:pPr>
        <w:rPr>
          <w:rFonts w:eastAsiaTheme="minorEastAsia"/>
        </w:rPr>
      </w:pPr>
      <w:r w:rsidRPr="56EE322B">
        <w:rPr>
          <w:rFonts w:eastAsiaTheme="minorEastAsia"/>
        </w:rPr>
        <w:t>Climate change is primarily driven by the release of greenhouse gases such as carbon dioxide, methane, and nitrous oxide into the atmosphere, and buildings account for a significant portion of these emissions.</w:t>
      </w:r>
    </w:p>
    <w:p w14:paraId="0C98F40B" w14:textId="77777777" w:rsidR="00ED3E9C" w:rsidRDefault="00ED3E9C" w:rsidP="00ED3E9C">
      <w:pPr>
        <w:rPr>
          <w:rFonts w:eastAsiaTheme="minorEastAsia"/>
        </w:rPr>
      </w:pPr>
      <w:r w:rsidRPr="56EE322B">
        <w:rPr>
          <w:rFonts w:eastAsiaTheme="minorEastAsia"/>
        </w:rPr>
        <w:t xml:space="preserve"> When designing LHP, the aim will be to ensure that the building will operate as efficiently and sustainably as possible.</w:t>
      </w:r>
    </w:p>
    <w:p w14:paraId="62D6F202" w14:textId="77777777" w:rsidR="00ED3E9C" w:rsidRDefault="00ED3E9C" w:rsidP="00ED3E9C">
      <w:pPr>
        <w:pStyle w:val="NoSpacing"/>
      </w:pPr>
    </w:p>
    <w:p w14:paraId="6B0F106A" w14:textId="77777777" w:rsidR="00ED3E9C" w:rsidRPr="00991363" w:rsidRDefault="00ED3E9C" w:rsidP="00ED3E9C">
      <w:pPr>
        <w:pStyle w:val="Heading2"/>
      </w:pPr>
      <w:bookmarkStart w:id="234" w:name="_Toc213865255"/>
      <w:r>
        <w:t>VAT recovery</w:t>
      </w:r>
      <w:bookmarkEnd w:id="234"/>
    </w:p>
    <w:p w14:paraId="3BF59C9B" w14:textId="1CDD2E27" w:rsidR="00ED3E9C" w:rsidRDefault="00ED3E9C" w:rsidP="00ED3E9C">
      <w:pPr>
        <w:spacing w:line="228" w:lineRule="auto"/>
        <w:rPr>
          <w:rFonts w:eastAsiaTheme="minorEastAsia"/>
        </w:rPr>
      </w:pPr>
      <w:r>
        <w:rPr>
          <w:rFonts w:eastAsiaTheme="minorEastAsia"/>
        </w:rPr>
        <w:t>A</w:t>
      </w:r>
      <w:r w:rsidRPr="02ED6854">
        <w:rPr>
          <w:rFonts w:eastAsiaTheme="minorEastAsia"/>
        </w:rPr>
        <w:t xml:space="preserve"> VAT Advisor has not yet been engaged </w:t>
      </w:r>
      <w:r>
        <w:rPr>
          <w:rFonts w:eastAsiaTheme="minorEastAsia"/>
        </w:rPr>
        <w:t>f</w:t>
      </w:r>
      <w:r w:rsidRPr="02ED6854">
        <w:rPr>
          <w:rFonts w:eastAsiaTheme="minorEastAsia"/>
        </w:rPr>
        <w:t xml:space="preserve">or OBC </w:t>
      </w:r>
      <w:proofErr w:type="gramStart"/>
      <w:r>
        <w:rPr>
          <w:rFonts w:eastAsiaTheme="minorEastAsia"/>
        </w:rPr>
        <w:t>stage,</w:t>
      </w:r>
      <w:proofErr w:type="gramEnd"/>
      <w:r>
        <w:rPr>
          <w:rFonts w:eastAsiaTheme="minorEastAsia"/>
        </w:rPr>
        <w:t xml:space="preserve"> however the approach mirrors the advice given for the </w:t>
      </w:r>
      <w:r w:rsidR="00E56F77">
        <w:rPr>
          <w:rFonts w:eastAsiaTheme="minorEastAsia"/>
        </w:rPr>
        <w:t xml:space="preserve">Phase </w:t>
      </w:r>
      <w:r>
        <w:rPr>
          <w:rFonts w:eastAsiaTheme="minorEastAsia"/>
        </w:rPr>
        <w:t xml:space="preserve">1 FBC and assumes full recovery on professional fees but no recovery on </w:t>
      </w:r>
      <w:r w:rsidR="00E56F77">
        <w:rPr>
          <w:rFonts w:eastAsiaTheme="minorEastAsia"/>
        </w:rPr>
        <w:t>the</w:t>
      </w:r>
      <w:r>
        <w:rPr>
          <w:rFonts w:eastAsiaTheme="minorEastAsia"/>
        </w:rPr>
        <w:t xml:space="preserve"> building</w:t>
      </w:r>
      <w:r w:rsidR="00F338F9">
        <w:rPr>
          <w:rFonts w:eastAsiaTheme="minorEastAsia"/>
        </w:rPr>
        <w:t xml:space="preserve"> costs</w:t>
      </w:r>
      <w:r>
        <w:rPr>
          <w:rFonts w:eastAsiaTheme="minorEastAsia"/>
        </w:rPr>
        <w:t xml:space="preserve">.  </w:t>
      </w:r>
    </w:p>
    <w:p w14:paraId="5885C7F0" w14:textId="77777777" w:rsidR="00ED3E9C" w:rsidRDefault="00ED3E9C" w:rsidP="00ED3E9C">
      <w:pPr>
        <w:pStyle w:val="NoSpacing"/>
      </w:pPr>
    </w:p>
    <w:p w14:paraId="1F543607" w14:textId="77777777" w:rsidR="00ED3E9C" w:rsidRPr="00991363" w:rsidRDefault="00ED3E9C" w:rsidP="00ED3E9C">
      <w:pPr>
        <w:pStyle w:val="Heading2"/>
      </w:pPr>
      <w:bookmarkStart w:id="235" w:name="_Toc213865256"/>
      <w:r>
        <w:t>Interface</w:t>
      </w:r>
      <w:bookmarkEnd w:id="235"/>
    </w:p>
    <w:p w14:paraId="7CA97D56" w14:textId="77777777" w:rsidR="00ED3E9C" w:rsidRDefault="00ED3E9C" w:rsidP="00ED3E9C">
      <w:pPr>
        <w:spacing w:line="228" w:lineRule="auto"/>
        <w:rPr>
          <w:rFonts w:eastAsiaTheme="minorEastAsia"/>
        </w:rPr>
      </w:pPr>
      <w:r w:rsidRPr="02ED6854">
        <w:rPr>
          <w:rFonts w:eastAsiaTheme="minorEastAsia"/>
        </w:rPr>
        <w:t>The LHP finance representative has confirmed there is no interface between any NHS LIFT, PFI, PF2 or other PPP and there are no joint venture agreements/contracts already in place and therefore there are practical or contractual issues in the light of HM Government changes to the use of PFI in its various forms.</w:t>
      </w:r>
    </w:p>
    <w:p w14:paraId="0D3A416F" w14:textId="77777777" w:rsidR="00ED3E9C" w:rsidRDefault="00ED3E9C" w:rsidP="00ED3E9C">
      <w:pPr>
        <w:pStyle w:val="NoSpacing"/>
      </w:pPr>
    </w:p>
    <w:p w14:paraId="0EECF61A" w14:textId="77777777" w:rsidR="00ED3E9C" w:rsidRDefault="00ED3E9C" w:rsidP="00ED3E9C">
      <w:pPr>
        <w:pStyle w:val="Heading2"/>
      </w:pPr>
      <w:bookmarkStart w:id="236" w:name="_Toc213865257"/>
      <w:r>
        <w:t>Summary and conclusion</w:t>
      </w:r>
      <w:bookmarkEnd w:id="236"/>
    </w:p>
    <w:p w14:paraId="33A9EE75" w14:textId="77777777" w:rsidR="00ED3E9C" w:rsidRDefault="00ED3E9C" w:rsidP="00ED3E9C">
      <w:r>
        <w:t>Following a robust tender process, MTX have been appointed as the preferred contractor offering the most commercially advantageous tender, following both qualitative and financial appraisal.</w:t>
      </w:r>
    </w:p>
    <w:p w14:paraId="192DBC06" w14:textId="6C403D85" w:rsidR="00ED3E9C" w:rsidRPr="00F338F9" w:rsidRDefault="00ED3E9C" w:rsidP="00ED3E9C">
      <w:r w:rsidRPr="00F338F9">
        <w:t>Welsh Government approval for fees to FBC of £1.6</w:t>
      </w:r>
      <w:r w:rsidR="00F338F9" w:rsidRPr="00F338F9">
        <w:t>7</w:t>
      </w:r>
      <w:r w:rsidRPr="00F338F9">
        <w:t xml:space="preserve">M with £0.7M in 25/26 and the balance to be funded in 2026/27. </w:t>
      </w:r>
    </w:p>
    <w:p w14:paraId="0A92EA88" w14:textId="77777777" w:rsidR="00ED3E9C" w:rsidRDefault="00ED3E9C" w:rsidP="00ED3E9C"/>
    <w:p w14:paraId="4B476048" w14:textId="77777777" w:rsidR="007C1A96" w:rsidRDefault="007C1A96" w:rsidP="00FD47B2"/>
    <w:p w14:paraId="405B183C" w14:textId="77777777" w:rsidR="00A119B1" w:rsidRPr="00CB4ED1" w:rsidRDefault="00A119B1" w:rsidP="00FD47B2"/>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5E5DDD" w:rsidRPr="00CB4ED1" w14:paraId="1ACC8E22" w14:textId="77777777" w:rsidTr="005E5DDD">
        <w:trPr>
          <w:trHeight w:val="8505"/>
        </w:trPr>
        <w:tc>
          <w:tcPr>
            <w:tcW w:w="9628" w:type="dxa"/>
            <w:vAlign w:val="center"/>
          </w:tcPr>
          <w:p w14:paraId="3EE60EA4" w14:textId="77777777" w:rsidR="005E5DDD" w:rsidRPr="00CB4ED1" w:rsidRDefault="005E5DDD" w:rsidP="005E5DDD">
            <w:pPr>
              <w:pStyle w:val="Heading0"/>
            </w:pPr>
            <w:bookmarkStart w:id="237" w:name="_Toc213865258"/>
            <w:r w:rsidRPr="00CB4ED1">
              <w:lastRenderedPageBreak/>
              <w:t>Financial Case</w:t>
            </w:r>
            <w:bookmarkEnd w:id="237"/>
          </w:p>
        </w:tc>
      </w:tr>
    </w:tbl>
    <w:p w14:paraId="2E89151C" w14:textId="38D4DB87" w:rsidR="00067BA1" w:rsidRPr="00CB4ED1" w:rsidRDefault="008D1CE2" w:rsidP="002A4A4A">
      <w:pPr>
        <w:pStyle w:val="Heading1"/>
        <w:spacing w:after="240"/>
      </w:pPr>
      <w:bookmarkStart w:id="238" w:name="_Toc213865259"/>
      <w:r w:rsidRPr="00CB4ED1">
        <w:lastRenderedPageBreak/>
        <w:t xml:space="preserve">Financial </w:t>
      </w:r>
      <w:r w:rsidR="00DF73C0">
        <w:t>Case</w:t>
      </w:r>
      <w:bookmarkEnd w:id="238"/>
    </w:p>
    <w:p w14:paraId="734E0A7C" w14:textId="77777777" w:rsidR="009957B1" w:rsidRPr="006229F9" w:rsidRDefault="009957B1" w:rsidP="006229F9">
      <w:pPr>
        <w:pStyle w:val="Heading2"/>
        <w:numPr>
          <w:ilvl w:val="1"/>
          <w:numId w:val="48"/>
        </w:numPr>
      </w:pPr>
      <w:bookmarkStart w:id="239" w:name="_Toc456877287"/>
      <w:bookmarkStart w:id="240" w:name="_Toc99649082"/>
      <w:bookmarkStart w:id="241" w:name="_Toc213865260"/>
      <w:bookmarkStart w:id="242" w:name="_Ref456274228"/>
      <w:r w:rsidRPr="006229F9">
        <w:t>Introduction</w:t>
      </w:r>
      <w:bookmarkEnd w:id="239"/>
      <w:bookmarkEnd w:id="240"/>
      <w:bookmarkEnd w:id="241"/>
    </w:p>
    <w:bookmarkEnd w:id="242"/>
    <w:p w14:paraId="13F52DA9" w14:textId="77777777" w:rsidR="009957B1" w:rsidRDefault="009957B1" w:rsidP="009957B1">
      <w:r>
        <w:t>The purpose of the Financial Case is to outline the financial implications of the preferred option and assess affordability. As such it sets out the capital requirements and revenue consequences of the proposed scheme, along with underpinning assumptions. It outlines anticipated funding arrangements and the impact on the overall financial statements.</w:t>
      </w:r>
    </w:p>
    <w:p w14:paraId="3FE5748D" w14:textId="77777777" w:rsidR="009957B1" w:rsidRDefault="009957B1" w:rsidP="009957B1">
      <w:r>
        <w:t>As outlined in the Economic Case, the preferred option is an NHS-funded capital build for the Orthopaedic Surgical Hub at Llantrisant Health Park, delivering theatres and ward accommodation for high-volume, low-complexity arthroplasty procedures.</w:t>
      </w:r>
    </w:p>
    <w:p w14:paraId="60B51BFD" w14:textId="77777777" w:rsidR="009957B1" w:rsidRDefault="009957B1" w:rsidP="009957B1">
      <w:pPr>
        <w:pStyle w:val="NoSpacing"/>
      </w:pPr>
    </w:p>
    <w:p w14:paraId="1EFF9FCA" w14:textId="77777777" w:rsidR="009957B1" w:rsidRPr="006229F9" w:rsidRDefault="009957B1" w:rsidP="006229F9">
      <w:pPr>
        <w:pStyle w:val="Heading2"/>
        <w:numPr>
          <w:ilvl w:val="1"/>
          <w:numId w:val="48"/>
        </w:numPr>
      </w:pPr>
      <w:bookmarkStart w:id="243" w:name="_Toc363980671"/>
      <w:bookmarkStart w:id="244" w:name="_Toc99649083"/>
      <w:bookmarkStart w:id="245" w:name="_Toc158978018"/>
      <w:bookmarkStart w:id="246" w:name="_Toc213865261"/>
      <w:r w:rsidRPr="006229F9">
        <w:t>Capital costs and funding</w:t>
      </w:r>
      <w:bookmarkEnd w:id="243"/>
      <w:bookmarkEnd w:id="244"/>
      <w:bookmarkEnd w:id="245"/>
      <w:bookmarkEnd w:id="246"/>
    </w:p>
    <w:p w14:paraId="4FA1CAEB" w14:textId="77777777" w:rsidR="009957B1" w:rsidRPr="006229F9" w:rsidRDefault="009957B1" w:rsidP="006229F9">
      <w:pPr>
        <w:pStyle w:val="Heading3"/>
        <w:numPr>
          <w:ilvl w:val="2"/>
          <w:numId w:val="48"/>
        </w:numPr>
      </w:pPr>
      <w:r w:rsidRPr="006229F9">
        <w:t>Capital costs</w:t>
      </w:r>
    </w:p>
    <w:p w14:paraId="0CF27E9A" w14:textId="60C88DCA" w:rsidR="009957B1" w:rsidRDefault="009957B1" w:rsidP="009957B1">
      <w:r>
        <w:t>Delivery of the preferred option requires capital investment of £1</w:t>
      </w:r>
      <w:r w:rsidR="00733C10">
        <w:t>23</w:t>
      </w:r>
      <w:r>
        <w:t>.</w:t>
      </w:r>
      <w:r w:rsidR="00733C10">
        <w:t>6</w:t>
      </w:r>
      <w:r>
        <w:t xml:space="preserve">m in total. This is based on capital requirements prepared by the Health Board’s Cost Advisors, Mott Macdonald </w:t>
      </w:r>
      <w:r>
        <w:rPr>
          <w:rFonts w:cs="Arial"/>
        </w:rPr>
        <w:t>using the following assumptions:</w:t>
      </w:r>
    </w:p>
    <w:p w14:paraId="46BA08E9" w14:textId="3B21E8C7" w:rsidR="00A4119F" w:rsidRPr="00A4119F" w:rsidRDefault="009957B1" w:rsidP="00A4119F">
      <w:pPr>
        <w:pStyle w:val="bullets1"/>
        <w:numPr>
          <w:ilvl w:val="0"/>
          <w:numId w:val="49"/>
        </w:numPr>
        <w:tabs>
          <w:tab w:val="left" w:pos="720"/>
        </w:tabs>
        <w:spacing w:after="60"/>
      </w:pPr>
      <w:r>
        <w:t xml:space="preserve">Agreed Schedules of Accommodation and RIBA </w:t>
      </w:r>
      <w:r w:rsidR="00A4119F">
        <w:t>2</w:t>
      </w:r>
      <w:r>
        <w:t xml:space="preserve"> Order of Cost estimate.</w:t>
      </w:r>
    </w:p>
    <w:p w14:paraId="5A248F00" w14:textId="2CF9436F" w:rsidR="00A4119F" w:rsidRDefault="00A4119F" w:rsidP="002A4A4A">
      <w:pPr>
        <w:pStyle w:val="bullets1"/>
        <w:numPr>
          <w:ilvl w:val="0"/>
          <w:numId w:val="49"/>
        </w:numPr>
        <w:tabs>
          <w:tab w:val="left" w:pos="720"/>
        </w:tabs>
        <w:spacing w:after="60"/>
      </w:pPr>
      <w:r>
        <w:t xml:space="preserve">Due to the pace at which design has proceeded </w:t>
      </w:r>
      <w:proofErr w:type="gramStart"/>
      <w:r>
        <w:t>a number of</w:t>
      </w:r>
      <w:proofErr w:type="gramEnd"/>
      <w:r>
        <w:t xml:space="preserve"> drawings and design strategy information has not been available when formulating the costs.  This information will become available prior to WG OBC submission.  </w:t>
      </w:r>
      <w:proofErr w:type="gramStart"/>
      <w:r>
        <w:t>Therefore</w:t>
      </w:r>
      <w:proofErr w:type="gramEnd"/>
      <w:r>
        <w:t xml:space="preserve"> the costs included are as cost not to be exceeded.  The figure in the submitted OBC may differ from those in this business case but will not exceed it. </w:t>
      </w:r>
      <w:bookmarkStart w:id="247" w:name="_GoBack"/>
      <w:bookmarkEnd w:id="247"/>
    </w:p>
    <w:p w14:paraId="7C58BFA6" w14:textId="1EEBE107" w:rsidR="009957B1" w:rsidRDefault="009957B1" w:rsidP="002A4A4A">
      <w:pPr>
        <w:pStyle w:val="bullets1"/>
        <w:numPr>
          <w:ilvl w:val="0"/>
          <w:numId w:val="49"/>
        </w:numPr>
        <w:tabs>
          <w:tab w:val="left" w:pos="720"/>
        </w:tabs>
        <w:spacing w:after="60"/>
      </w:pPr>
      <w:r>
        <w:t>Proposed start on site September 2026 and proposed completion date of September 2028</w:t>
      </w:r>
      <w:r w:rsidR="00274658">
        <w:t>, with it officially opening at the start of January 2029</w:t>
      </w:r>
      <w:r w:rsidR="00F338F9">
        <w:t xml:space="preserve">, following a </w:t>
      </w:r>
      <w:proofErr w:type="gramStart"/>
      <w:r w:rsidR="00F338F9">
        <w:t>3 month</w:t>
      </w:r>
      <w:proofErr w:type="gramEnd"/>
      <w:r w:rsidR="00F338F9">
        <w:t xml:space="preserve"> commissioning phase</w:t>
      </w:r>
      <w:r>
        <w:t>.</w:t>
      </w:r>
    </w:p>
    <w:p w14:paraId="73BD4A79" w14:textId="77777777" w:rsidR="009957B1" w:rsidRDefault="009957B1" w:rsidP="002A4A4A">
      <w:pPr>
        <w:pStyle w:val="bullets1"/>
        <w:numPr>
          <w:ilvl w:val="0"/>
          <w:numId w:val="49"/>
        </w:numPr>
        <w:tabs>
          <w:tab w:val="left" w:pos="720"/>
        </w:tabs>
        <w:spacing w:after="60"/>
      </w:pPr>
      <w:r>
        <w:t>Works costs calculated using benchmarked rates suitable for South Wales (including Healthcare Premises Cost Guide) @ BCIS TPI updated 06/11/2025.</w:t>
      </w:r>
    </w:p>
    <w:p w14:paraId="3FDEF7DF" w14:textId="77777777" w:rsidR="009957B1" w:rsidRDefault="009957B1" w:rsidP="002A4A4A">
      <w:pPr>
        <w:pStyle w:val="bullets1"/>
        <w:numPr>
          <w:ilvl w:val="0"/>
          <w:numId w:val="49"/>
        </w:numPr>
        <w:tabs>
          <w:tab w:val="left" w:pos="720"/>
        </w:tabs>
        <w:spacing w:after="60"/>
      </w:pPr>
      <w:r>
        <w:t>Allowances for fees, equipment costs, planning contingency have been applied as appropriate.</w:t>
      </w:r>
    </w:p>
    <w:p w14:paraId="67D7FFD9" w14:textId="77777777" w:rsidR="009957B1" w:rsidRDefault="009957B1" w:rsidP="002A4A4A">
      <w:pPr>
        <w:pStyle w:val="bullets1"/>
        <w:numPr>
          <w:ilvl w:val="0"/>
          <w:numId w:val="49"/>
        </w:numPr>
        <w:tabs>
          <w:tab w:val="left" w:pos="720"/>
        </w:tabs>
        <w:spacing w:after="60"/>
      </w:pPr>
      <w:r>
        <w:t>No allowance for optimism bias has been applied at this stage. Given the early design maturity, significant unknowns remain around planning, structural, and sustainability requirements. Instead of applying a generic optimism bias, the estimate incorporates a quantified risk allowance (currently 12%, including contractor risk) to reflect these uncertainties. This approach will be reviewed and refined as design progresses.</w:t>
      </w:r>
    </w:p>
    <w:p w14:paraId="647F1FDE" w14:textId="7A851209" w:rsidR="009957B1" w:rsidRDefault="009957B1" w:rsidP="009957B1">
      <w:pPr>
        <w:pStyle w:val="bullets1"/>
        <w:numPr>
          <w:ilvl w:val="0"/>
          <w:numId w:val="49"/>
        </w:numPr>
        <w:tabs>
          <w:tab w:val="left" w:pos="720"/>
        </w:tabs>
      </w:pPr>
      <w:r>
        <w:t xml:space="preserve">VAT advisor advice will be sought on VAT recovery options before FBC. Currently all fees are forecast to be VAT recoverable. </w:t>
      </w:r>
    </w:p>
    <w:p w14:paraId="7BF66109" w14:textId="77777777" w:rsidR="009957B1" w:rsidRDefault="009957B1" w:rsidP="009957B1">
      <w:pPr>
        <w:pStyle w:val="NoSpacing"/>
      </w:pPr>
    </w:p>
    <w:p w14:paraId="35F58ADC" w14:textId="77777777" w:rsidR="009957B1" w:rsidRDefault="009957B1" w:rsidP="009957B1">
      <w:pPr>
        <w:rPr>
          <w:rFonts w:cs="Arial"/>
          <w:i/>
        </w:rPr>
      </w:pPr>
      <w:r>
        <w:rPr>
          <w:rFonts w:cs="Arial"/>
        </w:rPr>
        <w:t xml:space="preserve">The resulting capital costs estimates are summarised in the table below and a copy of the detailed capital cost forms are provided in </w:t>
      </w:r>
      <w:r w:rsidRPr="00F338F9">
        <w:rPr>
          <w:rFonts w:cs="Arial"/>
        </w:rPr>
        <w:t>Appendix 7.</w:t>
      </w:r>
    </w:p>
    <w:p w14:paraId="27DCE5AD" w14:textId="05A29A7D" w:rsidR="009957B1" w:rsidRDefault="009957B1" w:rsidP="009957B1">
      <w:pPr>
        <w:pStyle w:val="Caption"/>
        <w:rPr>
          <w:noProof w:val="0"/>
        </w:rPr>
      </w:pPr>
      <w:bookmarkStart w:id="248" w:name="_Toc213865305"/>
      <w:r>
        <w:rPr>
          <w:rStyle w:val="CaptionChar"/>
          <w:noProof w:val="0"/>
        </w:rPr>
        <w:t xml:space="preserve">Table </w:t>
      </w:r>
      <w:r>
        <w:fldChar w:fldCharType="begin"/>
      </w:r>
      <w:r>
        <w:rPr>
          <w:rStyle w:val="CaptionChar"/>
          <w:noProof w:val="0"/>
        </w:rPr>
        <w:instrText xml:space="preserve"> SEQ Table \* ARABIC </w:instrText>
      </w:r>
      <w:r>
        <w:fldChar w:fldCharType="separate"/>
      </w:r>
      <w:r w:rsidR="004A33ED">
        <w:rPr>
          <w:rStyle w:val="CaptionChar"/>
        </w:rPr>
        <w:t>25</w:t>
      </w:r>
      <w:r>
        <w:fldChar w:fldCharType="end"/>
      </w:r>
      <w:r>
        <w:rPr>
          <w:noProof w:val="0"/>
        </w:rPr>
        <w:t xml:space="preserve"> – Capital Costs</w:t>
      </w:r>
      <w:bookmarkEnd w:id="248"/>
    </w:p>
    <w:tbl>
      <w:tblPr>
        <w:tblW w:w="5000" w:type="pct"/>
        <w:tblInd w:w="-113" w:type="dxa"/>
        <w:tbl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insideH w:val="single" w:sz="4" w:space="0" w:color="BFBFBF" w:themeColor="accent6" w:themeShade="BF"/>
          <w:insideV w:val="single" w:sz="4" w:space="0" w:color="BFBFBF" w:themeColor="accent6" w:themeShade="BF"/>
        </w:tblBorders>
        <w:tblLayout w:type="fixed"/>
        <w:tblLook w:val="04A0" w:firstRow="1" w:lastRow="0" w:firstColumn="1" w:lastColumn="0" w:noHBand="0" w:noVBand="1"/>
      </w:tblPr>
      <w:tblGrid>
        <w:gridCol w:w="3589"/>
        <w:gridCol w:w="2013"/>
        <w:gridCol w:w="2013"/>
        <w:gridCol w:w="2013"/>
      </w:tblGrid>
      <w:tr w:rsidR="009957B1" w14:paraId="0E5DB220" w14:textId="77777777" w:rsidTr="009957B1">
        <w:trPr>
          <w:tblHeader/>
        </w:trPr>
        <w:tc>
          <w:tcPr>
            <w:tcW w:w="3589"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374264" w:themeFill="text2"/>
          </w:tcPr>
          <w:p w14:paraId="6063E9D3" w14:textId="77777777" w:rsidR="009957B1" w:rsidRDefault="009957B1">
            <w:pPr>
              <w:pStyle w:val="tabletext"/>
              <w:spacing w:line="256" w:lineRule="auto"/>
              <w:rPr>
                <w:b/>
                <w:bCs/>
                <w:color w:val="FFFFFF" w:themeColor="background1"/>
                <w:sz w:val="18"/>
                <w:szCs w:val="20"/>
              </w:rPr>
            </w:pP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374264" w:themeFill="text2"/>
            <w:hideMark/>
          </w:tcPr>
          <w:p w14:paraId="740E2488" w14:textId="77777777" w:rsidR="009957B1" w:rsidRDefault="009957B1">
            <w:pPr>
              <w:pStyle w:val="tabletext"/>
              <w:spacing w:line="256" w:lineRule="auto"/>
              <w:jc w:val="center"/>
              <w:rPr>
                <w:b/>
                <w:bCs/>
                <w:color w:val="FFFFFF" w:themeColor="background1"/>
                <w:sz w:val="18"/>
                <w:szCs w:val="20"/>
              </w:rPr>
            </w:pPr>
            <w:proofErr w:type="gramStart"/>
            <w:r>
              <w:rPr>
                <w:b/>
                <w:bCs/>
                <w:color w:val="FFFFFF" w:themeColor="background1"/>
                <w:sz w:val="18"/>
                <w:szCs w:val="20"/>
              </w:rPr>
              <w:t>Net  £</w:t>
            </w:r>
            <w:proofErr w:type="gramEnd"/>
            <w:r>
              <w:rPr>
                <w:b/>
                <w:bCs/>
                <w:color w:val="FFFFFF" w:themeColor="background1"/>
                <w:sz w:val="18"/>
                <w:szCs w:val="20"/>
              </w:rPr>
              <w:t>’000</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374264" w:themeFill="text2"/>
            <w:hideMark/>
          </w:tcPr>
          <w:p w14:paraId="5D9C704A" w14:textId="77777777" w:rsidR="009957B1" w:rsidRDefault="009957B1">
            <w:pPr>
              <w:pStyle w:val="tabletext"/>
              <w:spacing w:line="256" w:lineRule="auto"/>
              <w:jc w:val="center"/>
              <w:rPr>
                <w:b/>
                <w:bCs/>
                <w:color w:val="FFFFFF" w:themeColor="background1"/>
                <w:sz w:val="18"/>
                <w:szCs w:val="20"/>
              </w:rPr>
            </w:pPr>
            <w:proofErr w:type="gramStart"/>
            <w:r>
              <w:rPr>
                <w:b/>
                <w:bCs/>
                <w:color w:val="FFFFFF" w:themeColor="background1"/>
                <w:sz w:val="18"/>
                <w:szCs w:val="20"/>
              </w:rPr>
              <w:t>VAT  £</w:t>
            </w:r>
            <w:proofErr w:type="gramEnd"/>
            <w:r>
              <w:rPr>
                <w:b/>
                <w:bCs/>
                <w:color w:val="FFFFFF" w:themeColor="background1"/>
                <w:sz w:val="18"/>
                <w:szCs w:val="20"/>
              </w:rPr>
              <w:t>’000</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374264" w:themeFill="text2"/>
            <w:hideMark/>
          </w:tcPr>
          <w:p w14:paraId="558C9C86" w14:textId="77777777" w:rsidR="009957B1" w:rsidRDefault="009957B1">
            <w:pPr>
              <w:pStyle w:val="tabletext"/>
              <w:spacing w:line="256" w:lineRule="auto"/>
              <w:jc w:val="center"/>
              <w:rPr>
                <w:b/>
                <w:bCs/>
                <w:color w:val="FFFFFF" w:themeColor="background1"/>
                <w:sz w:val="18"/>
                <w:szCs w:val="20"/>
              </w:rPr>
            </w:pPr>
            <w:proofErr w:type="gramStart"/>
            <w:r>
              <w:rPr>
                <w:b/>
                <w:bCs/>
                <w:color w:val="FFFFFF" w:themeColor="background1"/>
                <w:sz w:val="18"/>
                <w:szCs w:val="20"/>
              </w:rPr>
              <w:t>Total  £</w:t>
            </w:r>
            <w:proofErr w:type="gramEnd"/>
            <w:r>
              <w:rPr>
                <w:b/>
                <w:bCs/>
                <w:color w:val="FFFFFF" w:themeColor="background1"/>
                <w:sz w:val="18"/>
                <w:szCs w:val="20"/>
              </w:rPr>
              <w:t>’000</w:t>
            </w:r>
          </w:p>
        </w:tc>
      </w:tr>
      <w:tr w:rsidR="009957B1" w14:paraId="48B801AA" w14:textId="77777777" w:rsidTr="009957B1">
        <w:tc>
          <w:tcPr>
            <w:tcW w:w="3589"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3B872940" w14:textId="77777777" w:rsidR="009957B1" w:rsidRDefault="009957B1">
            <w:pPr>
              <w:pStyle w:val="tabletext"/>
              <w:spacing w:line="256" w:lineRule="auto"/>
              <w:rPr>
                <w:sz w:val="18"/>
                <w:szCs w:val="18"/>
              </w:rPr>
            </w:pPr>
            <w:r>
              <w:rPr>
                <w:sz w:val="18"/>
                <w:szCs w:val="18"/>
              </w:rPr>
              <w:t>Construction Costs</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4B465BDC" w14:textId="70AB6A71" w:rsidR="009957B1" w:rsidRDefault="000D66B5">
            <w:pPr>
              <w:pStyle w:val="tabletext"/>
              <w:spacing w:line="256" w:lineRule="auto"/>
              <w:jc w:val="right"/>
              <w:rPr>
                <w:sz w:val="18"/>
                <w:szCs w:val="18"/>
              </w:rPr>
            </w:pPr>
            <w:r>
              <w:rPr>
                <w:sz w:val="18"/>
                <w:szCs w:val="18"/>
              </w:rPr>
              <w:t>70,924</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653ED811" w14:textId="6C5C3064" w:rsidR="009957B1" w:rsidRDefault="009957B1">
            <w:pPr>
              <w:pStyle w:val="tabletext"/>
              <w:spacing w:line="256" w:lineRule="auto"/>
              <w:jc w:val="right"/>
              <w:rPr>
                <w:sz w:val="18"/>
                <w:szCs w:val="18"/>
              </w:rPr>
            </w:pPr>
            <w:r>
              <w:rPr>
                <w:sz w:val="18"/>
                <w:szCs w:val="18"/>
              </w:rPr>
              <w:t>1</w:t>
            </w:r>
            <w:r w:rsidR="000D66B5">
              <w:rPr>
                <w:sz w:val="18"/>
                <w:szCs w:val="18"/>
              </w:rPr>
              <w:t>4</w:t>
            </w:r>
            <w:r>
              <w:rPr>
                <w:sz w:val="18"/>
                <w:szCs w:val="18"/>
              </w:rPr>
              <w:t>,</w:t>
            </w:r>
            <w:r w:rsidR="000D66B5">
              <w:rPr>
                <w:sz w:val="18"/>
                <w:szCs w:val="18"/>
              </w:rPr>
              <w:t>185</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36F3F984" w14:textId="13082CBE" w:rsidR="009957B1" w:rsidRDefault="000D66B5">
            <w:pPr>
              <w:pStyle w:val="tabletext"/>
              <w:spacing w:line="256" w:lineRule="auto"/>
              <w:jc w:val="right"/>
              <w:rPr>
                <w:sz w:val="18"/>
                <w:szCs w:val="18"/>
              </w:rPr>
            </w:pPr>
            <w:r>
              <w:rPr>
                <w:sz w:val="18"/>
                <w:szCs w:val="18"/>
              </w:rPr>
              <w:t>8</w:t>
            </w:r>
            <w:r w:rsidR="009957B1">
              <w:rPr>
                <w:sz w:val="18"/>
                <w:szCs w:val="18"/>
              </w:rPr>
              <w:t>5,</w:t>
            </w:r>
            <w:r>
              <w:rPr>
                <w:sz w:val="18"/>
                <w:szCs w:val="18"/>
              </w:rPr>
              <w:t>109</w:t>
            </w:r>
          </w:p>
        </w:tc>
      </w:tr>
      <w:tr w:rsidR="009957B1" w14:paraId="28DA6F53" w14:textId="77777777" w:rsidTr="009957B1">
        <w:tc>
          <w:tcPr>
            <w:tcW w:w="3589"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6249FE3" w14:textId="77777777" w:rsidR="009957B1" w:rsidRDefault="009957B1">
            <w:pPr>
              <w:pStyle w:val="tabletext"/>
              <w:spacing w:line="256" w:lineRule="auto"/>
              <w:rPr>
                <w:sz w:val="18"/>
                <w:szCs w:val="18"/>
              </w:rPr>
            </w:pPr>
            <w:r>
              <w:rPr>
                <w:sz w:val="18"/>
                <w:szCs w:val="18"/>
              </w:rPr>
              <w:t>Project Fees</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616AC18" w14:textId="5FA924CD" w:rsidR="009957B1" w:rsidRDefault="000D66B5">
            <w:pPr>
              <w:pStyle w:val="tabletext"/>
              <w:spacing w:line="256" w:lineRule="auto"/>
              <w:jc w:val="right"/>
              <w:rPr>
                <w:sz w:val="18"/>
                <w:szCs w:val="18"/>
              </w:rPr>
            </w:pPr>
            <w:r>
              <w:rPr>
                <w:sz w:val="18"/>
                <w:szCs w:val="18"/>
              </w:rPr>
              <w:t>8,357</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3ED4EC63" w14:textId="15CC74CA" w:rsidR="009957B1" w:rsidRDefault="009957B1">
            <w:pPr>
              <w:pStyle w:val="tabletext"/>
              <w:spacing w:line="256" w:lineRule="auto"/>
              <w:jc w:val="right"/>
              <w:rPr>
                <w:sz w:val="18"/>
                <w:szCs w:val="18"/>
              </w:rPr>
            </w:pPr>
            <w:r>
              <w:rPr>
                <w:sz w:val="18"/>
                <w:szCs w:val="18"/>
              </w:rPr>
              <w:t>1,</w:t>
            </w:r>
            <w:r w:rsidR="000D66B5">
              <w:rPr>
                <w:sz w:val="18"/>
                <w:szCs w:val="18"/>
              </w:rPr>
              <w:t>671</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097D5960" w14:textId="32F97A4E" w:rsidR="009957B1" w:rsidRDefault="009957B1">
            <w:pPr>
              <w:pStyle w:val="tabletext"/>
              <w:spacing w:line="256" w:lineRule="auto"/>
              <w:jc w:val="right"/>
              <w:rPr>
                <w:sz w:val="18"/>
                <w:szCs w:val="18"/>
              </w:rPr>
            </w:pPr>
            <w:r>
              <w:rPr>
                <w:sz w:val="18"/>
                <w:szCs w:val="18"/>
              </w:rPr>
              <w:t>10,</w:t>
            </w:r>
            <w:r w:rsidR="000D66B5">
              <w:rPr>
                <w:sz w:val="18"/>
                <w:szCs w:val="18"/>
              </w:rPr>
              <w:t>028</w:t>
            </w:r>
          </w:p>
        </w:tc>
      </w:tr>
      <w:tr w:rsidR="009957B1" w14:paraId="64BF495D" w14:textId="77777777" w:rsidTr="009957B1">
        <w:tc>
          <w:tcPr>
            <w:tcW w:w="3589"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EED8683" w14:textId="77777777" w:rsidR="009957B1" w:rsidRDefault="009957B1">
            <w:pPr>
              <w:pStyle w:val="tabletext"/>
              <w:spacing w:line="256" w:lineRule="auto"/>
              <w:rPr>
                <w:sz w:val="18"/>
                <w:szCs w:val="18"/>
              </w:rPr>
            </w:pPr>
            <w:r>
              <w:rPr>
                <w:sz w:val="18"/>
                <w:szCs w:val="18"/>
              </w:rPr>
              <w:t>Non-Works</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94E34BE" w14:textId="5039175D" w:rsidR="009957B1" w:rsidRDefault="000D66B5">
            <w:pPr>
              <w:pStyle w:val="tabletext"/>
              <w:spacing w:line="256" w:lineRule="auto"/>
              <w:jc w:val="right"/>
              <w:rPr>
                <w:sz w:val="18"/>
                <w:szCs w:val="18"/>
              </w:rPr>
            </w:pPr>
            <w:r>
              <w:rPr>
                <w:sz w:val="18"/>
                <w:szCs w:val="18"/>
              </w:rPr>
              <w:t>185</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284A3F1B" w14:textId="77777777" w:rsidR="009957B1" w:rsidRDefault="009957B1">
            <w:pPr>
              <w:pStyle w:val="tabletext"/>
              <w:spacing w:line="256" w:lineRule="auto"/>
              <w:jc w:val="right"/>
              <w:rPr>
                <w:sz w:val="18"/>
                <w:szCs w:val="18"/>
              </w:rPr>
            </w:pPr>
            <w:r>
              <w:rPr>
                <w:sz w:val="18"/>
                <w:szCs w:val="18"/>
              </w:rPr>
              <w:t>37</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4363BFBB" w14:textId="77777777" w:rsidR="009957B1" w:rsidRDefault="009957B1">
            <w:pPr>
              <w:pStyle w:val="tabletext"/>
              <w:spacing w:line="256" w:lineRule="auto"/>
              <w:jc w:val="right"/>
              <w:rPr>
                <w:sz w:val="18"/>
                <w:szCs w:val="18"/>
              </w:rPr>
            </w:pPr>
            <w:r>
              <w:rPr>
                <w:sz w:val="18"/>
                <w:szCs w:val="18"/>
              </w:rPr>
              <w:t>222</w:t>
            </w:r>
          </w:p>
        </w:tc>
      </w:tr>
      <w:tr w:rsidR="009957B1" w14:paraId="23312E14" w14:textId="77777777" w:rsidTr="009957B1">
        <w:tc>
          <w:tcPr>
            <w:tcW w:w="3589"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196E6C39" w14:textId="77777777" w:rsidR="009957B1" w:rsidRDefault="009957B1">
            <w:pPr>
              <w:pStyle w:val="tabletext"/>
              <w:spacing w:line="256" w:lineRule="auto"/>
              <w:rPr>
                <w:sz w:val="18"/>
                <w:szCs w:val="18"/>
              </w:rPr>
            </w:pPr>
            <w:r>
              <w:rPr>
                <w:sz w:val="18"/>
                <w:szCs w:val="18"/>
              </w:rPr>
              <w:t>Equipment Costs</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3C3A8EB7" w14:textId="77777777" w:rsidR="009957B1" w:rsidRDefault="009957B1">
            <w:pPr>
              <w:pStyle w:val="tabletext"/>
              <w:spacing w:line="256" w:lineRule="auto"/>
              <w:jc w:val="right"/>
              <w:rPr>
                <w:rFonts w:cs="Arial"/>
                <w:sz w:val="18"/>
                <w:szCs w:val="18"/>
              </w:rPr>
            </w:pPr>
            <w:r>
              <w:rPr>
                <w:sz w:val="18"/>
                <w:szCs w:val="18"/>
              </w:rPr>
              <w:t>9,805</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2D81CB50" w14:textId="77777777" w:rsidR="009957B1" w:rsidRDefault="009957B1">
            <w:pPr>
              <w:pStyle w:val="tabletext"/>
              <w:spacing w:line="256" w:lineRule="auto"/>
              <w:jc w:val="right"/>
              <w:rPr>
                <w:rFonts w:cs="Arial"/>
                <w:sz w:val="18"/>
                <w:szCs w:val="18"/>
              </w:rPr>
            </w:pPr>
            <w:r>
              <w:rPr>
                <w:sz w:val="18"/>
                <w:szCs w:val="18"/>
              </w:rPr>
              <w:t>1,961</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676184D1" w14:textId="77777777" w:rsidR="009957B1" w:rsidRDefault="009957B1">
            <w:pPr>
              <w:pStyle w:val="tabletext"/>
              <w:spacing w:line="256" w:lineRule="auto"/>
              <w:jc w:val="right"/>
              <w:rPr>
                <w:rFonts w:cs="Arial"/>
                <w:sz w:val="18"/>
                <w:szCs w:val="18"/>
              </w:rPr>
            </w:pPr>
            <w:r>
              <w:rPr>
                <w:sz w:val="18"/>
                <w:szCs w:val="18"/>
              </w:rPr>
              <w:t>11,766</w:t>
            </w:r>
          </w:p>
        </w:tc>
      </w:tr>
      <w:tr w:rsidR="009957B1" w14:paraId="64AE3896" w14:textId="77777777" w:rsidTr="009957B1">
        <w:tc>
          <w:tcPr>
            <w:tcW w:w="3589"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30C17B2D" w14:textId="77777777" w:rsidR="009957B1" w:rsidRDefault="009957B1">
            <w:pPr>
              <w:pStyle w:val="tabletext"/>
              <w:spacing w:line="256" w:lineRule="auto"/>
              <w:rPr>
                <w:sz w:val="18"/>
                <w:szCs w:val="18"/>
              </w:rPr>
            </w:pPr>
            <w:r>
              <w:rPr>
                <w:sz w:val="18"/>
                <w:szCs w:val="18"/>
              </w:rPr>
              <w:t xml:space="preserve">Planning Contingency </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099F32E2" w14:textId="0219D4B5" w:rsidR="009957B1" w:rsidRDefault="009957B1">
            <w:pPr>
              <w:pStyle w:val="tabletext"/>
              <w:spacing w:line="256" w:lineRule="auto"/>
              <w:jc w:val="right"/>
              <w:rPr>
                <w:sz w:val="18"/>
                <w:szCs w:val="18"/>
              </w:rPr>
            </w:pPr>
            <w:r>
              <w:rPr>
                <w:sz w:val="18"/>
                <w:szCs w:val="18"/>
              </w:rPr>
              <w:t>9,</w:t>
            </w:r>
            <w:r w:rsidR="000D66B5">
              <w:rPr>
                <w:sz w:val="18"/>
                <w:szCs w:val="18"/>
              </w:rPr>
              <w:t>800</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3B6FD128" w14:textId="46C2BD94" w:rsidR="009957B1" w:rsidRDefault="009957B1">
            <w:pPr>
              <w:pStyle w:val="tabletext"/>
              <w:spacing w:line="256" w:lineRule="auto"/>
              <w:jc w:val="right"/>
              <w:rPr>
                <w:sz w:val="18"/>
                <w:szCs w:val="18"/>
              </w:rPr>
            </w:pPr>
            <w:r>
              <w:rPr>
                <w:sz w:val="18"/>
                <w:szCs w:val="18"/>
              </w:rPr>
              <w:t>1,9</w:t>
            </w:r>
            <w:r w:rsidR="000D66B5">
              <w:rPr>
                <w:sz w:val="18"/>
                <w:szCs w:val="18"/>
              </w:rPr>
              <w:t>60</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4BB7C931" w14:textId="3A3B7199" w:rsidR="009957B1" w:rsidRDefault="009957B1">
            <w:pPr>
              <w:pStyle w:val="tabletext"/>
              <w:spacing w:line="256" w:lineRule="auto"/>
              <w:jc w:val="right"/>
              <w:rPr>
                <w:sz w:val="18"/>
                <w:szCs w:val="18"/>
              </w:rPr>
            </w:pPr>
            <w:r>
              <w:rPr>
                <w:sz w:val="18"/>
                <w:szCs w:val="18"/>
              </w:rPr>
              <w:t>11,</w:t>
            </w:r>
            <w:r w:rsidR="000D66B5">
              <w:rPr>
                <w:sz w:val="18"/>
                <w:szCs w:val="18"/>
              </w:rPr>
              <w:t>760</w:t>
            </w:r>
          </w:p>
        </w:tc>
      </w:tr>
      <w:tr w:rsidR="009957B1" w14:paraId="249FC67A" w14:textId="77777777" w:rsidTr="009957B1">
        <w:tc>
          <w:tcPr>
            <w:tcW w:w="3589"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0ABDBFE4" w14:textId="77777777" w:rsidR="009957B1" w:rsidRDefault="009957B1">
            <w:pPr>
              <w:pStyle w:val="tabletext"/>
              <w:spacing w:line="256" w:lineRule="auto"/>
              <w:rPr>
                <w:sz w:val="18"/>
                <w:szCs w:val="18"/>
              </w:rPr>
            </w:pPr>
            <w:r>
              <w:rPr>
                <w:sz w:val="18"/>
                <w:szCs w:val="18"/>
              </w:rPr>
              <w:lastRenderedPageBreak/>
              <w:t xml:space="preserve">Inflation </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2C7748CC" w14:textId="1E7333EA" w:rsidR="009957B1" w:rsidRDefault="000D66B5">
            <w:pPr>
              <w:pStyle w:val="tabletext"/>
              <w:spacing w:line="256" w:lineRule="auto"/>
              <w:jc w:val="right"/>
              <w:rPr>
                <w:sz w:val="18"/>
                <w:szCs w:val="18"/>
              </w:rPr>
            </w:pPr>
            <w:r>
              <w:rPr>
                <w:sz w:val="18"/>
                <w:szCs w:val="18"/>
              </w:rPr>
              <w:t>5,104</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77309212" w14:textId="6F54ACB9" w:rsidR="009957B1" w:rsidRDefault="000D66B5">
            <w:pPr>
              <w:pStyle w:val="tabletext"/>
              <w:spacing w:line="256" w:lineRule="auto"/>
              <w:jc w:val="right"/>
              <w:rPr>
                <w:sz w:val="18"/>
                <w:szCs w:val="18"/>
              </w:rPr>
            </w:pPr>
            <w:r>
              <w:rPr>
                <w:sz w:val="18"/>
                <w:szCs w:val="18"/>
              </w:rPr>
              <w:t>1,020</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1D60C62F" w14:textId="42A5425A" w:rsidR="009957B1" w:rsidRDefault="000D66B5">
            <w:pPr>
              <w:pStyle w:val="tabletext"/>
              <w:spacing w:line="256" w:lineRule="auto"/>
              <w:jc w:val="right"/>
              <w:rPr>
                <w:sz w:val="18"/>
                <w:szCs w:val="18"/>
              </w:rPr>
            </w:pPr>
            <w:r>
              <w:rPr>
                <w:sz w:val="18"/>
                <w:szCs w:val="18"/>
              </w:rPr>
              <w:t>6,125</w:t>
            </w:r>
          </w:p>
        </w:tc>
      </w:tr>
      <w:tr w:rsidR="009957B1" w14:paraId="76F2C42B" w14:textId="77777777" w:rsidTr="009957B1">
        <w:tc>
          <w:tcPr>
            <w:tcW w:w="3589"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F2F2F2" w:themeFill="background1" w:themeFillShade="F2"/>
            <w:hideMark/>
          </w:tcPr>
          <w:p w14:paraId="208E0226" w14:textId="77777777" w:rsidR="009957B1" w:rsidRDefault="009957B1">
            <w:pPr>
              <w:pStyle w:val="tabletext"/>
              <w:spacing w:line="256" w:lineRule="auto"/>
              <w:rPr>
                <w:b/>
                <w:bCs/>
                <w:sz w:val="18"/>
                <w:szCs w:val="18"/>
              </w:rPr>
            </w:pPr>
            <w:r>
              <w:rPr>
                <w:sz w:val="18"/>
                <w:szCs w:val="18"/>
              </w:rPr>
              <w:t>Subtotal</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F2F2F2" w:themeFill="background1" w:themeFillShade="F2"/>
            <w:hideMark/>
          </w:tcPr>
          <w:p w14:paraId="02F53EC1" w14:textId="3361FFF2" w:rsidR="009957B1" w:rsidRDefault="000D66B5">
            <w:pPr>
              <w:pStyle w:val="tabletext"/>
              <w:spacing w:line="256" w:lineRule="auto"/>
              <w:jc w:val="right"/>
              <w:rPr>
                <w:b/>
                <w:bCs/>
                <w:sz w:val="18"/>
                <w:szCs w:val="18"/>
              </w:rPr>
            </w:pPr>
            <w:r>
              <w:rPr>
                <w:sz w:val="18"/>
                <w:szCs w:val="18"/>
              </w:rPr>
              <w:t>104,175</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F2F2F2" w:themeFill="background1" w:themeFillShade="F2"/>
            <w:hideMark/>
          </w:tcPr>
          <w:p w14:paraId="15752884" w14:textId="27DF7557" w:rsidR="009957B1" w:rsidRDefault="000D66B5">
            <w:pPr>
              <w:pStyle w:val="tabletext"/>
              <w:spacing w:line="256" w:lineRule="auto"/>
              <w:jc w:val="right"/>
              <w:rPr>
                <w:b/>
                <w:bCs/>
                <w:sz w:val="18"/>
                <w:szCs w:val="18"/>
              </w:rPr>
            </w:pPr>
            <w:r>
              <w:rPr>
                <w:sz w:val="18"/>
                <w:szCs w:val="18"/>
              </w:rPr>
              <w:t>20,835</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F2F2F2" w:themeFill="background1" w:themeFillShade="F2"/>
            <w:hideMark/>
          </w:tcPr>
          <w:p w14:paraId="4A9FFE7C" w14:textId="30A53216" w:rsidR="009957B1" w:rsidRDefault="000D66B5">
            <w:pPr>
              <w:pStyle w:val="tabletext"/>
              <w:spacing w:line="256" w:lineRule="auto"/>
              <w:jc w:val="right"/>
              <w:rPr>
                <w:b/>
                <w:bCs/>
                <w:sz w:val="18"/>
                <w:szCs w:val="18"/>
              </w:rPr>
            </w:pPr>
            <w:r>
              <w:rPr>
                <w:sz w:val="18"/>
                <w:szCs w:val="18"/>
              </w:rPr>
              <w:t>125,010</w:t>
            </w:r>
          </w:p>
        </w:tc>
      </w:tr>
      <w:tr w:rsidR="009957B1" w14:paraId="0644107B" w14:textId="77777777" w:rsidTr="009957B1">
        <w:tc>
          <w:tcPr>
            <w:tcW w:w="3589"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A5C9FC1" w14:textId="77777777" w:rsidR="009957B1" w:rsidRDefault="009957B1">
            <w:pPr>
              <w:pStyle w:val="tabletext"/>
              <w:spacing w:line="256" w:lineRule="auto"/>
              <w:rPr>
                <w:sz w:val="18"/>
                <w:szCs w:val="18"/>
              </w:rPr>
            </w:pPr>
            <w:r>
              <w:rPr>
                <w:sz w:val="18"/>
                <w:szCs w:val="18"/>
              </w:rPr>
              <w:t>Less: Recoverable VAT</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2E698BF3" w14:textId="77777777" w:rsidR="009957B1" w:rsidRDefault="009957B1">
            <w:pPr>
              <w:pStyle w:val="tabletext"/>
              <w:spacing w:line="256" w:lineRule="auto"/>
              <w:jc w:val="right"/>
              <w:rPr>
                <w:sz w:val="18"/>
                <w:szCs w:val="18"/>
              </w:rPr>
            </w:pPr>
            <w:r>
              <w:rPr>
                <w:sz w:val="18"/>
                <w:szCs w:val="18"/>
              </w:rPr>
              <w:t>0</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222AC524" w14:textId="048FBBBB" w:rsidR="009957B1" w:rsidRDefault="009957B1">
            <w:pPr>
              <w:pStyle w:val="tabletext"/>
              <w:spacing w:line="256" w:lineRule="auto"/>
              <w:jc w:val="right"/>
              <w:rPr>
                <w:sz w:val="18"/>
                <w:szCs w:val="18"/>
              </w:rPr>
            </w:pPr>
            <w:r>
              <w:rPr>
                <w:sz w:val="18"/>
                <w:szCs w:val="18"/>
              </w:rPr>
              <w:t>-1</w:t>
            </w:r>
            <w:r w:rsidR="000D66B5">
              <w:rPr>
                <w:sz w:val="18"/>
                <w:szCs w:val="18"/>
              </w:rPr>
              <w:t>,381</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DD9C414" w14:textId="77777777" w:rsidR="009957B1" w:rsidRDefault="009957B1">
            <w:pPr>
              <w:pStyle w:val="tabletext"/>
              <w:spacing w:line="256" w:lineRule="auto"/>
              <w:jc w:val="right"/>
              <w:rPr>
                <w:sz w:val="18"/>
                <w:szCs w:val="18"/>
              </w:rPr>
            </w:pPr>
            <w:r>
              <w:rPr>
                <w:sz w:val="18"/>
                <w:szCs w:val="18"/>
              </w:rPr>
              <w:t>-1,724</w:t>
            </w:r>
          </w:p>
        </w:tc>
      </w:tr>
      <w:tr w:rsidR="009957B1" w14:paraId="7DDC8192" w14:textId="77777777" w:rsidTr="009957B1">
        <w:tc>
          <w:tcPr>
            <w:tcW w:w="3589"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1D6E5" w:themeFill="text2" w:themeFillTint="33"/>
            <w:hideMark/>
          </w:tcPr>
          <w:p w14:paraId="7C38F0A8" w14:textId="77777777" w:rsidR="009957B1" w:rsidRDefault="009957B1">
            <w:pPr>
              <w:pStyle w:val="tabletext"/>
              <w:spacing w:line="256" w:lineRule="auto"/>
              <w:rPr>
                <w:b/>
                <w:bCs/>
                <w:sz w:val="18"/>
                <w:szCs w:val="18"/>
              </w:rPr>
            </w:pPr>
            <w:r>
              <w:rPr>
                <w:sz w:val="18"/>
                <w:szCs w:val="18"/>
              </w:rPr>
              <w:t>Total capital costs</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1D6E5" w:themeFill="text2" w:themeFillTint="33"/>
            <w:hideMark/>
          </w:tcPr>
          <w:p w14:paraId="2F756327" w14:textId="4811BD13" w:rsidR="009957B1" w:rsidRDefault="000D66B5">
            <w:pPr>
              <w:pStyle w:val="tabletext"/>
              <w:spacing w:line="256" w:lineRule="auto"/>
              <w:jc w:val="right"/>
              <w:rPr>
                <w:b/>
                <w:bCs/>
                <w:sz w:val="18"/>
                <w:szCs w:val="18"/>
              </w:rPr>
            </w:pPr>
            <w:r>
              <w:rPr>
                <w:sz w:val="18"/>
                <w:szCs w:val="18"/>
              </w:rPr>
              <w:t>104,175</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1D6E5" w:themeFill="text2" w:themeFillTint="33"/>
            <w:hideMark/>
          </w:tcPr>
          <w:p w14:paraId="4569AE67" w14:textId="7E1598A3" w:rsidR="009957B1" w:rsidRDefault="000D66B5">
            <w:pPr>
              <w:pStyle w:val="tabletext"/>
              <w:spacing w:line="256" w:lineRule="auto"/>
              <w:jc w:val="right"/>
              <w:rPr>
                <w:b/>
                <w:sz w:val="18"/>
                <w:szCs w:val="18"/>
              </w:rPr>
            </w:pPr>
            <w:r>
              <w:rPr>
                <w:sz w:val="18"/>
                <w:szCs w:val="18"/>
              </w:rPr>
              <w:t>19,454</w:t>
            </w:r>
          </w:p>
        </w:tc>
        <w:tc>
          <w:tcPr>
            <w:tcW w:w="2013"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1D6E5" w:themeFill="text2" w:themeFillTint="33"/>
            <w:hideMark/>
          </w:tcPr>
          <w:p w14:paraId="02547A17" w14:textId="57F5897A" w:rsidR="009957B1" w:rsidRDefault="000D66B5">
            <w:pPr>
              <w:pStyle w:val="tabletext"/>
              <w:spacing w:line="256" w:lineRule="auto"/>
              <w:jc w:val="right"/>
              <w:rPr>
                <w:b/>
                <w:sz w:val="18"/>
                <w:szCs w:val="18"/>
              </w:rPr>
            </w:pPr>
            <w:r>
              <w:rPr>
                <w:sz w:val="18"/>
                <w:szCs w:val="18"/>
              </w:rPr>
              <w:t>123,629</w:t>
            </w:r>
          </w:p>
        </w:tc>
      </w:tr>
    </w:tbl>
    <w:p w14:paraId="7D13C0F9" w14:textId="77777777" w:rsidR="009957B1" w:rsidRPr="002A4A4A" w:rsidRDefault="009957B1" w:rsidP="002A4A4A">
      <w:pPr>
        <w:pStyle w:val="Heading3"/>
        <w:numPr>
          <w:ilvl w:val="2"/>
          <w:numId w:val="48"/>
        </w:numPr>
      </w:pPr>
      <w:r w:rsidRPr="002A4A4A">
        <w:t>Funding requirements</w:t>
      </w:r>
    </w:p>
    <w:p w14:paraId="7D0D9B08" w14:textId="358BD28B" w:rsidR="009957B1" w:rsidRDefault="00F338F9" w:rsidP="002A4A4A">
      <w:r>
        <w:t xml:space="preserve">Funding of £1.934M has been received to date.  Further </w:t>
      </w:r>
      <w:r w:rsidR="009957B1" w:rsidRPr="002A4A4A">
        <w:t>Funding of £1</w:t>
      </w:r>
      <w:r w:rsidR="00594F32">
        <w:t>21</w:t>
      </w:r>
      <w:r w:rsidR="009957B1" w:rsidRPr="002A4A4A">
        <w:t>.</w:t>
      </w:r>
      <w:r w:rsidR="00594F32">
        <w:t>7</w:t>
      </w:r>
      <w:r w:rsidR="009957B1" w:rsidRPr="002A4A4A">
        <w:t>m is requested from Welsh Government which includes:</w:t>
      </w:r>
    </w:p>
    <w:tbl>
      <w:tblPr>
        <w:tblW w:w="5100" w:type="pct"/>
        <w:tblInd w:w="-113" w:type="dxa"/>
        <w:tblLayout w:type="fixed"/>
        <w:tblLook w:val="04A0" w:firstRow="1" w:lastRow="0" w:firstColumn="1" w:lastColumn="0" w:noHBand="0" w:noVBand="1"/>
      </w:tblPr>
      <w:tblGrid>
        <w:gridCol w:w="3232"/>
        <w:gridCol w:w="6599"/>
      </w:tblGrid>
      <w:tr w:rsidR="002A4A4A" w:rsidRPr="00F2076E" w14:paraId="705B071A" w14:textId="77777777" w:rsidTr="002A4A4A">
        <w:tc>
          <w:tcPr>
            <w:tcW w:w="3232" w:type="dxa"/>
          </w:tcPr>
          <w:p w14:paraId="48672464" w14:textId="799D10B7" w:rsidR="002A4A4A" w:rsidRPr="00F2076E" w:rsidRDefault="002A4A4A" w:rsidP="00F338F9">
            <w:pPr>
              <w:pStyle w:val="bullets1"/>
              <w:numPr>
                <w:ilvl w:val="0"/>
                <w:numId w:val="0"/>
              </w:numPr>
              <w:ind w:left="284"/>
            </w:pPr>
          </w:p>
        </w:tc>
        <w:tc>
          <w:tcPr>
            <w:tcW w:w="6599" w:type="dxa"/>
          </w:tcPr>
          <w:p w14:paraId="2BE542FD" w14:textId="30EA4745" w:rsidR="002A4A4A" w:rsidRDefault="002A4A4A" w:rsidP="002A4A4A">
            <w:pPr>
              <w:pStyle w:val="bullets1"/>
            </w:pPr>
            <w:r>
              <w:t>RIBA 4 fees - £</w:t>
            </w:r>
            <w:r w:rsidR="00F338F9">
              <w:t>1</w:t>
            </w:r>
            <w:r>
              <w:t>.</w:t>
            </w:r>
            <w:r w:rsidR="00F338F9">
              <w:t>67</w:t>
            </w:r>
            <w:r>
              <w:t>m</w:t>
            </w:r>
          </w:p>
          <w:p w14:paraId="37EBE91E" w14:textId="06236CE5" w:rsidR="002A4A4A" w:rsidRPr="00F2076E" w:rsidRDefault="002A4A4A" w:rsidP="002A4A4A">
            <w:pPr>
              <w:pStyle w:val="bullets1"/>
            </w:pPr>
            <w:r>
              <w:t>Construction - £1</w:t>
            </w:r>
            <w:r w:rsidR="00594F32">
              <w:t>2</w:t>
            </w:r>
            <w:r w:rsidR="00F338F9">
              <w:t>0</w:t>
            </w:r>
            <w:r>
              <w:t>m</w:t>
            </w:r>
          </w:p>
        </w:tc>
      </w:tr>
    </w:tbl>
    <w:p w14:paraId="1C0B9F01" w14:textId="77777777" w:rsidR="009957B1" w:rsidRDefault="009957B1" w:rsidP="009957B1">
      <w:pPr>
        <w:pStyle w:val="NoSpacing"/>
      </w:pPr>
    </w:p>
    <w:p w14:paraId="04DF9AF9" w14:textId="4B8CD063" w:rsidR="009957B1" w:rsidRDefault="009957B1" w:rsidP="009957B1">
      <w:pPr>
        <w:pStyle w:val="Caption"/>
        <w:rPr>
          <w:noProof w:val="0"/>
        </w:rPr>
      </w:pPr>
      <w:bookmarkStart w:id="249" w:name="_Toc213865306"/>
      <w:r>
        <w:rPr>
          <w:noProof w:val="0"/>
        </w:rPr>
        <w:t xml:space="preserve">Table </w:t>
      </w:r>
      <w:r>
        <w:fldChar w:fldCharType="begin"/>
      </w:r>
      <w:r>
        <w:rPr>
          <w:noProof w:val="0"/>
        </w:rPr>
        <w:instrText xml:space="preserve"> SEQ Table \* ARABIC </w:instrText>
      </w:r>
      <w:r>
        <w:fldChar w:fldCharType="separate"/>
      </w:r>
      <w:r w:rsidR="004A33ED">
        <w:t>26</w:t>
      </w:r>
      <w:r>
        <w:fldChar w:fldCharType="end"/>
      </w:r>
      <w:r>
        <w:rPr>
          <w:noProof w:val="0"/>
        </w:rPr>
        <w:t xml:space="preserve"> – Capital cashflow and funding sources</w:t>
      </w:r>
      <w:bookmarkEnd w:id="249"/>
    </w:p>
    <w:tbl>
      <w:tblPr>
        <w:tblW w:w="5000" w:type="pct"/>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ook w:val="04A0" w:firstRow="1" w:lastRow="0" w:firstColumn="1" w:lastColumn="0" w:noHBand="0" w:noVBand="1"/>
      </w:tblPr>
      <w:tblGrid>
        <w:gridCol w:w="2969"/>
        <w:gridCol w:w="1331"/>
        <w:gridCol w:w="1327"/>
        <w:gridCol w:w="1329"/>
        <w:gridCol w:w="1336"/>
        <w:gridCol w:w="1336"/>
      </w:tblGrid>
      <w:tr w:rsidR="009957B1" w14:paraId="78F80290" w14:textId="77777777" w:rsidTr="004A1B15">
        <w:trPr>
          <w:trHeight w:val="654"/>
        </w:trPr>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374264"/>
          </w:tcPr>
          <w:p w14:paraId="1148F004" w14:textId="77777777" w:rsidR="009957B1" w:rsidRDefault="009957B1">
            <w:pPr>
              <w:pStyle w:val="tabletext"/>
              <w:spacing w:line="256" w:lineRule="auto"/>
              <w:rPr>
                <w:b/>
                <w:bCs/>
                <w:color w:val="FFFFFF" w:themeColor="background1"/>
              </w:rPr>
            </w:pP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374264"/>
            <w:vAlign w:val="center"/>
            <w:hideMark/>
          </w:tcPr>
          <w:p w14:paraId="362C8DB7" w14:textId="77777777" w:rsidR="009957B1" w:rsidRDefault="009957B1">
            <w:pPr>
              <w:pStyle w:val="tabletext"/>
              <w:spacing w:line="256" w:lineRule="auto"/>
              <w:jc w:val="right"/>
              <w:rPr>
                <w:b/>
                <w:bCs/>
                <w:color w:val="FFFFFF" w:themeColor="background1"/>
              </w:rPr>
            </w:pPr>
            <w:r>
              <w:rPr>
                <w:b/>
                <w:bCs/>
                <w:color w:val="FFFFFF" w:themeColor="background1"/>
                <w:sz w:val="18"/>
                <w:szCs w:val="20"/>
              </w:rPr>
              <w:t>2025/26</w:t>
            </w:r>
          </w:p>
          <w:p w14:paraId="66456B29" w14:textId="77777777" w:rsidR="009957B1" w:rsidRDefault="009957B1">
            <w:pPr>
              <w:pStyle w:val="tabletext"/>
              <w:spacing w:line="256" w:lineRule="auto"/>
              <w:jc w:val="right"/>
              <w:rPr>
                <w:b/>
                <w:bCs/>
                <w:color w:val="FFFFFF" w:themeColor="background1"/>
              </w:rPr>
            </w:pPr>
            <w:r>
              <w:rPr>
                <w:b/>
                <w:bCs/>
                <w:color w:val="FFFFFF" w:themeColor="background1"/>
                <w:sz w:val="18"/>
                <w:szCs w:val="20"/>
              </w:rPr>
              <w:t>£'000</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374264"/>
            <w:vAlign w:val="center"/>
            <w:hideMark/>
          </w:tcPr>
          <w:p w14:paraId="102D0141" w14:textId="77777777" w:rsidR="009957B1" w:rsidRDefault="009957B1">
            <w:pPr>
              <w:pStyle w:val="tabletext"/>
              <w:spacing w:line="256" w:lineRule="auto"/>
              <w:jc w:val="right"/>
              <w:rPr>
                <w:b/>
                <w:bCs/>
                <w:color w:val="FFFFFF" w:themeColor="background1"/>
              </w:rPr>
            </w:pPr>
            <w:r>
              <w:rPr>
                <w:b/>
                <w:bCs/>
                <w:color w:val="FFFFFF" w:themeColor="background1"/>
                <w:sz w:val="18"/>
                <w:szCs w:val="20"/>
              </w:rPr>
              <w:t>2026/27</w:t>
            </w:r>
          </w:p>
          <w:p w14:paraId="2995C9AC" w14:textId="77777777" w:rsidR="009957B1" w:rsidRDefault="009957B1">
            <w:pPr>
              <w:pStyle w:val="tabletext"/>
              <w:spacing w:line="256" w:lineRule="auto"/>
              <w:jc w:val="right"/>
              <w:rPr>
                <w:b/>
                <w:bCs/>
                <w:color w:val="FFFFFF" w:themeColor="background1"/>
              </w:rPr>
            </w:pPr>
            <w:r>
              <w:rPr>
                <w:b/>
                <w:bCs/>
                <w:color w:val="FFFFFF" w:themeColor="background1"/>
                <w:sz w:val="18"/>
                <w:szCs w:val="20"/>
              </w:rPr>
              <w:t>£'000</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374264"/>
            <w:vAlign w:val="center"/>
            <w:hideMark/>
          </w:tcPr>
          <w:p w14:paraId="726681A8" w14:textId="77777777" w:rsidR="009957B1" w:rsidRDefault="009957B1">
            <w:pPr>
              <w:pStyle w:val="tabletext"/>
              <w:spacing w:line="256" w:lineRule="auto"/>
              <w:jc w:val="right"/>
              <w:rPr>
                <w:b/>
                <w:bCs/>
                <w:color w:val="FFFFFF" w:themeColor="background1"/>
              </w:rPr>
            </w:pPr>
            <w:r>
              <w:rPr>
                <w:b/>
                <w:bCs/>
                <w:color w:val="FFFFFF" w:themeColor="background1"/>
                <w:sz w:val="18"/>
                <w:szCs w:val="20"/>
              </w:rPr>
              <w:t>2027/28</w:t>
            </w:r>
          </w:p>
          <w:p w14:paraId="6188F062" w14:textId="77777777" w:rsidR="009957B1" w:rsidRDefault="009957B1">
            <w:pPr>
              <w:pStyle w:val="tabletext"/>
              <w:spacing w:line="256" w:lineRule="auto"/>
              <w:jc w:val="right"/>
              <w:rPr>
                <w:b/>
                <w:bCs/>
                <w:color w:val="FFFFFF" w:themeColor="background1"/>
              </w:rPr>
            </w:pPr>
            <w:r>
              <w:rPr>
                <w:b/>
                <w:bCs/>
                <w:color w:val="FFFFFF" w:themeColor="background1"/>
                <w:sz w:val="18"/>
                <w:szCs w:val="20"/>
              </w:rPr>
              <w:t>£'000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374264"/>
            <w:vAlign w:val="center"/>
            <w:hideMark/>
          </w:tcPr>
          <w:p w14:paraId="5D7ABE3C" w14:textId="77777777" w:rsidR="009957B1" w:rsidRDefault="009957B1">
            <w:pPr>
              <w:pStyle w:val="tabletext"/>
              <w:spacing w:line="256" w:lineRule="auto"/>
              <w:jc w:val="right"/>
              <w:rPr>
                <w:b/>
                <w:bCs/>
                <w:color w:val="FFFFFF" w:themeColor="background1"/>
              </w:rPr>
            </w:pPr>
            <w:r>
              <w:rPr>
                <w:b/>
                <w:bCs/>
                <w:color w:val="FFFFFF" w:themeColor="background1"/>
                <w:sz w:val="18"/>
                <w:szCs w:val="20"/>
              </w:rPr>
              <w:t>2028/29</w:t>
            </w:r>
          </w:p>
          <w:p w14:paraId="48E0ED72" w14:textId="77777777" w:rsidR="009957B1" w:rsidRDefault="009957B1">
            <w:pPr>
              <w:pStyle w:val="tabletext"/>
              <w:spacing w:line="256" w:lineRule="auto"/>
              <w:jc w:val="right"/>
              <w:rPr>
                <w:b/>
                <w:bCs/>
                <w:color w:val="FFFFFF" w:themeColor="background1"/>
                <w:sz w:val="18"/>
                <w:szCs w:val="20"/>
              </w:rPr>
            </w:pPr>
            <w:r>
              <w:rPr>
                <w:b/>
                <w:bCs/>
                <w:color w:val="FFFFFF" w:themeColor="background1"/>
                <w:sz w:val="18"/>
                <w:szCs w:val="20"/>
              </w:rPr>
              <w:t>£'000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374264"/>
            <w:vAlign w:val="center"/>
            <w:hideMark/>
          </w:tcPr>
          <w:p w14:paraId="78020C99" w14:textId="77777777" w:rsidR="009957B1" w:rsidRDefault="009957B1">
            <w:pPr>
              <w:pStyle w:val="tabletext"/>
              <w:spacing w:line="256" w:lineRule="auto"/>
              <w:jc w:val="right"/>
              <w:rPr>
                <w:b/>
                <w:bCs/>
                <w:color w:val="FFFFFF" w:themeColor="background1"/>
              </w:rPr>
            </w:pPr>
            <w:r>
              <w:rPr>
                <w:b/>
                <w:bCs/>
                <w:color w:val="FFFFFF" w:themeColor="background1"/>
                <w:sz w:val="18"/>
                <w:szCs w:val="20"/>
              </w:rPr>
              <w:t>Total</w:t>
            </w:r>
          </w:p>
          <w:p w14:paraId="01AA2FCA" w14:textId="77777777" w:rsidR="009957B1" w:rsidRDefault="009957B1">
            <w:pPr>
              <w:pStyle w:val="tabletext"/>
              <w:spacing w:line="256" w:lineRule="auto"/>
              <w:jc w:val="right"/>
              <w:rPr>
                <w:b/>
                <w:bCs/>
                <w:color w:val="FFFFFF" w:themeColor="background1"/>
              </w:rPr>
            </w:pPr>
            <w:r>
              <w:rPr>
                <w:b/>
                <w:bCs/>
                <w:color w:val="FFFFFF" w:themeColor="background1"/>
                <w:sz w:val="18"/>
                <w:szCs w:val="20"/>
              </w:rPr>
              <w:t>£'000</w:t>
            </w:r>
          </w:p>
        </w:tc>
      </w:tr>
      <w:tr w:rsidR="002A4A4A" w:rsidRPr="002A4A4A" w14:paraId="1C24F179"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hideMark/>
          </w:tcPr>
          <w:p w14:paraId="5D8758A1" w14:textId="77777777" w:rsidR="009957B1" w:rsidRPr="002A4A4A" w:rsidRDefault="009957B1">
            <w:pPr>
              <w:pStyle w:val="tabletext"/>
              <w:spacing w:line="256" w:lineRule="auto"/>
              <w:rPr>
                <w:b/>
                <w:bCs/>
                <w:sz w:val="18"/>
                <w:szCs w:val="20"/>
              </w:rPr>
            </w:pPr>
            <w:r w:rsidRPr="002A4A4A">
              <w:rPr>
                <w:b/>
                <w:bCs/>
                <w:sz w:val="18"/>
                <w:szCs w:val="20"/>
              </w:rPr>
              <w:t>Costs</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vAlign w:val="center"/>
          </w:tcPr>
          <w:p w14:paraId="2C6009B5" w14:textId="77777777" w:rsidR="009957B1" w:rsidRPr="002A4A4A" w:rsidRDefault="009957B1">
            <w:pPr>
              <w:pStyle w:val="tabletext"/>
              <w:spacing w:line="256" w:lineRule="auto"/>
              <w:jc w:val="right"/>
              <w:rPr>
                <w:b/>
                <w:bCs/>
                <w:sz w:val="18"/>
                <w:szCs w:val="20"/>
              </w:rPr>
            </w:pP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vAlign w:val="center"/>
          </w:tcPr>
          <w:p w14:paraId="7B6129D6" w14:textId="77777777" w:rsidR="009957B1" w:rsidRPr="002A4A4A" w:rsidRDefault="009957B1">
            <w:pPr>
              <w:pStyle w:val="tabletext"/>
              <w:spacing w:line="256" w:lineRule="auto"/>
              <w:jc w:val="right"/>
              <w:rPr>
                <w:b/>
                <w:bCs/>
                <w:sz w:val="18"/>
                <w:szCs w:val="20"/>
              </w:rPr>
            </w:pP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vAlign w:val="center"/>
          </w:tcPr>
          <w:p w14:paraId="598EE2B6" w14:textId="77777777" w:rsidR="009957B1" w:rsidRPr="002A4A4A" w:rsidRDefault="009957B1">
            <w:pPr>
              <w:pStyle w:val="tabletext"/>
              <w:spacing w:line="256" w:lineRule="auto"/>
              <w:jc w:val="right"/>
              <w:rPr>
                <w:b/>
                <w:bCs/>
                <w:sz w:val="18"/>
                <w:szCs w:val="20"/>
              </w:rPr>
            </w:pP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tcPr>
          <w:p w14:paraId="599C5694" w14:textId="77777777" w:rsidR="009957B1" w:rsidRPr="002A4A4A" w:rsidRDefault="009957B1">
            <w:pPr>
              <w:pStyle w:val="tabletext"/>
              <w:spacing w:line="256" w:lineRule="auto"/>
              <w:jc w:val="right"/>
              <w:rPr>
                <w:b/>
                <w:bCs/>
                <w:sz w:val="18"/>
                <w:szCs w:val="20"/>
              </w:rPr>
            </w:pP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vAlign w:val="center"/>
          </w:tcPr>
          <w:p w14:paraId="5DB24C46" w14:textId="77777777" w:rsidR="009957B1" w:rsidRPr="002A4A4A" w:rsidRDefault="009957B1">
            <w:pPr>
              <w:pStyle w:val="tabletext"/>
              <w:spacing w:line="256" w:lineRule="auto"/>
              <w:jc w:val="right"/>
              <w:rPr>
                <w:b/>
                <w:bCs/>
                <w:sz w:val="18"/>
                <w:szCs w:val="20"/>
              </w:rPr>
            </w:pPr>
          </w:p>
        </w:tc>
      </w:tr>
      <w:tr w:rsidR="009957B1" w14:paraId="361236EA"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505072D7" w14:textId="77777777" w:rsidR="009957B1" w:rsidRDefault="009957B1">
            <w:pPr>
              <w:pStyle w:val="tabletext"/>
              <w:spacing w:line="256" w:lineRule="auto"/>
              <w:rPr>
                <w:sz w:val="18"/>
                <w:szCs w:val="18"/>
              </w:rPr>
            </w:pPr>
            <w:r>
              <w:rPr>
                <w:sz w:val="18"/>
                <w:szCs w:val="18"/>
              </w:rPr>
              <w:t>Construction costs</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395291AD" w14:textId="77777777" w:rsidR="009957B1" w:rsidRDefault="009957B1">
            <w:pPr>
              <w:pStyle w:val="tabletext"/>
              <w:spacing w:line="256" w:lineRule="auto"/>
              <w:jc w:val="right"/>
              <w:rPr>
                <w:sz w:val="18"/>
                <w:szCs w:val="18"/>
              </w:rPr>
            </w:pPr>
            <w:r>
              <w:rPr>
                <w:sz w:val="18"/>
                <w:szCs w:val="18"/>
              </w:rPr>
              <w:t>0</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2FAB5F15" w14:textId="1D43FFEA" w:rsidR="00594F32" w:rsidRDefault="009957B1" w:rsidP="00594F32">
            <w:pPr>
              <w:pStyle w:val="tabletext"/>
              <w:spacing w:line="256" w:lineRule="auto"/>
              <w:jc w:val="right"/>
              <w:rPr>
                <w:sz w:val="18"/>
                <w:szCs w:val="18"/>
              </w:rPr>
            </w:pPr>
            <w:r>
              <w:rPr>
                <w:sz w:val="18"/>
                <w:szCs w:val="18"/>
              </w:rPr>
              <w:t>1</w:t>
            </w:r>
            <w:r w:rsidR="00594F32">
              <w:rPr>
                <w:sz w:val="18"/>
                <w:szCs w:val="18"/>
              </w:rPr>
              <w:t>6,884</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5C6B7C2C" w14:textId="7480B62A" w:rsidR="009957B1" w:rsidRDefault="00594F32">
            <w:pPr>
              <w:pStyle w:val="tabletext"/>
              <w:spacing w:line="256" w:lineRule="auto"/>
              <w:jc w:val="right"/>
              <w:rPr>
                <w:sz w:val="18"/>
                <w:szCs w:val="18"/>
              </w:rPr>
            </w:pPr>
            <w:r>
              <w:rPr>
                <w:sz w:val="18"/>
                <w:szCs w:val="18"/>
              </w:rPr>
              <w:t>42,210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22879222" w14:textId="73B69C6D" w:rsidR="009957B1" w:rsidRDefault="009957B1">
            <w:pPr>
              <w:pStyle w:val="tabletext"/>
              <w:spacing w:line="256" w:lineRule="auto"/>
              <w:jc w:val="right"/>
              <w:rPr>
                <w:sz w:val="18"/>
                <w:szCs w:val="18"/>
              </w:rPr>
            </w:pPr>
            <w:r>
              <w:rPr>
                <w:sz w:val="18"/>
                <w:szCs w:val="18"/>
              </w:rPr>
              <w:t>1</w:t>
            </w:r>
            <w:r w:rsidR="00594F32">
              <w:rPr>
                <w:sz w:val="18"/>
                <w:szCs w:val="18"/>
              </w:rPr>
              <w:t>1</w:t>
            </w:r>
            <w:r>
              <w:rPr>
                <w:sz w:val="18"/>
                <w:szCs w:val="18"/>
              </w:rPr>
              <w:t>,</w:t>
            </w:r>
            <w:r w:rsidR="00594F32">
              <w:rPr>
                <w:sz w:val="18"/>
                <w:szCs w:val="18"/>
              </w:rPr>
              <w:t>83</w:t>
            </w:r>
            <w:r>
              <w:rPr>
                <w:sz w:val="18"/>
                <w:szCs w:val="18"/>
              </w:rPr>
              <w:t>1</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45FDD647" w14:textId="17752B5E" w:rsidR="009957B1" w:rsidRDefault="00594F32">
            <w:pPr>
              <w:pStyle w:val="tabletext"/>
              <w:spacing w:line="256" w:lineRule="auto"/>
              <w:jc w:val="right"/>
              <w:rPr>
                <w:sz w:val="18"/>
                <w:szCs w:val="18"/>
              </w:rPr>
            </w:pPr>
            <w:r>
              <w:rPr>
                <w:sz w:val="18"/>
                <w:szCs w:val="18"/>
              </w:rPr>
              <w:t>70</w:t>
            </w:r>
            <w:r w:rsidR="009957B1">
              <w:rPr>
                <w:sz w:val="18"/>
                <w:szCs w:val="18"/>
              </w:rPr>
              <w:t>,</w:t>
            </w:r>
            <w:r>
              <w:rPr>
                <w:sz w:val="18"/>
                <w:szCs w:val="18"/>
              </w:rPr>
              <w:t>924</w:t>
            </w:r>
          </w:p>
        </w:tc>
      </w:tr>
      <w:tr w:rsidR="009957B1" w14:paraId="413F1026"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73D16FAB" w14:textId="77777777" w:rsidR="009957B1" w:rsidRDefault="009957B1">
            <w:pPr>
              <w:pStyle w:val="tabletext"/>
              <w:spacing w:line="256" w:lineRule="auto"/>
              <w:rPr>
                <w:sz w:val="18"/>
                <w:szCs w:val="18"/>
              </w:rPr>
            </w:pPr>
            <w:r>
              <w:rPr>
                <w:sz w:val="18"/>
                <w:szCs w:val="18"/>
              </w:rPr>
              <w:t>Project fees</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44B5E9F5" w14:textId="77777777" w:rsidR="009957B1" w:rsidRDefault="009957B1">
            <w:pPr>
              <w:pStyle w:val="tabletext"/>
              <w:spacing w:line="256" w:lineRule="auto"/>
              <w:jc w:val="right"/>
              <w:rPr>
                <w:sz w:val="18"/>
                <w:szCs w:val="18"/>
              </w:rPr>
            </w:pPr>
            <w:r>
              <w:rPr>
                <w:sz w:val="18"/>
                <w:szCs w:val="18"/>
              </w:rPr>
              <w:t>2,463</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11DD3925" w14:textId="26227DF4" w:rsidR="009957B1" w:rsidRDefault="009957B1">
            <w:pPr>
              <w:pStyle w:val="tabletext"/>
              <w:spacing w:line="256" w:lineRule="auto"/>
              <w:jc w:val="right"/>
              <w:rPr>
                <w:sz w:val="18"/>
                <w:szCs w:val="18"/>
              </w:rPr>
            </w:pPr>
            <w:r>
              <w:rPr>
                <w:sz w:val="18"/>
                <w:szCs w:val="18"/>
              </w:rPr>
              <w:t>3,</w:t>
            </w:r>
            <w:r w:rsidR="00594F32">
              <w:rPr>
                <w:sz w:val="18"/>
                <w:szCs w:val="18"/>
              </w:rPr>
              <w:t>074</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6EE5EB73" w14:textId="23D4400D" w:rsidR="009957B1" w:rsidRDefault="00594F32">
            <w:pPr>
              <w:pStyle w:val="tabletext"/>
              <w:spacing w:line="256" w:lineRule="auto"/>
              <w:jc w:val="right"/>
              <w:rPr>
                <w:sz w:val="18"/>
                <w:szCs w:val="18"/>
              </w:rPr>
            </w:pPr>
            <w:r>
              <w:rPr>
                <w:sz w:val="18"/>
                <w:szCs w:val="18"/>
              </w:rPr>
              <w:t>1,879</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05867EA9" w14:textId="67EA2890" w:rsidR="009957B1" w:rsidRDefault="009957B1">
            <w:pPr>
              <w:pStyle w:val="tabletext"/>
              <w:spacing w:line="256" w:lineRule="auto"/>
              <w:jc w:val="right"/>
              <w:rPr>
                <w:sz w:val="18"/>
                <w:szCs w:val="18"/>
              </w:rPr>
            </w:pPr>
            <w:r>
              <w:rPr>
                <w:sz w:val="18"/>
                <w:szCs w:val="18"/>
              </w:rPr>
              <w:t>9</w:t>
            </w:r>
            <w:r w:rsidR="00594F32">
              <w:rPr>
                <w:sz w:val="18"/>
                <w:szCs w:val="18"/>
              </w:rPr>
              <w:t>40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13B5D1D2" w14:textId="601574B6" w:rsidR="009957B1" w:rsidRDefault="00594F32">
            <w:pPr>
              <w:pStyle w:val="tabletext"/>
              <w:spacing w:line="256" w:lineRule="auto"/>
              <w:jc w:val="right"/>
              <w:rPr>
                <w:sz w:val="18"/>
                <w:szCs w:val="18"/>
              </w:rPr>
            </w:pPr>
            <w:r>
              <w:rPr>
                <w:sz w:val="18"/>
                <w:szCs w:val="18"/>
              </w:rPr>
              <w:t>8</w:t>
            </w:r>
            <w:r w:rsidR="009957B1">
              <w:rPr>
                <w:sz w:val="18"/>
                <w:szCs w:val="18"/>
              </w:rPr>
              <w:t>,</w:t>
            </w:r>
            <w:r>
              <w:rPr>
                <w:sz w:val="18"/>
                <w:szCs w:val="18"/>
              </w:rPr>
              <w:t>3</w:t>
            </w:r>
            <w:r w:rsidR="009957B1">
              <w:rPr>
                <w:sz w:val="18"/>
                <w:szCs w:val="18"/>
              </w:rPr>
              <w:t>5</w:t>
            </w:r>
            <w:r>
              <w:rPr>
                <w:sz w:val="18"/>
                <w:szCs w:val="18"/>
              </w:rPr>
              <w:t>7</w:t>
            </w:r>
          </w:p>
        </w:tc>
      </w:tr>
      <w:tr w:rsidR="009957B1" w14:paraId="3AB70354"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2B5B57C0" w14:textId="77777777" w:rsidR="009957B1" w:rsidRDefault="009957B1">
            <w:pPr>
              <w:pStyle w:val="tabletext"/>
              <w:spacing w:line="256" w:lineRule="auto"/>
              <w:rPr>
                <w:sz w:val="18"/>
                <w:szCs w:val="18"/>
              </w:rPr>
            </w:pPr>
            <w:r>
              <w:rPr>
                <w:sz w:val="18"/>
                <w:szCs w:val="18"/>
              </w:rPr>
              <w:t>Non-works costs</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6A422156" w14:textId="77777777" w:rsidR="009957B1" w:rsidRDefault="009957B1">
            <w:pPr>
              <w:pStyle w:val="tabletext"/>
              <w:spacing w:line="256" w:lineRule="auto"/>
              <w:jc w:val="right"/>
              <w:rPr>
                <w:sz w:val="18"/>
                <w:szCs w:val="18"/>
              </w:rPr>
            </w:pPr>
            <w:r>
              <w:rPr>
                <w:sz w:val="18"/>
                <w:szCs w:val="18"/>
              </w:rPr>
              <w:t>78</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0605D01D" w14:textId="77777777" w:rsidR="009957B1" w:rsidRDefault="009957B1">
            <w:pPr>
              <w:pStyle w:val="tabletext"/>
              <w:spacing w:line="256" w:lineRule="auto"/>
              <w:jc w:val="right"/>
              <w:rPr>
                <w:sz w:val="18"/>
                <w:szCs w:val="18"/>
              </w:rPr>
            </w:pPr>
            <w:r>
              <w:rPr>
                <w:sz w:val="18"/>
                <w:szCs w:val="18"/>
              </w:rPr>
              <w:t>57</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280DA348" w14:textId="77777777" w:rsidR="009957B1" w:rsidRDefault="009957B1">
            <w:pPr>
              <w:pStyle w:val="tabletext"/>
              <w:spacing w:line="256" w:lineRule="auto"/>
              <w:jc w:val="right"/>
              <w:rPr>
                <w:sz w:val="18"/>
                <w:szCs w:val="18"/>
              </w:rPr>
            </w:pPr>
            <w:r>
              <w:rPr>
                <w:sz w:val="18"/>
                <w:szCs w:val="18"/>
              </w:rPr>
              <w:t>30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2E3DC438" w14:textId="77777777" w:rsidR="009957B1" w:rsidRDefault="009957B1">
            <w:pPr>
              <w:pStyle w:val="tabletext"/>
              <w:spacing w:line="256" w:lineRule="auto"/>
              <w:jc w:val="right"/>
              <w:rPr>
                <w:sz w:val="18"/>
                <w:szCs w:val="18"/>
              </w:rPr>
            </w:pPr>
            <w:r>
              <w:rPr>
                <w:sz w:val="18"/>
                <w:szCs w:val="18"/>
              </w:rPr>
              <w:t>20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129D61A0" w14:textId="77777777" w:rsidR="009957B1" w:rsidRDefault="009957B1">
            <w:pPr>
              <w:pStyle w:val="tabletext"/>
              <w:spacing w:line="256" w:lineRule="auto"/>
              <w:jc w:val="right"/>
              <w:rPr>
                <w:sz w:val="18"/>
                <w:szCs w:val="18"/>
              </w:rPr>
            </w:pPr>
            <w:r>
              <w:rPr>
                <w:sz w:val="18"/>
                <w:szCs w:val="18"/>
              </w:rPr>
              <w:t>185</w:t>
            </w:r>
          </w:p>
        </w:tc>
      </w:tr>
      <w:tr w:rsidR="009957B1" w14:paraId="568BDABD"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1A077CF1" w14:textId="77777777" w:rsidR="009957B1" w:rsidRDefault="009957B1">
            <w:pPr>
              <w:pStyle w:val="tabletext"/>
              <w:spacing w:line="256" w:lineRule="auto"/>
              <w:rPr>
                <w:sz w:val="18"/>
                <w:szCs w:val="18"/>
              </w:rPr>
            </w:pPr>
            <w:r>
              <w:rPr>
                <w:sz w:val="18"/>
                <w:szCs w:val="18"/>
              </w:rPr>
              <w:t>Equipment costs</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2C50F1B5" w14:textId="77777777" w:rsidR="009957B1" w:rsidRDefault="009957B1">
            <w:pPr>
              <w:pStyle w:val="tabletext"/>
              <w:spacing w:line="256" w:lineRule="auto"/>
              <w:jc w:val="right"/>
              <w:rPr>
                <w:sz w:val="18"/>
                <w:szCs w:val="18"/>
              </w:rPr>
            </w:pPr>
            <w:r>
              <w:rPr>
                <w:sz w:val="18"/>
                <w:szCs w:val="18"/>
              </w:rPr>
              <w:t>0</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38558386" w14:textId="77777777" w:rsidR="009957B1" w:rsidRDefault="009957B1">
            <w:pPr>
              <w:pStyle w:val="tabletext"/>
              <w:spacing w:line="256" w:lineRule="auto"/>
              <w:jc w:val="right"/>
              <w:rPr>
                <w:sz w:val="18"/>
                <w:szCs w:val="18"/>
              </w:rPr>
            </w:pPr>
            <w:r>
              <w:rPr>
                <w:sz w:val="18"/>
                <w:szCs w:val="18"/>
              </w:rPr>
              <w:t>1,000</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43A36C31" w14:textId="77777777" w:rsidR="009957B1" w:rsidRDefault="009957B1">
            <w:pPr>
              <w:pStyle w:val="tabletext"/>
              <w:spacing w:line="256" w:lineRule="auto"/>
              <w:jc w:val="right"/>
              <w:rPr>
                <w:sz w:val="18"/>
                <w:szCs w:val="18"/>
              </w:rPr>
            </w:pPr>
            <w:r>
              <w:rPr>
                <w:sz w:val="18"/>
                <w:szCs w:val="18"/>
              </w:rPr>
              <w:t>6,305</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6F7A7CB3" w14:textId="77777777" w:rsidR="009957B1" w:rsidRDefault="009957B1">
            <w:pPr>
              <w:pStyle w:val="tabletext"/>
              <w:spacing w:line="256" w:lineRule="auto"/>
              <w:jc w:val="right"/>
              <w:rPr>
                <w:sz w:val="18"/>
                <w:szCs w:val="18"/>
              </w:rPr>
            </w:pPr>
            <w:r>
              <w:rPr>
                <w:sz w:val="18"/>
                <w:szCs w:val="18"/>
              </w:rPr>
              <w:t>2,500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490EC441" w14:textId="77777777" w:rsidR="009957B1" w:rsidRDefault="009957B1">
            <w:pPr>
              <w:pStyle w:val="tabletext"/>
              <w:spacing w:line="256" w:lineRule="auto"/>
              <w:jc w:val="right"/>
              <w:rPr>
                <w:sz w:val="18"/>
                <w:szCs w:val="18"/>
              </w:rPr>
            </w:pPr>
            <w:r>
              <w:rPr>
                <w:sz w:val="18"/>
                <w:szCs w:val="18"/>
              </w:rPr>
              <w:t>9,805</w:t>
            </w:r>
          </w:p>
        </w:tc>
      </w:tr>
      <w:tr w:rsidR="009957B1" w14:paraId="23F4E021"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4E53586E" w14:textId="77777777" w:rsidR="009957B1" w:rsidRDefault="009957B1">
            <w:pPr>
              <w:pStyle w:val="tabletext"/>
              <w:spacing w:line="256" w:lineRule="auto"/>
              <w:rPr>
                <w:sz w:val="18"/>
                <w:szCs w:val="18"/>
              </w:rPr>
            </w:pPr>
            <w:r>
              <w:rPr>
                <w:sz w:val="18"/>
                <w:szCs w:val="18"/>
              </w:rPr>
              <w:t>Planning contingency</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6E7450A5" w14:textId="77777777" w:rsidR="009957B1" w:rsidRDefault="009957B1">
            <w:pPr>
              <w:pStyle w:val="tabletext"/>
              <w:spacing w:line="256" w:lineRule="auto"/>
              <w:jc w:val="right"/>
              <w:rPr>
                <w:sz w:val="18"/>
                <w:szCs w:val="18"/>
              </w:rPr>
            </w:pPr>
            <w:r>
              <w:rPr>
                <w:sz w:val="18"/>
                <w:szCs w:val="18"/>
              </w:rPr>
              <w:t>87</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7F46BE3A" w14:textId="1370CD5C" w:rsidR="009957B1" w:rsidRDefault="009957B1">
            <w:pPr>
              <w:pStyle w:val="tabletext"/>
              <w:spacing w:line="256" w:lineRule="auto"/>
              <w:jc w:val="right"/>
              <w:rPr>
                <w:sz w:val="18"/>
                <w:szCs w:val="18"/>
              </w:rPr>
            </w:pPr>
            <w:r>
              <w:rPr>
                <w:sz w:val="18"/>
                <w:szCs w:val="18"/>
              </w:rPr>
              <w:t>3,</w:t>
            </w:r>
            <w:r w:rsidR="00594F32">
              <w:rPr>
                <w:sz w:val="18"/>
                <w:szCs w:val="18"/>
              </w:rPr>
              <w:t>468</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57FCB3AD" w14:textId="31E9A4E1" w:rsidR="009957B1" w:rsidRDefault="009957B1">
            <w:pPr>
              <w:pStyle w:val="tabletext"/>
              <w:spacing w:line="256" w:lineRule="auto"/>
              <w:jc w:val="right"/>
              <w:rPr>
                <w:sz w:val="18"/>
                <w:szCs w:val="18"/>
              </w:rPr>
            </w:pPr>
            <w:r>
              <w:rPr>
                <w:sz w:val="18"/>
                <w:szCs w:val="18"/>
              </w:rPr>
              <w:t>4,</w:t>
            </w:r>
            <w:r w:rsidR="00594F32">
              <w:rPr>
                <w:sz w:val="18"/>
                <w:szCs w:val="18"/>
              </w:rPr>
              <w:t>163</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1485D063" w14:textId="5B233754" w:rsidR="009957B1" w:rsidRDefault="009957B1" w:rsidP="00594F32">
            <w:pPr>
              <w:pStyle w:val="tabletext"/>
              <w:spacing w:line="256" w:lineRule="auto"/>
              <w:jc w:val="right"/>
              <w:rPr>
                <w:sz w:val="18"/>
                <w:szCs w:val="18"/>
              </w:rPr>
            </w:pPr>
            <w:r>
              <w:rPr>
                <w:sz w:val="18"/>
                <w:szCs w:val="18"/>
              </w:rPr>
              <w:t>2,</w:t>
            </w:r>
            <w:r w:rsidR="00594F32">
              <w:rPr>
                <w:sz w:val="18"/>
                <w:szCs w:val="18"/>
              </w:rPr>
              <w:t>082</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6C9825F4" w14:textId="1E6E12A5" w:rsidR="009957B1" w:rsidRDefault="009957B1">
            <w:pPr>
              <w:pStyle w:val="tabletext"/>
              <w:spacing w:line="256" w:lineRule="auto"/>
              <w:jc w:val="right"/>
              <w:rPr>
                <w:sz w:val="18"/>
                <w:szCs w:val="18"/>
              </w:rPr>
            </w:pPr>
            <w:r>
              <w:rPr>
                <w:sz w:val="18"/>
                <w:szCs w:val="18"/>
              </w:rPr>
              <w:t>9,</w:t>
            </w:r>
            <w:r w:rsidR="00594F32">
              <w:rPr>
                <w:sz w:val="18"/>
                <w:szCs w:val="18"/>
              </w:rPr>
              <w:t>800</w:t>
            </w:r>
          </w:p>
        </w:tc>
      </w:tr>
      <w:tr w:rsidR="009957B1" w14:paraId="7621C4E1"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0447076B" w14:textId="77777777" w:rsidR="009957B1" w:rsidRDefault="009957B1">
            <w:pPr>
              <w:pStyle w:val="tabletext"/>
              <w:spacing w:line="256" w:lineRule="auto"/>
              <w:rPr>
                <w:sz w:val="18"/>
                <w:szCs w:val="18"/>
              </w:rPr>
            </w:pPr>
            <w:r>
              <w:rPr>
                <w:sz w:val="18"/>
                <w:szCs w:val="18"/>
              </w:rPr>
              <w:t xml:space="preserve">Inflation </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33F4348A" w14:textId="77777777" w:rsidR="009957B1" w:rsidRDefault="009957B1">
            <w:pPr>
              <w:pStyle w:val="tabletext"/>
              <w:spacing w:line="256" w:lineRule="auto"/>
              <w:jc w:val="right"/>
              <w:rPr>
                <w:sz w:val="18"/>
                <w:szCs w:val="18"/>
              </w:rPr>
            </w:pPr>
            <w:r>
              <w:rPr>
                <w:sz w:val="18"/>
                <w:szCs w:val="18"/>
              </w:rPr>
              <w:t>0</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3A907377" w14:textId="00044DA2" w:rsidR="009957B1" w:rsidRDefault="00594F32">
            <w:pPr>
              <w:pStyle w:val="tabletext"/>
              <w:spacing w:line="256" w:lineRule="auto"/>
              <w:jc w:val="right"/>
              <w:rPr>
                <w:sz w:val="18"/>
                <w:szCs w:val="18"/>
              </w:rPr>
            </w:pPr>
            <w:r>
              <w:rPr>
                <w:sz w:val="18"/>
                <w:szCs w:val="18"/>
              </w:rPr>
              <w:t>2,041</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52AA7432" w14:textId="4AEDABD2" w:rsidR="009957B1" w:rsidRDefault="00594F32">
            <w:pPr>
              <w:pStyle w:val="tabletext"/>
              <w:spacing w:line="256" w:lineRule="auto"/>
              <w:jc w:val="right"/>
              <w:rPr>
                <w:sz w:val="18"/>
                <w:szCs w:val="18"/>
              </w:rPr>
            </w:pPr>
            <w:r>
              <w:rPr>
                <w:sz w:val="18"/>
                <w:szCs w:val="18"/>
              </w:rPr>
              <w:t>2,041</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70388571" w14:textId="72F54D4A" w:rsidR="009957B1" w:rsidRDefault="00594F32">
            <w:pPr>
              <w:pStyle w:val="tabletext"/>
              <w:spacing w:line="256" w:lineRule="auto"/>
              <w:jc w:val="right"/>
              <w:rPr>
                <w:sz w:val="18"/>
                <w:szCs w:val="18"/>
              </w:rPr>
            </w:pPr>
            <w:r>
              <w:rPr>
                <w:sz w:val="18"/>
                <w:szCs w:val="18"/>
              </w:rPr>
              <w:t>1,021</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436433BD" w14:textId="455E85D2" w:rsidR="009957B1" w:rsidRDefault="00594F32">
            <w:pPr>
              <w:pStyle w:val="tabletext"/>
              <w:spacing w:line="256" w:lineRule="auto"/>
              <w:jc w:val="right"/>
              <w:rPr>
                <w:sz w:val="18"/>
                <w:szCs w:val="18"/>
              </w:rPr>
            </w:pPr>
            <w:r>
              <w:rPr>
                <w:sz w:val="18"/>
                <w:szCs w:val="18"/>
              </w:rPr>
              <w:t>5,104</w:t>
            </w:r>
          </w:p>
        </w:tc>
      </w:tr>
      <w:tr w:rsidR="009957B1" w14:paraId="4819A2E1"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088AE92C" w14:textId="77777777" w:rsidR="009957B1" w:rsidRDefault="009957B1">
            <w:pPr>
              <w:pStyle w:val="tabletext"/>
              <w:spacing w:line="256" w:lineRule="auto"/>
              <w:rPr>
                <w:b/>
                <w:bCs/>
                <w:sz w:val="18"/>
                <w:szCs w:val="18"/>
              </w:rPr>
            </w:pPr>
            <w:r>
              <w:rPr>
                <w:sz w:val="18"/>
                <w:szCs w:val="18"/>
              </w:rPr>
              <w:t>Subtotal</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541FF328" w14:textId="77777777" w:rsidR="009957B1" w:rsidRDefault="009957B1">
            <w:pPr>
              <w:pStyle w:val="tabletext"/>
              <w:spacing w:line="256" w:lineRule="auto"/>
              <w:jc w:val="right"/>
              <w:rPr>
                <w:b/>
                <w:bCs/>
                <w:sz w:val="18"/>
                <w:szCs w:val="18"/>
              </w:rPr>
            </w:pPr>
            <w:r>
              <w:rPr>
                <w:sz w:val="18"/>
                <w:szCs w:val="18"/>
              </w:rPr>
              <w:t>2,628</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68C02BE2" w14:textId="4FF5BD33" w:rsidR="009957B1" w:rsidRDefault="00594F32">
            <w:pPr>
              <w:pStyle w:val="tabletext"/>
              <w:spacing w:line="256" w:lineRule="auto"/>
              <w:jc w:val="right"/>
              <w:rPr>
                <w:b/>
                <w:bCs/>
                <w:sz w:val="18"/>
                <w:szCs w:val="18"/>
              </w:rPr>
            </w:pPr>
            <w:r>
              <w:rPr>
                <w:sz w:val="18"/>
                <w:szCs w:val="18"/>
              </w:rPr>
              <w:t>26,525</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2F605B96" w14:textId="5F3E9046" w:rsidR="009957B1" w:rsidRDefault="009957B1">
            <w:pPr>
              <w:pStyle w:val="tabletext"/>
              <w:spacing w:line="256" w:lineRule="auto"/>
              <w:jc w:val="right"/>
              <w:rPr>
                <w:b/>
                <w:bCs/>
                <w:sz w:val="18"/>
                <w:szCs w:val="18"/>
              </w:rPr>
            </w:pPr>
            <w:r>
              <w:rPr>
                <w:sz w:val="18"/>
                <w:szCs w:val="18"/>
              </w:rPr>
              <w:t>5</w:t>
            </w:r>
            <w:r w:rsidR="00594F32">
              <w:rPr>
                <w:sz w:val="18"/>
                <w:szCs w:val="18"/>
              </w:rPr>
              <w:t>6</w:t>
            </w:r>
            <w:r>
              <w:rPr>
                <w:sz w:val="18"/>
                <w:szCs w:val="18"/>
              </w:rPr>
              <w:t>,</w:t>
            </w:r>
            <w:r w:rsidR="00594F32">
              <w:rPr>
                <w:sz w:val="18"/>
                <w:szCs w:val="18"/>
              </w:rPr>
              <w:t>929</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1EA66535" w14:textId="23FE146E" w:rsidR="009957B1" w:rsidRDefault="009957B1">
            <w:pPr>
              <w:pStyle w:val="tabletext"/>
              <w:spacing w:line="256" w:lineRule="auto"/>
              <w:jc w:val="right"/>
              <w:rPr>
                <w:b/>
                <w:bCs/>
                <w:sz w:val="18"/>
                <w:szCs w:val="18"/>
              </w:rPr>
            </w:pPr>
            <w:r>
              <w:rPr>
                <w:sz w:val="18"/>
                <w:szCs w:val="18"/>
              </w:rPr>
              <w:t>1</w:t>
            </w:r>
            <w:r w:rsidR="00594F32">
              <w:rPr>
                <w:sz w:val="18"/>
                <w:szCs w:val="18"/>
              </w:rPr>
              <w:t>8</w:t>
            </w:r>
            <w:r>
              <w:rPr>
                <w:sz w:val="18"/>
                <w:szCs w:val="18"/>
              </w:rPr>
              <w:t>,</w:t>
            </w:r>
            <w:r w:rsidR="00594F32">
              <w:rPr>
                <w:sz w:val="18"/>
                <w:szCs w:val="18"/>
              </w:rPr>
              <w:t>394</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70856251" w14:textId="1D80427B" w:rsidR="009957B1" w:rsidRDefault="00594F32">
            <w:pPr>
              <w:pStyle w:val="tabletext"/>
              <w:spacing w:line="256" w:lineRule="auto"/>
              <w:jc w:val="right"/>
              <w:rPr>
                <w:b/>
                <w:bCs/>
                <w:sz w:val="18"/>
                <w:szCs w:val="18"/>
              </w:rPr>
            </w:pPr>
            <w:r>
              <w:rPr>
                <w:b/>
                <w:bCs/>
                <w:sz w:val="18"/>
                <w:szCs w:val="18"/>
              </w:rPr>
              <w:t>104,175</w:t>
            </w:r>
          </w:p>
        </w:tc>
      </w:tr>
      <w:tr w:rsidR="009957B1" w14:paraId="185EC560"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1A8A697B" w14:textId="77777777" w:rsidR="009957B1" w:rsidRDefault="009957B1">
            <w:pPr>
              <w:pStyle w:val="tabletext"/>
              <w:spacing w:line="256" w:lineRule="auto"/>
              <w:rPr>
                <w:b/>
                <w:bCs/>
                <w:sz w:val="18"/>
                <w:szCs w:val="18"/>
              </w:rPr>
            </w:pPr>
            <w:r>
              <w:rPr>
                <w:b/>
                <w:bCs/>
                <w:sz w:val="18"/>
                <w:szCs w:val="18"/>
              </w:rPr>
              <w:t>VAT</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4AFD620F" w14:textId="77777777" w:rsidR="009957B1" w:rsidRDefault="009957B1">
            <w:pPr>
              <w:pStyle w:val="tabletext"/>
              <w:spacing w:line="256" w:lineRule="auto"/>
              <w:jc w:val="right"/>
              <w:rPr>
                <w:b/>
                <w:bCs/>
                <w:sz w:val="18"/>
                <w:szCs w:val="18"/>
              </w:rPr>
            </w:pPr>
            <w:r>
              <w:rPr>
                <w:sz w:val="18"/>
                <w:szCs w:val="18"/>
              </w:rPr>
              <w:t>17</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75A7B323" w14:textId="4C104AAD" w:rsidR="009957B1" w:rsidRDefault="00594F32">
            <w:pPr>
              <w:pStyle w:val="tabletext"/>
              <w:spacing w:line="256" w:lineRule="auto"/>
              <w:jc w:val="right"/>
              <w:rPr>
                <w:b/>
                <w:bCs/>
                <w:sz w:val="18"/>
                <w:szCs w:val="18"/>
              </w:rPr>
            </w:pPr>
            <w:r>
              <w:rPr>
                <w:sz w:val="18"/>
                <w:szCs w:val="18"/>
              </w:rPr>
              <w:t>4,795</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3D902FD0" w14:textId="34954D37" w:rsidR="009957B1" w:rsidRPr="00594F32" w:rsidRDefault="00594F32">
            <w:pPr>
              <w:pStyle w:val="tabletext"/>
              <w:spacing w:line="256" w:lineRule="auto"/>
              <w:jc w:val="right"/>
              <w:rPr>
                <w:sz w:val="18"/>
                <w:szCs w:val="18"/>
              </w:rPr>
            </w:pPr>
            <w:r w:rsidRPr="00594F32">
              <w:rPr>
                <w:sz w:val="18"/>
                <w:szCs w:val="18"/>
              </w:rPr>
              <w:t>11,055</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5F872031" w14:textId="276C452D" w:rsidR="009957B1" w:rsidRDefault="009957B1">
            <w:pPr>
              <w:pStyle w:val="tabletext"/>
              <w:spacing w:line="256" w:lineRule="auto"/>
              <w:jc w:val="right"/>
              <w:rPr>
                <w:b/>
                <w:bCs/>
                <w:sz w:val="18"/>
                <w:szCs w:val="18"/>
              </w:rPr>
            </w:pPr>
            <w:r>
              <w:rPr>
                <w:sz w:val="18"/>
                <w:szCs w:val="18"/>
              </w:rPr>
              <w:t>3,</w:t>
            </w:r>
            <w:r w:rsidR="004A1B15">
              <w:rPr>
                <w:sz w:val="18"/>
                <w:szCs w:val="18"/>
              </w:rPr>
              <w:t>587</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5DEAEBA3" w14:textId="749D17CC" w:rsidR="009957B1" w:rsidRDefault="004A1B15">
            <w:pPr>
              <w:pStyle w:val="tabletext"/>
              <w:spacing w:line="256" w:lineRule="auto"/>
              <w:jc w:val="right"/>
              <w:rPr>
                <w:b/>
                <w:bCs/>
                <w:sz w:val="18"/>
                <w:szCs w:val="18"/>
              </w:rPr>
            </w:pPr>
            <w:r>
              <w:rPr>
                <w:sz w:val="18"/>
                <w:szCs w:val="18"/>
              </w:rPr>
              <w:t>19,454</w:t>
            </w:r>
          </w:p>
        </w:tc>
      </w:tr>
      <w:tr w:rsidR="009957B1" w14:paraId="638A7869"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06C6C2B4" w14:textId="77777777" w:rsidR="009957B1" w:rsidRDefault="009957B1">
            <w:pPr>
              <w:pStyle w:val="tabletext"/>
              <w:spacing w:line="256" w:lineRule="auto"/>
              <w:rPr>
                <w:b/>
                <w:bCs/>
                <w:sz w:val="18"/>
                <w:szCs w:val="18"/>
              </w:rPr>
            </w:pPr>
            <w:r>
              <w:rPr>
                <w:b/>
                <w:bCs/>
                <w:sz w:val="18"/>
                <w:szCs w:val="18"/>
              </w:rPr>
              <w:t>Total capital costs</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12282A2B" w14:textId="77777777" w:rsidR="009957B1" w:rsidRDefault="009957B1">
            <w:pPr>
              <w:pStyle w:val="tabletext"/>
              <w:spacing w:line="256" w:lineRule="auto"/>
              <w:jc w:val="right"/>
              <w:rPr>
                <w:b/>
                <w:bCs/>
                <w:sz w:val="18"/>
                <w:szCs w:val="18"/>
              </w:rPr>
            </w:pPr>
            <w:r>
              <w:rPr>
                <w:sz w:val="18"/>
                <w:szCs w:val="18"/>
              </w:rPr>
              <w:t>2,645</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29E65EA2" w14:textId="5C27CCD9" w:rsidR="009957B1" w:rsidRDefault="004A1B15">
            <w:pPr>
              <w:pStyle w:val="tabletext"/>
              <w:spacing w:line="256" w:lineRule="auto"/>
              <w:jc w:val="right"/>
              <w:rPr>
                <w:b/>
                <w:bCs/>
                <w:sz w:val="18"/>
                <w:szCs w:val="18"/>
              </w:rPr>
            </w:pPr>
            <w:r>
              <w:rPr>
                <w:sz w:val="18"/>
                <w:szCs w:val="18"/>
              </w:rPr>
              <w:t>31,320</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05C92A5F" w14:textId="42D79D42" w:rsidR="009957B1" w:rsidRDefault="004A1B15">
            <w:pPr>
              <w:pStyle w:val="tabletext"/>
              <w:spacing w:line="256" w:lineRule="auto"/>
              <w:jc w:val="right"/>
              <w:rPr>
                <w:b/>
                <w:bCs/>
                <w:sz w:val="18"/>
                <w:szCs w:val="18"/>
              </w:rPr>
            </w:pPr>
            <w:r>
              <w:rPr>
                <w:sz w:val="18"/>
                <w:szCs w:val="18"/>
              </w:rPr>
              <w:t>67,684</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116B36DC" w14:textId="7DF0DE6E" w:rsidR="009957B1" w:rsidRDefault="004A1B15">
            <w:pPr>
              <w:pStyle w:val="tabletext"/>
              <w:spacing w:line="256" w:lineRule="auto"/>
              <w:jc w:val="right"/>
              <w:rPr>
                <w:b/>
                <w:bCs/>
                <w:sz w:val="18"/>
                <w:szCs w:val="18"/>
              </w:rPr>
            </w:pPr>
            <w:r>
              <w:rPr>
                <w:sz w:val="18"/>
                <w:szCs w:val="18"/>
              </w:rPr>
              <w:t>21,980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5924602D" w14:textId="2ABA7B5B" w:rsidR="009957B1" w:rsidRDefault="009957B1">
            <w:pPr>
              <w:pStyle w:val="tabletext"/>
              <w:spacing w:line="256" w:lineRule="auto"/>
              <w:jc w:val="right"/>
              <w:rPr>
                <w:b/>
                <w:bCs/>
                <w:sz w:val="18"/>
                <w:szCs w:val="18"/>
              </w:rPr>
            </w:pPr>
            <w:r>
              <w:rPr>
                <w:sz w:val="18"/>
                <w:szCs w:val="18"/>
              </w:rPr>
              <w:t>1</w:t>
            </w:r>
            <w:r w:rsidR="004A1B15">
              <w:rPr>
                <w:sz w:val="18"/>
                <w:szCs w:val="18"/>
              </w:rPr>
              <w:t>23</w:t>
            </w:r>
            <w:r>
              <w:rPr>
                <w:sz w:val="18"/>
                <w:szCs w:val="18"/>
              </w:rPr>
              <w:t>,</w:t>
            </w:r>
            <w:r w:rsidR="004A1B15">
              <w:rPr>
                <w:sz w:val="18"/>
                <w:szCs w:val="18"/>
              </w:rPr>
              <w:t>629</w:t>
            </w:r>
          </w:p>
        </w:tc>
      </w:tr>
      <w:tr w:rsidR="002A4A4A" w:rsidRPr="002A4A4A" w14:paraId="6891E01C"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hideMark/>
          </w:tcPr>
          <w:p w14:paraId="523A3AB8" w14:textId="77777777" w:rsidR="009957B1" w:rsidRPr="002A4A4A" w:rsidRDefault="009957B1">
            <w:pPr>
              <w:pStyle w:val="tabletext"/>
              <w:spacing w:line="256" w:lineRule="auto"/>
              <w:rPr>
                <w:b/>
                <w:bCs/>
                <w:sz w:val="18"/>
                <w:szCs w:val="18"/>
              </w:rPr>
            </w:pPr>
            <w:r w:rsidRPr="002A4A4A">
              <w:rPr>
                <w:b/>
                <w:bCs/>
                <w:sz w:val="18"/>
                <w:szCs w:val="18"/>
              </w:rPr>
              <w:t>Funding</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vAlign w:val="center"/>
          </w:tcPr>
          <w:p w14:paraId="1EEB983C" w14:textId="77777777" w:rsidR="009957B1" w:rsidRPr="002A4A4A" w:rsidRDefault="009957B1">
            <w:pPr>
              <w:pStyle w:val="tabletext"/>
              <w:spacing w:line="256" w:lineRule="auto"/>
              <w:jc w:val="right"/>
              <w:rPr>
                <w:b/>
                <w:bCs/>
                <w:sz w:val="18"/>
                <w:szCs w:val="18"/>
              </w:rPr>
            </w:pP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vAlign w:val="center"/>
          </w:tcPr>
          <w:p w14:paraId="4F3C0525" w14:textId="77777777" w:rsidR="009957B1" w:rsidRPr="002A4A4A" w:rsidRDefault="009957B1">
            <w:pPr>
              <w:pStyle w:val="tabletext"/>
              <w:spacing w:line="256" w:lineRule="auto"/>
              <w:jc w:val="right"/>
              <w:rPr>
                <w:b/>
                <w:bCs/>
                <w:sz w:val="18"/>
                <w:szCs w:val="18"/>
              </w:rPr>
            </w:pP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vAlign w:val="center"/>
          </w:tcPr>
          <w:p w14:paraId="4C9E43FE" w14:textId="77777777" w:rsidR="009957B1" w:rsidRPr="002A4A4A" w:rsidRDefault="009957B1">
            <w:pPr>
              <w:pStyle w:val="tabletext"/>
              <w:spacing w:line="256" w:lineRule="auto"/>
              <w:jc w:val="right"/>
              <w:rPr>
                <w:b/>
                <w:bCs/>
                <w:sz w:val="18"/>
                <w:szCs w:val="18"/>
              </w:rPr>
            </w:pP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tcPr>
          <w:p w14:paraId="6EA34229" w14:textId="77777777" w:rsidR="009957B1" w:rsidRPr="002A4A4A" w:rsidRDefault="009957B1">
            <w:pPr>
              <w:pStyle w:val="tabletext"/>
              <w:spacing w:line="256" w:lineRule="auto"/>
              <w:jc w:val="right"/>
              <w:rPr>
                <w:b/>
                <w:bCs/>
                <w:sz w:val="18"/>
                <w:szCs w:val="18"/>
              </w:rPr>
            </w:pP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7DBE9"/>
            <w:vAlign w:val="center"/>
          </w:tcPr>
          <w:p w14:paraId="082E0566" w14:textId="77777777" w:rsidR="009957B1" w:rsidRPr="002A4A4A" w:rsidRDefault="009957B1">
            <w:pPr>
              <w:pStyle w:val="tabletext"/>
              <w:spacing w:line="256" w:lineRule="auto"/>
              <w:jc w:val="right"/>
              <w:rPr>
                <w:b/>
                <w:bCs/>
                <w:sz w:val="18"/>
                <w:szCs w:val="18"/>
              </w:rPr>
            </w:pPr>
          </w:p>
        </w:tc>
      </w:tr>
      <w:tr w:rsidR="009957B1" w14:paraId="2F82867E"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3F4F8C01" w14:textId="4FDB4D7E" w:rsidR="009957B1" w:rsidRDefault="004A1B15">
            <w:pPr>
              <w:pStyle w:val="tabletext"/>
              <w:spacing w:line="256" w:lineRule="auto"/>
              <w:rPr>
                <w:sz w:val="18"/>
                <w:szCs w:val="18"/>
              </w:rPr>
            </w:pPr>
            <w:r>
              <w:rPr>
                <w:sz w:val="18"/>
                <w:szCs w:val="18"/>
              </w:rPr>
              <w:t xml:space="preserve">To OBC </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69BAE98A" w14:textId="26D476A7" w:rsidR="009957B1" w:rsidRDefault="004A1B15">
            <w:pPr>
              <w:pStyle w:val="tabletext"/>
              <w:spacing w:line="256" w:lineRule="auto"/>
              <w:jc w:val="right"/>
              <w:rPr>
                <w:sz w:val="18"/>
                <w:szCs w:val="18"/>
              </w:rPr>
            </w:pPr>
            <w:r>
              <w:rPr>
                <w:sz w:val="18"/>
                <w:szCs w:val="18"/>
              </w:rPr>
              <w:t>1,934</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429E318B" w14:textId="77777777" w:rsidR="009957B1" w:rsidRDefault="009957B1">
            <w:pPr>
              <w:pStyle w:val="tabletext"/>
              <w:spacing w:line="256" w:lineRule="auto"/>
              <w:jc w:val="right"/>
              <w:rPr>
                <w:sz w:val="18"/>
                <w:szCs w:val="18"/>
              </w:rPr>
            </w:pPr>
            <w:r>
              <w:rPr>
                <w:sz w:val="18"/>
                <w:szCs w:val="18"/>
              </w:rPr>
              <w:t>0</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49DF763D" w14:textId="77777777" w:rsidR="009957B1" w:rsidRDefault="009957B1">
            <w:pPr>
              <w:pStyle w:val="tabletext"/>
              <w:spacing w:line="256" w:lineRule="auto"/>
              <w:jc w:val="right"/>
              <w:rPr>
                <w:sz w:val="18"/>
                <w:szCs w:val="18"/>
              </w:rPr>
            </w:pPr>
            <w:r>
              <w:rPr>
                <w:sz w:val="18"/>
                <w:szCs w:val="18"/>
              </w:rPr>
              <w:t>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1CC7ECB6" w14:textId="77777777" w:rsidR="009957B1" w:rsidRDefault="009957B1">
            <w:pPr>
              <w:pStyle w:val="tabletext"/>
              <w:spacing w:line="256" w:lineRule="auto"/>
              <w:jc w:val="right"/>
              <w:rPr>
                <w:sz w:val="18"/>
                <w:szCs w:val="18"/>
              </w:rPr>
            </w:pPr>
            <w:r>
              <w:rPr>
                <w:sz w:val="18"/>
                <w:szCs w:val="18"/>
              </w:rPr>
              <w:t>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hideMark/>
          </w:tcPr>
          <w:p w14:paraId="3CD0C0D5" w14:textId="6D987100" w:rsidR="009957B1" w:rsidRDefault="004A1B15">
            <w:pPr>
              <w:pStyle w:val="tabletext"/>
              <w:spacing w:line="256" w:lineRule="auto"/>
              <w:jc w:val="right"/>
              <w:rPr>
                <w:sz w:val="18"/>
                <w:szCs w:val="18"/>
              </w:rPr>
            </w:pPr>
            <w:r>
              <w:rPr>
                <w:sz w:val="18"/>
                <w:szCs w:val="18"/>
              </w:rPr>
              <w:t>1,934</w:t>
            </w:r>
          </w:p>
        </w:tc>
      </w:tr>
      <w:tr w:rsidR="004A1B15" w14:paraId="16CBDEB2"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3D6E64D1" w14:textId="24713A40" w:rsidR="004A1B15" w:rsidRDefault="004A1B15" w:rsidP="004A1B15">
            <w:pPr>
              <w:pStyle w:val="tabletext"/>
              <w:spacing w:line="256" w:lineRule="auto"/>
              <w:rPr>
                <w:sz w:val="18"/>
                <w:szCs w:val="18"/>
              </w:rPr>
            </w:pPr>
            <w:r>
              <w:rPr>
                <w:sz w:val="18"/>
                <w:szCs w:val="18"/>
              </w:rPr>
              <w:t>Funding Received to Date</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4F1E85FC" w14:textId="53C1AD8F" w:rsidR="004A1B15" w:rsidRDefault="004A1B15" w:rsidP="004A1B15">
            <w:pPr>
              <w:pStyle w:val="tabletext"/>
              <w:spacing w:line="256" w:lineRule="auto"/>
              <w:jc w:val="right"/>
              <w:rPr>
                <w:sz w:val="18"/>
                <w:szCs w:val="18"/>
              </w:rPr>
            </w:pPr>
            <w:r>
              <w:rPr>
                <w:sz w:val="18"/>
                <w:szCs w:val="18"/>
              </w:rPr>
              <w:t>1,934</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tcPr>
          <w:p w14:paraId="6106E924" w14:textId="1CAD7A40" w:rsidR="004A1B15" w:rsidRDefault="004A1B15" w:rsidP="004A1B15">
            <w:pPr>
              <w:pStyle w:val="tabletext"/>
              <w:spacing w:line="256" w:lineRule="auto"/>
              <w:jc w:val="right"/>
              <w:rPr>
                <w:sz w:val="18"/>
                <w:szCs w:val="18"/>
              </w:rPr>
            </w:pP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tcPr>
          <w:p w14:paraId="612AE6B0" w14:textId="614E8768" w:rsidR="004A1B15" w:rsidRDefault="004A1B15" w:rsidP="004A1B15">
            <w:pPr>
              <w:pStyle w:val="tabletext"/>
              <w:spacing w:line="256" w:lineRule="auto"/>
              <w:jc w:val="right"/>
              <w:rPr>
                <w:sz w:val="18"/>
                <w:szCs w:val="18"/>
              </w:rPr>
            </w:pP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tcPr>
          <w:p w14:paraId="45E0DB42" w14:textId="482C29DB" w:rsidR="004A1B15" w:rsidRDefault="004A1B15" w:rsidP="004A1B15">
            <w:pPr>
              <w:pStyle w:val="tabletext"/>
              <w:spacing w:line="256" w:lineRule="auto"/>
              <w:jc w:val="right"/>
              <w:rPr>
                <w:sz w:val="18"/>
                <w:szCs w:val="18"/>
              </w:rPr>
            </w:pP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5E484D57" w14:textId="6AA64DEE" w:rsidR="004A1B15" w:rsidRDefault="004A1B15" w:rsidP="004A1B15">
            <w:pPr>
              <w:pStyle w:val="tabletext"/>
              <w:spacing w:line="256" w:lineRule="auto"/>
              <w:jc w:val="right"/>
              <w:rPr>
                <w:sz w:val="18"/>
                <w:szCs w:val="18"/>
              </w:rPr>
            </w:pPr>
            <w:r>
              <w:rPr>
                <w:b/>
                <w:bCs/>
                <w:sz w:val="18"/>
                <w:szCs w:val="18"/>
              </w:rPr>
              <w:t>1,934</w:t>
            </w:r>
          </w:p>
        </w:tc>
      </w:tr>
      <w:tr w:rsidR="009957B1" w14:paraId="56CD29E1"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262B0F35" w14:textId="40DF0F31" w:rsidR="009957B1" w:rsidRDefault="004A1B15">
            <w:pPr>
              <w:pStyle w:val="tabletext"/>
              <w:spacing w:line="256" w:lineRule="auto"/>
              <w:rPr>
                <w:sz w:val="18"/>
                <w:szCs w:val="18"/>
              </w:rPr>
            </w:pPr>
            <w:r>
              <w:rPr>
                <w:sz w:val="18"/>
                <w:szCs w:val="18"/>
              </w:rPr>
              <w:t xml:space="preserve">Funding Still Required </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5CF3351A" w14:textId="08445D63" w:rsidR="009957B1" w:rsidRDefault="004A1B15">
            <w:pPr>
              <w:pStyle w:val="tabletext"/>
              <w:spacing w:line="256" w:lineRule="auto"/>
              <w:jc w:val="right"/>
              <w:rPr>
                <w:sz w:val="18"/>
                <w:szCs w:val="18"/>
              </w:rPr>
            </w:pPr>
            <w:r>
              <w:rPr>
                <w:sz w:val="18"/>
                <w:szCs w:val="18"/>
              </w:rPr>
              <w:t>711</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7948FFE8" w14:textId="6BF38164" w:rsidR="009957B1" w:rsidRDefault="004A1B15">
            <w:pPr>
              <w:pStyle w:val="tabletext"/>
              <w:spacing w:line="256" w:lineRule="auto"/>
              <w:jc w:val="right"/>
              <w:rPr>
                <w:sz w:val="18"/>
                <w:szCs w:val="18"/>
              </w:rPr>
            </w:pPr>
            <w:r>
              <w:rPr>
                <w:sz w:val="18"/>
                <w:szCs w:val="18"/>
              </w:rPr>
              <w:t>31,320</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008E62D8" w14:textId="32E6F6C3" w:rsidR="009957B1" w:rsidRDefault="004A1B15">
            <w:pPr>
              <w:pStyle w:val="tabletext"/>
              <w:spacing w:line="256" w:lineRule="auto"/>
              <w:jc w:val="right"/>
              <w:rPr>
                <w:sz w:val="18"/>
                <w:szCs w:val="18"/>
              </w:rPr>
            </w:pPr>
            <w:r>
              <w:rPr>
                <w:sz w:val="18"/>
                <w:szCs w:val="18"/>
              </w:rPr>
              <w:t>67,684</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717299CF" w14:textId="0666FF62" w:rsidR="009957B1" w:rsidRDefault="004A1B15">
            <w:pPr>
              <w:pStyle w:val="tabletext"/>
              <w:spacing w:line="256" w:lineRule="auto"/>
              <w:jc w:val="right"/>
              <w:rPr>
                <w:sz w:val="18"/>
                <w:szCs w:val="18"/>
              </w:rPr>
            </w:pPr>
            <w:r>
              <w:rPr>
                <w:sz w:val="18"/>
                <w:szCs w:val="18"/>
              </w:rPr>
              <w:t>21,980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E9F1F6" w:themeFill="accent3" w:themeFillTint="33"/>
            <w:hideMark/>
          </w:tcPr>
          <w:p w14:paraId="548393E2" w14:textId="4B67F55B" w:rsidR="009957B1" w:rsidRDefault="004A1B15">
            <w:pPr>
              <w:pStyle w:val="tabletext"/>
              <w:spacing w:line="256" w:lineRule="auto"/>
              <w:jc w:val="right"/>
              <w:rPr>
                <w:sz w:val="18"/>
                <w:szCs w:val="18"/>
              </w:rPr>
            </w:pPr>
            <w:r>
              <w:rPr>
                <w:sz w:val="18"/>
                <w:szCs w:val="18"/>
              </w:rPr>
              <w:t>121,695</w:t>
            </w:r>
          </w:p>
        </w:tc>
      </w:tr>
      <w:tr w:rsidR="009957B1" w14:paraId="5726C736" w14:textId="77777777" w:rsidTr="004A1B15">
        <w:tc>
          <w:tcPr>
            <w:tcW w:w="1542"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7036F0AD" w14:textId="77777777" w:rsidR="009957B1" w:rsidRDefault="009957B1">
            <w:pPr>
              <w:pStyle w:val="tabletext"/>
              <w:spacing w:line="256" w:lineRule="auto"/>
              <w:rPr>
                <w:b/>
                <w:bCs/>
                <w:sz w:val="18"/>
                <w:szCs w:val="18"/>
              </w:rPr>
            </w:pPr>
            <w:r>
              <w:rPr>
                <w:b/>
                <w:bCs/>
                <w:sz w:val="18"/>
                <w:szCs w:val="18"/>
              </w:rPr>
              <w:t>Total funding requirement</w:t>
            </w:r>
          </w:p>
        </w:tc>
        <w:tc>
          <w:tcPr>
            <w:tcW w:w="691"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06BBFD22" w14:textId="77777777" w:rsidR="009957B1" w:rsidRDefault="009957B1">
            <w:pPr>
              <w:pStyle w:val="tabletext"/>
              <w:spacing w:line="256" w:lineRule="auto"/>
              <w:jc w:val="right"/>
              <w:rPr>
                <w:b/>
                <w:bCs/>
                <w:sz w:val="18"/>
                <w:szCs w:val="18"/>
              </w:rPr>
            </w:pPr>
            <w:r>
              <w:rPr>
                <w:b/>
                <w:bCs/>
                <w:sz w:val="18"/>
                <w:szCs w:val="18"/>
              </w:rPr>
              <w:t>2,645</w:t>
            </w:r>
          </w:p>
        </w:tc>
        <w:tc>
          <w:tcPr>
            <w:tcW w:w="689"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74EAC48F" w14:textId="3DC0DC2D" w:rsidR="009957B1" w:rsidRDefault="004A1B15">
            <w:pPr>
              <w:pStyle w:val="tabletext"/>
              <w:spacing w:line="256" w:lineRule="auto"/>
              <w:jc w:val="right"/>
              <w:rPr>
                <w:b/>
                <w:bCs/>
                <w:sz w:val="18"/>
                <w:szCs w:val="18"/>
              </w:rPr>
            </w:pPr>
            <w:r>
              <w:rPr>
                <w:b/>
                <w:bCs/>
                <w:sz w:val="18"/>
                <w:szCs w:val="18"/>
              </w:rPr>
              <w:t>31,320</w:t>
            </w:r>
          </w:p>
        </w:tc>
        <w:tc>
          <w:tcPr>
            <w:tcW w:w="690"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6D839F87" w14:textId="4479B46E" w:rsidR="009957B1" w:rsidRDefault="009957B1">
            <w:pPr>
              <w:pStyle w:val="tabletext"/>
              <w:spacing w:line="256" w:lineRule="auto"/>
              <w:jc w:val="right"/>
              <w:rPr>
                <w:b/>
                <w:bCs/>
                <w:sz w:val="18"/>
                <w:szCs w:val="18"/>
              </w:rPr>
            </w:pPr>
            <w:r>
              <w:rPr>
                <w:b/>
                <w:bCs/>
                <w:sz w:val="18"/>
                <w:szCs w:val="18"/>
              </w:rPr>
              <w:t>6</w:t>
            </w:r>
            <w:r w:rsidR="004A1B15">
              <w:rPr>
                <w:b/>
                <w:bCs/>
                <w:sz w:val="18"/>
                <w:szCs w:val="18"/>
              </w:rPr>
              <w:t>7,684</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6D8BE85D" w14:textId="4014EC87" w:rsidR="009957B1" w:rsidRDefault="009957B1">
            <w:pPr>
              <w:pStyle w:val="tabletext"/>
              <w:spacing w:line="256" w:lineRule="auto"/>
              <w:jc w:val="right"/>
              <w:rPr>
                <w:b/>
                <w:bCs/>
                <w:sz w:val="18"/>
                <w:szCs w:val="18"/>
              </w:rPr>
            </w:pPr>
            <w:r>
              <w:rPr>
                <w:b/>
                <w:bCs/>
                <w:sz w:val="18"/>
                <w:szCs w:val="18"/>
              </w:rPr>
              <w:t>2</w:t>
            </w:r>
            <w:r w:rsidR="004A1B15">
              <w:rPr>
                <w:b/>
                <w:bCs/>
                <w:sz w:val="18"/>
                <w:szCs w:val="18"/>
              </w:rPr>
              <w:t>1,980</w:t>
            </w:r>
          </w:p>
        </w:tc>
        <w:tc>
          <w:tcPr>
            <w:tcW w:w="694" w:type="pct"/>
            <w:tc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tcBorders>
            <w:shd w:val="clear" w:color="auto" w:fill="D9D9D9" w:themeFill="background1" w:themeFillShade="D9"/>
            <w:hideMark/>
          </w:tcPr>
          <w:p w14:paraId="2B5E2E66" w14:textId="6054173B" w:rsidR="009957B1" w:rsidRDefault="004A1B15">
            <w:pPr>
              <w:pStyle w:val="tabletext"/>
              <w:spacing w:line="256" w:lineRule="auto"/>
              <w:jc w:val="right"/>
              <w:rPr>
                <w:b/>
                <w:bCs/>
                <w:sz w:val="18"/>
                <w:szCs w:val="18"/>
              </w:rPr>
            </w:pPr>
            <w:r>
              <w:rPr>
                <w:b/>
                <w:bCs/>
                <w:sz w:val="18"/>
                <w:szCs w:val="18"/>
              </w:rPr>
              <w:t>123,629</w:t>
            </w:r>
          </w:p>
        </w:tc>
      </w:tr>
    </w:tbl>
    <w:p w14:paraId="05B53963" w14:textId="77777777" w:rsidR="009957B1" w:rsidRDefault="009957B1" w:rsidP="009957B1"/>
    <w:p w14:paraId="59C77038" w14:textId="77777777" w:rsidR="009957B1" w:rsidRPr="002A4A4A" w:rsidRDefault="009957B1" w:rsidP="002A4A4A">
      <w:pPr>
        <w:pStyle w:val="Heading2"/>
        <w:numPr>
          <w:ilvl w:val="1"/>
          <w:numId w:val="48"/>
        </w:numPr>
      </w:pPr>
      <w:bookmarkStart w:id="250" w:name="_Toc213865262"/>
      <w:r w:rsidRPr="002A4A4A">
        <w:t>Revenue affordability</w:t>
      </w:r>
      <w:bookmarkEnd w:id="250"/>
    </w:p>
    <w:p w14:paraId="5328F992" w14:textId="77777777" w:rsidR="009957B1" w:rsidRPr="002A4A4A" w:rsidRDefault="009957B1" w:rsidP="002A4A4A">
      <w:pPr>
        <w:pStyle w:val="Heading3"/>
        <w:numPr>
          <w:ilvl w:val="2"/>
          <w:numId w:val="48"/>
        </w:numPr>
      </w:pPr>
      <w:r w:rsidRPr="002A4A4A">
        <w:t>Recurring revenue costs</w:t>
      </w:r>
    </w:p>
    <w:p w14:paraId="65FB3F16" w14:textId="1EE42EC7" w:rsidR="009957B1" w:rsidRPr="002A4A4A" w:rsidRDefault="009957B1" w:rsidP="002A4A4A">
      <w:r w:rsidRPr="002A4A4A">
        <w:t>It is anticipated that the creation of the new Orthopaedic Surgical Hub will incur additional recurring full-year revenue costs of £39.</w:t>
      </w:r>
      <w:r w:rsidR="009201A2">
        <w:t>9</w:t>
      </w:r>
      <w:r w:rsidRPr="002A4A4A">
        <w:t xml:space="preserve">m per annum. </w:t>
      </w:r>
      <w:proofErr w:type="gramStart"/>
      <w:r w:rsidRPr="002A4A4A">
        <w:t>This covers</w:t>
      </w:r>
      <w:proofErr w:type="gramEnd"/>
      <w:r w:rsidRPr="002A4A4A">
        <w:t xml:space="preserve"> pay and non-pay costs associated with delivering procedures across theatres and supporting wards. This estimate is based on:</w:t>
      </w:r>
    </w:p>
    <w:p w14:paraId="72B02227" w14:textId="77777777" w:rsidR="009957B1" w:rsidRDefault="009957B1" w:rsidP="009957B1">
      <w:pPr>
        <w:pStyle w:val="bullets1"/>
        <w:numPr>
          <w:ilvl w:val="0"/>
          <w:numId w:val="49"/>
        </w:numPr>
        <w:tabs>
          <w:tab w:val="left" w:pos="720"/>
        </w:tabs>
      </w:pPr>
      <w:r>
        <w:t>Pay costs of £15m, covering 220.33WTE medical, nursing, allied health professionals, administrative and estates staff.</w:t>
      </w:r>
    </w:p>
    <w:p w14:paraId="6A1B3956" w14:textId="77777777" w:rsidR="009957B1" w:rsidRDefault="009957B1" w:rsidP="009957B1">
      <w:pPr>
        <w:pStyle w:val="bullets1"/>
        <w:numPr>
          <w:ilvl w:val="0"/>
          <w:numId w:val="49"/>
        </w:numPr>
        <w:tabs>
          <w:tab w:val="left" w:pos="720"/>
        </w:tabs>
      </w:pPr>
      <w:r>
        <w:t>Non-pay costs of £18.8m including supplies and services for Theatres, Ward and supporting areas.</w:t>
      </w:r>
    </w:p>
    <w:p w14:paraId="31738C28" w14:textId="77777777" w:rsidR="009957B1" w:rsidRDefault="009957B1" w:rsidP="009957B1">
      <w:pPr>
        <w:pStyle w:val="bullets1"/>
        <w:numPr>
          <w:ilvl w:val="0"/>
          <w:numId w:val="49"/>
        </w:numPr>
        <w:tabs>
          <w:tab w:val="left" w:pos="720"/>
        </w:tabs>
      </w:pPr>
      <w:r>
        <w:t>Building running costs of £3m related to rates, utilities, and maintenance</w:t>
      </w:r>
    </w:p>
    <w:p w14:paraId="38D4B44C" w14:textId="77777777" w:rsidR="009957B1" w:rsidRDefault="009957B1" w:rsidP="009957B1">
      <w:pPr>
        <w:pStyle w:val="bullets1"/>
        <w:numPr>
          <w:ilvl w:val="0"/>
          <w:numId w:val="49"/>
        </w:numPr>
        <w:tabs>
          <w:tab w:val="left" w:pos="720"/>
        </w:tabs>
      </w:pPr>
      <w:r>
        <w:lastRenderedPageBreak/>
        <w:t>Depreciation as outlined in section 9.4.</w:t>
      </w:r>
    </w:p>
    <w:p w14:paraId="53159250" w14:textId="77777777" w:rsidR="009957B1" w:rsidRDefault="009957B1" w:rsidP="009957B1">
      <w:pPr>
        <w:pStyle w:val="NoSpacing"/>
      </w:pPr>
    </w:p>
    <w:p w14:paraId="7D9AE492" w14:textId="77777777" w:rsidR="009957B1" w:rsidRPr="002A4A4A" w:rsidRDefault="009957B1" w:rsidP="002A4A4A">
      <w:r w:rsidRPr="002A4A4A">
        <w:t>It is expected that activity and revenue costs will begin post completion and commissioning of Phase 2 of the build.  Whilst the main contractor build programme will complete at the end of September 2028 it is expected that the handover, equipping and commissioning could take up to three additional months, which is expected to be at the end of December 2028, which means the first year will incur three months of activity and revenue costs.</w:t>
      </w:r>
    </w:p>
    <w:p w14:paraId="374CF1F7" w14:textId="77777777" w:rsidR="009957B1" w:rsidRPr="002A4A4A" w:rsidRDefault="009957B1" w:rsidP="002A4A4A">
      <w:r w:rsidRPr="002A4A4A">
        <w:t xml:space="preserve">A summary of costs is provided below with more detailed calculations provided </w:t>
      </w:r>
      <w:r w:rsidRPr="00F338F9">
        <w:t>in Appendix 8.</w:t>
      </w:r>
    </w:p>
    <w:p w14:paraId="1DEB51EC" w14:textId="2C40477E" w:rsidR="009957B1" w:rsidRDefault="009957B1" w:rsidP="009957B1">
      <w:pPr>
        <w:pStyle w:val="Caption"/>
        <w:rPr>
          <w:noProof w:val="0"/>
        </w:rPr>
      </w:pPr>
      <w:bookmarkStart w:id="251" w:name="_Toc213865307"/>
      <w:r>
        <w:rPr>
          <w:noProof w:val="0"/>
        </w:rPr>
        <w:t xml:space="preserve">Table </w:t>
      </w:r>
      <w:r>
        <w:fldChar w:fldCharType="begin"/>
      </w:r>
      <w:r>
        <w:rPr>
          <w:noProof w:val="0"/>
        </w:rPr>
        <w:instrText xml:space="preserve"> SEQ Table \* ARABIC </w:instrText>
      </w:r>
      <w:r>
        <w:fldChar w:fldCharType="separate"/>
      </w:r>
      <w:r w:rsidR="004A33ED">
        <w:t>27</w:t>
      </w:r>
      <w:r>
        <w:fldChar w:fldCharType="end"/>
      </w:r>
      <w:r>
        <w:rPr>
          <w:noProof w:val="0"/>
        </w:rPr>
        <w:t xml:space="preserve"> – Summary of revenue costs</w:t>
      </w:r>
      <w:bookmarkEnd w:id="251"/>
    </w:p>
    <w:tbl>
      <w:tblPr>
        <w:tblW w:w="5100" w:type="pct"/>
        <w:tblInd w:w="-113" w:type="dxa"/>
        <w:tbl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insideH w:val="single" w:sz="4" w:space="0" w:color="BFBFBF" w:themeColor="accent6" w:themeShade="BF"/>
          <w:insideV w:val="single" w:sz="4" w:space="0" w:color="BFBFBF" w:themeColor="accent6" w:themeShade="BF"/>
        </w:tblBorders>
        <w:tblLook w:val="04A0" w:firstRow="1" w:lastRow="0" w:firstColumn="1" w:lastColumn="0" w:noHBand="0" w:noVBand="1"/>
      </w:tblPr>
      <w:tblGrid>
        <w:gridCol w:w="2940"/>
        <w:gridCol w:w="1420"/>
        <w:gridCol w:w="2801"/>
        <w:gridCol w:w="2660"/>
      </w:tblGrid>
      <w:tr w:rsidR="009957B1" w14:paraId="27FDBDAF" w14:textId="77777777" w:rsidTr="002A4A4A">
        <w:trPr>
          <w:tblHeader/>
        </w:trPr>
        <w:tc>
          <w:tcPr>
            <w:tcW w:w="1497"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374264" w:themeFill="text2"/>
            <w:hideMark/>
          </w:tcPr>
          <w:p w14:paraId="67B27F42" w14:textId="77777777" w:rsidR="009957B1" w:rsidRDefault="009957B1">
            <w:pPr>
              <w:pStyle w:val="tabletext"/>
              <w:spacing w:line="256" w:lineRule="auto"/>
              <w:rPr>
                <w:b/>
                <w:bCs/>
                <w:color w:val="FFFFFF" w:themeColor="background1"/>
                <w:sz w:val="18"/>
                <w:szCs w:val="20"/>
              </w:rPr>
            </w:pPr>
            <w:r>
              <w:rPr>
                <w:b/>
                <w:bCs/>
                <w:color w:val="FFFFFF" w:themeColor="background1"/>
                <w:sz w:val="18"/>
                <w:szCs w:val="20"/>
              </w:rPr>
              <w:t>Revenue element</w:t>
            </w:r>
          </w:p>
        </w:tc>
        <w:tc>
          <w:tcPr>
            <w:tcW w:w="723"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374264" w:themeFill="text2"/>
            <w:hideMark/>
          </w:tcPr>
          <w:p w14:paraId="45C8ED7A" w14:textId="77777777" w:rsidR="009957B1" w:rsidRDefault="009957B1">
            <w:pPr>
              <w:pStyle w:val="tabletext"/>
              <w:spacing w:line="256" w:lineRule="auto"/>
              <w:jc w:val="right"/>
              <w:rPr>
                <w:b/>
                <w:bCs/>
                <w:color w:val="FFFFFF" w:themeColor="background1"/>
                <w:sz w:val="18"/>
                <w:szCs w:val="20"/>
              </w:rPr>
            </w:pPr>
            <w:r>
              <w:rPr>
                <w:b/>
                <w:bCs/>
                <w:color w:val="FFFFFF" w:themeColor="background1"/>
                <w:sz w:val="18"/>
                <w:szCs w:val="20"/>
              </w:rPr>
              <w:t>WTE</w:t>
            </w:r>
          </w:p>
        </w:tc>
        <w:tc>
          <w:tcPr>
            <w:tcW w:w="1426"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374264" w:themeFill="text2"/>
            <w:hideMark/>
          </w:tcPr>
          <w:p w14:paraId="484B4DBE" w14:textId="77777777" w:rsidR="009957B1" w:rsidRDefault="009957B1">
            <w:pPr>
              <w:pStyle w:val="tabletext"/>
              <w:spacing w:line="256" w:lineRule="auto"/>
              <w:jc w:val="right"/>
              <w:rPr>
                <w:b/>
                <w:bCs/>
                <w:color w:val="FFFFFF" w:themeColor="background1"/>
                <w:sz w:val="18"/>
                <w:szCs w:val="20"/>
              </w:rPr>
            </w:pPr>
            <w:r>
              <w:rPr>
                <w:b/>
                <w:bCs/>
                <w:color w:val="FFFFFF" w:themeColor="background1"/>
                <w:sz w:val="18"/>
                <w:szCs w:val="20"/>
              </w:rPr>
              <w:t>2028/29 (Assume 3 months)</w:t>
            </w:r>
          </w:p>
          <w:p w14:paraId="0BF2457F" w14:textId="77777777" w:rsidR="009957B1" w:rsidRDefault="009957B1">
            <w:pPr>
              <w:pStyle w:val="tabletext"/>
              <w:spacing w:line="256" w:lineRule="auto"/>
              <w:jc w:val="right"/>
              <w:rPr>
                <w:b/>
                <w:bCs/>
                <w:color w:val="FFFFFF" w:themeColor="background1"/>
                <w:sz w:val="18"/>
                <w:szCs w:val="20"/>
              </w:rPr>
            </w:pPr>
            <w:r>
              <w:rPr>
                <w:b/>
                <w:bCs/>
                <w:color w:val="FFFFFF" w:themeColor="background1"/>
                <w:sz w:val="18"/>
                <w:szCs w:val="20"/>
              </w:rPr>
              <w:t>£’000</w:t>
            </w:r>
          </w:p>
        </w:tc>
        <w:tc>
          <w:tcPr>
            <w:tcW w:w="1354"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374264" w:themeFill="text2"/>
            <w:hideMark/>
          </w:tcPr>
          <w:p w14:paraId="6860D9F3" w14:textId="77777777" w:rsidR="009957B1" w:rsidRDefault="009957B1">
            <w:pPr>
              <w:pStyle w:val="tabletext"/>
              <w:spacing w:line="256" w:lineRule="auto"/>
              <w:jc w:val="right"/>
              <w:rPr>
                <w:b/>
                <w:bCs/>
                <w:color w:val="FFFFFF" w:themeColor="background1"/>
                <w:sz w:val="18"/>
                <w:szCs w:val="20"/>
              </w:rPr>
            </w:pPr>
            <w:r>
              <w:rPr>
                <w:b/>
                <w:bCs/>
                <w:color w:val="FFFFFF" w:themeColor="background1"/>
                <w:sz w:val="18"/>
                <w:szCs w:val="20"/>
              </w:rPr>
              <w:t>2029/30 – Onwards</w:t>
            </w:r>
          </w:p>
          <w:p w14:paraId="66961DAF" w14:textId="77777777" w:rsidR="009957B1" w:rsidRDefault="009957B1">
            <w:pPr>
              <w:pStyle w:val="tabletext"/>
              <w:spacing w:line="256" w:lineRule="auto"/>
              <w:jc w:val="right"/>
              <w:rPr>
                <w:b/>
                <w:bCs/>
                <w:color w:val="FFFFFF" w:themeColor="background1"/>
                <w:sz w:val="18"/>
                <w:szCs w:val="20"/>
              </w:rPr>
            </w:pPr>
            <w:r>
              <w:rPr>
                <w:b/>
                <w:bCs/>
                <w:color w:val="FFFFFF" w:themeColor="background1"/>
                <w:sz w:val="18"/>
                <w:szCs w:val="20"/>
              </w:rPr>
              <w:t>£’000</w:t>
            </w:r>
          </w:p>
        </w:tc>
      </w:tr>
      <w:tr w:rsidR="009957B1" w14:paraId="6D6BA598" w14:textId="77777777" w:rsidTr="002A4A4A">
        <w:tc>
          <w:tcPr>
            <w:tcW w:w="1497"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4C62A6C2" w14:textId="77777777" w:rsidR="009957B1" w:rsidRDefault="009957B1">
            <w:pPr>
              <w:pStyle w:val="tabletext"/>
              <w:spacing w:line="256" w:lineRule="auto"/>
              <w:rPr>
                <w:sz w:val="18"/>
                <w:szCs w:val="18"/>
              </w:rPr>
            </w:pPr>
            <w:r>
              <w:rPr>
                <w:sz w:val="18"/>
                <w:szCs w:val="18"/>
              </w:rPr>
              <w:t>Pay Costs</w:t>
            </w:r>
          </w:p>
        </w:tc>
        <w:tc>
          <w:tcPr>
            <w:tcW w:w="723"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7FA4458D" w14:textId="77777777" w:rsidR="009957B1" w:rsidRDefault="009957B1">
            <w:pPr>
              <w:pStyle w:val="tabletext"/>
              <w:spacing w:line="256" w:lineRule="auto"/>
              <w:jc w:val="right"/>
              <w:rPr>
                <w:sz w:val="18"/>
                <w:szCs w:val="18"/>
              </w:rPr>
            </w:pPr>
            <w:r>
              <w:rPr>
                <w:sz w:val="18"/>
                <w:szCs w:val="18"/>
              </w:rPr>
              <w:t xml:space="preserve"> 220.33 </w:t>
            </w:r>
          </w:p>
        </w:tc>
        <w:tc>
          <w:tcPr>
            <w:tcW w:w="1426"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C0D33B3" w14:textId="77777777" w:rsidR="009957B1" w:rsidRDefault="009957B1">
            <w:pPr>
              <w:pStyle w:val="tabletext"/>
              <w:spacing w:line="256" w:lineRule="auto"/>
              <w:jc w:val="right"/>
              <w:rPr>
                <w:sz w:val="18"/>
                <w:szCs w:val="20"/>
              </w:rPr>
            </w:pPr>
            <w:r>
              <w:rPr>
                <w:sz w:val="18"/>
                <w:szCs w:val="20"/>
              </w:rPr>
              <w:t>3,759</w:t>
            </w:r>
          </w:p>
        </w:tc>
        <w:tc>
          <w:tcPr>
            <w:tcW w:w="1354"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01852F13" w14:textId="77777777" w:rsidR="009957B1" w:rsidRDefault="009957B1">
            <w:pPr>
              <w:pStyle w:val="tabletext"/>
              <w:spacing w:line="256" w:lineRule="auto"/>
              <w:jc w:val="right"/>
              <w:rPr>
                <w:sz w:val="18"/>
                <w:szCs w:val="18"/>
              </w:rPr>
            </w:pPr>
            <w:r>
              <w:rPr>
                <w:sz w:val="18"/>
                <w:szCs w:val="18"/>
              </w:rPr>
              <w:t>15,035</w:t>
            </w:r>
          </w:p>
        </w:tc>
      </w:tr>
      <w:tr w:rsidR="009957B1" w14:paraId="2053FE79" w14:textId="77777777" w:rsidTr="002A4A4A">
        <w:tc>
          <w:tcPr>
            <w:tcW w:w="1497"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5BCB32D" w14:textId="77777777" w:rsidR="009957B1" w:rsidRDefault="009957B1">
            <w:pPr>
              <w:pStyle w:val="tabletext"/>
              <w:spacing w:line="256" w:lineRule="auto"/>
              <w:rPr>
                <w:sz w:val="18"/>
                <w:szCs w:val="18"/>
              </w:rPr>
            </w:pPr>
            <w:proofErr w:type="gramStart"/>
            <w:r>
              <w:rPr>
                <w:sz w:val="18"/>
                <w:szCs w:val="18"/>
              </w:rPr>
              <w:t>Non Pay</w:t>
            </w:r>
            <w:proofErr w:type="gramEnd"/>
            <w:r>
              <w:rPr>
                <w:sz w:val="18"/>
                <w:szCs w:val="18"/>
              </w:rPr>
              <w:t xml:space="preserve"> Costs</w:t>
            </w:r>
          </w:p>
        </w:tc>
        <w:tc>
          <w:tcPr>
            <w:tcW w:w="723"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tcPr>
          <w:p w14:paraId="4332AD93" w14:textId="77777777" w:rsidR="009957B1" w:rsidRDefault="009957B1">
            <w:pPr>
              <w:pStyle w:val="tabletext"/>
              <w:spacing w:line="256" w:lineRule="auto"/>
              <w:jc w:val="right"/>
              <w:rPr>
                <w:sz w:val="18"/>
                <w:szCs w:val="18"/>
              </w:rPr>
            </w:pPr>
          </w:p>
        </w:tc>
        <w:tc>
          <w:tcPr>
            <w:tcW w:w="1426"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0A39AD48" w14:textId="77777777" w:rsidR="009957B1" w:rsidRDefault="009957B1">
            <w:pPr>
              <w:pStyle w:val="tabletext"/>
              <w:spacing w:line="256" w:lineRule="auto"/>
              <w:jc w:val="right"/>
              <w:rPr>
                <w:sz w:val="18"/>
                <w:szCs w:val="20"/>
              </w:rPr>
            </w:pPr>
            <w:r>
              <w:rPr>
                <w:sz w:val="18"/>
                <w:szCs w:val="20"/>
              </w:rPr>
              <w:t>4,693</w:t>
            </w:r>
          </w:p>
        </w:tc>
        <w:tc>
          <w:tcPr>
            <w:tcW w:w="1354"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61B96491" w14:textId="77777777" w:rsidR="009957B1" w:rsidRDefault="009957B1">
            <w:pPr>
              <w:pStyle w:val="tabletext"/>
              <w:spacing w:line="256" w:lineRule="auto"/>
              <w:jc w:val="right"/>
              <w:rPr>
                <w:sz w:val="18"/>
                <w:szCs w:val="18"/>
              </w:rPr>
            </w:pPr>
            <w:r>
              <w:rPr>
                <w:sz w:val="18"/>
                <w:szCs w:val="18"/>
              </w:rPr>
              <w:t>18,770</w:t>
            </w:r>
          </w:p>
        </w:tc>
      </w:tr>
      <w:tr w:rsidR="009957B1" w14:paraId="54909AAA" w14:textId="77777777" w:rsidTr="002A4A4A">
        <w:tc>
          <w:tcPr>
            <w:tcW w:w="1497"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1561BBB" w14:textId="77777777" w:rsidR="009957B1" w:rsidRDefault="009957B1">
            <w:pPr>
              <w:pStyle w:val="tabletext"/>
              <w:spacing w:line="256" w:lineRule="auto"/>
              <w:rPr>
                <w:sz w:val="18"/>
                <w:szCs w:val="18"/>
              </w:rPr>
            </w:pPr>
            <w:r>
              <w:rPr>
                <w:sz w:val="18"/>
                <w:szCs w:val="18"/>
              </w:rPr>
              <w:t>Building running costs</w:t>
            </w:r>
          </w:p>
        </w:tc>
        <w:tc>
          <w:tcPr>
            <w:tcW w:w="723"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tcPr>
          <w:p w14:paraId="6F72C27A" w14:textId="77777777" w:rsidR="009957B1" w:rsidRDefault="009957B1">
            <w:pPr>
              <w:pStyle w:val="tabletext"/>
              <w:spacing w:line="256" w:lineRule="auto"/>
              <w:jc w:val="right"/>
              <w:rPr>
                <w:sz w:val="18"/>
                <w:szCs w:val="18"/>
              </w:rPr>
            </w:pPr>
          </w:p>
        </w:tc>
        <w:tc>
          <w:tcPr>
            <w:tcW w:w="1426"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209BB197" w14:textId="77777777" w:rsidR="009957B1" w:rsidRDefault="009957B1">
            <w:pPr>
              <w:pStyle w:val="tabletext"/>
              <w:spacing w:line="256" w:lineRule="auto"/>
              <w:jc w:val="right"/>
              <w:rPr>
                <w:sz w:val="18"/>
                <w:szCs w:val="20"/>
              </w:rPr>
            </w:pPr>
            <w:r>
              <w:rPr>
                <w:sz w:val="18"/>
                <w:szCs w:val="20"/>
              </w:rPr>
              <w:t>744</w:t>
            </w:r>
          </w:p>
        </w:tc>
        <w:tc>
          <w:tcPr>
            <w:tcW w:w="1354"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0FF8BDA8" w14:textId="77777777" w:rsidR="009957B1" w:rsidRDefault="009957B1">
            <w:pPr>
              <w:pStyle w:val="tabletext"/>
              <w:spacing w:line="256" w:lineRule="auto"/>
              <w:jc w:val="right"/>
              <w:rPr>
                <w:sz w:val="18"/>
                <w:szCs w:val="18"/>
              </w:rPr>
            </w:pPr>
            <w:r>
              <w:rPr>
                <w:sz w:val="18"/>
                <w:szCs w:val="18"/>
              </w:rPr>
              <w:t>2,976</w:t>
            </w:r>
          </w:p>
        </w:tc>
      </w:tr>
      <w:tr w:rsidR="009957B1" w14:paraId="07FC93EF" w14:textId="77777777" w:rsidTr="002A4A4A">
        <w:tc>
          <w:tcPr>
            <w:tcW w:w="1497"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4A8A5448" w14:textId="77777777" w:rsidR="009957B1" w:rsidRDefault="009957B1">
            <w:pPr>
              <w:pStyle w:val="tabletext"/>
              <w:spacing w:line="256" w:lineRule="auto"/>
              <w:rPr>
                <w:sz w:val="18"/>
                <w:szCs w:val="18"/>
              </w:rPr>
            </w:pPr>
            <w:r>
              <w:rPr>
                <w:sz w:val="18"/>
                <w:szCs w:val="18"/>
              </w:rPr>
              <w:t>Depreciation</w:t>
            </w:r>
          </w:p>
        </w:tc>
        <w:tc>
          <w:tcPr>
            <w:tcW w:w="723"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tcPr>
          <w:p w14:paraId="37D036E8" w14:textId="77777777" w:rsidR="009957B1" w:rsidRDefault="009957B1">
            <w:pPr>
              <w:pStyle w:val="tabletext"/>
              <w:spacing w:line="256" w:lineRule="auto"/>
              <w:jc w:val="right"/>
              <w:rPr>
                <w:sz w:val="18"/>
                <w:szCs w:val="18"/>
              </w:rPr>
            </w:pPr>
          </w:p>
        </w:tc>
        <w:tc>
          <w:tcPr>
            <w:tcW w:w="1426"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49D73993" w14:textId="026AE6A6" w:rsidR="009957B1" w:rsidRDefault="009957B1">
            <w:pPr>
              <w:pStyle w:val="tabletext"/>
              <w:spacing w:line="256" w:lineRule="auto"/>
              <w:jc w:val="right"/>
              <w:rPr>
                <w:sz w:val="18"/>
                <w:szCs w:val="20"/>
              </w:rPr>
            </w:pPr>
            <w:r>
              <w:rPr>
                <w:sz w:val="18"/>
                <w:szCs w:val="20"/>
              </w:rPr>
              <w:t>7</w:t>
            </w:r>
            <w:r w:rsidR="004A1B15">
              <w:rPr>
                <w:sz w:val="18"/>
                <w:szCs w:val="20"/>
              </w:rPr>
              <w:t>90</w:t>
            </w:r>
          </w:p>
        </w:tc>
        <w:tc>
          <w:tcPr>
            <w:tcW w:w="1354"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60C88754" w14:textId="0523B021" w:rsidR="009957B1" w:rsidRDefault="009957B1">
            <w:pPr>
              <w:pStyle w:val="tabletext"/>
              <w:spacing w:line="256" w:lineRule="auto"/>
              <w:jc w:val="right"/>
              <w:rPr>
                <w:sz w:val="18"/>
                <w:szCs w:val="18"/>
              </w:rPr>
            </w:pPr>
            <w:r>
              <w:rPr>
                <w:sz w:val="18"/>
                <w:szCs w:val="18"/>
              </w:rPr>
              <w:t>3,</w:t>
            </w:r>
            <w:r w:rsidR="009201A2">
              <w:rPr>
                <w:sz w:val="18"/>
                <w:szCs w:val="18"/>
              </w:rPr>
              <w:t>160</w:t>
            </w:r>
          </w:p>
        </w:tc>
      </w:tr>
      <w:tr w:rsidR="009957B1" w14:paraId="50D71F74" w14:textId="77777777" w:rsidTr="002A4A4A">
        <w:tc>
          <w:tcPr>
            <w:tcW w:w="1497"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D9D9" w:themeFill="background1" w:themeFillShade="D9"/>
            <w:hideMark/>
          </w:tcPr>
          <w:p w14:paraId="7FC3F94F" w14:textId="77777777" w:rsidR="009957B1" w:rsidRDefault="009957B1">
            <w:pPr>
              <w:pStyle w:val="tabletext"/>
              <w:spacing w:line="256" w:lineRule="auto"/>
              <w:rPr>
                <w:b/>
                <w:bCs/>
                <w:sz w:val="18"/>
                <w:szCs w:val="18"/>
              </w:rPr>
            </w:pPr>
            <w:r>
              <w:rPr>
                <w:b/>
                <w:bCs/>
                <w:sz w:val="18"/>
                <w:szCs w:val="18"/>
              </w:rPr>
              <w:t>Total annual revenue costs</w:t>
            </w:r>
          </w:p>
        </w:tc>
        <w:tc>
          <w:tcPr>
            <w:tcW w:w="723"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D9D9" w:themeFill="background1" w:themeFillShade="D9"/>
          </w:tcPr>
          <w:p w14:paraId="1C404277" w14:textId="77777777" w:rsidR="009957B1" w:rsidRDefault="009957B1">
            <w:pPr>
              <w:pStyle w:val="tabletext"/>
              <w:spacing w:line="256" w:lineRule="auto"/>
              <w:jc w:val="right"/>
              <w:rPr>
                <w:b/>
                <w:bCs/>
                <w:sz w:val="18"/>
                <w:szCs w:val="18"/>
              </w:rPr>
            </w:pPr>
          </w:p>
        </w:tc>
        <w:tc>
          <w:tcPr>
            <w:tcW w:w="1426"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D9D9" w:themeFill="background1" w:themeFillShade="D9"/>
            <w:hideMark/>
          </w:tcPr>
          <w:p w14:paraId="68427EF5" w14:textId="6E747B46" w:rsidR="009957B1" w:rsidRDefault="009957B1">
            <w:pPr>
              <w:pStyle w:val="tabletext"/>
              <w:spacing w:line="256" w:lineRule="auto"/>
              <w:jc w:val="right"/>
              <w:rPr>
                <w:b/>
                <w:bCs/>
                <w:sz w:val="18"/>
                <w:szCs w:val="20"/>
              </w:rPr>
            </w:pPr>
            <w:r>
              <w:rPr>
                <w:b/>
                <w:bCs/>
                <w:sz w:val="18"/>
                <w:szCs w:val="20"/>
              </w:rPr>
              <w:t>9,9</w:t>
            </w:r>
            <w:r w:rsidR="009201A2">
              <w:rPr>
                <w:b/>
                <w:bCs/>
                <w:sz w:val="18"/>
                <w:szCs w:val="20"/>
              </w:rPr>
              <w:t>85</w:t>
            </w:r>
          </w:p>
        </w:tc>
        <w:tc>
          <w:tcPr>
            <w:tcW w:w="1354" w:type="pct"/>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D9D9" w:themeFill="background1" w:themeFillShade="D9"/>
            <w:hideMark/>
          </w:tcPr>
          <w:p w14:paraId="5A0D71E4" w14:textId="11376EBF" w:rsidR="009957B1" w:rsidRDefault="009957B1">
            <w:pPr>
              <w:pStyle w:val="tabletext"/>
              <w:spacing w:line="256" w:lineRule="auto"/>
              <w:jc w:val="right"/>
              <w:rPr>
                <w:b/>
                <w:bCs/>
                <w:sz w:val="18"/>
                <w:szCs w:val="18"/>
              </w:rPr>
            </w:pPr>
            <w:r>
              <w:rPr>
                <w:b/>
                <w:bCs/>
                <w:sz w:val="18"/>
                <w:szCs w:val="18"/>
              </w:rPr>
              <w:t>39,</w:t>
            </w:r>
            <w:r w:rsidR="009201A2">
              <w:rPr>
                <w:b/>
                <w:bCs/>
                <w:sz w:val="18"/>
                <w:szCs w:val="18"/>
              </w:rPr>
              <w:t>941</w:t>
            </w:r>
          </w:p>
        </w:tc>
      </w:tr>
    </w:tbl>
    <w:p w14:paraId="67DE86FF" w14:textId="77777777" w:rsidR="009957B1" w:rsidRDefault="009957B1" w:rsidP="009957B1"/>
    <w:p w14:paraId="5EEDC704" w14:textId="3CD443F6" w:rsidR="009957B1" w:rsidRDefault="009957B1" w:rsidP="009957B1">
      <w:r>
        <w:t>To reduce the overall revenue impact, several existing services will transfer into the new orthopaedic unit. These include ward and theatre activity, along with associated staff and non-pay costs. Together, these transfers are expected to offset approximately £7.3 million of the new unit’s annual cost. Welsh Government support for depreciation adds a further £3.</w:t>
      </w:r>
      <w:r w:rsidR="009201A2">
        <w:t>1</w:t>
      </w:r>
      <w:r>
        <w:t xml:space="preserve"> million, bringing total anticipated funding to £10.</w:t>
      </w:r>
      <w:r w:rsidR="009201A2">
        <w:t>4</w:t>
      </w:r>
      <w:r>
        <w:t xml:space="preserve"> million. Despite these measures, a regional affordability gap of £29.5 million remains, which will need to be addressed collectively by partner Health Boards and Welsh Government.</w:t>
      </w:r>
    </w:p>
    <w:p w14:paraId="62F8D13F" w14:textId="77777777" w:rsidR="009957B1" w:rsidRPr="002A4A4A" w:rsidRDefault="009957B1" w:rsidP="002A4A4A">
      <w:pPr>
        <w:pStyle w:val="Heading3"/>
        <w:numPr>
          <w:ilvl w:val="2"/>
          <w:numId w:val="48"/>
        </w:numPr>
      </w:pPr>
      <w:r w:rsidRPr="002A4A4A">
        <w:t>Commissioner funding requirements</w:t>
      </w:r>
    </w:p>
    <w:p w14:paraId="7E805432" w14:textId="77777777" w:rsidR="009957B1" w:rsidRDefault="009957B1" w:rsidP="009957B1">
      <w:r>
        <w:t>Revenue funding requirements for the orthopaedic surgical unit have been estimated based on projected activity levels and associated capacity needs. The hub will deliver 5,760 procedures annually, providing additional lower limb arthroplasty capacity to address the regional demand and capacity gap. Activity assumptions by Health Board are as follows:</w:t>
      </w:r>
    </w:p>
    <w:p w14:paraId="1C2AFB1A" w14:textId="77777777" w:rsidR="009957B1" w:rsidRDefault="009957B1" w:rsidP="009957B1">
      <w:pPr>
        <w:pStyle w:val="bullets1"/>
        <w:numPr>
          <w:ilvl w:val="0"/>
          <w:numId w:val="49"/>
        </w:numPr>
        <w:tabs>
          <w:tab w:val="left" w:pos="720"/>
        </w:tabs>
      </w:pPr>
      <w:r>
        <w:t>CTM UHB: 3,840 procedures</w:t>
      </w:r>
    </w:p>
    <w:p w14:paraId="37EFCE84" w14:textId="77777777" w:rsidR="009957B1" w:rsidRDefault="009957B1" w:rsidP="009957B1">
      <w:pPr>
        <w:pStyle w:val="bullets1"/>
        <w:numPr>
          <w:ilvl w:val="0"/>
          <w:numId w:val="49"/>
        </w:numPr>
        <w:tabs>
          <w:tab w:val="left" w:pos="720"/>
        </w:tabs>
      </w:pPr>
      <w:r>
        <w:t>Cardiff &amp; Vale UHB: 960 procedures</w:t>
      </w:r>
    </w:p>
    <w:p w14:paraId="05D26F08" w14:textId="77777777" w:rsidR="009957B1" w:rsidRDefault="009957B1" w:rsidP="009957B1">
      <w:pPr>
        <w:pStyle w:val="bullets1"/>
        <w:numPr>
          <w:ilvl w:val="0"/>
          <w:numId w:val="49"/>
        </w:numPr>
        <w:tabs>
          <w:tab w:val="left" w:pos="720"/>
        </w:tabs>
      </w:pPr>
      <w:r>
        <w:t>Aneurin Bevan UHB: 960 procedures</w:t>
      </w:r>
    </w:p>
    <w:p w14:paraId="74FA278C" w14:textId="77777777" w:rsidR="009957B1" w:rsidRDefault="009957B1" w:rsidP="002A4A4A">
      <w:pPr>
        <w:pStyle w:val="NoSpacing"/>
      </w:pPr>
    </w:p>
    <w:p w14:paraId="3BCC150E" w14:textId="53D9D657" w:rsidR="009957B1" w:rsidRDefault="009957B1" w:rsidP="009957B1">
      <w:r>
        <w:t>Indicative recurring revenue costs for the hub total £39.</w:t>
      </w:r>
      <w:r w:rsidR="009201A2">
        <w:t>9</w:t>
      </w:r>
      <w:r>
        <w:t xml:space="preserve"> million per annum, covering pay costs for approximately 220 WTE staff, non-pay costs for theatre and ward consumables, building running costs, and depreciation of £3.</w:t>
      </w:r>
      <w:r w:rsidR="009201A2">
        <w:t>1</w:t>
      </w:r>
      <w:r>
        <w:t xml:space="preserve"> million.</w:t>
      </w:r>
    </w:p>
    <w:p w14:paraId="1F5082D8" w14:textId="2D1DC985" w:rsidR="009957B1" w:rsidRDefault="009957B1" w:rsidP="009957B1">
      <w:r>
        <w:t>To reduce the overall revenue impact, several existing services will transfer into the new orthopaedic unit. These include ward and theatre activity, along with associated staff and non-pay costs. Together, these transfers are expected to offset approximately £7.3 million of the new unit’s annual cost. Welsh Government support for depreciation adds a further £3.</w:t>
      </w:r>
      <w:r w:rsidR="009201A2">
        <w:t>1</w:t>
      </w:r>
      <w:r>
        <w:t xml:space="preserve"> million, bringing total anticipated funding to £10.</w:t>
      </w:r>
      <w:r w:rsidR="009201A2">
        <w:t>4</w:t>
      </w:r>
      <w:r>
        <w:t xml:space="preserve"> million. Despite these measures, a regional affordability gap of £29.5 million remains, which will need to be addressed collectively by partner Health Boards and Welsh Government.</w:t>
      </w:r>
    </w:p>
    <w:p w14:paraId="6EB85A41" w14:textId="48C95258" w:rsidR="009957B1" w:rsidRDefault="009957B1" w:rsidP="009957B1">
      <w:pPr>
        <w:pStyle w:val="Caption"/>
        <w:rPr>
          <w:noProof w:val="0"/>
        </w:rPr>
      </w:pPr>
      <w:bookmarkStart w:id="252" w:name="_Toc213865308"/>
      <w:r>
        <w:rPr>
          <w:noProof w:val="0"/>
        </w:rPr>
        <w:lastRenderedPageBreak/>
        <w:t xml:space="preserve">Table </w:t>
      </w:r>
      <w:r>
        <w:rPr>
          <w:noProof w:val="0"/>
        </w:rPr>
        <w:fldChar w:fldCharType="begin"/>
      </w:r>
      <w:r>
        <w:rPr>
          <w:noProof w:val="0"/>
        </w:rPr>
        <w:instrText xml:space="preserve"> SEQ Table \* ARABIC </w:instrText>
      </w:r>
      <w:r>
        <w:rPr>
          <w:noProof w:val="0"/>
        </w:rPr>
        <w:fldChar w:fldCharType="separate"/>
      </w:r>
      <w:r w:rsidR="004A33ED">
        <w:t>28</w:t>
      </w:r>
      <w:r>
        <w:rPr>
          <w:noProof w:val="0"/>
        </w:rPr>
        <w:fldChar w:fldCharType="end"/>
      </w:r>
      <w:r>
        <w:rPr>
          <w:noProof w:val="0"/>
        </w:rPr>
        <w:t xml:space="preserve"> – Sources of funding</w:t>
      </w:r>
      <w:bookmarkEnd w:id="252"/>
    </w:p>
    <w:tbl>
      <w:tblPr>
        <w:tblW w:w="5100" w:type="pct"/>
        <w:tblInd w:w="-113" w:type="dxa"/>
        <w:tbl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insideH w:val="single" w:sz="4" w:space="0" w:color="BFBFBF" w:themeColor="accent6" w:themeShade="BF"/>
          <w:insideV w:val="single" w:sz="4" w:space="0" w:color="BFBFBF" w:themeColor="accent6" w:themeShade="BF"/>
        </w:tblBorders>
        <w:tblLayout w:type="fixed"/>
        <w:tblLook w:val="04A0" w:firstRow="1" w:lastRow="0" w:firstColumn="1" w:lastColumn="0" w:noHBand="0" w:noVBand="1"/>
      </w:tblPr>
      <w:tblGrid>
        <w:gridCol w:w="5367"/>
        <w:gridCol w:w="2227"/>
        <w:gridCol w:w="2227"/>
      </w:tblGrid>
      <w:tr w:rsidR="009957B1" w:rsidRPr="002A4A4A" w14:paraId="32DFC6A3" w14:textId="77777777" w:rsidTr="009957B1">
        <w:trPr>
          <w:tblHeader/>
        </w:trPr>
        <w:tc>
          <w:tcPr>
            <w:tcW w:w="536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374264" w:themeFill="text2"/>
            <w:hideMark/>
          </w:tcPr>
          <w:p w14:paraId="316B5BE3" w14:textId="77777777" w:rsidR="009957B1" w:rsidRPr="002A4A4A" w:rsidRDefault="009957B1">
            <w:pPr>
              <w:pStyle w:val="tabletext"/>
              <w:spacing w:line="256" w:lineRule="auto"/>
              <w:rPr>
                <w:b/>
                <w:bCs/>
                <w:color w:val="FFFFFF" w:themeColor="background1"/>
                <w:szCs w:val="20"/>
              </w:rPr>
            </w:pPr>
            <w:r w:rsidRPr="002A4A4A">
              <w:rPr>
                <w:b/>
                <w:bCs/>
                <w:color w:val="FFFFFF" w:themeColor="background1"/>
                <w:szCs w:val="20"/>
              </w:rPr>
              <w:t>Revenue element</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374264" w:themeFill="text2"/>
            <w:hideMark/>
          </w:tcPr>
          <w:p w14:paraId="7EB0D912" w14:textId="77777777" w:rsidR="009957B1" w:rsidRPr="002A4A4A" w:rsidRDefault="009957B1">
            <w:pPr>
              <w:pStyle w:val="tabletext"/>
              <w:spacing w:line="256" w:lineRule="auto"/>
              <w:jc w:val="right"/>
              <w:rPr>
                <w:b/>
                <w:bCs/>
                <w:color w:val="FFFFFF" w:themeColor="background1"/>
                <w:szCs w:val="20"/>
              </w:rPr>
            </w:pPr>
            <w:r w:rsidRPr="002A4A4A">
              <w:rPr>
                <w:b/>
                <w:bCs/>
                <w:color w:val="FFFFFF" w:themeColor="background1"/>
                <w:szCs w:val="20"/>
              </w:rPr>
              <w:t>WTE</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374264" w:themeFill="text2"/>
            <w:hideMark/>
          </w:tcPr>
          <w:p w14:paraId="61847DED" w14:textId="77777777" w:rsidR="009957B1" w:rsidRPr="002A4A4A" w:rsidRDefault="009957B1">
            <w:pPr>
              <w:pStyle w:val="tabletext"/>
              <w:spacing w:line="256" w:lineRule="auto"/>
              <w:jc w:val="right"/>
              <w:rPr>
                <w:b/>
                <w:bCs/>
                <w:color w:val="FFFFFF" w:themeColor="background1"/>
                <w:szCs w:val="20"/>
              </w:rPr>
            </w:pPr>
            <w:r w:rsidRPr="002A4A4A">
              <w:rPr>
                <w:b/>
                <w:bCs/>
                <w:color w:val="FFFFFF" w:themeColor="background1"/>
                <w:szCs w:val="20"/>
              </w:rPr>
              <w:t>£’000</w:t>
            </w:r>
          </w:p>
        </w:tc>
      </w:tr>
      <w:tr w:rsidR="009957B1" w:rsidRPr="002A4A4A" w14:paraId="6D8CEB28" w14:textId="77777777" w:rsidTr="009957B1">
        <w:tc>
          <w:tcPr>
            <w:tcW w:w="536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4DD43760" w14:textId="77777777" w:rsidR="009957B1" w:rsidRPr="002A4A4A" w:rsidRDefault="009957B1">
            <w:pPr>
              <w:pStyle w:val="tabletext"/>
              <w:spacing w:line="256" w:lineRule="auto"/>
              <w:rPr>
                <w:szCs w:val="20"/>
              </w:rPr>
            </w:pPr>
            <w:r w:rsidRPr="002A4A4A">
              <w:rPr>
                <w:szCs w:val="20"/>
              </w:rPr>
              <w:t>Pay Costs</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615D47BF" w14:textId="77777777" w:rsidR="009957B1" w:rsidRPr="002A4A4A" w:rsidRDefault="009957B1">
            <w:pPr>
              <w:pStyle w:val="tabletext"/>
              <w:spacing w:line="256" w:lineRule="auto"/>
              <w:jc w:val="right"/>
              <w:rPr>
                <w:szCs w:val="20"/>
              </w:rPr>
            </w:pPr>
            <w:r w:rsidRPr="002A4A4A">
              <w:rPr>
                <w:szCs w:val="20"/>
              </w:rPr>
              <w:t xml:space="preserve"> 220.33 </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2965D7A" w14:textId="77777777" w:rsidR="009957B1" w:rsidRPr="002A4A4A" w:rsidRDefault="009957B1">
            <w:pPr>
              <w:pStyle w:val="tabletext"/>
              <w:spacing w:line="256" w:lineRule="auto"/>
              <w:jc w:val="right"/>
              <w:rPr>
                <w:szCs w:val="20"/>
              </w:rPr>
            </w:pPr>
            <w:r w:rsidRPr="002A4A4A">
              <w:rPr>
                <w:szCs w:val="20"/>
              </w:rPr>
              <w:t>15,035</w:t>
            </w:r>
          </w:p>
        </w:tc>
      </w:tr>
      <w:tr w:rsidR="009957B1" w:rsidRPr="002A4A4A" w14:paraId="712A9DF3" w14:textId="77777777" w:rsidTr="009957B1">
        <w:tc>
          <w:tcPr>
            <w:tcW w:w="536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2265591" w14:textId="77777777" w:rsidR="009957B1" w:rsidRPr="002A4A4A" w:rsidRDefault="009957B1">
            <w:pPr>
              <w:pStyle w:val="tabletext"/>
              <w:spacing w:line="256" w:lineRule="auto"/>
              <w:rPr>
                <w:szCs w:val="20"/>
              </w:rPr>
            </w:pPr>
            <w:r w:rsidRPr="002A4A4A">
              <w:rPr>
                <w:szCs w:val="20"/>
              </w:rPr>
              <w:t>Non-Pay Costs</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tcPr>
          <w:p w14:paraId="23AD7538" w14:textId="77777777" w:rsidR="009957B1" w:rsidRPr="002A4A4A" w:rsidRDefault="009957B1">
            <w:pPr>
              <w:pStyle w:val="tabletext"/>
              <w:spacing w:line="256" w:lineRule="auto"/>
              <w:jc w:val="right"/>
              <w:rPr>
                <w:szCs w:val="20"/>
              </w:rPr>
            </w:pP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0769B24" w14:textId="77777777" w:rsidR="009957B1" w:rsidRPr="002A4A4A" w:rsidRDefault="009957B1">
            <w:pPr>
              <w:pStyle w:val="tabletext"/>
              <w:spacing w:line="256" w:lineRule="auto"/>
              <w:jc w:val="right"/>
              <w:rPr>
                <w:szCs w:val="20"/>
              </w:rPr>
            </w:pPr>
            <w:r w:rsidRPr="002A4A4A">
              <w:rPr>
                <w:szCs w:val="20"/>
              </w:rPr>
              <w:t>18,770</w:t>
            </w:r>
          </w:p>
        </w:tc>
      </w:tr>
      <w:tr w:rsidR="009957B1" w:rsidRPr="002A4A4A" w14:paraId="687FC184" w14:textId="77777777" w:rsidTr="009957B1">
        <w:tc>
          <w:tcPr>
            <w:tcW w:w="536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0AFA665F" w14:textId="77777777" w:rsidR="009957B1" w:rsidRPr="002A4A4A" w:rsidRDefault="009957B1">
            <w:pPr>
              <w:pStyle w:val="tabletext"/>
              <w:spacing w:line="256" w:lineRule="auto"/>
              <w:rPr>
                <w:szCs w:val="20"/>
              </w:rPr>
            </w:pPr>
            <w:r w:rsidRPr="002A4A4A">
              <w:rPr>
                <w:szCs w:val="20"/>
              </w:rPr>
              <w:t>Building running costs</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tcPr>
          <w:p w14:paraId="4335FDFD" w14:textId="77777777" w:rsidR="009957B1" w:rsidRPr="002A4A4A" w:rsidRDefault="009957B1">
            <w:pPr>
              <w:pStyle w:val="tabletext"/>
              <w:spacing w:line="256" w:lineRule="auto"/>
              <w:jc w:val="right"/>
              <w:rPr>
                <w:szCs w:val="20"/>
              </w:rPr>
            </w:pP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095DA496" w14:textId="77777777" w:rsidR="009957B1" w:rsidRPr="002A4A4A" w:rsidRDefault="009957B1">
            <w:pPr>
              <w:pStyle w:val="tabletext"/>
              <w:spacing w:line="256" w:lineRule="auto"/>
              <w:jc w:val="right"/>
              <w:rPr>
                <w:szCs w:val="20"/>
              </w:rPr>
            </w:pPr>
            <w:r w:rsidRPr="002A4A4A">
              <w:rPr>
                <w:szCs w:val="20"/>
              </w:rPr>
              <w:t>2,976</w:t>
            </w:r>
          </w:p>
        </w:tc>
      </w:tr>
      <w:tr w:rsidR="009957B1" w:rsidRPr="002A4A4A" w14:paraId="2AE765F4" w14:textId="77777777" w:rsidTr="009957B1">
        <w:tc>
          <w:tcPr>
            <w:tcW w:w="536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082FD98C" w14:textId="77777777" w:rsidR="009957B1" w:rsidRPr="002A4A4A" w:rsidRDefault="009957B1">
            <w:pPr>
              <w:pStyle w:val="tabletext"/>
              <w:spacing w:line="256" w:lineRule="auto"/>
              <w:rPr>
                <w:szCs w:val="20"/>
              </w:rPr>
            </w:pPr>
            <w:r w:rsidRPr="002A4A4A">
              <w:rPr>
                <w:szCs w:val="20"/>
              </w:rPr>
              <w:t>Depreciation</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tcPr>
          <w:p w14:paraId="2EB97540" w14:textId="77777777" w:rsidR="009957B1" w:rsidRPr="002A4A4A" w:rsidRDefault="009957B1">
            <w:pPr>
              <w:pStyle w:val="tabletext"/>
              <w:spacing w:line="256" w:lineRule="auto"/>
              <w:jc w:val="right"/>
              <w:rPr>
                <w:szCs w:val="20"/>
              </w:rPr>
            </w:pP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1BD3E43B" w14:textId="2314092B" w:rsidR="009957B1" w:rsidRPr="002A4A4A" w:rsidRDefault="009957B1">
            <w:pPr>
              <w:pStyle w:val="tabletext"/>
              <w:spacing w:line="256" w:lineRule="auto"/>
              <w:jc w:val="right"/>
              <w:rPr>
                <w:szCs w:val="20"/>
              </w:rPr>
            </w:pPr>
            <w:r w:rsidRPr="002A4A4A">
              <w:rPr>
                <w:szCs w:val="20"/>
              </w:rPr>
              <w:t>3,</w:t>
            </w:r>
            <w:r w:rsidR="009201A2">
              <w:rPr>
                <w:szCs w:val="20"/>
              </w:rPr>
              <w:t>160</w:t>
            </w:r>
          </w:p>
        </w:tc>
      </w:tr>
      <w:tr w:rsidR="009957B1" w:rsidRPr="002A4A4A" w14:paraId="57179E9B" w14:textId="77777777" w:rsidTr="009957B1">
        <w:tc>
          <w:tcPr>
            <w:tcW w:w="536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D9D9" w:themeFill="background1" w:themeFillShade="D9"/>
            <w:hideMark/>
          </w:tcPr>
          <w:p w14:paraId="0A3F162A" w14:textId="77777777" w:rsidR="009957B1" w:rsidRPr="002A4A4A" w:rsidRDefault="009957B1">
            <w:pPr>
              <w:pStyle w:val="tabletext"/>
              <w:spacing w:line="256" w:lineRule="auto"/>
              <w:rPr>
                <w:b/>
                <w:bCs/>
                <w:szCs w:val="20"/>
              </w:rPr>
            </w:pPr>
            <w:r w:rsidRPr="002A4A4A">
              <w:rPr>
                <w:b/>
                <w:bCs/>
                <w:szCs w:val="20"/>
              </w:rPr>
              <w:t>Total annual revenue costs</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D9D9" w:themeFill="background1" w:themeFillShade="D9"/>
          </w:tcPr>
          <w:p w14:paraId="3141F88A" w14:textId="77777777" w:rsidR="009957B1" w:rsidRPr="002A4A4A" w:rsidRDefault="009957B1">
            <w:pPr>
              <w:pStyle w:val="tabletext"/>
              <w:spacing w:line="256" w:lineRule="auto"/>
              <w:jc w:val="right"/>
              <w:rPr>
                <w:b/>
                <w:bCs/>
                <w:szCs w:val="20"/>
              </w:rPr>
            </w:pP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D9D9" w:themeFill="background1" w:themeFillShade="D9"/>
            <w:hideMark/>
          </w:tcPr>
          <w:p w14:paraId="4AE89136" w14:textId="2E21B9CC" w:rsidR="009957B1" w:rsidRPr="002A4A4A" w:rsidRDefault="009957B1">
            <w:pPr>
              <w:pStyle w:val="tabletext"/>
              <w:spacing w:line="256" w:lineRule="auto"/>
              <w:jc w:val="right"/>
              <w:rPr>
                <w:b/>
                <w:bCs/>
                <w:szCs w:val="20"/>
              </w:rPr>
            </w:pPr>
            <w:r w:rsidRPr="002A4A4A">
              <w:rPr>
                <w:b/>
                <w:bCs/>
                <w:szCs w:val="20"/>
              </w:rPr>
              <w:t>39,</w:t>
            </w:r>
            <w:r w:rsidR="009201A2">
              <w:rPr>
                <w:b/>
                <w:bCs/>
                <w:szCs w:val="20"/>
              </w:rPr>
              <w:t>941</w:t>
            </w:r>
          </w:p>
        </w:tc>
      </w:tr>
      <w:tr w:rsidR="009957B1" w:rsidRPr="002A4A4A" w14:paraId="49BF6DF4" w14:textId="77777777" w:rsidTr="009957B1">
        <w:tc>
          <w:tcPr>
            <w:tcW w:w="536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E9F1F6" w:themeFill="accent3" w:themeFillTint="33"/>
            <w:hideMark/>
          </w:tcPr>
          <w:p w14:paraId="402C7FEB" w14:textId="77777777" w:rsidR="009957B1" w:rsidRPr="002A4A4A" w:rsidRDefault="009957B1">
            <w:pPr>
              <w:pStyle w:val="tabletext"/>
              <w:spacing w:line="256" w:lineRule="auto"/>
              <w:rPr>
                <w:b/>
                <w:bCs/>
                <w:i/>
                <w:iCs/>
                <w:szCs w:val="20"/>
              </w:rPr>
            </w:pPr>
            <w:r w:rsidRPr="002A4A4A">
              <w:rPr>
                <w:b/>
                <w:bCs/>
                <w:i/>
                <w:iCs/>
                <w:szCs w:val="20"/>
              </w:rPr>
              <w:t>Anticipated Funding:</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E9F1F6" w:themeFill="accent3" w:themeFillTint="33"/>
          </w:tcPr>
          <w:p w14:paraId="06342B86" w14:textId="77777777" w:rsidR="009957B1" w:rsidRPr="002A4A4A" w:rsidRDefault="009957B1">
            <w:pPr>
              <w:pStyle w:val="tabletext"/>
              <w:spacing w:line="256" w:lineRule="auto"/>
              <w:jc w:val="right"/>
              <w:rPr>
                <w:b/>
                <w:bCs/>
                <w:szCs w:val="20"/>
              </w:rPr>
            </w:pP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E9F1F6" w:themeFill="accent3" w:themeFillTint="33"/>
          </w:tcPr>
          <w:p w14:paraId="1A765C4B" w14:textId="77777777" w:rsidR="009957B1" w:rsidRPr="002A4A4A" w:rsidRDefault="009957B1">
            <w:pPr>
              <w:pStyle w:val="tabletext"/>
              <w:spacing w:line="256" w:lineRule="auto"/>
              <w:jc w:val="right"/>
              <w:rPr>
                <w:b/>
                <w:bCs/>
                <w:szCs w:val="20"/>
              </w:rPr>
            </w:pPr>
          </w:p>
        </w:tc>
      </w:tr>
      <w:tr w:rsidR="009957B1" w:rsidRPr="002A4A4A" w14:paraId="13FEEF9B" w14:textId="77777777" w:rsidTr="009957B1">
        <w:tc>
          <w:tcPr>
            <w:tcW w:w="536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4FEA1922" w14:textId="77777777" w:rsidR="009957B1" w:rsidRPr="002A4A4A" w:rsidRDefault="009957B1">
            <w:pPr>
              <w:pStyle w:val="tabletext"/>
              <w:spacing w:line="256" w:lineRule="auto"/>
              <w:rPr>
                <w:szCs w:val="20"/>
              </w:rPr>
            </w:pPr>
            <w:r w:rsidRPr="002A4A4A">
              <w:rPr>
                <w:szCs w:val="20"/>
              </w:rPr>
              <w:t>Transfers – Substitution of existing services</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tcPr>
          <w:p w14:paraId="62D311FA" w14:textId="77777777" w:rsidR="009957B1" w:rsidRPr="002A4A4A" w:rsidRDefault="009957B1">
            <w:pPr>
              <w:pStyle w:val="tabletext"/>
              <w:spacing w:line="256" w:lineRule="auto"/>
              <w:jc w:val="right"/>
              <w:rPr>
                <w:szCs w:val="20"/>
              </w:rPr>
            </w:pP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5665A1D9" w14:textId="77777777" w:rsidR="009957B1" w:rsidRPr="002A4A4A" w:rsidRDefault="009957B1">
            <w:pPr>
              <w:pStyle w:val="tabletext"/>
              <w:spacing w:line="256" w:lineRule="auto"/>
              <w:jc w:val="right"/>
              <w:rPr>
                <w:szCs w:val="20"/>
              </w:rPr>
            </w:pPr>
            <w:r w:rsidRPr="002A4A4A">
              <w:rPr>
                <w:szCs w:val="20"/>
              </w:rPr>
              <w:t>7,298</w:t>
            </w:r>
          </w:p>
        </w:tc>
      </w:tr>
      <w:tr w:rsidR="009957B1" w:rsidRPr="002A4A4A" w14:paraId="4C67A246" w14:textId="77777777" w:rsidTr="009957B1">
        <w:tc>
          <w:tcPr>
            <w:tcW w:w="536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363AC4C2" w14:textId="77777777" w:rsidR="009957B1" w:rsidRPr="002A4A4A" w:rsidRDefault="009957B1">
            <w:pPr>
              <w:pStyle w:val="tabletext"/>
              <w:spacing w:line="256" w:lineRule="auto"/>
              <w:rPr>
                <w:szCs w:val="20"/>
              </w:rPr>
            </w:pPr>
            <w:r w:rsidRPr="002A4A4A">
              <w:rPr>
                <w:szCs w:val="20"/>
              </w:rPr>
              <w:t>Welsh Government Central funding for Depreciation</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tcPr>
          <w:p w14:paraId="079B09D7" w14:textId="77777777" w:rsidR="009957B1" w:rsidRPr="002A4A4A" w:rsidRDefault="009957B1">
            <w:pPr>
              <w:pStyle w:val="tabletext"/>
              <w:spacing w:line="256" w:lineRule="auto"/>
              <w:jc w:val="right"/>
              <w:rPr>
                <w:szCs w:val="20"/>
              </w:rPr>
            </w:pP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hideMark/>
          </w:tcPr>
          <w:p w14:paraId="61D53BE5" w14:textId="6890280C" w:rsidR="009957B1" w:rsidRPr="002A4A4A" w:rsidRDefault="009957B1">
            <w:pPr>
              <w:pStyle w:val="tabletext"/>
              <w:spacing w:line="256" w:lineRule="auto"/>
              <w:jc w:val="right"/>
              <w:rPr>
                <w:szCs w:val="20"/>
              </w:rPr>
            </w:pPr>
            <w:r w:rsidRPr="002A4A4A">
              <w:rPr>
                <w:szCs w:val="20"/>
              </w:rPr>
              <w:t>3,</w:t>
            </w:r>
            <w:r w:rsidR="009201A2">
              <w:rPr>
                <w:szCs w:val="20"/>
              </w:rPr>
              <w:t>160</w:t>
            </w:r>
          </w:p>
        </w:tc>
      </w:tr>
      <w:tr w:rsidR="009957B1" w:rsidRPr="002A4A4A" w14:paraId="0DFED1D2" w14:textId="77777777" w:rsidTr="009957B1">
        <w:tc>
          <w:tcPr>
            <w:tcW w:w="536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F0FA" w:themeFill="background2" w:themeFillTint="33"/>
            <w:hideMark/>
          </w:tcPr>
          <w:p w14:paraId="3EC9285A" w14:textId="77777777" w:rsidR="009957B1" w:rsidRPr="002A4A4A" w:rsidRDefault="009957B1">
            <w:pPr>
              <w:pStyle w:val="tabletext"/>
              <w:spacing w:line="256" w:lineRule="auto"/>
              <w:rPr>
                <w:b/>
                <w:bCs/>
                <w:szCs w:val="20"/>
              </w:rPr>
            </w:pPr>
            <w:r w:rsidRPr="002A4A4A">
              <w:rPr>
                <w:b/>
                <w:bCs/>
                <w:szCs w:val="20"/>
              </w:rPr>
              <w:t>Anticipated Funding</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F0FA" w:themeFill="background2" w:themeFillTint="33"/>
          </w:tcPr>
          <w:p w14:paraId="461DE521" w14:textId="77777777" w:rsidR="009957B1" w:rsidRPr="002A4A4A" w:rsidRDefault="009957B1">
            <w:pPr>
              <w:pStyle w:val="tabletext"/>
              <w:spacing w:line="256" w:lineRule="auto"/>
              <w:jc w:val="right"/>
              <w:rPr>
                <w:b/>
                <w:bCs/>
                <w:szCs w:val="20"/>
              </w:rPr>
            </w:pP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F0FA" w:themeFill="background2" w:themeFillTint="33"/>
            <w:hideMark/>
          </w:tcPr>
          <w:p w14:paraId="03EBF411" w14:textId="0B63A089" w:rsidR="009957B1" w:rsidRPr="002A4A4A" w:rsidRDefault="009957B1">
            <w:pPr>
              <w:pStyle w:val="tabletext"/>
              <w:spacing w:line="256" w:lineRule="auto"/>
              <w:jc w:val="right"/>
              <w:rPr>
                <w:b/>
                <w:bCs/>
                <w:szCs w:val="20"/>
              </w:rPr>
            </w:pPr>
            <w:r w:rsidRPr="002A4A4A">
              <w:rPr>
                <w:b/>
                <w:bCs/>
                <w:szCs w:val="20"/>
              </w:rPr>
              <w:t>10,</w:t>
            </w:r>
            <w:r w:rsidR="009201A2">
              <w:rPr>
                <w:b/>
                <w:bCs/>
                <w:szCs w:val="20"/>
              </w:rPr>
              <w:t>458</w:t>
            </w:r>
          </w:p>
        </w:tc>
      </w:tr>
      <w:tr w:rsidR="009957B1" w:rsidRPr="002A4A4A" w14:paraId="61DC2137" w14:textId="77777777" w:rsidTr="009957B1">
        <w:tc>
          <w:tcPr>
            <w:tcW w:w="536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D9D9" w:themeFill="background1" w:themeFillShade="D9"/>
            <w:hideMark/>
          </w:tcPr>
          <w:p w14:paraId="03C42E20" w14:textId="77777777" w:rsidR="009957B1" w:rsidRPr="002A4A4A" w:rsidRDefault="009957B1">
            <w:pPr>
              <w:pStyle w:val="tabletext"/>
              <w:spacing w:line="256" w:lineRule="auto"/>
              <w:rPr>
                <w:b/>
                <w:bCs/>
                <w:szCs w:val="20"/>
              </w:rPr>
            </w:pPr>
            <w:r w:rsidRPr="002A4A4A">
              <w:rPr>
                <w:b/>
                <w:bCs/>
                <w:szCs w:val="20"/>
              </w:rPr>
              <w:t>Regional Funding Requirement</w:t>
            </w: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D9D9" w:themeFill="background1" w:themeFillShade="D9"/>
          </w:tcPr>
          <w:p w14:paraId="182A2405" w14:textId="77777777" w:rsidR="009957B1" w:rsidRPr="002A4A4A" w:rsidRDefault="009957B1">
            <w:pPr>
              <w:pStyle w:val="tabletext"/>
              <w:spacing w:line="256" w:lineRule="auto"/>
              <w:jc w:val="right"/>
              <w:rPr>
                <w:b/>
                <w:bCs/>
                <w:szCs w:val="20"/>
              </w:rPr>
            </w:pPr>
          </w:p>
        </w:tc>
        <w:tc>
          <w:tcPr>
            <w:tcW w:w="2227" w:type="dxa"/>
            <w:tcBorders>
              <w:top w:val="single" w:sz="4" w:space="0" w:color="BFBFBF" w:themeColor="accent6" w:themeShade="BF"/>
              <w:left w:val="single" w:sz="4" w:space="0" w:color="BFBFBF" w:themeColor="accent6" w:themeShade="BF"/>
              <w:bottom w:val="single" w:sz="4" w:space="0" w:color="BFBFBF" w:themeColor="accent6" w:themeShade="BF"/>
              <w:right w:val="single" w:sz="4" w:space="0" w:color="BFBFBF" w:themeColor="accent6" w:themeShade="BF"/>
            </w:tcBorders>
            <w:shd w:val="clear" w:color="auto" w:fill="D9D9D9" w:themeFill="background1" w:themeFillShade="D9"/>
            <w:hideMark/>
          </w:tcPr>
          <w:p w14:paraId="23B4959B" w14:textId="77777777" w:rsidR="009957B1" w:rsidRPr="002A4A4A" w:rsidRDefault="009957B1">
            <w:pPr>
              <w:pStyle w:val="tabletext"/>
              <w:spacing w:line="256" w:lineRule="auto"/>
              <w:jc w:val="right"/>
              <w:rPr>
                <w:b/>
                <w:bCs/>
                <w:szCs w:val="20"/>
              </w:rPr>
            </w:pPr>
            <w:r w:rsidRPr="002A4A4A">
              <w:rPr>
                <w:b/>
                <w:bCs/>
                <w:szCs w:val="20"/>
              </w:rPr>
              <w:t>29,483</w:t>
            </w:r>
          </w:p>
        </w:tc>
      </w:tr>
    </w:tbl>
    <w:p w14:paraId="0F274ECC" w14:textId="77777777" w:rsidR="009957B1" w:rsidRDefault="009957B1" w:rsidP="009957B1"/>
    <w:p w14:paraId="72069F67" w14:textId="77777777" w:rsidR="009957B1" w:rsidRPr="004A33ED" w:rsidRDefault="009957B1" w:rsidP="004A33ED">
      <w:pPr>
        <w:pStyle w:val="Heading3"/>
        <w:numPr>
          <w:ilvl w:val="2"/>
          <w:numId w:val="48"/>
        </w:numPr>
      </w:pPr>
      <w:r w:rsidRPr="004A33ED">
        <w:t>Value for Money</w:t>
      </w:r>
    </w:p>
    <w:p w14:paraId="031E3493" w14:textId="77777777" w:rsidR="009957B1" w:rsidRDefault="009957B1" w:rsidP="009957B1">
      <w:r>
        <w:t xml:space="preserve">Analysis has been undertaken to compare the commissioner funding requirements as a result of LHP compared to benchmarks, specifically NHS England tariff and outsourcing to a private provider. The results of this analysis, which are summarised in the table below (with more detailed calculations provided </w:t>
      </w:r>
      <w:r w:rsidRPr="00F338F9">
        <w:t>in Appendix 8), suggest</w:t>
      </w:r>
      <w:r>
        <w:t xml:space="preserve"> that the Orthopaedic Hub offers relatively good value for money since:</w:t>
      </w:r>
    </w:p>
    <w:p w14:paraId="38D38C26" w14:textId="77777777" w:rsidR="009957B1" w:rsidRDefault="009957B1" w:rsidP="009957B1">
      <w:pPr>
        <w:pStyle w:val="bullets1"/>
        <w:numPr>
          <w:ilvl w:val="0"/>
          <w:numId w:val="49"/>
        </w:numPr>
        <w:tabs>
          <w:tab w:val="left" w:pos="720"/>
        </w:tabs>
      </w:pPr>
      <w:r>
        <w:t>Compared to NHS England tariff: Estimated costs for the hub are lower than NHS England rates, with tariff-based costs projected to be around £45.6 million per annum, compared to the hub’s estimated £39.8 million. This represents a difference of approximately 14.5% higher under tariff, equating to an additional £5.8 million per year if activity were funded at tariff levels.</w:t>
      </w:r>
    </w:p>
    <w:p w14:paraId="26B44FBF" w14:textId="77777777" w:rsidR="009957B1" w:rsidRDefault="009957B1" w:rsidP="009957B1">
      <w:pPr>
        <w:pStyle w:val="bullets1"/>
        <w:numPr>
          <w:ilvl w:val="0"/>
          <w:numId w:val="49"/>
        </w:numPr>
        <w:tabs>
          <w:tab w:val="left" w:pos="720"/>
        </w:tabs>
      </w:pPr>
      <w:r>
        <w:t>Compared to private outsourcing: Outsourcing the same activity to the independent sector would be significantly more expensive, with costs estimated at £52.1 million per annum which is around 31% higher than the hub model. This would result in an additional £12.3 million per year, creating a substantial financial impact for commissioners.</w:t>
      </w:r>
    </w:p>
    <w:p w14:paraId="6E6416DE" w14:textId="77777777" w:rsidR="009957B1" w:rsidRDefault="009957B1" w:rsidP="009957B1">
      <w:pPr>
        <w:pStyle w:val="NoSpacing"/>
      </w:pPr>
    </w:p>
    <w:p w14:paraId="0BF8C3C2" w14:textId="06686C82" w:rsidR="004A33ED" w:rsidRDefault="004A33ED" w:rsidP="004A33ED">
      <w:pPr>
        <w:pStyle w:val="Caption"/>
      </w:pPr>
      <w:bookmarkStart w:id="253" w:name="_Toc213865309"/>
      <w:r>
        <w:t xml:space="preserve">Table </w:t>
      </w:r>
      <w:r>
        <w:fldChar w:fldCharType="begin"/>
      </w:r>
      <w:r>
        <w:instrText xml:space="preserve"> SEQ Table \* ARABIC </w:instrText>
      </w:r>
      <w:r>
        <w:fldChar w:fldCharType="separate"/>
      </w:r>
      <w:r>
        <w:t>29</w:t>
      </w:r>
      <w:r>
        <w:fldChar w:fldCharType="end"/>
      </w:r>
      <w:r>
        <w:t xml:space="preserve"> - Funding model</w:t>
      </w:r>
      <w:bookmarkEnd w:id="253"/>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ook w:val="04A0" w:firstRow="1" w:lastRow="0" w:firstColumn="1" w:lastColumn="0" w:noHBand="0" w:noVBand="1"/>
      </w:tblPr>
      <w:tblGrid>
        <w:gridCol w:w="3291"/>
        <w:gridCol w:w="2210"/>
        <w:gridCol w:w="2208"/>
        <w:gridCol w:w="2112"/>
      </w:tblGrid>
      <w:tr w:rsidR="004A33ED" w:rsidRPr="004A33ED" w14:paraId="53735291" w14:textId="77777777" w:rsidTr="004A33ED">
        <w:tc>
          <w:tcPr>
            <w:tcW w:w="1676" w:type="pct"/>
            <w:shd w:val="clear" w:color="auto" w:fill="374264"/>
            <w:vAlign w:val="center"/>
            <w:hideMark/>
          </w:tcPr>
          <w:p w14:paraId="10CE439A" w14:textId="050EB06D" w:rsidR="004A33ED" w:rsidRPr="004A33ED" w:rsidRDefault="004A33ED" w:rsidP="004A33ED">
            <w:pPr>
              <w:pStyle w:val="tabletext"/>
              <w:rPr>
                <w:b/>
                <w:bCs/>
                <w:color w:val="FFFFFF" w:themeColor="background1"/>
                <w:lang w:eastAsia="en-GB"/>
              </w:rPr>
            </w:pPr>
            <w:r w:rsidRPr="004A33ED">
              <w:rPr>
                <w:b/>
                <w:bCs/>
                <w:color w:val="FFFFFF" w:themeColor="background1"/>
                <w:lang w:eastAsia="en-GB"/>
              </w:rPr>
              <w:t>Funding Model</w:t>
            </w:r>
          </w:p>
        </w:tc>
        <w:tc>
          <w:tcPr>
            <w:tcW w:w="1125" w:type="pct"/>
            <w:shd w:val="clear" w:color="auto" w:fill="374264"/>
            <w:vAlign w:val="center"/>
            <w:hideMark/>
          </w:tcPr>
          <w:p w14:paraId="2C67E076" w14:textId="77777777" w:rsidR="004A33ED" w:rsidRPr="004A33ED" w:rsidRDefault="004A33ED" w:rsidP="004A33ED">
            <w:pPr>
              <w:pStyle w:val="tabletext"/>
              <w:jc w:val="right"/>
              <w:rPr>
                <w:b/>
                <w:bCs/>
                <w:color w:val="FFFFFF" w:themeColor="background1"/>
                <w:lang w:eastAsia="en-GB"/>
              </w:rPr>
            </w:pPr>
            <w:r w:rsidRPr="004A33ED">
              <w:rPr>
                <w:b/>
                <w:bCs/>
                <w:color w:val="FFFFFF" w:themeColor="background1"/>
                <w:lang w:eastAsia="en-GB"/>
              </w:rPr>
              <w:t>Annual Cost</w:t>
            </w:r>
          </w:p>
          <w:p w14:paraId="540435A6" w14:textId="281AE5C9" w:rsidR="004A33ED" w:rsidRPr="004A33ED" w:rsidRDefault="004A33ED" w:rsidP="004A33ED">
            <w:pPr>
              <w:pStyle w:val="tabletext"/>
              <w:jc w:val="right"/>
              <w:rPr>
                <w:b/>
                <w:bCs/>
                <w:color w:val="FFFFFF" w:themeColor="background1"/>
                <w:lang w:eastAsia="en-GB"/>
              </w:rPr>
            </w:pPr>
            <w:r w:rsidRPr="004A33ED">
              <w:rPr>
                <w:b/>
                <w:bCs/>
                <w:color w:val="FFFFFF" w:themeColor="background1"/>
                <w:szCs w:val="20"/>
                <w:lang w:eastAsia="en-GB"/>
              </w:rPr>
              <w:t>£’000</w:t>
            </w:r>
          </w:p>
        </w:tc>
        <w:tc>
          <w:tcPr>
            <w:tcW w:w="1124" w:type="pct"/>
            <w:shd w:val="clear" w:color="auto" w:fill="374264"/>
            <w:vAlign w:val="center"/>
            <w:hideMark/>
          </w:tcPr>
          <w:p w14:paraId="3ABA279A" w14:textId="77777777" w:rsidR="004A33ED" w:rsidRPr="004A33ED" w:rsidRDefault="004A33ED" w:rsidP="004A33ED">
            <w:pPr>
              <w:pStyle w:val="tabletext"/>
              <w:jc w:val="right"/>
              <w:rPr>
                <w:b/>
                <w:bCs/>
                <w:color w:val="FFFFFF" w:themeColor="background1"/>
                <w:lang w:eastAsia="en-GB"/>
              </w:rPr>
            </w:pPr>
            <w:r w:rsidRPr="004A33ED">
              <w:rPr>
                <w:b/>
                <w:bCs/>
                <w:color w:val="FFFFFF" w:themeColor="background1"/>
                <w:lang w:eastAsia="en-GB"/>
              </w:rPr>
              <w:t xml:space="preserve">Impact vs Hub </w:t>
            </w:r>
          </w:p>
          <w:p w14:paraId="408AFED1" w14:textId="128E19D6" w:rsidR="004A33ED" w:rsidRPr="004A33ED" w:rsidRDefault="004A33ED" w:rsidP="004A33ED">
            <w:pPr>
              <w:pStyle w:val="tabletext"/>
              <w:jc w:val="right"/>
              <w:rPr>
                <w:b/>
                <w:bCs/>
                <w:color w:val="FFFFFF" w:themeColor="background1"/>
                <w:lang w:eastAsia="en-GB"/>
              </w:rPr>
            </w:pPr>
            <w:r w:rsidRPr="004A33ED">
              <w:rPr>
                <w:b/>
                <w:bCs/>
                <w:color w:val="FFFFFF" w:themeColor="background1"/>
                <w:szCs w:val="20"/>
                <w:lang w:eastAsia="en-GB"/>
              </w:rPr>
              <w:t>£’000</w:t>
            </w:r>
          </w:p>
        </w:tc>
        <w:tc>
          <w:tcPr>
            <w:tcW w:w="1075" w:type="pct"/>
            <w:shd w:val="clear" w:color="auto" w:fill="374264"/>
            <w:vAlign w:val="center"/>
            <w:hideMark/>
          </w:tcPr>
          <w:p w14:paraId="56555402" w14:textId="77777777" w:rsidR="004A33ED" w:rsidRPr="004A33ED" w:rsidRDefault="004A33ED" w:rsidP="004A33ED">
            <w:pPr>
              <w:pStyle w:val="tabletext"/>
              <w:jc w:val="right"/>
              <w:rPr>
                <w:b/>
                <w:bCs/>
                <w:color w:val="FFFFFF" w:themeColor="background1"/>
                <w:lang w:eastAsia="en-GB"/>
              </w:rPr>
            </w:pPr>
            <w:r w:rsidRPr="004A33ED">
              <w:rPr>
                <w:b/>
                <w:bCs/>
                <w:color w:val="FFFFFF" w:themeColor="background1"/>
                <w:lang w:eastAsia="en-GB"/>
              </w:rPr>
              <w:t>Difference</w:t>
            </w:r>
          </w:p>
          <w:p w14:paraId="2F5E65C7" w14:textId="2284A3D3" w:rsidR="004A33ED" w:rsidRPr="004A33ED" w:rsidRDefault="004A33ED" w:rsidP="004A33ED">
            <w:pPr>
              <w:pStyle w:val="tabletext"/>
              <w:jc w:val="right"/>
              <w:rPr>
                <w:b/>
                <w:bCs/>
                <w:color w:val="FFFFFF" w:themeColor="background1"/>
                <w:lang w:eastAsia="en-GB"/>
              </w:rPr>
            </w:pPr>
            <w:r w:rsidRPr="004A33ED">
              <w:rPr>
                <w:b/>
                <w:bCs/>
                <w:color w:val="FFFFFF" w:themeColor="background1"/>
                <w:szCs w:val="20"/>
                <w:lang w:eastAsia="en-GB"/>
              </w:rPr>
              <w:t>%</w:t>
            </w:r>
          </w:p>
        </w:tc>
      </w:tr>
      <w:tr w:rsidR="009957B1" w14:paraId="165B5DF2" w14:textId="77777777" w:rsidTr="004A33ED">
        <w:tc>
          <w:tcPr>
            <w:tcW w:w="1676" w:type="pct"/>
            <w:vAlign w:val="center"/>
            <w:hideMark/>
          </w:tcPr>
          <w:p w14:paraId="2C4554AE" w14:textId="77777777" w:rsidR="009957B1" w:rsidRDefault="009957B1" w:rsidP="004A33ED">
            <w:pPr>
              <w:pStyle w:val="tabletext"/>
              <w:rPr>
                <w:color w:val="000000"/>
                <w:lang w:eastAsia="en-GB"/>
              </w:rPr>
            </w:pPr>
            <w:r>
              <w:rPr>
                <w:color w:val="000000"/>
                <w:lang w:eastAsia="en-GB"/>
              </w:rPr>
              <w:t>Orthopaedic Hub</w:t>
            </w:r>
          </w:p>
        </w:tc>
        <w:tc>
          <w:tcPr>
            <w:tcW w:w="1125" w:type="pct"/>
            <w:vAlign w:val="center"/>
            <w:hideMark/>
          </w:tcPr>
          <w:p w14:paraId="7ACE613D" w14:textId="3A41C2CF" w:rsidR="009957B1" w:rsidRDefault="009957B1" w:rsidP="004A33ED">
            <w:pPr>
              <w:pStyle w:val="tabletext"/>
              <w:jc w:val="right"/>
              <w:rPr>
                <w:color w:val="000000"/>
                <w:lang w:eastAsia="en-GB"/>
              </w:rPr>
            </w:pPr>
            <w:r>
              <w:rPr>
                <w:color w:val="000000"/>
                <w:lang w:eastAsia="en-GB"/>
              </w:rPr>
              <w:t>39,</w:t>
            </w:r>
            <w:r w:rsidR="009201A2">
              <w:rPr>
                <w:color w:val="000000"/>
                <w:lang w:eastAsia="en-GB"/>
              </w:rPr>
              <w:t>941</w:t>
            </w:r>
            <w:r>
              <w:rPr>
                <w:color w:val="000000"/>
                <w:lang w:eastAsia="en-GB"/>
              </w:rPr>
              <w:t xml:space="preserve"> </w:t>
            </w:r>
          </w:p>
        </w:tc>
        <w:tc>
          <w:tcPr>
            <w:tcW w:w="1124" w:type="pct"/>
            <w:vAlign w:val="center"/>
            <w:hideMark/>
          </w:tcPr>
          <w:p w14:paraId="5A754CAE" w14:textId="77777777" w:rsidR="009957B1" w:rsidRDefault="009957B1" w:rsidP="004A33ED">
            <w:pPr>
              <w:pStyle w:val="tabletext"/>
              <w:jc w:val="right"/>
              <w:rPr>
                <w:color w:val="000000"/>
                <w:lang w:eastAsia="en-GB"/>
              </w:rPr>
            </w:pPr>
            <w:r>
              <w:rPr>
                <w:color w:val="000000"/>
                <w:lang w:eastAsia="en-GB"/>
              </w:rPr>
              <w:t xml:space="preserve">0 </w:t>
            </w:r>
          </w:p>
        </w:tc>
        <w:tc>
          <w:tcPr>
            <w:tcW w:w="1075" w:type="pct"/>
            <w:vAlign w:val="center"/>
            <w:hideMark/>
          </w:tcPr>
          <w:p w14:paraId="610BA239" w14:textId="77777777" w:rsidR="009957B1" w:rsidRDefault="009957B1" w:rsidP="004A33ED">
            <w:pPr>
              <w:pStyle w:val="tabletext"/>
              <w:jc w:val="right"/>
              <w:rPr>
                <w:color w:val="000000"/>
                <w:lang w:eastAsia="en-GB"/>
              </w:rPr>
            </w:pPr>
            <w:r>
              <w:rPr>
                <w:color w:val="000000"/>
                <w:lang w:eastAsia="en-GB"/>
              </w:rPr>
              <w:t xml:space="preserve">0 </w:t>
            </w:r>
          </w:p>
        </w:tc>
      </w:tr>
      <w:tr w:rsidR="009957B1" w14:paraId="204B2E6A" w14:textId="77777777" w:rsidTr="004A33ED">
        <w:tc>
          <w:tcPr>
            <w:tcW w:w="1676" w:type="pct"/>
            <w:vAlign w:val="center"/>
            <w:hideMark/>
          </w:tcPr>
          <w:p w14:paraId="4A2FBC58" w14:textId="77777777" w:rsidR="009957B1" w:rsidRDefault="009957B1" w:rsidP="004A33ED">
            <w:pPr>
              <w:pStyle w:val="tabletext"/>
              <w:rPr>
                <w:color w:val="000000"/>
                <w:lang w:eastAsia="en-GB"/>
              </w:rPr>
            </w:pPr>
            <w:r>
              <w:rPr>
                <w:color w:val="000000"/>
                <w:lang w:eastAsia="en-GB"/>
              </w:rPr>
              <w:t>NHS England Tariff</w:t>
            </w:r>
          </w:p>
        </w:tc>
        <w:tc>
          <w:tcPr>
            <w:tcW w:w="1125" w:type="pct"/>
            <w:vAlign w:val="center"/>
            <w:hideMark/>
          </w:tcPr>
          <w:p w14:paraId="245954FC" w14:textId="77777777" w:rsidR="009957B1" w:rsidRDefault="009957B1" w:rsidP="004A33ED">
            <w:pPr>
              <w:pStyle w:val="tabletext"/>
              <w:jc w:val="right"/>
              <w:rPr>
                <w:color w:val="000000"/>
                <w:lang w:eastAsia="en-GB"/>
              </w:rPr>
            </w:pPr>
            <w:r>
              <w:rPr>
                <w:color w:val="000000"/>
                <w:lang w:eastAsia="en-GB"/>
              </w:rPr>
              <w:t xml:space="preserve">45,563 </w:t>
            </w:r>
          </w:p>
        </w:tc>
        <w:tc>
          <w:tcPr>
            <w:tcW w:w="1124" w:type="pct"/>
            <w:vAlign w:val="center"/>
            <w:hideMark/>
          </w:tcPr>
          <w:p w14:paraId="121E194C" w14:textId="081765F6" w:rsidR="009957B1" w:rsidRDefault="009957B1" w:rsidP="004A33ED">
            <w:pPr>
              <w:pStyle w:val="tabletext"/>
              <w:jc w:val="right"/>
              <w:rPr>
                <w:color w:val="000000"/>
                <w:lang w:eastAsia="en-GB"/>
              </w:rPr>
            </w:pPr>
            <w:r>
              <w:rPr>
                <w:color w:val="000000"/>
                <w:lang w:eastAsia="en-GB"/>
              </w:rPr>
              <w:t>5,</w:t>
            </w:r>
            <w:r w:rsidR="009201A2">
              <w:rPr>
                <w:color w:val="000000"/>
                <w:lang w:eastAsia="en-GB"/>
              </w:rPr>
              <w:t>621</w:t>
            </w:r>
            <w:r>
              <w:rPr>
                <w:color w:val="000000"/>
                <w:lang w:eastAsia="en-GB"/>
              </w:rPr>
              <w:t xml:space="preserve"> </w:t>
            </w:r>
          </w:p>
        </w:tc>
        <w:tc>
          <w:tcPr>
            <w:tcW w:w="1075" w:type="pct"/>
            <w:vAlign w:val="center"/>
            <w:hideMark/>
          </w:tcPr>
          <w:p w14:paraId="27BD329B" w14:textId="338D1C4E" w:rsidR="009957B1" w:rsidRDefault="009201A2" w:rsidP="004A33ED">
            <w:pPr>
              <w:pStyle w:val="tabletext"/>
              <w:jc w:val="right"/>
              <w:rPr>
                <w:color w:val="000000"/>
                <w:lang w:eastAsia="en-GB"/>
              </w:rPr>
            </w:pPr>
            <w:r>
              <w:rPr>
                <w:color w:val="000000"/>
                <w:lang w:eastAsia="en-GB"/>
              </w:rPr>
              <w:t>12%</w:t>
            </w:r>
            <w:r w:rsidR="009957B1">
              <w:rPr>
                <w:color w:val="000000"/>
                <w:lang w:eastAsia="en-GB"/>
              </w:rPr>
              <w:t xml:space="preserve"> </w:t>
            </w:r>
          </w:p>
        </w:tc>
      </w:tr>
      <w:tr w:rsidR="009957B1" w14:paraId="72DFEDB8" w14:textId="77777777" w:rsidTr="004A33ED">
        <w:tc>
          <w:tcPr>
            <w:tcW w:w="1676" w:type="pct"/>
            <w:vAlign w:val="center"/>
            <w:hideMark/>
          </w:tcPr>
          <w:p w14:paraId="7F4064A2" w14:textId="77777777" w:rsidR="009957B1" w:rsidRDefault="009957B1" w:rsidP="004A33ED">
            <w:pPr>
              <w:pStyle w:val="tabletext"/>
              <w:rPr>
                <w:color w:val="000000"/>
                <w:lang w:eastAsia="en-GB"/>
              </w:rPr>
            </w:pPr>
            <w:r>
              <w:rPr>
                <w:color w:val="000000"/>
                <w:lang w:eastAsia="en-GB"/>
              </w:rPr>
              <w:t>Private Outsourcing</w:t>
            </w:r>
          </w:p>
        </w:tc>
        <w:tc>
          <w:tcPr>
            <w:tcW w:w="1125" w:type="pct"/>
            <w:vAlign w:val="center"/>
            <w:hideMark/>
          </w:tcPr>
          <w:p w14:paraId="646189AB" w14:textId="77777777" w:rsidR="009957B1" w:rsidRDefault="009957B1" w:rsidP="004A33ED">
            <w:pPr>
              <w:pStyle w:val="tabletext"/>
              <w:jc w:val="right"/>
              <w:rPr>
                <w:color w:val="000000"/>
                <w:lang w:eastAsia="en-GB"/>
              </w:rPr>
            </w:pPr>
            <w:r>
              <w:rPr>
                <w:color w:val="000000"/>
                <w:lang w:eastAsia="en-GB"/>
              </w:rPr>
              <w:t xml:space="preserve">52,072 </w:t>
            </w:r>
          </w:p>
        </w:tc>
        <w:tc>
          <w:tcPr>
            <w:tcW w:w="1124" w:type="pct"/>
            <w:vAlign w:val="center"/>
            <w:hideMark/>
          </w:tcPr>
          <w:p w14:paraId="0CEB57D7" w14:textId="73022F2D" w:rsidR="009957B1" w:rsidRDefault="009957B1" w:rsidP="004A33ED">
            <w:pPr>
              <w:pStyle w:val="tabletext"/>
              <w:jc w:val="right"/>
              <w:rPr>
                <w:color w:val="000000"/>
                <w:lang w:eastAsia="en-GB"/>
              </w:rPr>
            </w:pPr>
            <w:r>
              <w:rPr>
                <w:color w:val="000000"/>
                <w:lang w:eastAsia="en-GB"/>
              </w:rPr>
              <w:t>12,</w:t>
            </w:r>
            <w:r w:rsidR="009201A2">
              <w:rPr>
                <w:color w:val="000000"/>
                <w:lang w:eastAsia="en-GB"/>
              </w:rPr>
              <w:t>130</w:t>
            </w:r>
            <w:r>
              <w:rPr>
                <w:color w:val="000000"/>
                <w:lang w:eastAsia="en-GB"/>
              </w:rPr>
              <w:t xml:space="preserve"> </w:t>
            </w:r>
          </w:p>
        </w:tc>
        <w:tc>
          <w:tcPr>
            <w:tcW w:w="1075" w:type="pct"/>
            <w:vAlign w:val="center"/>
            <w:hideMark/>
          </w:tcPr>
          <w:p w14:paraId="3B958A1A" w14:textId="039B25FC" w:rsidR="009957B1" w:rsidRDefault="009201A2" w:rsidP="009201A2">
            <w:pPr>
              <w:pStyle w:val="tabletext"/>
              <w:jc w:val="right"/>
              <w:rPr>
                <w:color w:val="000000"/>
                <w:lang w:eastAsia="en-GB"/>
              </w:rPr>
            </w:pPr>
            <w:r>
              <w:rPr>
                <w:color w:val="000000"/>
                <w:lang w:eastAsia="en-GB"/>
              </w:rPr>
              <w:t>23%</w:t>
            </w:r>
            <w:r w:rsidR="009957B1">
              <w:rPr>
                <w:color w:val="000000"/>
                <w:lang w:eastAsia="en-GB"/>
              </w:rPr>
              <w:t xml:space="preserve"> </w:t>
            </w:r>
          </w:p>
        </w:tc>
      </w:tr>
    </w:tbl>
    <w:p w14:paraId="550EFE0A" w14:textId="77777777" w:rsidR="009957B1" w:rsidRPr="004A33ED" w:rsidRDefault="009957B1" w:rsidP="004A33ED"/>
    <w:p w14:paraId="3B34ABB0" w14:textId="77777777" w:rsidR="009957B1" w:rsidRPr="004A33ED" w:rsidRDefault="009957B1" w:rsidP="004A33ED">
      <w:pPr>
        <w:pStyle w:val="Heading2"/>
        <w:numPr>
          <w:ilvl w:val="1"/>
          <w:numId w:val="48"/>
        </w:numPr>
      </w:pPr>
      <w:bookmarkStart w:id="254" w:name="_Toc213865263"/>
      <w:r w:rsidRPr="004A33ED">
        <w:t>Accounting treatment and capital charges</w:t>
      </w:r>
      <w:bookmarkEnd w:id="254"/>
    </w:p>
    <w:p w14:paraId="6EAB418C" w14:textId="77777777" w:rsidR="009957B1" w:rsidRPr="004A33ED" w:rsidRDefault="009957B1" w:rsidP="004A33ED">
      <w:pPr>
        <w:pStyle w:val="Heading3"/>
        <w:numPr>
          <w:ilvl w:val="2"/>
          <w:numId w:val="48"/>
        </w:numPr>
      </w:pPr>
      <w:r w:rsidRPr="004A33ED">
        <w:t>Accounting treatment</w:t>
      </w:r>
    </w:p>
    <w:p w14:paraId="3AFE840E" w14:textId="77777777" w:rsidR="009957B1" w:rsidRDefault="009957B1" w:rsidP="009957B1">
      <w:r>
        <w:t>The resulting asset will be held on CTM’s balance sheet and therefore be treated in line with the Health Board’s policy in relation to depreciation and impairments.</w:t>
      </w:r>
    </w:p>
    <w:p w14:paraId="511CF203" w14:textId="77777777" w:rsidR="009957B1" w:rsidRPr="004A33ED" w:rsidRDefault="009957B1" w:rsidP="004A33ED">
      <w:pPr>
        <w:pStyle w:val="Heading3"/>
        <w:numPr>
          <w:ilvl w:val="2"/>
          <w:numId w:val="48"/>
        </w:numPr>
      </w:pPr>
      <w:r w:rsidRPr="004A33ED">
        <w:lastRenderedPageBreak/>
        <w:t>Capital charges</w:t>
      </w:r>
    </w:p>
    <w:p w14:paraId="5E7D50A1" w14:textId="77777777" w:rsidR="009957B1" w:rsidRDefault="009957B1" w:rsidP="009957B1">
      <w:bookmarkStart w:id="255" w:name="_Toc363980673"/>
      <w:bookmarkStart w:id="256" w:name="_Toc99649085"/>
      <w:r>
        <w:t>Capital charges have therefore been estimated based on the following assumptions:</w:t>
      </w:r>
    </w:p>
    <w:p w14:paraId="088B0DC7" w14:textId="1B45CA17" w:rsidR="009957B1" w:rsidRDefault="009957B1" w:rsidP="009957B1">
      <w:pPr>
        <w:pStyle w:val="bullets1"/>
        <w:numPr>
          <w:ilvl w:val="0"/>
          <w:numId w:val="49"/>
        </w:numPr>
        <w:tabs>
          <w:tab w:val="left" w:pos="720"/>
        </w:tabs>
      </w:pPr>
      <w:r>
        <w:t>Asset additions of £1</w:t>
      </w:r>
      <w:r w:rsidR="009201A2">
        <w:t>23</w:t>
      </w:r>
      <w:r>
        <w:t>.</w:t>
      </w:r>
      <w:r w:rsidR="009201A2">
        <w:t>6</w:t>
      </w:r>
      <w:r>
        <w:t>m</w:t>
      </w:r>
    </w:p>
    <w:p w14:paraId="599C443D" w14:textId="77777777" w:rsidR="009957B1" w:rsidRDefault="009957B1" w:rsidP="009957B1">
      <w:pPr>
        <w:pStyle w:val="bullets1"/>
        <w:numPr>
          <w:ilvl w:val="0"/>
          <w:numId w:val="49"/>
        </w:numPr>
        <w:tabs>
          <w:tab w:val="left" w:pos="720"/>
        </w:tabs>
      </w:pPr>
      <w:r>
        <w:t>Impairment is applied when the resulting asset comes into use. Based on recent schemes in the region, it has been assumed to be 25%, although this will need to be confirmed with the District Valuer and CTMUHB’s Auditors during the development of the FBC stage. Full impairment is assumed on fees, 25% on non-works costs, contingency and inflation.</w:t>
      </w:r>
    </w:p>
    <w:p w14:paraId="5AF2B3CC" w14:textId="77777777" w:rsidR="009957B1" w:rsidRDefault="009957B1" w:rsidP="009957B1">
      <w:pPr>
        <w:pStyle w:val="bullets1"/>
        <w:numPr>
          <w:ilvl w:val="0"/>
          <w:numId w:val="49"/>
        </w:numPr>
        <w:tabs>
          <w:tab w:val="left" w:pos="720"/>
        </w:tabs>
      </w:pPr>
      <w:r>
        <w:t>Depreciation charges are applied based on straight line depreciation using the following standard useful life:</w:t>
      </w:r>
    </w:p>
    <w:p w14:paraId="2BE87892" w14:textId="77777777" w:rsidR="009957B1" w:rsidRDefault="009957B1" w:rsidP="009957B1">
      <w:pPr>
        <w:pStyle w:val="bullets2"/>
        <w:numPr>
          <w:ilvl w:val="1"/>
          <w:numId w:val="49"/>
        </w:numPr>
        <w:tabs>
          <w:tab w:val="left" w:pos="720"/>
        </w:tabs>
      </w:pPr>
      <w:r>
        <w:rPr>
          <w:b/>
          <w:bCs/>
        </w:rPr>
        <w:t>Buildings</w:t>
      </w:r>
      <w:r>
        <w:t xml:space="preserve"> – 60 years for buildings and 35 for engineering works (using a typical 65:35 split)</w:t>
      </w:r>
    </w:p>
    <w:p w14:paraId="10663C41" w14:textId="77777777" w:rsidR="009957B1" w:rsidRDefault="009957B1" w:rsidP="009957B1">
      <w:pPr>
        <w:pStyle w:val="bullets2"/>
        <w:numPr>
          <w:ilvl w:val="1"/>
          <w:numId w:val="49"/>
        </w:numPr>
        <w:tabs>
          <w:tab w:val="left" w:pos="720"/>
        </w:tabs>
      </w:pPr>
      <w:r>
        <w:rPr>
          <w:b/>
          <w:bCs/>
        </w:rPr>
        <w:t>Equipment</w:t>
      </w:r>
      <w:r>
        <w:t xml:space="preserve"> – seven years as a proxy for a mixture of short life ICT equipment (five years) and longer life equipment (10 years). </w:t>
      </w:r>
    </w:p>
    <w:p w14:paraId="3D223A78" w14:textId="77777777" w:rsidR="009957B1" w:rsidRDefault="009957B1" w:rsidP="009957B1">
      <w:pPr>
        <w:pStyle w:val="NoSpacing"/>
        <w:rPr>
          <w:rFonts w:cs="Arial"/>
        </w:rPr>
      </w:pPr>
    </w:p>
    <w:p w14:paraId="6529D18D" w14:textId="77777777" w:rsidR="009957B1" w:rsidRDefault="009957B1" w:rsidP="009957B1">
      <w:r>
        <w:t>It is anticipated that this will result in:</w:t>
      </w:r>
    </w:p>
    <w:p w14:paraId="105904C3" w14:textId="0C8151AB" w:rsidR="009957B1" w:rsidRDefault="009957B1" w:rsidP="009957B1">
      <w:pPr>
        <w:pStyle w:val="bullets1"/>
        <w:numPr>
          <w:ilvl w:val="0"/>
          <w:numId w:val="49"/>
        </w:numPr>
        <w:tabs>
          <w:tab w:val="left" w:pos="720"/>
        </w:tabs>
      </w:pPr>
      <w:r>
        <w:t>Circa £</w:t>
      </w:r>
      <w:r w:rsidR="009201A2">
        <w:t>84</w:t>
      </w:r>
      <w:r>
        <w:t>.</w:t>
      </w:r>
      <w:r w:rsidR="009201A2">
        <w:t>5</w:t>
      </w:r>
      <w:r>
        <w:t>m non-recurring AME impairment on completion of the new build which will be funded as AME funding via Welsh Government</w:t>
      </w:r>
    </w:p>
    <w:p w14:paraId="42186DF4" w14:textId="57F71153" w:rsidR="009957B1" w:rsidRDefault="009957B1" w:rsidP="009957B1">
      <w:pPr>
        <w:pStyle w:val="bullets1"/>
        <w:numPr>
          <w:ilvl w:val="0"/>
          <w:numId w:val="49"/>
        </w:numPr>
        <w:tabs>
          <w:tab w:val="left" w:pos="720"/>
        </w:tabs>
      </w:pPr>
      <w:r>
        <w:t>£3.</w:t>
      </w:r>
      <w:r w:rsidR="009201A2">
        <w:t>16</w:t>
      </w:r>
      <w:r>
        <w:t>m annual depreciation, which will be funded by Welsh Government.</w:t>
      </w:r>
    </w:p>
    <w:p w14:paraId="3E3EFD90" w14:textId="77777777" w:rsidR="009957B1" w:rsidRDefault="009957B1" w:rsidP="009957B1">
      <w:pPr>
        <w:pStyle w:val="NoSpacing"/>
      </w:pPr>
    </w:p>
    <w:p w14:paraId="11924193" w14:textId="77777777" w:rsidR="009957B1" w:rsidRPr="004A33ED" w:rsidRDefault="009957B1" w:rsidP="004A33ED">
      <w:pPr>
        <w:pStyle w:val="Heading3"/>
        <w:numPr>
          <w:ilvl w:val="2"/>
          <w:numId w:val="48"/>
        </w:numPr>
      </w:pPr>
      <w:r w:rsidRPr="004A33ED">
        <w:t>IFRS16 implications</w:t>
      </w:r>
    </w:p>
    <w:p w14:paraId="32EA6A16" w14:textId="77777777" w:rsidR="009957B1" w:rsidRPr="004A33ED" w:rsidRDefault="009957B1" w:rsidP="004A33ED">
      <w:r w:rsidRPr="004A33ED">
        <w:t xml:space="preserve">There are no IFRS16 implications anticipated for the orthopaedic unit, as the facility will be delivered through capital investment rather than lease arrangements. All costs associated with construction an equipment </w:t>
      </w:r>
      <w:proofErr w:type="gramStart"/>
      <w:r w:rsidRPr="004A33ED">
        <w:t>are</w:t>
      </w:r>
      <w:proofErr w:type="gramEnd"/>
      <w:r w:rsidRPr="004A33ED">
        <w:t xml:space="preserve"> included within the capital expenditure and will be accounted for in line with standard depreciation and impairment policies. Any future contractual arrangements for services will be reviewed at FBC stage, but based on the current model, IFRS16 does not apply.</w:t>
      </w:r>
    </w:p>
    <w:p w14:paraId="65F4A4FB" w14:textId="77777777" w:rsidR="009957B1" w:rsidRPr="004A33ED" w:rsidRDefault="009957B1" w:rsidP="004A33ED"/>
    <w:p w14:paraId="756A2CF6" w14:textId="77777777" w:rsidR="009957B1" w:rsidRPr="004A33ED" w:rsidRDefault="009957B1" w:rsidP="004A33ED">
      <w:pPr>
        <w:pStyle w:val="Heading2"/>
        <w:numPr>
          <w:ilvl w:val="1"/>
          <w:numId w:val="48"/>
        </w:numPr>
      </w:pPr>
      <w:bookmarkStart w:id="257" w:name="_Toc99649086"/>
      <w:bookmarkStart w:id="258" w:name="_Toc158978021"/>
      <w:bookmarkStart w:id="259" w:name="_Toc213865264"/>
      <w:bookmarkStart w:id="260" w:name="_Toc307866214"/>
      <w:bookmarkStart w:id="261" w:name="_Toc175020544"/>
      <w:bookmarkEnd w:id="255"/>
      <w:bookmarkEnd w:id="256"/>
      <w:r w:rsidRPr="004A33ED">
        <w:t>Overall affordability</w:t>
      </w:r>
      <w:bookmarkEnd w:id="257"/>
      <w:bookmarkEnd w:id="258"/>
      <w:bookmarkEnd w:id="259"/>
    </w:p>
    <w:bookmarkEnd w:id="260"/>
    <w:bookmarkEnd w:id="261"/>
    <w:p w14:paraId="054BDC45" w14:textId="77777777" w:rsidR="009957B1" w:rsidRDefault="009957B1" w:rsidP="009957B1">
      <w:pPr>
        <w:rPr>
          <w:rFonts w:cs="Arial"/>
        </w:rPr>
      </w:pPr>
      <w:r>
        <w:rPr>
          <w:rFonts w:cs="Arial"/>
        </w:rPr>
        <w:t>The financial analysis demonstrates that delivery of the preferred way forward is affordable providing that Welsh Government capital funding can be secured, and agreement reached with commissioners about revenue funding requirements.</w:t>
      </w:r>
    </w:p>
    <w:p w14:paraId="4A4E0321" w14:textId="77777777" w:rsidR="009957B1" w:rsidRPr="004A33ED" w:rsidRDefault="009957B1" w:rsidP="004A33ED">
      <w:pPr>
        <w:pStyle w:val="Heading3"/>
        <w:numPr>
          <w:ilvl w:val="2"/>
          <w:numId w:val="48"/>
        </w:numPr>
      </w:pPr>
      <w:r w:rsidRPr="004A33ED">
        <w:t>Capital affordability</w:t>
      </w:r>
    </w:p>
    <w:p w14:paraId="2DDAEE71" w14:textId="341A9527" w:rsidR="009957B1" w:rsidRDefault="009957B1" w:rsidP="009957B1">
      <w:r>
        <w:t xml:space="preserve">The cost plan prepared by CTM’s Cost Advisors, </w:t>
      </w:r>
      <w:r>
        <w:rPr>
          <w:rFonts w:cs="Arial"/>
        </w:rPr>
        <w:t xml:space="preserve">based on </w:t>
      </w:r>
      <w:r>
        <w:t>RIBA1 design, estimates that delivery of LHP will result in capital investment requirements of £1</w:t>
      </w:r>
      <w:r w:rsidR="009201A2">
        <w:t>23</w:t>
      </w:r>
      <w:r>
        <w:t>.</w:t>
      </w:r>
      <w:r w:rsidR="009201A2">
        <w:t>6</w:t>
      </w:r>
      <w:r>
        <w:t xml:space="preserve">m in total, including expenditure incurred to date. </w:t>
      </w:r>
      <w:r w:rsidR="00F338F9">
        <w:t>Funding to date of £1.934M has been received leaving a balance of £1</w:t>
      </w:r>
      <w:r w:rsidR="009201A2">
        <w:t>21</w:t>
      </w:r>
      <w:r w:rsidR="00F338F9">
        <w:t>.</w:t>
      </w:r>
      <w:r w:rsidR="009201A2">
        <w:t>695</w:t>
      </w:r>
      <w:r w:rsidR="00F338F9">
        <w:t>M to be funded.  It is antici</w:t>
      </w:r>
      <w:r>
        <w:t xml:space="preserve">pated that </w:t>
      </w:r>
      <w:r w:rsidR="00F338F9">
        <w:t xml:space="preserve">the </w:t>
      </w:r>
      <w:r>
        <w:t xml:space="preserve">funding </w:t>
      </w:r>
      <w:r w:rsidR="00F338F9">
        <w:t xml:space="preserve">balance </w:t>
      </w:r>
      <w:r>
        <w:t>will be required from Welsh Government as follows:</w:t>
      </w:r>
    </w:p>
    <w:tbl>
      <w:tblPr>
        <w:tblW w:w="5100" w:type="pct"/>
        <w:tblInd w:w="-113" w:type="dxa"/>
        <w:tblLayout w:type="fixed"/>
        <w:tblLook w:val="04A0" w:firstRow="1" w:lastRow="0" w:firstColumn="1" w:lastColumn="0" w:noHBand="0" w:noVBand="1"/>
      </w:tblPr>
      <w:tblGrid>
        <w:gridCol w:w="4915"/>
        <w:gridCol w:w="4916"/>
      </w:tblGrid>
      <w:tr w:rsidR="004A33ED" w:rsidRPr="00F2076E" w14:paraId="65912224" w14:textId="77777777" w:rsidTr="00E67800">
        <w:tc>
          <w:tcPr>
            <w:tcW w:w="4814" w:type="dxa"/>
          </w:tcPr>
          <w:p w14:paraId="5024AD6E" w14:textId="5C06B510" w:rsidR="004A33ED" w:rsidRPr="00F2076E" w:rsidRDefault="004A33ED" w:rsidP="00F338F9">
            <w:pPr>
              <w:pStyle w:val="bullets1"/>
              <w:numPr>
                <w:ilvl w:val="0"/>
                <w:numId w:val="0"/>
              </w:numPr>
              <w:ind w:left="284"/>
            </w:pPr>
          </w:p>
        </w:tc>
        <w:tc>
          <w:tcPr>
            <w:tcW w:w="4814" w:type="dxa"/>
          </w:tcPr>
          <w:p w14:paraId="28C52D52" w14:textId="568C586E" w:rsidR="004A33ED" w:rsidRDefault="004A33ED" w:rsidP="00E67800">
            <w:pPr>
              <w:pStyle w:val="bullets1"/>
            </w:pPr>
            <w:r>
              <w:t>RIBA 4 fees - £</w:t>
            </w:r>
            <w:r w:rsidR="00F338F9">
              <w:t>1.669</w:t>
            </w:r>
            <w:r>
              <w:t>m</w:t>
            </w:r>
          </w:p>
          <w:p w14:paraId="2A1E402F" w14:textId="5BEE7558" w:rsidR="004A33ED" w:rsidRPr="00F2076E" w:rsidRDefault="004A33ED" w:rsidP="004A33ED">
            <w:pPr>
              <w:pStyle w:val="bullets1"/>
            </w:pPr>
            <w:r>
              <w:t>Construction - £1</w:t>
            </w:r>
            <w:r w:rsidR="00641055">
              <w:t>2</w:t>
            </w:r>
            <w:r w:rsidR="00F338F9">
              <w:t>0</w:t>
            </w:r>
            <w:r>
              <w:t>.</w:t>
            </w:r>
            <w:r w:rsidR="00641055">
              <w:t>024</w:t>
            </w:r>
            <w:r>
              <w:t>m</w:t>
            </w:r>
          </w:p>
        </w:tc>
      </w:tr>
    </w:tbl>
    <w:p w14:paraId="659625C4" w14:textId="77777777" w:rsidR="009957B1" w:rsidRDefault="009957B1" w:rsidP="009957B1">
      <w:pPr>
        <w:pStyle w:val="NoSpacing"/>
      </w:pPr>
    </w:p>
    <w:p w14:paraId="4C33C6E4" w14:textId="77777777" w:rsidR="009957B1" w:rsidRPr="004A33ED" w:rsidRDefault="009957B1" w:rsidP="004A33ED">
      <w:pPr>
        <w:pStyle w:val="Heading3"/>
        <w:numPr>
          <w:ilvl w:val="2"/>
          <w:numId w:val="48"/>
        </w:numPr>
      </w:pPr>
      <w:r w:rsidRPr="004A33ED">
        <w:t>Revenue affordability</w:t>
      </w:r>
    </w:p>
    <w:p w14:paraId="7961E7E0" w14:textId="599CF5D3" w:rsidR="009957B1" w:rsidRDefault="009957B1" w:rsidP="009957B1">
      <w:pPr>
        <w:pStyle w:val="bullets1"/>
        <w:numPr>
          <w:ilvl w:val="0"/>
          <w:numId w:val="0"/>
        </w:numPr>
        <w:tabs>
          <w:tab w:val="left" w:pos="720"/>
        </w:tabs>
      </w:pPr>
      <w:r>
        <w:rPr>
          <w:rFonts w:ascii="Arial" w:hAnsi="Arial" w:cs="Calibri"/>
        </w:rPr>
        <w:t>Work undertaken by the programme team and finance leads indicates that the orthopaedic unit will incur recurring revenue costs of £39.</w:t>
      </w:r>
      <w:r w:rsidR="00641055">
        <w:rPr>
          <w:rFonts w:ascii="Arial" w:hAnsi="Arial" w:cs="Calibri"/>
        </w:rPr>
        <w:t>9</w:t>
      </w:r>
      <w:r>
        <w:rPr>
          <w:rFonts w:ascii="Arial" w:hAnsi="Arial" w:cs="Calibri"/>
        </w:rPr>
        <w:t xml:space="preserve"> million per annum, including:</w:t>
      </w:r>
    </w:p>
    <w:p w14:paraId="3C096E6B" w14:textId="77777777" w:rsidR="009957B1" w:rsidRDefault="009957B1" w:rsidP="009957B1">
      <w:pPr>
        <w:pStyle w:val="bullets1"/>
        <w:numPr>
          <w:ilvl w:val="0"/>
          <w:numId w:val="49"/>
        </w:numPr>
        <w:tabs>
          <w:tab w:val="left" w:pos="720"/>
        </w:tabs>
      </w:pPr>
      <w:r>
        <w:t>Pay costs of £15.0 million for approximately 220 WTE staff</w:t>
      </w:r>
    </w:p>
    <w:p w14:paraId="50DDC407" w14:textId="07DAE7C5" w:rsidR="009957B1" w:rsidRDefault="009957B1" w:rsidP="009957B1">
      <w:pPr>
        <w:pStyle w:val="bullets1"/>
        <w:numPr>
          <w:ilvl w:val="0"/>
          <w:numId w:val="49"/>
        </w:numPr>
        <w:tabs>
          <w:tab w:val="left" w:pos="720"/>
        </w:tabs>
      </w:pPr>
      <w:r>
        <w:lastRenderedPageBreak/>
        <w:t>Non-pay costs of £24.8 million, covering theatre and ward consumables, building running costs, and depreciation of £3.</w:t>
      </w:r>
      <w:r w:rsidR="00641055">
        <w:t>16</w:t>
      </w:r>
      <w:r>
        <w:t xml:space="preserve"> million</w:t>
      </w:r>
      <w:r w:rsidR="004A33ED">
        <w:t>.</w:t>
      </w:r>
    </w:p>
    <w:p w14:paraId="66B6337B" w14:textId="77777777" w:rsidR="009957B1" w:rsidRDefault="009957B1" w:rsidP="009957B1">
      <w:pPr>
        <w:pStyle w:val="NoSpacing"/>
      </w:pPr>
    </w:p>
    <w:p w14:paraId="76E1E7F2" w14:textId="77777777" w:rsidR="009957B1" w:rsidRDefault="009957B1" w:rsidP="009957B1">
      <w:r>
        <w:t>These indicative costs are based on high level assumptions at this stage and will be firmed up at FBC stage once more detailed information, such as the workforce plan, is available.</w:t>
      </w:r>
    </w:p>
    <w:p w14:paraId="538C2F31" w14:textId="5FC99A35" w:rsidR="009957B1" w:rsidRDefault="009957B1" w:rsidP="009957B1">
      <w:r>
        <w:t>£10.</w:t>
      </w:r>
      <w:r w:rsidR="00641055">
        <w:t>4</w:t>
      </w:r>
      <w:r>
        <w:t>m p.a. of funding has been identified which will partly cover these additional costs which include the following sources:</w:t>
      </w:r>
    </w:p>
    <w:p w14:paraId="43FB4371" w14:textId="77777777" w:rsidR="009957B1" w:rsidRDefault="009957B1" w:rsidP="009957B1">
      <w:pPr>
        <w:pStyle w:val="bullets1"/>
        <w:numPr>
          <w:ilvl w:val="0"/>
          <w:numId w:val="49"/>
        </w:numPr>
        <w:tabs>
          <w:tab w:val="left" w:pos="720"/>
        </w:tabs>
      </w:pPr>
      <w:r>
        <w:t>£7.3m associated with the substitution of existing services at CTM including transfers of Ward, Theatres, Medical staff and non-pay costs</w:t>
      </w:r>
    </w:p>
    <w:p w14:paraId="19571B52" w14:textId="70042561" w:rsidR="009957B1" w:rsidRDefault="009957B1" w:rsidP="009957B1">
      <w:pPr>
        <w:pStyle w:val="bullets1"/>
        <w:numPr>
          <w:ilvl w:val="0"/>
          <w:numId w:val="49"/>
        </w:numPr>
        <w:tabs>
          <w:tab w:val="left" w:pos="720"/>
        </w:tabs>
      </w:pPr>
      <w:r>
        <w:t>Anticipated £3</w:t>
      </w:r>
      <w:r w:rsidR="00641055">
        <w:t>.16</w:t>
      </w:r>
      <w:r>
        <w:t>m of Welsh Government Central funding for depreciation</w:t>
      </w:r>
    </w:p>
    <w:p w14:paraId="3DBFE764" w14:textId="77777777" w:rsidR="009957B1" w:rsidRDefault="009957B1" w:rsidP="009957B1">
      <w:pPr>
        <w:pStyle w:val="NoSpacing"/>
      </w:pPr>
    </w:p>
    <w:p w14:paraId="061CAF90" w14:textId="77777777" w:rsidR="009957B1" w:rsidRDefault="009957B1" w:rsidP="009957B1">
      <w:r>
        <w:t>This leaves an affordability gap of £29.5 million across the region. Work is underway with partner Health Boards and Welsh Government to develop a sustainable solution that aligns with the regional service model and supports timely access to care. Engagement activity is being coordinated to ensure transparency and shared understanding, drawing on lessons from previous programmes and focusing on collaborative planning to address both financial and operational challenges.</w:t>
      </w:r>
    </w:p>
    <w:p w14:paraId="0542FD65" w14:textId="77777777" w:rsidR="00280CF1" w:rsidRPr="00CB4ED1" w:rsidRDefault="00280CF1" w:rsidP="00FD47B2"/>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28"/>
      </w:tblGrid>
      <w:tr w:rsidR="005E5DDD" w:rsidRPr="00CB4ED1" w14:paraId="57E38E65" w14:textId="77777777" w:rsidTr="005E5DDD">
        <w:trPr>
          <w:trHeight w:val="8505"/>
        </w:trPr>
        <w:tc>
          <w:tcPr>
            <w:tcW w:w="9628" w:type="dxa"/>
            <w:vAlign w:val="center"/>
          </w:tcPr>
          <w:p w14:paraId="57D31543" w14:textId="77777777" w:rsidR="005E5DDD" w:rsidRPr="00CB4ED1" w:rsidRDefault="005E5DDD" w:rsidP="005E5DDD">
            <w:pPr>
              <w:pStyle w:val="Heading0"/>
            </w:pPr>
            <w:bookmarkStart w:id="262" w:name="_Toc213865265"/>
            <w:r w:rsidRPr="00CB4ED1">
              <w:lastRenderedPageBreak/>
              <w:t>Management Case</w:t>
            </w:r>
            <w:bookmarkEnd w:id="262"/>
          </w:p>
        </w:tc>
      </w:tr>
    </w:tbl>
    <w:p w14:paraId="618AE7C0" w14:textId="47117477" w:rsidR="00067BA1" w:rsidRPr="00CB4ED1" w:rsidRDefault="000A2D34" w:rsidP="00CB4F57">
      <w:pPr>
        <w:pStyle w:val="Heading1"/>
      </w:pPr>
      <w:bookmarkStart w:id="263" w:name="_Toc213865266"/>
      <w:r w:rsidRPr="00CB4ED1">
        <w:lastRenderedPageBreak/>
        <w:t>Management</w:t>
      </w:r>
      <w:r w:rsidR="00230B9C" w:rsidRPr="00CB4ED1">
        <w:t xml:space="preserve"> </w:t>
      </w:r>
      <w:r w:rsidR="00BD32C4" w:rsidRPr="00CB4ED1">
        <w:t>arrangements</w:t>
      </w:r>
      <w:bookmarkEnd w:id="263"/>
    </w:p>
    <w:p w14:paraId="7F023807" w14:textId="44A1B448" w:rsidR="005D0569" w:rsidRPr="00CB4ED1" w:rsidRDefault="005D0569" w:rsidP="005D0569">
      <w:pPr>
        <w:pStyle w:val="Heading2"/>
        <w:rPr>
          <w:szCs w:val="32"/>
        </w:rPr>
      </w:pPr>
      <w:bookmarkStart w:id="264" w:name="_Toc213865267"/>
      <w:r w:rsidRPr="00CB4ED1">
        <w:t>Introduction</w:t>
      </w:r>
      <w:bookmarkEnd w:id="264"/>
    </w:p>
    <w:p w14:paraId="477E08E9" w14:textId="77777777" w:rsidR="005378CE" w:rsidRDefault="005378CE" w:rsidP="005378CE">
      <w:pPr>
        <w:spacing w:after="180"/>
      </w:pPr>
      <w:r w:rsidRPr="00044BEC">
        <w:t>This section of the business case sets management arrangements that will successfully deliver Llantrisant Health Park Programme to time, cost and quality. The Management Case outlines the following arrangements:</w:t>
      </w:r>
    </w:p>
    <w:tbl>
      <w:tblPr>
        <w:tblW w:w="5100" w:type="pct"/>
        <w:tblInd w:w="-113" w:type="dxa"/>
        <w:tblLayout w:type="fixed"/>
        <w:tblLook w:val="04A0" w:firstRow="1" w:lastRow="0" w:firstColumn="1" w:lastColumn="0" w:noHBand="0" w:noVBand="1"/>
      </w:tblPr>
      <w:tblGrid>
        <w:gridCol w:w="5500"/>
        <w:gridCol w:w="4331"/>
      </w:tblGrid>
      <w:tr w:rsidR="005378CE" w:rsidRPr="00B16823" w14:paraId="4499B407" w14:textId="77777777" w:rsidTr="00377EA9">
        <w:tc>
          <w:tcPr>
            <w:tcW w:w="5500" w:type="dxa"/>
          </w:tcPr>
          <w:p w14:paraId="4928A763" w14:textId="77777777" w:rsidR="005378CE" w:rsidRDefault="005378CE" w:rsidP="00377EA9">
            <w:pPr>
              <w:pStyle w:val="bullets1"/>
            </w:pPr>
            <w:r>
              <w:t>Project management arrangements</w:t>
            </w:r>
          </w:p>
          <w:p w14:paraId="37AA6B84" w14:textId="77777777" w:rsidR="005378CE" w:rsidRDefault="005378CE" w:rsidP="00377EA9">
            <w:pPr>
              <w:pStyle w:val="bullets1"/>
            </w:pPr>
            <w:r>
              <w:t>Project assurance at different stages of the project</w:t>
            </w:r>
          </w:p>
          <w:p w14:paraId="1FEB65AC" w14:textId="77777777" w:rsidR="005378CE" w:rsidRDefault="005378CE" w:rsidP="00377EA9">
            <w:pPr>
              <w:pStyle w:val="bullets1"/>
            </w:pPr>
            <w:r>
              <w:t>Change management arrangements</w:t>
            </w:r>
          </w:p>
          <w:p w14:paraId="24A82C3C" w14:textId="77777777" w:rsidR="005378CE" w:rsidRPr="00B16823" w:rsidRDefault="005378CE" w:rsidP="00377EA9">
            <w:pPr>
              <w:pStyle w:val="bullets1"/>
            </w:pPr>
            <w:r>
              <w:t>Benefits realisation and plans</w:t>
            </w:r>
          </w:p>
        </w:tc>
        <w:tc>
          <w:tcPr>
            <w:tcW w:w="4331" w:type="dxa"/>
          </w:tcPr>
          <w:p w14:paraId="62B5CED7" w14:textId="77777777" w:rsidR="005378CE" w:rsidRDefault="005378CE" w:rsidP="00377EA9">
            <w:pPr>
              <w:pStyle w:val="bullets1"/>
            </w:pPr>
            <w:r>
              <w:t>Risk management plans</w:t>
            </w:r>
          </w:p>
          <w:p w14:paraId="73CCEE29" w14:textId="77777777" w:rsidR="005378CE" w:rsidRDefault="005378CE" w:rsidP="00377EA9">
            <w:pPr>
              <w:pStyle w:val="bullets1"/>
            </w:pPr>
            <w:r>
              <w:t>Contract management arrangements</w:t>
            </w:r>
          </w:p>
          <w:p w14:paraId="17D995DB" w14:textId="77777777" w:rsidR="005378CE" w:rsidRDefault="005378CE" w:rsidP="00377EA9">
            <w:pPr>
              <w:pStyle w:val="bullets1"/>
            </w:pPr>
            <w:r>
              <w:t>Post project evaluation plans</w:t>
            </w:r>
          </w:p>
          <w:p w14:paraId="1156A8E3" w14:textId="77777777" w:rsidR="005378CE" w:rsidRPr="00B16823" w:rsidRDefault="005378CE" w:rsidP="00377EA9">
            <w:pPr>
              <w:pStyle w:val="bullets1"/>
            </w:pPr>
            <w:r>
              <w:t>Contingency plans.</w:t>
            </w:r>
          </w:p>
        </w:tc>
      </w:tr>
    </w:tbl>
    <w:p w14:paraId="579C46C9" w14:textId="77777777" w:rsidR="005378CE" w:rsidRPr="00BE09D9" w:rsidRDefault="005378CE" w:rsidP="00BE09D9"/>
    <w:p w14:paraId="2154697C" w14:textId="77777777" w:rsidR="005378CE" w:rsidRPr="00BD32C4" w:rsidRDefault="005378CE" w:rsidP="005378CE">
      <w:pPr>
        <w:pStyle w:val="Heading2"/>
      </w:pPr>
      <w:bookmarkStart w:id="265" w:name="_Toc213865268"/>
      <w:r w:rsidRPr="00BD32C4">
        <w:t>Project management arrangements</w:t>
      </w:r>
      <w:bookmarkEnd w:id="265"/>
    </w:p>
    <w:p w14:paraId="3E5F7311" w14:textId="77777777" w:rsidR="005378CE" w:rsidRPr="00044BEC" w:rsidRDefault="005378CE" w:rsidP="005378CE">
      <w:r w:rsidRPr="00044BEC">
        <w:t>The Project be delivered in line with PRINCE2 methodology. PRINCE2 is organised into seven principles and seven themes, which are deemed essential for any project to be deemed to be ‘controlled’. This programme will apply these principles and themes throughout.</w:t>
      </w:r>
    </w:p>
    <w:p w14:paraId="6ECE35C7" w14:textId="41816CCF" w:rsidR="005378CE" w:rsidRDefault="005378CE" w:rsidP="005378CE">
      <w:pPr>
        <w:pStyle w:val="Caption"/>
      </w:pPr>
      <w:bookmarkStart w:id="266" w:name="_Toc213865328"/>
      <w:r>
        <w:t xml:space="preserve">Figure </w:t>
      </w:r>
      <w:r w:rsidR="009C05F7">
        <w:fldChar w:fldCharType="begin"/>
      </w:r>
      <w:r w:rsidR="009C05F7">
        <w:instrText xml:space="preserve"> SEQ Figure \* ARABIC </w:instrText>
      </w:r>
      <w:r w:rsidR="009C05F7">
        <w:fldChar w:fldCharType="separate"/>
      </w:r>
      <w:r w:rsidR="00376786">
        <w:t>15</w:t>
      </w:r>
      <w:r w:rsidR="009C05F7">
        <w:fldChar w:fldCharType="end"/>
      </w:r>
      <w:r>
        <w:t xml:space="preserve"> - Project management principles and themes</w:t>
      </w:r>
      <w:bookmarkEnd w:id="266"/>
    </w:p>
    <w:p w14:paraId="77F214FE" w14:textId="77777777" w:rsidR="005378CE" w:rsidRDefault="005378CE" w:rsidP="005378CE">
      <w:r>
        <w:rPr>
          <w:noProof/>
        </w:rPr>
        <w:drawing>
          <wp:inline distT="0" distB="0" distL="0" distR="0" wp14:anchorId="2EE60B1B" wp14:editId="4A44DD9B">
            <wp:extent cx="6120765" cy="1444625"/>
            <wp:effectExtent l="0" t="0" r="0" b="3175"/>
            <wp:docPr id="6825166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120765" cy="1444625"/>
                    </a:xfrm>
                    <a:prstGeom prst="rect">
                      <a:avLst/>
                    </a:prstGeom>
                    <a:noFill/>
                  </pic:spPr>
                </pic:pic>
              </a:graphicData>
            </a:graphic>
          </wp:inline>
        </w:drawing>
      </w:r>
    </w:p>
    <w:p w14:paraId="7490A5F5" w14:textId="77777777" w:rsidR="00BE09D9" w:rsidRPr="006601F8" w:rsidRDefault="00BE09D9" w:rsidP="005378CE"/>
    <w:p w14:paraId="1D1C3E4D" w14:textId="77777777" w:rsidR="005378CE" w:rsidRPr="00044BEC" w:rsidRDefault="005378CE" w:rsidP="005378CE">
      <w:r w:rsidRPr="00044BEC">
        <w:t>The key principles behind PRINCE2 are the identification of three main functional areas of the project governance structure, including governance, delivery and assurance functions.</w:t>
      </w:r>
    </w:p>
    <w:p w14:paraId="5F8EC459" w14:textId="77777777" w:rsidR="005378CE" w:rsidRDefault="005378CE" w:rsidP="005378CE">
      <w:pPr>
        <w:pStyle w:val="Heading3"/>
      </w:pPr>
      <w:r>
        <w:t>Project reporting structure</w:t>
      </w:r>
    </w:p>
    <w:p w14:paraId="030F62E7" w14:textId="77777777" w:rsidR="005378CE" w:rsidRPr="00044BEC" w:rsidRDefault="005378CE" w:rsidP="005378CE">
      <w:r w:rsidRPr="006C1A04">
        <w:t>The programme governance structure has been established to reflect the principles and themes of controlled project delivery.</w:t>
      </w:r>
      <w:r w:rsidRPr="006C1A04">
        <w:rPr>
          <w:rFonts w:ascii="Calibri" w:hAnsi="Calibri"/>
        </w:rPr>
        <w:t xml:space="preserve"> </w:t>
      </w:r>
      <w:r w:rsidRPr="006C1A04">
        <w:t>The workstreams will report into the Project Team and Steering Group, Steering Group then reports into Programme Board which then reports to the Regional Oversight Board and CTM UHB Governance.</w:t>
      </w:r>
    </w:p>
    <w:p w14:paraId="0051DFDC" w14:textId="77777777" w:rsidR="005378CE" w:rsidRDefault="005378CE" w:rsidP="005378CE">
      <w:pPr>
        <w:spacing w:after="180"/>
      </w:pPr>
      <w:r w:rsidRPr="00044BEC">
        <w:t>The project governance arrangements are outlined below.</w:t>
      </w:r>
    </w:p>
    <w:p w14:paraId="28A22378" w14:textId="0510FA8B" w:rsidR="00BE09D9" w:rsidRDefault="00BE09D9" w:rsidP="00BE09D9">
      <w:pPr>
        <w:pStyle w:val="Caption"/>
      </w:pPr>
      <w:bookmarkStart w:id="267" w:name="_Toc213865329"/>
      <w:r>
        <w:lastRenderedPageBreak/>
        <w:t xml:space="preserve">Figure </w:t>
      </w:r>
      <w:r w:rsidR="009C05F7">
        <w:fldChar w:fldCharType="begin"/>
      </w:r>
      <w:r w:rsidR="009C05F7">
        <w:instrText xml:space="preserve"> SEQ Figure \* ARABIC </w:instrText>
      </w:r>
      <w:r w:rsidR="009C05F7">
        <w:fldChar w:fldCharType="separate"/>
      </w:r>
      <w:r w:rsidR="00376786">
        <w:t>16</w:t>
      </w:r>
      <w:r w:rsidR="009C05F7">
        <w:fldChar w:fldCharType="end"/>
      </w:r>
      <w:r>
        <w:t xml:space="preserve"> - </w:t>
      </w:r>
      <w:r w:rsidRPr="0013016E">
        <w:t>Project governance arrangements</w:t>
      </w:r>
      <w:bookmarkEnd w:id="267"/>
    </w:p>
    <w:p w14:paraId="53EF5402" w14:textId="77777777" w:rsidR="005378CE" w:rsidRPr="004120A3" w:rsidRDefault="005378CE" w:rsidP="005378CE">
      <w:r>
        <w:rPr>
          <w:noProof/>
        </w:rPr>
        <w:drawing>
          <wp:inline distT="0" distB="0" distL="0" distR="0" wp14:anchorId="4EF65222" wp14:editId="5AB9BF7C">
            <wp:extent cx="6120765" cy="3060700"/>
            <wp:effectExtent l="0" t="0" r="0" b="6350"/>
            <wp:docPr id="126385848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120765" cy="3060700"/>
                    </a:xfrm>
                    <a:prstGeom prst="rect">
                      <a:avLst/>
                    </a:prstGeom>
                    <a:noFill/>
                  </pic:spPr>
                </pic:pic>
              </a:graphicData>
            </a:graphic>
          </wp:inline>
        </w:drawing>
      </w:r>
    </w:p>
    <w:p w14:paraId="1F76BF06" w14:textId="77777777" w:rsidR="005378CE" w:rsidRPr="00907DF1" w:rsidRDefault="005378CE" w:rsidP="005378CE">
      <w:pPr>
        <w:pStyle w:val="Heading3"/>
      </w:pPr>
      <w:r w:rsidRPr="00907DF1">
        <w:t>Governance pathway</w:t>
      </w:r>
    </w:p>
    <w:p w14:paraId="298B0B0B" w14:textId="77777777" w:rsidR="005378CE" w:rsidRPr="00044BEC" w:rsidRDefault="005378CE" w:rsidP="005378CE">
      <w:pPr>
        <w:spacing w:after="180"/>
      </w:pPr>
      <w:r w:rsidRPr="00044BEC">
        <w:t>There is a clear demarcation between those groups with a responsibility to produce outputs needed to deliver the project i.e. workstreams and delivery groups, and those forums with responsibility to scrutinise, challenge and approve the outputs ensuring that the programme is directed consistently across all subject matters i.e. governance committees.</w:t>
      </w:r>
    </w:p>
    <w:p w14:paraId="563371DF" w14:textId="77777777" w:rsidR="005378CE" w:rsidRDefault="005378CE" w:rsidP="005378CE">
      <w:pPr>
        <w:spacing w:after="180"/>
      </w:pPr>
      <w:r w:rsidRPr="00044BEC">
        <w:t>The main governance routes for reporting include CTM UHB Main Board and the Regional</w:t>
      </w:r>
      <w:r w:rsidRPr="00044BEC">
        <w:rPr>
          <w:rFonts w:asciiTheme="minorHAnsi" w:hAnsiTheme="minorHAnsi"/>
        </w:rPr>
        <w:t xml:space="preserve"> </w:t>
      </w:r>
      <w:r w:rsidRPr="00044BEC">
        <w:t>Portfolio Oversight Board.</w:t>
      </w:r>
    </w:p>
    <w:p w14:paraId="0EA45FCA" w14:textId="77777777" w:rsidR="005378CE" w:rsidRPr="0019387B" w:rsidRDefault="005378CE" w:rsidP="005378CE">
      <w:pPr>
        <w:pStyle w:val="Heading3"/>
      </w:pPr>
      <w:r w:rsidRPr="00E26414">
        <w:t>Programme Boar</w:t>
      </w:r>
      <w:r>
        <w:t>d</w:t>
      </w:r>
    </w:p>
    <w:p w14:paraId="52FB91D0" w14:textId="77777777" w:rsidR="005378CE" w:rsidRPr="00E676AC" w:rsidRDefault="005378CE" w:rsidP="005378CE">
      <w:pPr>
        <w:spacing w:after="180"/>
        <w:rPr>
          <w:b/>
          <w:bCs/>
        </w:rPr>
      </w:pPr>
      <w:r>
        <w:t>Chair:</w:t>
      </w:r>
      <w:r w:rsidRPr="14D13768">
        <w:rPr>
          <w:b/>
        </w:rPr>
        <w:t xml:space="preserve"> </w:t>
      </w:r>
      <w:r>
        <w:t>Paul Mears, Chief Executive Officer and SRO for the Project, CTM UHB</w:t>
      </w:r>
    </w:p>
    <w:p w14:paraId="1815B2B4" w14:textId="77777777" w:rsidR="005378CE" w:rsidRPr="00E676AC" w:rsidRDefault="005378CE" w:rsidP="005378CE">
      <w:pPr>
        <w:spacing w:after="180"/>
      </w:pPr>
      <w:r w:rsidRPr="00E676AC">
        <w:t xml:space="preserve">The Llantrisant Health Park Infrastructure Programme Board has responsibility for overseeing the management and delivery of all aspects of this programme including the design proposals and the associated business cases. </w:t>
      </w:r>
    </w:p>
    <w:p w14:paraId="13756A93" w14:textId="77777777" w:rsidR="005378CE" w:rsidRPr="00E676AC" w:rsidRDefault="005378CE" w:rsidP="005378CE">
      <w:pPr>
        <w:spacing w:after="180"/>
      </w:pPr>
      <w:r w:rsidRPr="00E676AC">
        <w:t>The duties of the Programme Board are as follows:</w:t>
      </w:r>
    </w:p>
    <w:p w14:paraId="1A86524F" w14:textId="77777777" w:rsidR="005378CE" w:rsidRPr="00E676AC" w:rsidRDefault="005378CE" w:rsidP="005378CE">
      <w:pPr>
        <w:pStyle w:val="bullets1"/>
      </w:pPr>
      <w:r w:rsidRPr="70D6DABC">
        <w:t>Ensure the programme objectives and scope of all projects have been appropriately defined and that any material changes are formally approved and integrated</w:t>
      </w:r>
    </w:p>
    <w:p w14:paraId="2E10706D" w14:textId="77777777" w:rsidR="005378CE" w:rsidRPr="00E676AC" w:rsidRDefault="005378CE" w:rsidP="005378CE">
      <w:pPr>
        <w:pStyle w:val="bullets1"/>
      </w:pPr>
      <w:r w:rsidRPr="70D6DABC">
        <w:t>Ensure a robust programme timetable has been produced and monitored and that each workstream lead is committed and remains committed to its delivery</w:t>
      </w:r>
    </w:p>
    <w:p w14:paraId="47B5C343" w14:textId="77777777" w:rsidR="005378CE" w:rsidRPr="00E676AC" w:rsidRDefault="005378CE" w:rsidP="005378CE">
      <w:pPr>
        <w:pStyle w:val="bullets1"/>
      </w:pPr>
      <w:r w:rsidRPr="70D6DABC">
        <w:t>Oversee the delivery of all projects within the defined parameters of time, cost and to the required quality and specification</w:t>
      </w:r>
    </w:p>
    <w:p w14:paraId="2310CDFD" w14:textId="77777777" w:rsidR="005378CE" w:rsidRPr="00E676AC" w:rsidRDefault="005378CE" w:rsidP="005378CE">
      <w:pPr>
        <w:pStyle w:val="bullets1"/>
      </w:pPr>
      <w:r w:rsidRPr="70D6DABC">
        <w:t>Ensure the cost implications of the programme are fully set out within robust financial plans and that it remains within the health board’s overall affordability envelope</w:t>
      </w:r>
    </w:p>
    <w:p w14:paraId="56BB24EC" w14:textId="77777777" w:rsidR="005378CE" w:rsidRPr="00E676AC" w:rsidRDefault="005378CE" w:rsidP="005378CE">
      <w:pPr>
        <w:pStyle w:val="bullets1"/>
      </w:pPr>
      <w:r w:rsidRPr="70D6DABC">
        <w:t>Ensure there is an effective system of cost control in place and receive regular reports on the current and planned expenditure relating to the delivery of the programme</w:t>
      </w:r>
    </w:p>
    <w:p w14:paraId="64844C8C" w14:textId="77777777" w:rsidR="005378CE" w:rsidRPr="00E676AC" w:rsidRDefault="005378CE" w:rsidP="005378CE">
      <w:pPr>
        <w:pStyle w:val="bullets1"/>
      </w:pPr>
      <w:r w:rsidRPr="70D6DABC">
        <w:t>Ensure that the programme is sufficiently resourced to deliver within its agreed scope, time, cost, and quality parameters</w:t>
      </w:r>
    </w:p>
    <w:p w14:paraId="42797665" w14:textId="77777777" w:rsidR="005378CE" w:rsidRPr="00E676AC" w:rsidRDefault="005378CE" w:rsidP="005378CE">
      <w:pPr>
        <w:pStyle w:val="bullets1"/>
      </w:pPr>
      <w:r w:rsidRPr="70D6DABC">
        <w:t>Ensure there is an effective risk management system in place and that regular reports on the risks and issues are effectively acted upon</w:t>
      </w:r>
    </w:p>
    <w:p w14:paraId="48BFCADF" w14:textId="77777777" w:rsidR="005378CE" w:rsidRPr="00E676AC" w:rsidRDefault="005378CE" w:rsidP="005378CE">
      <w:pPr>
        <w:pStyle w:val="bullets1"/>
      </w:pPr>
      <w:r w:rsidRPr="70D6DABC">
        <w:lastRenderedPageBreak/>
        <w:t>Ensure that all development proposals meet the highest possible standards of design in respect of clinical use, patient and staff environment and building quality</w:t>
      </w:r>
    </w:p>
    <w:p w14:paraId="00D6A01D" w14:textId="77777777" w:rsidR="005378CE" w:rsidRDefault="005378CE" w:rsidP="005378CE">
      <w:pPr>
        <w:pStyle w:val="bullets1"/>
      </w:pPr>
      <w:r w:rsidRPr="70D6DABC">
        <w:t>Sign off key documents including the clinical services strategy, business case, prior to submission to the IIB/Welsh Government for approval, as well as other key programme documents as required.</w:t>
      </w:r>
    </w:p>
    <w:p w14:paraId="44C91682" w14:textId="77777777" w:rsidR="005378CE" w:rsidRPr="00D34F7B" w:rsidRDefault="005378CE" w:rsidP="005378CE">
      <w:pPr>
        <w:pStyle w:val="NoSpacing"/>
      </w:pPr>
    </w:p>
    <w:p w14:paraId="717145E0" w14:textId="77777777" w:rsidR="005378CE" w:rsidRDefault="005378CE" w:rsidP="005378CE">
      <w:pPr>
        <w:pStyle w:val="Heading3"/>
      </w:pPr>
      <w:r w:rsidRPr="00D34F7B">
        <w:t>Programme Management Office</w:t>
      </w:r>
    </w:p>
    <w:p w14:paraId="2192A713" w14:textId="77777777" w:rsidR="005378CE" w:rsidRDefault="005378CE" w:rsidP="005378CE">
      <w:r w:rsidRPr="006C1A04">
        <w:t xml:space="preserve">The Programme Management Office (PMO) is responsible for the oversight of all workstream project management within the programme. The PMO maintains internal reports and PRINCE2 documents including risk registers, issues </w:t>
      </w:r>
      <w:proofErr w:type="gramStart"/>
      <w:r w:rsidRPr="006C1A04">
        <w:t>logs</w:t>
      </w:r>
      <w:proofErr w:type="gramEnd"/>
      <w:r w:rsidRPr="006C1A04">
        <w:t xml:space="preserve"> and an assumptions log for the redevelopment. The team provides assurance by maintaining a focus on governance and programme controls and through the regular review and mitigation of risks and issues.</w:t>
      </w:r>
    </w:p>
    <w:p w14:paraId="122051C2" w14:textId="77777777" w:rsidR="005378CE" w:rsidRDefault="005378CE" w:rsidP="005378CE">
      <w:r w:rsidRPr="006C1A04">
        <w:t xml:space="preserve">The programme plan is regularly reviewed and revised by the PMO team to accurately reflect progress, identify potential delays and ensure lessons learned are applied to planning. The PMO support resource management within the programme and produce project artefacts and tools for workstreams. </w:t>
      </w:r>
    </w:p>
    <w:p w14:paraId="7CED2862" w14:textId="77777777" w:rsidR="005378CE" w:rsidRPr="006C1A04" w:rsidRDefault="005378CE" w:rsidP="005378CE">
      <w:r w:rsidRPr="006C1A04">
        <w:t>The duties of the PMO are as follows:</w:t>
      </w:r>
    </w:p>
    <w:p w14:paraId="31333E8C" w14:textId="77777777" w:rsidR="005378CE" w:rsidRPr="006C1A04" w:rsidRDefault="005378CE" w:rsidP="005378CE">
      <w:pPr>
        <w:pStyle w:val="bullets1"/>
        <w:rPr>
          <w:rFonts w:cs="Calibri"/>
        </w:rPr>
      </w:pPr>
      <w:r w:rsidRPr="14D13768">
        <w:rPr>
          <w:rFonts w:cs="Calibri"/>
        </w:rPr>
        <w:t>Establish and run an effective PMO to support the programme during the business case process</w:t>
      </w:r>
    </w:p>
    <w:p w14:paraId="15F35FF2" w14:textId="77777777" w:rsidR="005378CE" w:rsidRPr="006C1A04" w:rsidRDefault="005378CE" w:rsidP="005378CE">
      <w:pPr>
        <w:pStyle w:val="bullets1"/>
        <w:rPr>
          <w:rFonts w:cs="Calibri"/>
        </w:rPr>
      </w:pPr>
      <w:r w:rsidRPr="14D13768">
        <w:rPr>
          <w:rFonts w:cs="Calibri"/>
        </w:rPr>
        <w:t>Establish and implement a robust governance structure</w:t>
      </w:r>
    </w:p>
    <w:p w14:paraId="34B48DA6" w14:textId="77777777" w:rsidR="005378CE" w:rsidRPr="006C1A04" w:rsidRDefault="005378CE" w:rsidP="005378CE">
      <w:pPr>
        <w:pStyle w:val="bullets1"/>
        <w:rPr>
          <w:rFonts w:cs="Calibri"/>
        </w:rPr>
      </w:pPr>
      <w:r w:rsidRPr="14D13768">
        <w:rPr>
          <w:rFonts w:cs="Calibri"/>
        </w:rPr>
        <w:t>Collate and interrogate management reports, assessing the health of the programme delivery environment</w:t>
      </w:r>
    </w:p>
    <w:p w14:paraId="0DAADEC4" w14:textId="77777777" w:rsidR="005378CE" w:rsidRPr="006C1A04" w:rsidRDefault="005378CE" w:rsidP="005378CE">
      <w:pPr>
        <w:pStyle w:val="bullets1"/>
        <w:rPr>
          <w:rFonts w:cs="Calibri"/>
        </w:rPr>
      </w:pPr>
      <w:r w:rsidRPr="14D13768">
        <w:rPr>
          <w:rFonts w:cs="Calibri"/>
        </w:rPr>
        <w:t>Assess the status of milestones and deliverables from each workstream</w:t>
      </w:r>
    </w:p>
    <w:p w14:paraId="6F30C74A" w14:textId="77777777" w:rsidR="005378CE" w:rsidRPr="006C1A04" w:rsidRDefault="005378CE" w:rsidP="005378CE">
      <w:pPr>
        <w:pStyle w:val="bullets1"/>
        <w:rPr>
          <w:rFonts w:cs="Calibri"/>
        </w:rPr>
      </w:pPr>
      <w:r w:rsidRPr="14D13768">
        <w:rPr>
          <w:rFonts w:cs="Calibri"/>
        </w:rPr>
        <w:t>Plan and schedule resources efficiently in order to meet objectives</w:t>
      </w:r>
    </w:p>
    <w:p w14:paraId="3D5A43AA" w14:textId="77777777" w:rsidR="005378CE" w:rsidRPr="006C1A04" w:rsidRDefault="005378CE" w:rsidP="005378CE">
      <w:pPr>
        <w:pStyle w:val="bullets1"/>
        <w:rPr>
          <w:rFonts w:cs="Calibri"/>
        </w:rPr>
      </w:pPr>
      <w:r w:rsidRPr="14D13768">
        <w:rPr>
          <w:rFonts w:cs="Calibri"/>
        </w:rPr>
        <w:t>Streamline and automate processes and workflows, ensuring escalation routes to governance committees are robust and succinct</w:t>
      </w:r>
    </w:p>
    <w:p w14:paraId="4AE2AC3F" w14:textId="77777777" w:rsidR="005378CE" w:rsidRPr="006C1A04" w:rsidRDefault="005378CE" w:rsidP="005378CE">
      <w:pPr>
        <w:pStyle w:val="bullets1"/>
        <w:rPr>
          <w:rFonts w:cs="Calibri"/>
        </w:rPr>
      </w:pPr>
      <w:r w:rsidRPr="14D13768">
        <w:rPr>
          <w:rFonts w:cs="Calibri"/>
        </w:rPr>
        <w:t>Facilitate knowledge transfers between workstreams</w:t>
      </w:r>
    </w:p>
    <w:p w14:paraId="74F6BE68" w14:textId="77777777" w:rsidR="005378CE" w:rsidRPr="006C1A04" w:rsidRDefault="005378CE" w:rsidP="005378CE">
      <w:pPr>
        <w:pStyle w:val="bullets1"/>
        <w:rPr>
          <w:rFonts w:cs="Calibri"/>
        </w:rPr>
      </w:pPr>
      <w:r w:rsidRPr="14D13768">
        <w:rPr>
          <w:rFonts w:cs="Calibri"/>
        </w:rPr>
        <w:t>Support project management resource within workstreams, where appropriate</w:t>
      </w:r>
    </w:p>
    <w:p w14:paraId="38F38D99" w14:textId="77777777" w:rsidR="005378CE" w:rsidRPr="006C1A04" w:rsidRDefault="005378CE" w:rsidP="005378CE">
      <w:pPr>
        <w:pStyle w:val="bullets1"/>
        <w:rPr>
          <w:rFonts w:cs="Calibri"/>
        </w:rPr>
      </w:pPr>
      <w:r w:rsidRPr="14D13768">
        <w:rPr>
          <w:rFonts w:cs="Calibri"/>
        </w:rPr>
        <w:t>Facilitate cross stream working and collaboration</w:t>
      </w:r>
    </w:p>
    <w:p w14:paraId="728BFD1F" w14:textId="77777777" w:rsidR="005378CE" w:rsidRDefault="005378CE" w:rsidP="005378CE">
      <w:pPr>
        <w:pStyle w:val="bullets1"/>
        <w:rPr>
          <w:rFonts w:cs="Calibri"/>
        </w:rPr>
      </w:pPr>
      <w:r w:rsidRPr="14D13768">
        <w:t>Develop progress and assurance reports for key groups and committees as required.</w:t>
      </w:r>
    </w:p>
    <w:p w14:paraId="7F7A8698" w14:textId="77777777" w:rsidR="005378CE" w:rsidRPr="00491254" w:rsidRDefault="005378CE" w:rsidP="005378CE">
      <w:pPr>
        <w:pStyle w:val="NoSpacing"/>
      </w:pPr>
    </w:p>
    <w:p w14:paraId="1A8A6AA2" w14:textId="77777777" w:rsidR="005378CE" w:rsidRDefault="005378CE" w:rsidP="005378CE">
      <w:pPr>
        <w:pStyle w:val="Heading3"/>
      </w:pPr>
      <w:r w:rsidRPr="00491254">
        <w:t>Specialist workstreams and task and finish group</w:t>
      </w:r>
    </w:p>
    <w:p w14:paraId="4B29949B" w14:textId="222C3BC3" w:rsidR="005378CE" w:rsidRDefault="005378CE" w:rsidP="005378CE">
      <w:r w:rsidRPr="006C1A04">
        <w:t>Included in the structure above</w:t>
      </w:r>
      <w:r w:rsidR="00790EA5">
        <w:t>,</w:t>
      </w:r>
      <w:r w:rsidRPr="006C1A04">
        <w:t xml:space="preserve"> are specialist task and finish groups to support the clinical and non-clinical aspects of the redevelopment. These groups are the key interface between the delivery functions and the ‘front line’ workforce who deliver clinical and operational (non-clinical) services. The groups provide feedback and knowledge on their departmental requirements to the programme technical delivery experts.</w:t>
      </w:r>
    </w:p>
    <w:p w14:paraId="1536CA4A" w14:textId="77777777" w:rsidR="005378CE" w:rsidRDefault="005378CE" w:rsidP="005378CE">
      <w:pPr>
        <w:pStyle w:val="Heading3"/>
      </w:pPr>
      <w:r>
        <w:t xml:space="preserve">Design Team </w:t>
      </w:r>
    </w:p>
    <w:p w14:paraId="71FB3366" w14:textId="77777777" w:rsidR="005378CE" w:rsidRPr="006C1A04" w:rsidRDefault="005378CE" w:rsidP="005378CE">
      <w:r w:rsidRPr="006C1A04">
        <w:t>A design team has been appointed to review the concept site assumptions made prior to the site acquisition and develop design proposals. The design team’s work will be informed by the regional workstreams’ clinical specification and proposed models of care.</w:t>
      </w:r>
    </w:p>
    <w:p w14:paraId="4CEFCAF0" w14:textId="77777777" w:rsidR="005378CE" w:rsidRPr="006C1A04" w:rsidRDefault="005378CE" w:rsidP="005378CE">
      <w:r w:rsidRPr="006C1A04">
        <w:t>The key deliverables from this work are:</w:t>
      </w:r>
    </w:p>
    <w:p w14:paraId="26492ED5" w14:textId="77777777" w:rsidR="005378CE" w:rsidRPr="006C1A04" w:rsidRDefault="005378CE" w:rsidP="005378CE">
      <w:pPr>
        <w:pStyle w:val="bullets1"/>
        <w:rPr>
          <w:sz w:val="24"/>
          <w:szCs w:val="24"/>
        </w:rPr>
      </w:pPr>
      <w:r w:rsidRPr="4E616694">
        <w:t>Review of the technical infrastructure report (completed)</w:t>
      </w:r>
    </w:p>
    <w:p w14:paraId="60966C75" w14:textId="77777777" w:rsidR="005378CE" w:rsidRPr="006C1A04" w:rsidRDefault="005378CE" w:rsidP="005378CE">
      <w:pPr>
        <w:pStyle w:val="bullets1"/>
        <w:rPr>
          <w:sz w:val="24"/>
          <w:szCs w:val="24"/>
        </w:rPr>
      </w:pPr>
      <w:r w:rsidRPr="4E616694">
        <w:t>A high-level design (RIBA Stage 1) and master plan (completed)</w:t>
      </w:r>
    </w:p>
    <w:p w14:paraId="05CB9E7F" w14:textId="77777777" w:rsidR="005378CE" w:rsidRPr="006C1A04" w:rsidRDefault="005378CE" w:rsidP="005378CE">
      <w:pPr>
        <w:pStyle w:val="bullets1"/>
        <w:rPr>
          <w:sz w:val="24"/>
          <w:szCs w:val="24"/>
        </w:rPr>
      </w:pPr>
      <w:r w:rsidRPr="4E616694">
        <w:lastRenderedPageBreak/>
        <w:t>A concept design (RIBA Stage 2) for the agreed clinical pathways (completed)</w:t>
      </w:r>
    </w:p>
    <w:p w14:paraId="6F8C2761" w14:textId="77777777" w:rsidR="005378CE" w:rsidRPr="006C1A04" w:rsidRDefault="005378CE" w:rsidP="005378CE">
      <w:pPr>
        <w:pStyle w:val="bullets1"/>
        <w:rPr>
          <w:sz w:val="24"/>
          <w:szCs w:val="24"/>
        </w:rPr>
      </w:pPr>
      <w:r w:rsidRPr="4E616694">
        <w:t>RIBA 3 design works developing on the agreed clinical pathways (underway)</w:t>
      </w:r>
    </w:p>
    <w:p w14:paraId="6ECFABBF" w14:textId="77777777" w:rsidR="005378CE" w:rsidRPr="006C1A04" w:rsidRDefault="005378CE" w:rsidP="005378CE">
      <w:pPr>
        <w:pStyle w:val="bullets1"/>
        <w:rPr>
          <w:sz w:val="24"/>
          <w:szCs w:val="24"/>
        </w:rPr>
      </w:pPr>
      <w:r w:rsidRPr="4E616694">
        <w:t>Undertaking of site surveys (completed)</w:t>
      </w:r>
    </w:p>
    <w:p w14:paraId="2FFCB3CD" w14:textId="77777777" w:rsidR="005378CE" w:rsidRPr="006C1A04" w:rsidRDefault="005378CE" w:rsidP="005378CE">
      <w:pPr>
        <w:pStyle w:val="bullets1"/>
        <w:rPr>
          <w:sz w:val="24"/>
          <w:szCs w:val="24"/>
        </w:rPr>
      </w:pPr>
      <w:r w:rsidRPr="4E616694">
        <w:t>A specification of enabling works for the temporary diagnostics facility (completed)</w:t>
      </w:r>
    </w:p>
    <w:p w14:paraId="0C8A8B3B" w14:textId="77777777" w:rsidR="005378CE" w:rsidRPr="006C1A04" w:rsidRDefault="005378CE" w:rsidP="005378CE">
      <w:pPr>
        <w:pStyle w:val="bullets1"/>
        <w:rPr>
          <w:sz w:val="24"/>
          <w:szCs w:val="24"/>
        </w:rPr>
      </w:pPr>
      <w:r w:rsidRPr="4E616694">
        <w:t>Preparation of a temporary planning application for the mobile diagnostics facility (completed)</w:t>
      </w:r>
    </w:p>
    <w:p w14:paraId="3A0BFC0C" w14:textId="77777777" w:rsidR="005378CE" w:rsidRPr="006C1A04" w:rsidRDefault="005378CE" w:rsidP="005378CE">
      <w:pPr>
        <w:pStyle w:val="bullets1"/>
        <w:rPr>
          <w:sz w:val="24"/>
          <w:szCs w:val="24"/>
        </w:rPr>
      </w:pPr>
      <w:r w:rsidRPr="4E616694">
        <w:t>Appointment of modular partner (complete)</w:t>
      </w:r>
    </w:p>
    <w:p w14:paraId="78D1393D" w14:textId="77777777" w:rsidR="005378CE" w:rsidRDefault="005378CE" w:rsidP="005378CE">
      <w:pPr>
        <w:pStyle w:val="bullets1"/>
        <w:rPr>
          <w:sz w:val="24"/>
          <w:szCs w:val="24"/>
        </w:rPr>
      </w:pPr>
      <w:r w:rsidRPr="4E616694">
        <w:t>Confirmation of planning strategy and development of planning applications as required during the timeframe.</w:t>
      </w:r>
    </w:p>
    <w:p w14:paraId="0D8DD40C" w14:textId="77777777" w:rsidR="005378CE" w:rsidRDefault="005378CE" w:rsidP="005378CE">
      <w:pPr>
        <w:pStyle w:val="NoSpacing"/>
      </w:pPr>
    </w:p>
    <w:p w14:paraId="150C7FA4" w14:textId="77777777" w:rsidR="005378CE" w:rsidRDefault="005378CE" w:rsidP="005378CE">
      <w:r>
        <w:t>Terms of reference for all key project groups i.e. Programme Board, Steering Group, Project Team or Design Team can be made available upon request.</w:t>
      </w:r>
    </w:p>
    <w:p w14:paraId="1B8981A9" w14:textId="77777777" w:rsidR="005378CE" w:rsidRDefault="005378CE" w:rsidP="005378CE">
      <w:pPr>
        <w:pStyle w:val="Heading3"/>
      </w:pPr>
      <w:bookmarkStart w:id="268" w:name="_Toc195175069"/>
      <w:r>
        <w:t>Outline Project R</w:t>
      </w:r>
      <w:r w:rsidRPr="008D6222">
        <w:t xml:space="preserve">oles and </w:t>
      </w:r>
      <w:r>
        <w:t>R</w:t>
      </w:r>
      <w:r w:rsidRPr="008D6222">
        <w:t>esponsibilities</w:t>
      </w:r>
      <w:bookmarkEnd w:id="268"/>
    </w:p>
    <w:p w14:paraId="053FE406" w14:textId="77777777" w:rsidR="005378CE" w:rsidRPr="00BC71A2" w:rsidRDefault="005378CE" w:rsidP="005378CE">
      <w:r w:rsidRPr="00BC71A2">
        <w:t>Key Project delivery roles are described below:</w:t>
      </w:r>
    </w:p>
    <w:p w14:paraId="7F1B736C" w14:textId="77777777" w:rsidR="005378CE" w:rsidRPr="00B57243" w:rsidRDefault="005378CE" w:rsidP="005378CE">
      <w:pPr>
        <w:pStyle w:val="Heading4ALT"/>
      </w:pPr>
      <w:r w:rsidRPr="00B57243">
        <w:t>Senior Responsible Officer (SRO)</w:t>
      </w:r>
    </w:p>
    <w:p w14:paraId="5B27EDBE" w14:textId="77777777" w:rsidR="005378CE" w:rsidRPr="00BC71A2" w:rsidRDefault="005378CE" w:rsidP="005378CE">
      <w:r w:rsidRPr="00BC71A2">
        <w:t xml:space="preserve">The Chair/SRO role is held by </w:t>
      </w:r>
      <w:r w:rsidRPr="00A3462B">
        <w:rPr>
          <w:b/>
          <w:bCs/>
        </w:rPr>
        <w:t>Paul Mears</w:t>
      </w:r>
      <w:r w:rsidRPr="00BC71A2">
        <w:t>, CEO of CTM UHB and responsibilities include:</w:t>
      </w:r>
    </w:p>
    <w:p w14:paraId="25D88770" w14:textId="77777777" w:rsidR="005378CE" w:rsidRPr="00B57243" w:rsidRDefault="005378CE" w:rsidP="005378CE">
      <w:pPr>
        <w:pStyle w:val="bullets1"/>
        <w:rPr>
          <w:sz w:val="24"/>
          <w:szCs w:val="24"/>
        </w:rPr>
      </w:pPr>
      <w:r w:rsidRPr="4E616694">
        <w:t>Keeping the Programme Board members informed of progress, escalating matters, as relevant</w:t>
      </w:r>
    </w:p>
    <w:p w14:paraId="7ED09F5D" w14:textId="77777777" w:rsidR="005378CE" w:rsidRPr="00B57243" w:rsidRDefault="005378CE" w:rsidP="005378CE">
      <w:pPr>
        <w:pStyle w:val="bullets1"/>
        <w:rPr>
          <w:sz w:val="24"/>
          <w:szCs w:val="24"/>
        </w:rPr>
      </w:pPr>
      <w:r w:rsidRPr="4E616694">
        <w:t>Is responsible for providing leadership and the strategic activity of the Health Board, ensuring it is operating effectively and efficiently</w:t>
      </w:r>
    </w:p>
    <w:p w14:paraId="247E9E29" w14:textId="77777777" w:rsidR="005378CE" w:rsidRPr="00B57243" w:rsidRDefault="005378CE" w:rsidP="005378CE">
      <w:pPr>
        <w:pStyle w:val="bullets1"/>
        <w:rPr>
          <w:sz w:val="24"/>
          <w:szCs w:val="24"/>
        </w:rPr>
      </w:pPr>
      <w:r w:rsidRPr="4E616694">
        <w:t xml:space="preserve">Being the ambassador within the local community </w:t>
      </w:r>
      <w:proofErr w:type="gramStart"/>
      <w:r w:rsidRPr="4E616694">
        <w:t>and also</w:t>
      </w:r>
      <w:proofErr w:type="gramEnd"/>
      <w:r w:rsidRPr="4E616694">
        <w:t xml:space="preserve"> at a regional and national level</w:t>
      </w:r>
    </w:p>
    <w:p w14:paraId="2886499C" w14:textId="77777777" w:rsidR="005378CE" w:rsidRPr="00B57243" w:rsidRDefault="005378CE" w:rsidP="005378CE">
      <w:pPr>
        <w:pStyle w:val="bullets1"/>
        <w:rPr>
          <w:sz w:val="24"/>
          <w:szCs w:val="24"/>
        </w:rPr>
      </w:pPr>
      <w:r w:rsidRPr="4E616694">
        <w:t>Ensuring that the programme aligns with the priorities of the wider Welsh Government plans</w:t>
      </w:r>
    </w:p>
    <w:p w14:paraId="42C2C0C9" w14:textId="77777777" w:rsidR="005378CE" w:rsidRPr="00B57243" w:rsidRDefault="005378CE" w:rsidP="005378CE">
      <w:pPr>
        <w:pStyle w:val="bullets1"/>
        <w:rPr>
          <w:sz w:val="24"/>
          <w:szCs w:val="24"/>
        </w:rPr>
      </w:pPr>
      <w:r w:rsidRPr="4E616694">
        <w:t>Ensuring that the redevelopment programme fulfils its duties to exercise its functions effectively, efficiently and economically thus ensuring improvement in the quality of services and the health of the local population whilst maintaining value for money</w:t>
      </w:r>
    </w:p>
    <w:p w14:paraId="446AB410" w14:textId="77777777" w:rsidR="005378CE" w:rsidRPr="00B57243" w:rsidRDefault="005378CE" w:rsidP="005378CE">
      <w:pPr>
        <w:pStyle w:val="bullets1"/>
        <w:rPr>
          <w:sz w:val="24"/>
          <w:szCs w:val="24"/>
        </w:rPr>
      </w:pPr>
      <w:r w:rsidRPr="4E616694">
        <w:t>Sponsoring the project within CTM UHB and acts as the main point of contact with the Health Board and Executive Director</w:t>
      </w:r>
    </w:p>
    <w:p w14:paraId="4C8AA9DF" w14:textId="77777777" w:rsidR="005378CE" w:rsidRPr="00B57243" w:rsidRDefault="005378CE" w:rsidP="005378CE">
      <w:pPr>
        <w:pStyle w:val="bullets1"/>
        <w:rPr>
          <w:sz w:val="24"/>
          <w:szCs w:val="24"/>
        </w:rPr>
      </w:pPr>
      <w:r w:rsidRPr="4E616694">
        <w:t>Owning the vision for the project and the supporting business case</w:t>
      </w:r>
    </w:p>
    <w:p w14:paraId="7EA3A49A" w14:textId="77777777" w:rsidR="005378CE" w:rsidRPr="00B57243" w:rsidRDefault="005378CE" w:rsidP="005378CE">
      <w:pPr>
        <w:pStyle w:val="bullets1"/>
        <w:rPr>
          <w:sz w:val="24"/>
          <w:szCs w:val="24"/>
        </w:rPr>
      </w:pPr>
      <w:r w:rsidRPr="4E616694">
        <w:t>Providing clear leadership and direction at an executive level throughout the programme</w:t>
      </w:r>
    </w:p>
    <w:p w14:paraId="66EEAAEB" w14:textId="77777777" w:rsidR="005378CE" w:rsidRPr="00B57243" w:rsidRDefault="005378CE" w:rsidP="005378CE">
      <w:pPr>
        <w:pStyle w:val="bullets1"/>
        <w:rPr>
          <w:sz w:val="24"/>
          <w:szCs w:val="24"/>
        </w:rPr>
      </w:pPr>
      <w:r w:rsidRPr="4E616694">
        <w:t>Having full responsibility and accountability for the outcome of the project and realisation of the benefits</w:t>
      </w:r>
    </w:p>
    <w:p w14:paraId="6D1FE6B0" w14:textId="77777777" w:rsidR="005378CE" w:rsidRPr="00B57243" w:rsidRDefault="005378CE" w:rsidP="005378CE">
      <w:pPr>
        <w:pStyle w:val="bullets1"/>
        <w:rPr>
          <w:sz w:val="24"/>
          <w:szCs w:val="24"/>
        </w:rPr>
      </w:pPr>
      <w:r w:rsidRPr="4E616694">
        <w:t>Managing the interface with key senior stakeholders, keeping them engaged and informed</w:t>
      </w:r>
    </w:p>
    <w:p w14:paraId="7BE1EEA9" w14:textId="77777777" w:rsidR="005378CE" w:rsidRPr="00B57243" w:rsidRDefault="005378CE" w:rsidP="005378CE">
      <w:pPr>
        <w:pStyle w:val="bullets1"/>
        <w:rPr>
          <w:sz w:val="24"/>
          <w:szCs w:val="24"/>
        </w:rPr>
      </w:pPr>
      <w:r w:rsidRPr="4E616694">
        <w:t>Being the key link between the relationship between the programme, Regional Portfolio Oversight Board and Welsh Government;</w:t>
      </w:r>
    </w:p>
    <w:p w14:paraId="258DCBFF" w14:textId="77777777" w:rsidR="005378CE" w:rsidRPr="00B57243" w:rsidRDefault="005378CE" w:rsidP="005378CE">
      <w:pPr>
        <w:pStyle w:val="bullets1"/>
        <w:rPr>
          <w:sz w:val="24"/>
          <w:szCs w:val="24"/>
        </w:rPr>
      </w:pPr>
      <w:r w:rsidRPr="4E616694">
        <w:t>Maintaining the alignment of the project to the organisation’s strategic direction</w:t>
      </w:r>
    </w:p>
    <w:p w14:paraId="4BD7C031" w14:textId="77777777" w:rsidR="005378CE" w:rsidRPr="00B57243" w:rsidRDefault="005378CE" w:rsidP="005378CE">
      <w:pPr>
        <w:pStyle w:val="bullets1"/>
        <w:rPr>
          <w:sz w:val="24"/>
          <w:szCs w:val="24"/>
        </w:rPr>
      </w:pPr>
      <w:r w:rsidRPr="4E616694">
        <w:t>Ensuring that the project remains affordable and will improve the quality of care to the target population</w:t>
      </w:r>
    </w:p>
    <w:p w14:paraId="2EF4E760" w14:textId="77777777" w:rsidR="005378CE" w:rsidRPr="00B57243" w:rsidRDefault="005378CE" w:rsidP="005378CE">
      <w:pPr>
        <w:pStyle w:val="bullets1"/>
        <w:rPr>
          <w:sz w:val="24"/>
          <w:szCs w:val="24"/>
        </w:rPr>
      </w:pPr>
      <w:r w:rsidRPr="4E616694">
        <w:t>Ensuring that the necessary resources are made available to deliver the scheme</w:t>
      </w:r>
    </w:p>
    <w:p w14:paraId="045D23F9" w14:textId="77777777" w:rsidR="005378CE" w:rsidRDefault="005378CE" w:rsidP="005378CE">
      <w:pPr>
        <w:pStyle w:val="bullets1"/>
        <w:rPr>
          <w:sz w:val="24"/>
          <w:szCs w:val="24"/>
        </w:rPr>
      </w:pPr>
      <w:r w:rsidRPr="4E616694">
        <w:t>Chairing the Programme Board.</w:t>
      </w:r>
    </w:p>
    <w:p w14:paraId="0439AF9F" w14:textId="77777777" w:rsidR="005378CE" w:rsidRPr="00B57243" w:rsidRDefault="005378CE" w:rsidP="005378CE">
      <w:pPr>
        <w:pStyle w:val="NoSpacing"/>
      </w:pPr>
    </w:p>
    <w:p w14:paraId="34132806" w14:textId="77777777" w:rsidR="005378CE" w:rsidRPr="00DB4E63" w:rsidRDefault="005378CE" w:rsidP="005378CE">
      <w:pPr>
        <w:pStyle w:val="Heading4ALT"/>
      </w:pPr>
      <w:r w:rsidRPr="00DB4E63">
        <w:t xml:space="preserve">Infrastructure Programme Director </w:t>
      </w:r>
    </w:p>
    <w:p w14:paraId="5DF35009" w14:textId="77777777" w:rsidR="005378CE" w:rsidRPr="00BC71A2" w:rsidRDefault="005378CE" w:rsidP="005378CE">
      <w:r w:rsidRPr="00BC71A2">
        <w:t xml:space="preserve">The Programme Director role is held by </w:t>
      </w:r>
      <w:r w:rsidRPr="00A3462B">
        <w:rPr>
          <w:b/>
          <w:bCs/>
        </w:rPr>
        <w:t>Rosie Cavill</w:t>
      </w:r>
      <w:r w:rsidRPr="00BC71A2">
        <w:t>, LHP Programme Director and the main responsibilities include:</w:t>
      </w:r>
    </w:p>
    <w:p w14:paraId="5A524BA6" w14:textId="77777777" w:rsidR="005378CE" w:rsidRPr="00DB4E63" w:rsidRDefault="005378CE" w:rsidP="005378CE">
      <w:pPr>
        <w:pStyle w:val="bullets1"/>
      </w:pPr>
      <w:r w:rsidRPr="14D13768">
        <w:t>Co-ordinating all workstreams to deliver the agreed objectives</w:t>
      </w:r>
    </w:p>
    <w:p w14:paraId="222D0C1A" w14:textId="77777777" w:rsidR="005378CE" w:rsidRPr="00DB4E63" w:rsidRDefault="005378CE" w:rsidP="005378CE">
      <w:pPr>
        <w:pStyle w:val="bullets1"/>
      </w:pPr>
      <w:r w:rsidRPr="14D13768">
        <w:lastRenderedPageBreak/>
        <w:t>Monitoring progress, resolving issues, mitigating risks, and initiating corrective action as appropriate</w:t>
      </w:r>
    </w:p>
    <w:p w14:paraId="35361165" w14:textId="77777777" w:rsidR="005378CE" w:rsidRPr="00DB4E63" w:rsidRDefault="005378CE" w:rsidP="005378CE">
      <w:pPr>
        <w:pStyle w:val="bullets1"/>
      </w:pPr>
      <w:r w:rsidRPr="14D13768">
        <w:t>Providing an overall monitoring and assurance role across the project workstreams, ensuring that project risks and issues and any internal or external dependencies are defined, managed, and escalated where appropriate</w:t>
      </w:r>
    </w:p>
    <w:p w14:paraId="76462242" w14:textId="77777777" w:rsidR="005378CE" w:rsidRPr="00DB4E63" w:rsidRDefault="005378CE" w:rsidP="005378CE">
      <w:pPr>
        <w:pStyle w:val="bullets1"/>
      </w:pPr>
      <w:r w:rsidRPr="14D13768">
        <w:t>Ensuring appropriate risk, benefits and stakeholder management frameworks are in place for the project</w:t>
      </w:r>
    </w:p>
    <w:p w14:paraId="7B9D449F" w14:textId="77777777" w:rsidR="005378CE" w:rsidRPr="00DB4E63" w:rsidRDefault="005378CE" w:rsidP="005378CE">
      <w:pPr>
        <w:pStyle w:val="bullets1"/>
      </w:pPr>
      <w:r w:rsidRPr="14D13768">
        <w:t>Acting as the day-to-day agent on behalf of the SRO for the infrastructure elements to ensure the successful delivery of the scheme</w:t>
      </w:r>
    </w:p>
    <w:p w14:paraId="5B5E7156" w14:textId="77777777" w:rsidR="005378CE" w:rsidRPr="00DB4E63" w:rsidRDefault="005378CE" w:rsidP="005378CE">
      <w:pPr>
        <w:pStyle w:val="bullets1"/>
      </w:pPr>
      <w:r w:rsidRPr="14D13768">
        <w:t>Owning and reviewing the project plan, communicating the impact of any revisions in terms of milestones, timelines, and dependencies</w:t>
      </w:r>
    </w:p>
    <w:p w14:paraId="512EC788" w14:textId="77777777" w:rsidR="005378CE" w:rsidRPr="00DB4E63" w:rsidRDefault="005378CE" w:rsidP="005378CE">
      <w:pPr>
        <w:pStyle w:val="bullets1"/>
      </w:pPr>
      <w:r w:rsidRPr="14D13768">
        <w:t>Ensuring the development of the business case and project documentation</w:t>
      </w:r>
    </w:p>
    <w:p w14:paraId="0AA99DB4" w14:textId="77777777" w:rsidR="005378CE" w:rsidRPr="00DB4E63" w:rsidRDefault="005378CE" w:rsidP="005378CE">
      <w:pPr>
        <w:pStyle w:val="bullets1"/>
      </w:pPr>
      <w:r w:rsidRPr="7C9729AC">
        <w:t>Ensuring that the initiatives and projects that support the infrastructure delivery of the Health Park are initiated on a consistent basis with governance arrangements that meet requirements</w:t>
      </w:r>
    </w:p>
    <w:p w14:paraId="2813A815" w14:textId="77777777" w:rsidR="005378CE" w:rsidRPr="00DB4E63" w:rsidRDefault="005378CE" w:rsidP="005378CE">
      <w:pPr>
        <w:pStyle w:val="bullets1"/>
      </w:pPr>
      <w:r w:rsidRPr="7C9729AC">
        <w:t>Managing allocated outputs to the required quality within the agreed time and costs constraints</w:t>
      </w:r>
    </w:p>
    <w:p w14:paraId="1523EF1F" w14:textId="77777777" w:rsidR="005378CE" w:rsidRPr="00DB4E63" w:rsidRDefault="005378CE" w:rsidP="005378CE">
      <w:pPr>
        <w:pStyle w:val="bullets1"/>
      </w:pPr>
      <w:r w:rsidRPr="7C9729AC">
        <w:t>Managing and providing assurance for the work of project team members</w:t>
      </w:r>
    </w:p>
    <w:p w14:paraId="1E99224D" w14:textId="77777777" w:rsidR="005378CE" w:rsidRPr="00DB4E63" w:rsidRDefault="005378CE" w:rsidP="005378CE">
      <w:pPr>
        <w:pStyle w:val="bullets1"/>
      </w:pPr>
      <w:r w:rsidRPr="7C9729AC">
        <w:t>Reporting regularly to all relevant individuals and groups using standard reporting processes and templates.</w:t>
      </w:r>
    </w:p>
    <w:p w14:paraId="73C593A0" w14:textId="77777777" w:rsidR="005378CE" w:rsidRPr="00DB4E63" w:rsidRDefault="005378CE" w:rsidP="005378CE">
      <w:pPr>
        <w:pStyle w:val="NoSpacing"/>
      </w:pPr>
    </w:p>
    <w:p w14:paraId="7DBD4F0B" w14:textId="77777777" w:rsidR="005378CE" w:rsidRPr="00DB4E63" w:rsidRDefault="005378CE" w:rsidP="005378CE">
      <w:pPr>
        <w:pStyle w:val="Heading4ALT"/>
      </w:pPr>
      <w:r w:rsidRPr="00DB4E63">
        <w:t>Clinical Operational Director</w:t>
      </w:r>
    </w:p>
    <w:p w14:paraId="628E44D1" w14:textId="77777777" w:rsidR="005378CE" w:rsidRPr="00A3462B" w:rsidRDefault="005378CE" w:rsidP="005378CE">
      <w:r w:rsidRPr="00A3462B">
        <w:t xml:space="preserve">The Clinical Operations Director role is held by </w:t>
      </w:r>
      <w:r w:rsidRPr="00A3462B">
        <w:rPr>
          <w:b/>
          <w:bCs/>
        </w:rPr>
        <w:t>Glenys Mansfield</w:t>
      </w:r>
      <w:r w:rsidRPr="00A3462B">
        <w:t>, LHP Clinical Operations Director and the main responsibilities include:</w:t>
      </w:r>
    </w:p>
    <w:p w14:paraId="06F2EE74" w14:textId="77777777" w:rsidR="005378CE" w:rsidRPr="00DB4E63" w:rsidRDefault="005378CE" w:rsidP="005378CE">
      <w:pPr>
        <w:pStyle w:val="bullets1"/>
      </w:pPr>
      <w:r w:rsidRPr="00DB4E63">
        <w:t>Clinical and operational pathway development to inform design and operational running of LHP</w:t>
      </w:r>
    </w:p>
    <w:p w14:paraId="30B29A87" w14:textId="77777777" w:rsidR="005378CE" w:rsidRPr="00DB4E63" w:rsidRDefault="005378CE" w:rsidP="005378CE">
      <w:pPr>
        <w:pStyle w:val="bullets1"/>
      </w:pPr>
      <w:r w:rsidRPr="00DB4E63">
        <w:t>Review of 1:200 and 1:50 designs</w:t>
      </w:r>
    </w:p>
    <w:p w14:paraId="4EDF0455" w14:textId="77777777" w:rsidR="005378CE" w:rsidRPr="00DB4E63" w:rsidRDefault="005378CE" w:rsidP="005378CE">
      <w:pPr>
        <w:pStyle w:val="bullets1"/>
      </w:pPr>
      <w:r w:rsidRPr="00DB4E63">
        <w:t>Development of clinical governance structure</w:t>
      </w:r>
    </w:p>
    <w:p w14:paraId="5CB6222B" w14:textId="77777777" w:rsidR="005378CE" w:rsidRPr="00DB4E63" w:rsidRDefault="005378CE" w:rsidP="005378CE">
      <w:pPr>
        <w:pStyle w:val="bullets1"/>
      </w:pPr>
      <w:r w:rsidRPr="00DB4E63">
        <w:t>Development of the workforce plan and delivery plan</w:t>
      </w:r>
    </w:p>
    <w:p w14:paraId="5249BE09" w14:textId="77777777" w:rsidR="005378CE" w:rsidRPr="00DB4E63" w:rsidRDefault="005378CE" w:rsidP="005378CE">
      <w:pPr>
        <w:pStyle w:val="bullets1"/>
      </w:pPr>
      <w:r w:rsidRPr="00DB4E63">
        <w:t>Development of the Digital infrastructure</w:t>
      </w:r>
    </w:p>
    <w:p w14:paraId="720C471E" w14:textId="77777777" w:rsidR="005378CE" w:rsidRPr="00DB4E63" w:rsidRDefault="005378CE" w:rsidP="005378CE">
      <w:pPr>
        <w:pStyle w:val="bullets1"/>
      </w:pPr>
      <w:r w:rsidRPr="00DB4E63">
        <w:t>Establishing and managing task and finish groups</w:t>
      </w:r>
    </w:p>
    <w:p w14:paraId="5C1140A9" w14:textId="77777777" w:rsidR="005378CE" w:rsidRPr="00DB4E63" w:rsidRDefault="005378CE" w:rsidP="005378CE">
      <w:pPr>
        <w:pStyle w:val="bullets1"/>
      </w:pPr>
      <w:r w:rsidRPr="00DB4E63">
        <w:t>Managing interdependencies of clinical model/pathways across workstreams</w:t>
      </w:r>
    </w:p>
    <w:p w14:paraId="1CEA697D" w14:textId="77777777" w:rsidR="005378CE" w:rsidRPr="00DB4E63" w:rsidRDefault="005378CE" w:rsidP="005378CE">
      <w:pPr>
        <w:pStyle w:val="bullets1"/>
      </w:pPr>
      <w:r w:rsidRPr="00DB4E63">
        <w:t>Acting as the day-to-day agent on behalf of the SRO for the clinical pathway and operational elements to ensure the successful delivery of the scheme</w:t>
      </w:r>
    </w:p>
    <w:p w14:paraId="67DDAEEF" w14:textId="77777777" w:rsidR="005378CE" w:rsidRPr="00DB4E63" w:rsidRDefault="005378CE" w:rsidP="005378CE">
      <w:pPr>
        <w:pStyle w:val="bullets1"/>
      </w:pPr>
      <w:r w:rsidRPr="00DB4E63">
        <w:t>Ensuring that the initiatives and projects that support the delivery of the new hospital are initiated on a consistent basis with governance arrangements that meet requirements</w:t>
      </w:r>
    </w:p>
    <w:p w14:paraId="3E8CEE73" w14:textId="77777777" w:rsidR="005378CE" w:rsidRPr="00DB4E63" w:rsidRDefault="005378CE" w:rsidP="005378CE">
      <w:pPr>
        <w:pStyle w:val="bullets1"/>
      </w:pPr>
      <w:r w:rsidRPr="00DB4E63">
        <w:t>Ensuring appropriate risk, benefits and stakeholder management frameworks are in place for the project</w:t>
      </w:r>
    </w:p>
    <w:p w14:paraId="3FA493A2" w14:textId="77777777" w:rsidR="005378CE" w:rsidRPr="00DB4E63" w:rsidRDefault="005378CE" w:rsidP="005378CE">
      <w:pPr>
        <w:pStyle w:val="bullets1"/>
      </w:pPr>
      <w:r w:rsidRPr="00DB4E63">
        <w:t>Reporting regularly to all relevant individuals and groups on clinical and operational pathway developments using standard reporting processes and templates.</w:t>
      </w:r>
    </w:p>
    <w:p w14:paraId="27C0903C" w14:textId="77777777" w:rsidR="005378CE" w:rsidRPr="00DB4E63" w:rsidRDefault="005378CE" w:rsidP="005378CE">
      <w:pPr>
        <w:spacing w:after="80" w:line="247" w:lineRule="auto"/>
        <w:rPr>
          <w:rFonts w:asciiTheme="majorHAnsi" w:eastAsia="DM Sans" w:hAnsiTheme="majorHAnsi" w:cstheme="majorHAnsi"/>
        </w:rPr>
      </w:pPr>
    </w:p>
    <w:p w14:paraId="216A143B" w14:textId="77777777" w:rsidR="005378CE" w:rsidRPr="00DB4E63" w:rsidRDefault="005378CE" w:rsidP="005378CE">
      <w:pPr>
        <w:pStyle w:val="Heading4ALT"/>
      </w:pPr>
      <w:r w:rsidRPr="0B8BC824">
        <w:t>Infrastructure Project Manager</w:t>
      </w:r>
    </w:p>
    <w:p w14:paraId="7D96EB61" w14:textId="77777777" w:rsidR="005378CE" w:rsidRDefault="005378CE" w:rsidP="005378CE">
      <w:pPr>
        <w:spacing w:line="247" w:lineRule="auto"/>
        <w:rPr>
          <w:rFonts w:asciiTheme="majorHAnsi" w:eastAsia="Calibri" w:hAnsiTheme="majorHAnsi" w:cstheme="majorBidi"/>
          <w:color w:val="000000"/>
        </w:rPr>
      </w:pPr>
      <w:r w:rsidRPr="70EE1ADD">
        <w:rPr>
          <w:rFonts w:asciiTheme="majorHAnsi" w:eastAsia="Calibri" w:hAnsiTheme="majorHAnsi" w:cstheme="majorBidi"/>
          <w:color w:val="000000"/>
        </w:rPr>
        <w:t xml:space="preserve">The </w:t>
      </w:r>
      <w:r w:rsidRPr="4E616694">
        <w:rPr>
          <w:rFonts w:asciiTheme="majorHAnsi" w:eastAsia="Calibri" w:hAnsiTheme="majorHAnsi" w:cstheme="majorBidi"/>
          <w:color w:val="000000"/>
        </w:rPr>
        <w:t>Infrastructure Project Manager</w:t>
      </w:r>
      <w:r w:rsidRPr="70EE1ADD">
        <w:rPr>
          <w:rFonts w:asciiTheme="majorHAnsi" w:eastAsia="Calibri" w:hAnsiTheme="majorHAnsi" w:cstheme="majorBidi"/>
          <w:color w:val="000000"/>
        </w:rPr>
        <w:t xml:space="preserve"> role is held by </w:t>
      </w:r>
      <w:r w:rsidRPr="00A3462B">
        <w:rPr>
          <w:rFonts w:asciiTheme="majorHAnsi" w:eastAsia="Calibri" w:hAnsiTheme="majorHAnsi" w:cstheme="majorBidi"/>
          <w:b/>
          <w:bCs/>
          <w:color w:val="000000"/>
        </w:rPr>
        <w:t>Alex Bowles</w:t>
      </w:r>
      <w:r w:rsidRPr="4E616694">
        <w:rPr>
          <w:rFonts w:asciiTheme="majorHAnsi" w:eastAsia="Calibri" w:hAnsiTheme="majorHAnsi" w:cstheme="majorBidi"/>
          <w:color w:val="000000"/>
        </w:rPr>
        <w:t xml:space="preserve">, </w:t>
      </w:r>
      <w:proofErr w:type="spellStart"/>
      <w:r w:rsidRPr="4E616694">
        <w:rPr>
          <w:rFonts w:asciiTheme="majorHAnsi" w:eastAsia="Calibri" w:hAnsiTheme="majorHAnsi" w:cstheme="majorBidi"/>
          <w:color w:val="000000"/>
        </w:rPr>
        <w:t>Archus</w:t>
      </w:r>
      <w:proofErr w:type="spellEnd"/>
      <w:r w:rsidRPr="4E616694">
        <w:rPr>
          <w:rFonts w:asciiTheme="majorHAnsi" w:eastAsia="Calibri" w:hAnsiTheme="majorHAnsi" w:cstheme="majorBidi"/>
          <w:color w:val="000000"/>
        </w:rPr>
        <w:t xml:space="preserve"> PM</w:t>
      </w:r>
      <w:r w:rsidRPr="70EE1ADD">
        <w:rPr>
          <w:rFonts w:asciiTheme="majorHAnsi" w:eastAsia="Calibri" w:hAnsiTheme="majorHAnsi" w:cstheme="majorBidi"/>
          <w:color w:val="000000"/>
        </w:rPr>
        <w:t xml:space="preserve"> and the main responsibilities include:</w:t>
      </w:r>
    </w:p>
    <w:p w14:paraId="21D0E12D" w14:textId="77777777" w:rsidR="005378CE" w:rsidRPr="00DB4E63" w:rsidRDefault="005378CE" w:rsidP="005378CE">
      <w:pPr>
        <w:pStyle w:val="bullets1"/>
      </w:pPr>
      <w:r w:rsidRPr="6DBA000E">
        <w:t>Ensure operational delivery of the project to time, quality, and budget</w:t>
      </w:r>
    </w:p>
    <w:p w14:paraId="655B356A" w14:textId="77777777" w:rsidR="005378CE" w:rsidRPr="00DB4E63" w:rsidRDefault="005378CE" w:rsidP="005378CE">
      <w:pPr>
        <w:pStyle w:val="bullets1"/>
      </w:pPr>
      <w:r w:rsidRPr="6DBA000E">
        <w:t>Decision on matters for escalation and approval to Project Board and Health Board as required</w:t>
      </w:r>
    </w:p>
    <w:p w14:paraId="771D1AF1" w14:textId="77777777" w:rsidR="005378CE" w:rsidRPr="00DB4E63" w:rsidRDefault="005378CE" w:rsidP="005378CE">
      <w:pPr>
        <w:pStyle w:val="bullets1"/>
      </w:pPr>
      <w:r w:rsidRPr="6DBA000E">
        <w:lastRenderedPageBreak/>
        <w:t>Management of risks and issues and escalation of appropriate matters for executive direction and/or approval</w:t>
      </w:r>
    </w:p>
    <w:p w14:paraId="329F7DEC" w14:textId="77777777" w:rsidR="005378CE" w:rsidRPr="00DB4E63" w:rsidRDefault="005378CE" w:rsidP="005378CE">
      <w:pPr>
        <w:pStyle w:val="bullets1"/>
      </w:pPr>
      <w:r w:rsidRPr="6DBA000E">
        <w:t>Developing the format of the report, contents, and key requirements for consideration</w:t>
      </w:r>
    </w:p>
    <w:p w14:paraId="2BAE8FA4" w14:textId="77777777" w:rsidR="005378CE" w:rsidRPr="00DB4E63" w:rsidRDefault="005378CE" w:rsidP="005378CE">
      <w:pPr>
        <w:pStyle w:val="bullets1"/>
      </w:pPr>
      <w:r w:rsidRPr="6DBA000E">
        <w:t>Planning and delivering stakeholder engagement and workshops</w:t>
      </w:r>
    </w:p>
    <w:p w14:paraId="62C9564D" w14:textId="77777777" w:rsidR="005378CE" w:rsidRPr="00DB4E63" w:rsidRDefault="005378CE" w:rsidP="005378CE">
      <w:pPr>
        <w:pStyle w:val="bullets1"/>
        <w:rPr>
          <w:szCs w:val="18"/>
        </w:rPr>
      </w:pPr>
      <w:r w:rsidRPr="6DBA000E">
        <w:t>Ensure the key milestones are agreed</w:t>
      </w:r>
      <w:r w:rsidRPr="35DBFAC7">
        <w:t xml:space="preserve"> and communicated with all stakeholders.</w:t>
      </w:r>
    </w:p>
    <w:p w14:paraId="6100AC00" w14:textId="77777777" w:rsidR="005378CE" w:rsidRDefault="005378CE" w:rsidP="005378CE">
      <w:pPr>
        <w:pStyle w:val="NoSpacing"/>
      </w:pPr>
    </w:p>
    <w:p w14:paraId="71D368A5" w14:textId="77777777" w:rsidR="005378CE" w:rsidRDefault="005378CE" w:rsidP="005378CE">
      <w:pPr>
        <w:pStyle w:val="Heading4ALT"/>
      </w:pPr>
      <w:r w:rsidRPr="35DBFAC7">
        <w:t>Construction Partner</w:t>
      </w:r>
    </w:p>
    <w:p w14:paraId="56626A51" w14:textId="77777777" w:rsidR="005378CE" w:rsidRDefault="005378CE" w:rsidP="005378CE">
      <w:pPr>
        <w:spacing w:line="228" w:lineRule="auto"/>
        <w:rPr>
          <w:rFonts w:asciiTheme="minorHAnsi" w:eastAsiaTheme="minorEastAsia" w:hAnsiTheme="minorHAnsi" w:cstheme="minorBidi"/>
        </w:rPr>
      </w:pPr>
      <w:r w:rsidRPr="6F3A2FE1">
        <w:rPr>
          <w:rFonts w:asciiTheme="minorHAnsi" w:eastAsiaTheme="minorEastAsia" w:hAnsiTheme="minorHAnsi" w:cstheme="minorBidi"/>
        </w:rPr>
        <w:t xml:space="preserve">The role of Construction Partner Lead will be fulfilled by </w:t>
      </w:r>
      <w:r w:rsidRPr="00A3462B">
        <w:rPr>
          <w:rFonts w:asciiTheme="minorHAnsi" w:eastAsiaTheme="minorEastAsia" w:hAnsiTheme="minorHAnsi" w:cstheme="minorBidi"/>
          <w:b/>
          <w:bCs/>
        </w:rPr>
        <w:t>MTX</w:t>
      </w:r>
      <w:r w:rsidRPr="6F3A2FE1">
        <w:rPr>
          <w:rFonts w:asciiTheme="minorHAnsi" w:eastAsiaTheme="minorEastAsia" w:hAnsiTheme="minorHAnsi" w:cstheme="minorBidi"/>
        </w:rPr>
        <w:t>. The role includes:</w:t>
      </w:r>
    </w:p>
    <w:p w14:paraId="18958051" w14:textId="77777777" w:rsidR="005378CE" w:rsidRDefault="005378CE" w:rsidP="005378CE">
      <w:pPr>
        <w:pStyle w:val="bullets1"/>
      </w:pPr>
      <w:r w:rsidRPr="6F3A2FE1">
        <w:t xml:space="preserve">Being point of contact for all </w:t>
      </w:r>
      <w:r w:rsidRPr="42EF96B7">
        <w:t xml:space="preserve">infrastructure and </w:t>
      </w:r>
      <w:r w:rsidRPr="6F3A2FE1">
        <w:t>estate related issues including arranging Isolations and issuing permits to work</w:t>
      </w:r>
      <w:r w:rsidRPr="42EF96B7">
        <w:t xml:space="preserve"> etc</w:t>
      </w:r>
      <w:r w:rsidRPr="23E00C06">
        <w:t>.</w:t>
      </w:r>
    </w:p>
    <w:p w14:paraId="3A686391" w14:textId="77777777" w:rsidR="005378CE" w:rsidRDefault="005378CE" w:rsidP="005378CE">
      <w:pPr>
        <w:pStyle w:val="bullets1"/>
      </w:pPr>
      <w:r w:rsidRPr="6F3A2FE1">
        <w:t xml:space="preserve">Management of the </w:t>
      </w:r>
      <w:r w:rsidRPr="23E00C06">
        <w:t>construction</w:t>
      </w:r>
      <w:r w:rsidRPr="6F3A2FE1">
        <w:t xml:space="preserve"> programme</w:t>
      </w:r>
    </w:p>
    <w:p w14:paraId="51C077BC" w14:textId="77777777" w:rsidR="005378CE" w:rsidRDefault="005378CE" w:rsidP="005378CE">
      <w:pPr>
        <w:pStyle w:val="bullets1"/>
      </w:pPr>
      <w:r w:rsidRPr="6F3A2FE1">
        <w:t xml:space="preserve">Providing </w:t>
      </w:r>
      <w:r w:rsidRPr="42EF96B7">
        <w:t>design/estates related</w:t>
      </w:r>
      <w:r w:rsidRPr="6F3A2FE1">
        <w:t xml:space="preserve"> input to OBC/FBC processes.</w:t>
      </w:r>
    </w:p>
    <w:p w14:paraId="5FBE3AC4" w14:textId="77777777" w:rsidR="005378CE" w:rsidRPr="00BC71A2" w:rsidRDefault="005378CE" w:rsidP="005378CE"/>
    <w:p w14:paraId="1FE15862" w14:textId="77777777" w:rsidR="005378CE" w:rsidRDefault="005378CE" w:rsidP="005378CE">
      <w:pPr>
        <w:pStyle w:val="Heading2"/>
      </w:pPr>
      <w:bookmarkStart w:id="269" w:name="_Toc213865269"/>
      <w:r>
        <w:t>Special advisors – roles and responsibilities</w:t>
      </w:r>
      <w:bookmarkEnd w:id="269"/>
    </w:p>
    <w:p w14:paraId="23085FA6" w14:textId="77777777" w:rsidR="005378CE" w:rsidRDefault="005378CE" w:rsidP="005378CE">
      <w:pPr>
        <w:rPr>
          <w:rFonts w:asciiTheme="minorHAnsi" w:eastAsiaTheme="minorEastAsia" w:hAnsiTheme="minorHAnsi" w:cstheme="minorBidi"/>
        </w:rPr>
      </w:pPr>
      <w:r w:rsidRPr="06891E90">
        <w:rPr>
          <w:rFonts w:asciiTheme="minorHAnsi" w:eastAsiaTheme="minorEastAsia" w:hAnsiTheme="minorHAnsi" w:cstheme="minorBidi"/>
        </w:rPr>
        <w:t xml:space="preserve">Special Advisors have been used in a timely and cost-effective manner in accordance with the Treasury Guidance: Use of Special Advisors, to support the internal resources for this development. Special advisors and their roles on the project </w:t>
      </w:r>
      <w:r w:rsidRPr="7D692BF0">
        <w:rPr>
          <w:rFonts w:asciiTheme="minorHAnsi" w:eastAsiaTheme="minorEastAsia" w:hAnsiTheme="minorHAnsi" w:cstheme="minorBidi"/>
        </w:rPr>
        <w:t>are shown below.</w:t>
      </w:r>
    </w:p>
    <w:p w14:paraId="134A380D" w14:textId="77777777" w:rsidR="005378CE" w:rsidRDefault="005378CE" w:rsidP="005378CE">
      <w:pPr>
        <w:pStyle w:val="Heading4"/>
      </w:pPr>
      <w:r>
        <w:t xml:space="preserve">Business Case Support – </w:t>
      </w:r>
      <w:proofErr w:type="spellStart"/>
      <w:r>
        <w:t>Archus</w:t>
      </w:r>
      <w:proofErr w:type="spellEnd"/>
      <w:r>
        <w:t xml:space="preserve"> </w:t>
      </w:r>
    </w:p>
    <w:tbl>
      <w:tblPr>
        <w:tblStyle w:val="TableGrid"/>
        <w:tblW w:w="5100" w:type="pct"/>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6"/>
        <w:gridCol w:w="5465"/>
      </w:tblGrid>
      <w:tr w:rsidR="005378CE" w14:paraId="6E79E639" w14:textId="77777777" w:rsidTr="00377EA9">
        <w:tc>
          <w:tcPr>
            <w:tcW w:w="4366" w:type="dxa"/>
            <w:tcMar>
              <w:left w:w="108" w:type="dxa"/>
              <w:right w:w="108" w:type="dxa"/>
            </w:tcMar>
          </w:tcPr>
          <w:p w14:paraId="21550EE9" w14:textId="77777777" w:rsidR="005378CE" w:rsidRDefault="005378CE" w:rsidP="00377EA9">
            <w:pPr>
              <w:pStyle w:val="bullets1"/>
            </w:pPr>
            <w:r w:rsidRPr="1534EAAB">
              <w:t>Manage the Business Case process including the facilitation of workshops, chasing of information etc</w:t>
            </w:r>
            <w:r w:rsidRPr="5F1BAFF0">
              <w:t>.</w:t>
            </w:r>
          </w:p>
          <w:p w14:paraId="5729BF5C" w14:textId="77777777" w:rsidR="005378CE" w:rsidRDefault="005378CE" w:rsidP="00377EA9">
            <w:pPr>
              <w:pStyle w:val="bullets1"/>
            </w:pPr>
            <w:r w:rsidRPr="1534EAAB">
              <w:t>Stakeholder engagement</w:t>
            </w:r>
          </w:p>
        </w:tc>
        <w:tc>
          <w:tcPr>
            <w:tcW w:w="5465" w:type="dxa"/>
            <w:tcMar>
              <w:left w:w="108" w:type="dxa"/>
              <w:right w:w="108" w:type="dxa"/>
            </w:tcMar>
          </w:tcPr>
          <w:p w14:paraId="779F0788" w14:textId="77777777" w:rsidR="005378CE" w:rsidRDefault="005378CE" w:rsidP="00377EA9">
            <w:pPr>
              <w:pStyle w:val="bullets1"/>
            </w:pPr>
            <w:r w:rsidRPr="1534EAAB">
              <w:t>Technical authoring of the OBC</w:t>
            </w:r>
          </w:p>
          <w:p w14:paraId="2AF0E7D1" w14:textId="77777777" w:rsidR="005378CE" w:rsidRDefault="005378CE" w:rsidP="00377EA9">
            <w:pPr>
              <w:pStyle w:val="bullets1"/>
            </w:pPr>
            <w:r w:rsidRPr="1534EAAB">
              <w:t xml:space="preserve">Support submission of OBC to </w:t>
            </w:r>
            <w:r>
              <w:t>WG</w:t>
            </w:r>
          </w:p>
          <w:p w14:paraId="76F9F6B1" w14:textId="77777777" w:rsidR="005378CE" w:rsidRPr="009A0898" w:rsidRDefault="005378CE" w:rsidP="00377EA9">
            <w:pPr>
              <w:pStyle w:val="bullets1"/>
            </w:pPr>
            <w:r w:rsidRPr="1534EAAB">
              <w:t xml:space="preserve">Liaise with </w:t>
            </w:r>
            <w:r w:rsidRPr="5CBFA673">
              <w:t xml:space="preserve">LHP Programme </w:t>
            </w:r>
            <w:r w:rsidRPr="298BC09A">
              <w:t>Lead</w:t>
            </w:r>
            <w:r w:rsidRPr="1534EAAB">
              <w:t xml:space="preserve"> on Business Case progress.</w:t>
            </w:r>
          </w:p>
        </w:tc>
      </w:tr>
    </w:tbl>
    <w:p w14:paraId="558217B6" w14:textId="77777777" w:rsidR="005378CE" w:rsidRDefault="005378CE" w:rsidP="005378CE">
      <w:pPr>
        <w:pStyle w:val="NoSpacing"/>
      </w:pPr>
    </w:p>
    <w:p w14:paraId="7AD47675" w14:textId="77777777" w:rsidR="005378CE" w:rsidRDefault="005378CE" w:rsidP="005378CE">
      <w:pPr>
        <w:pStyle w:val="Heading4"/>
      </w:pPr>
      <w:r>
        <w:t xml:space="preserve">Technical Advisor (Architecture and Design) - Stride </w:t>
      </w:r>
      <w:proofErr w:type="spellStart"/>
      <w:r>
        <w:t>Treglown</w:t>
      </w:r>
      <w:proofErr w:type="spellEnd"/>
    </w:p>
    <w:tbl>
      <w:tblPr>
        <w:tblStyle w:val="TableGrid"/>
        <w:tblW w:w="5100" w:type="pct"/>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6"/>
        <w:gridCol w:w="5465"/>
      </w:tblGrid>
      <w:tr w:rsidR="005378CE" w14:paraId="053F9D5D" w14:textId="77777777" w:rsidTr="00377EA9">
        <w:tc>
          <w:tcPr>
            <w:tcW w:w="4366" w:type="dxa"/>
            <w:tcMar>
              <w:left w:w="108" w:type="dxa"/>
              <w:right w:w="108" w:type="dxa"/>
            </w:tcMar>
          </w:tcPr>
          <w:p w14:paraId="43D1626F" w14:textId="77777777" w:rsidR="005378CE" w:rsidRPr="009A0898" w:rsidRDefault="005378CE" w:rsidP="00377EA9">
            <w:pPr>
              <w:pStyle w:val="bullets1"/>
            </w:pPr>
            <w:r w:rsidRPr="1E927923">
              <w:t xml:space="preserve">Providing design advice to the </w:t>
            </w:r>
            <w:r w:rsidRPr="5DF21319">
              <w:t xml:space="preserve">LHP </w:t>
            </w:r>
            <w:r w:rsidRPr="1E927923">
              <w:t>Project Team</w:t>
            </w:r>
            <w:r w:rsidRPr="5DF21319">
              <w:t xml:space="preserve"> on contractor lead design changes</w:t>
            </w:r>
          </w:p>
        </w:tc>
        <w:tc>
          <w:tcPr>
            <w:tcW w:w="5465" w:type="dxa"/>
            <w:tcMar>
              <w:left w:w="108" w:type="dxa"/>
              <w:right w:w="108" w:type="dxa"/>
            </w:tcMar>
          </w:tcPr>
          <w:p w14:paraId="52BA26F2" w14:textId="77777777" w:rsidR="005378CE" w:rsidRDefault="005378CE" w:rsidP="00377EA9">
            <w:pPr>
              <w:pStyle w:val="bullets1"/>
              <w:rPr>
                <w:szCs w:val="18"/>
              </w:rPr>
            </w:pPr>
            <w:r w:rsidRPr="0C913B62">
              <w:t>Liaise with appropriate stakeholders</w:t>
            </w:r>
          </w:p>
          <w:p w14:paraId="4A74FDF6" w14:textId="77777777" w:rsidR="005378CE" w:rsidRDefault="005378CE" w:rsidP="00377EA9">
            <w:pPr>
              <w:pStyle w:val="bullets1"/>
              <w:rPr>
                <w:szCs w:val="18"/>
              </w:rPr>
            </w:pPr>
            <w:r w:rsidRPr="0C913B62">
              <w:t>Preparing regular reports for the Project Manager.</w:t>
            </w:r>
          </w:p>
        </w:tc>
      </w:tr>
    </w:tbl>
    <w:p w14:paraId="7484A7D6" w14:textId="77777777" w:rsidR="005378CE" w:rsidRDefault="005378CE" w:rsidP="005378CE">
      <w:pPr>
        <w:pStyle w:val="NoSpacing"/>
      </w:pPr>
    </w:p>
    <w:p w14:paraId="2027BFA5" w14:textId="77777777" w:rsidR="005378CE" w:rsidRDefault="005378CE" w:rsidP="005378CE">
      <w:pPr>
        <w:pStyle w:val="Heading4"/>
      </w:pPr>
      <w:r>
        <w:t>Technical Advisor (Mechanical and Electrical Engineering) Stantec</w:t>
      </w:r>
    </w:p>
    <w:tbl>
      <w:tblPr>
        <w:tblStyle w:val="TableGrid"/>
        <w:tblW w:w="5100" w:type="pct"/>
        <w:tblInd w:w="-11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6"/>
        <w:gridCol w:w="5465"/>
      </w:tblGrid>
      <w:tr w:rsidR="005378CE" w14:paraId="6465D90B" w14:textId="77777777" w:rsidTr="00377EA9">
        <w:tc>
          <w:tcPr>
            <w:tcW w:w="4366" w:type="dxa"/>
            <w:tcMar>
              <w:left w:w="108" w:type="dxa"/>
              <w:right w:w="108" w:type="dxa"/>
            </w:tcMar>
          </w:tcPr>
          <w:p w14:paraId="2FEFDD02" w14:textId="77777777" w:rsidR="005378CE" w:rsidRDefault="005378CE" w:rsidP="00377EA9">
            <w:pPr>
              <w:pStyle w:val="bullets1"/>
            </w:pPr>
            <w:r w:rsidRPr="57301C31">
              <w:t>Providing technical advice and solutions to the Project/Design Team</w:t>
            </w:r>
          </w:p>
          <w:p w14:paraId="1FFE54D2" w14:textId="77777777" w:rsidR="005378CE" w:rsidRPr="003C226E" w:rsidRDefault="005378CE" w:rsidP="00377EA9">
            <w:pPr>
              <w:pStyle w:val="bullets1"/>
            </w:pPr>
            <w:r w:rsidRPr="57301C31">
              <w:t>Liaise with appropriate stakeholders</w:t>
            </w:r>
          </w:p>
        </w:tc>
        <w:tc>
          <w:tcPr>
            <w:tcW w:w="5465" w:type="dxa"/>
            <w:tcMar>
              <w:left w:w="108" w:type="dxa"/>
              <w:right w:w="108" w:type="dxa"/>
            </w:tcMar>
          </w:tcPr>
          <w:p w14:paraId="7B08AD84" w14:textId="77777777" w:rsidR="005378CE" w:rsidRPr="003C226E" w:rsidRDefault="005378CE" w:rsidP="00377EA9">
            <w:pPr>
              <w:pStyle w:val="bullets1"/>
              <w:rPr>
                <w:szCs w:val="18"/>
              </w:rPr>
            </w:pPr>
            <w:r w:rsidRPr="57301C31">
              <w:t>Assist with the design and construction teams where required</w:t>
            </w:r>
          </w:p>
          <w:p w14:paraId="16F587C2" w14:textId="77777777" w:rsidR="005378CE" w:rsidRDefault="005378CE" w:rsidP="00377EA9">
            <w:pPr>
              <w:pStyle w:val="bullets1"/>
              <w:rPr>
                <w:szCs w:val="18"/>
              </w:rPr>
            </w:pPr>
            <w:r w:rsidRPr="57301C31">
              <w:t>Preparing regular reports for the Project Manager.</w:t>
            </w:r>
          </w:p>
        </w:tc>
      </w:tr>
    </w:tbl>
    <w:p w14:paraId="32446459" w14:textId="77777777" w:rsidR="005378CE" w:rsidRPr="00BE09D9" w:rsidRDefault="005378CE" w:rsidP="00BE09D9"/>
    <w:p w14:paraId="64B6C643" w14:textId="77777777" w:rsidR="005378CE" w:rsidRDefault="005378CE" w:rsidP="005378CE">
      <w:pPr>
        <w:pStyle w:val="Heading4"/>
      </w:pPr>
      <w:r>
        <w:t>Cost Advisor – Mott MacDonald</w:t>
      </w:r>
    </w:p>
    <w:p w14:paraId="52E0EDC0" w14:textId="77777777" w:rsidR="005378CE" w:rsidRPr="008E598D" w:rsidRDefault="005378CE" w:rsidP="005378CE">
      <w:pPr>
        <w:pStyle w:val="bullets1"/>
      </w:pPr>
      <w:r w:rsidRPr="008E598D">
        <w:t>Full financial management and reporting of project costs together with payment recommendations for all expenditure incurred on the project</w:t>
      </w:r>
    </w:p>
    <w:p w14:paraId="1A0DD0CB" w14:textId="77777777" w:rsidR="005378CE" w:rsidRPr="008E598D" w:rsidRDefault="005378CE" w:rsidP="005378CE">
      <w:pPr>
        <w:pStyle w:val="bullets1"/>
      </w:pPr>
      <w:r w:rsidRPr="008E598D">
        <w:t>Preparation of contract documents, procurement of contractors, payment of valuations and agreement of final accounts</w:t>
      </w:r>
    </w:p>
    <w:p w14:paraId="1F0FC0C2" w14:textId="77777777" w:rsidR="005378CE" w:rsidRPr="006B7B8F" w:rsidRDefault="005378CE" w:rsidP="005378CE">
      <w:pPr>
        <w:pStyle w:val="bullets1"/>
      </w:pPr>
      <w:r w:rsidRPr="006B7B8F">
        <w:t>Budget estimating and cost modelling</w:t>
      </w:r>
    </w:p>
    <w:p w14:paraId="3A62911E" w14:textId="77777777" w:rsidR="005378CE" w:rsidRPr="006B7B8F" w:rsidRDefault="005378CE" w:rsidP="005378CE">
      <w:pPr>
        <w:pStyle w:val="bullets1"/>
      </w:pPr>
      <w:r w:rsidRPr="006B7B8F">
        <w:t>Cost planning</w:t>
      </w:r>
    </w:p>
    <w:p w14:paraId="7266000A" w14:textId="77777777" w:rsidR="005378CE" w:rsidRPr="006B7B8F" w:rsidRDefault="005378CE" w:rsidP="005378CE">
      <w:pPr>
        <w:pStyle w:val="bullets1"/>
      </w:pPr>
      <w:r w:rsidRPr="006B7B8F">
        <w:t>Provision of cost advice</w:t>
      </w:r>
    </w:p>
    <w:p w14:paraId="4E1C7F29" w14:textId="77777777" w:rsidR="005378CE" w:rsidRPr="006B7B8F" w:rsidRDefault="005378CE" w:rsidP="005378CE">
      <w:pPr>
        <w:pStyle w:val="bullets1"/>
      </w:pPr>
      <w:r w:rsidRPr="006B7B8F">
        <w:t>Analysing and reporting on tenders received.</w:t>
      </w:r>
    </w:p>
    <w:p w14:paraId="364727BB" w14:textId="77777777" w:rsidR="005378CE" w:rsidRPr="006B7B8F" w:rsidRDefault="005378CE" w:rsidP="005378CE">
      <w:pPr>
        <w:pStyle w:val="bullets1"/>
      </w:pPr>
      <w:r w:rsidRPr="006B7B8F">
        <w:lastRenderedPageBreak/>
        <w:t>Reporting and advising on all tendering and contractual arrangements</w:t>
      </w:r>
    </w:p>
    <w:p w14:paraId="62CBF09F" w14:textId="77777777" w:rsidR="005378CE" w:rsidRPr="006B7B8F" w:rsidRDefault="005378CE" w:rsidP="005378CE">
      <w:pPr>
        <w:pStyle w:val="bullets1"/>
      </w:pPr>
      <w:r w:rsidRPr="006B7B8F">
        <w:t>Preparation of tender documents, including incorporation of client standard amendments and appropriate insurance provisions</w:t>
      </w:r>
    </w:p>
    <w:p w14:paraId="44DAECBC" w14:textId="77777777" w:rsidR="005378CE" w:rsidRPr="006B7B8F" w:rsidRDefault="005378CE" w:rsidP="005378CE">
      <w:pPr>
        <w:pStyle w:val="bullets1"/>
      </w:pPr>
      <w:r w:rsidRPr="006B7B8F">
        <w:t>Preparing and issuing regular executive financial reports and cash flow summaries to the Project Manager</w:t>
      </w:r>
      <w:r>
        <w:t>.</w:t>
      </w:r>
    </w:p>
    <w:p w14:paraId="1DB8D47F" w14:textId="77777777" w:rsidR="005378CE" w:rsidRDefault="005378CE" w:rsidP="005378CE">
      <w:pPr>
        <w:pStyle w:val="NoSpacing"/>
      </w:pPr>
    </w:p>
    <w:p w14:paraId="56BCCAB3" w14:textId="77777777" w:rsidR="005378CE" w:rsidRDefault="005378CE" w:rsidP="005378CE">
      <w:pPr>
        <w:pStyle w:val="Heading4"/>
      </w:pPr>
      <w:r>
        <w:t xml:space="preserve">Site Supervisor </w:t>
      </w:r>
    </w:p>
    <w:p w14:paraId="23B92892" w14:textId="77777777" w:rsidR="005378CE" w:rsidRDefault="005378CE" w:rsidP="005378CE">
      <w:r>
        <w:t>This post will be appointed to after OBC approval, during the RIBA 4 design process.</w:t>
      </w:r>
    </w:p>
    <w:p w14:paraId="11561FF7" w14:textId="77777777" w:rsidR="005378CE" w:rsidRPr="009A0898" w:rsidRDefault="005378CE" w:rsidP="005378CE">
      <w:pPr>
        <w:pStyle w:val="NoSpacing"/>
      </w:pPr>
    </w:p>
    <w:p w14:paraId="3014FFAD" w14:textId="77777777" w:rsidR="005378CE" w:rsidRDefault="005378CE" w:rsidP="005378CE">
      <w:pPr>
        <w:pStyle w:val="Heading2"/>
      </w:pPr>
      <w:bookmarkStart w:id="270" w:name="_Toc213865270"/>
      <w:r>
        <w:t>PM and professional fees budget</w:t>
      </w:r>
      <w:bookmarkEnd w:id="270"/>
    </w:p>
    <w:p w14:paraId="30A16B7C" w14:textId="2E5632A9" w:rsidR="005378CE" w:rsidRDefault="005378CE" w:rsidP="005378CE">
      <w:r w:rsidRPr="0876FF41">
        <w:t xml:space="preserve">The following table outlines the estimated project and professional fees budget for the </w:t>
      </w:r>
      <w:r w:rsidR="007772B1">
        <w:t xml:space="preserve">project split by phase. </w:t>
      </w:r>
    </w:p>
    <w:p w14:paraId="3BA55382" w14:textId="2DF50874" w:rsidR="005378CE" w:rsidRDefault="005378CE" w:rsidP="005378CE">
      <w:pPr>
        <w:pStyle w:val="Caption"/>
      </w:pPr>
      <w:bookmarkStart w:id="271" w:name="_Toc213865310"/>
      <w:r>
        <w:t xml:space="preserve">Table </w:t>
      </w:r>
      <w:r>
        <w:fldChar w:fldCharType="begin"/>
      </w:r>
      <w:r>
        <w:instrText xml:space="preserve"> SEQ Table \* ARABIC </w:instrText>
      </w:r>
      <w:r>
        <w:fldChar w:fldCharType="separate"/>
      </w:r>
      <w:r w:rsidR="004A33ED">
        <w:t>30</w:t>
      </w:r>
      <w:r>
        <w:fldChar w:fldCharType="end"/>
      </w:r>
      <w:r>
        <w:t xml:space="preserve"> – Professional </w:t>
      </w:r>
      <w:r w:rsidR="00BE09D9">
        <w:t xml:space="preserve">fees </w:t>
      </w:r>
      <w:r>
        <w:t>for Phase 2</w:t>
      </w:r>
      <w:bookmarkEnd w:id="271"/>
    </w:p>
    <w:p w14:paraId="50816570" w14:textId="1C0E17B1" w:rsidR="005378CE" w:rsidRPr="00BE09D9" w:rsidRDefault="00641055" w:rsidP="00BE09D9">
      <w:r w:rsidRPr="00641055">
        <w:rPr>
          <w:noProof/>
        </w:rPr>
        <w:drawing>
          <wp:inline distT="0" distB="0" distL="0" distR="0" wp14:anchorId="74464214" wp14:editId="70F2A19E">
            <wp:extent cx="6120130" cy="29813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120130" cy="2981325"/>
                    </a:xfrm>
                    <a:prstGeom prst="rect">
                      <a:avLst/>
                    </a:prstGeom>
                    <a:noFill/>
                    <a:ln>
                      <a:noFill/>
                    </a:ln>
                  </pic:spPr>
                </pic:pic>
              </a:graphicData>
            </a:graphic>
          </wp:inline>
        </w:drawing>
      </w:r>
    </w:p>
    <w:p w14:paraId="72B5983D" w14:textId="77777777" w:rsidR="005378CE" w:rsidRPr="00BE09D9" w:rsidRDefault="005378CE" w:rsidP="00BE09D9"/>
    <w:p w14:paraId="3B9E52B3" w14:textId="77777777" w:rsidR="005378CE" w:rsidRPr="00E35797" w:rsidRDefault="005378CE" w:rsidP="005378CE">
      <w:pPr>
        <w:pStyle w:val="Heading2"/>
      </w:pPr>
      <w:bookmarkStart w:id="272" w:name="_Toc213865271"/>
      <w:r>
        <w:t>Key milestones</w:t>
      </w:r>
      <w:bookmarkEnd w:id="272"/>
    </w:p>
    <w:p w14:paraId="43D75E4A" w14:textId="77777777" w:rsidR="005378CE" w:rsidRDefault="005378CE" w:rsidP="005378CE">
      <w:r>
        <w:t xml:space="preserve">A project programme has been developed to control and track the progress (attached at </w:t>
      </w:r>
      <w:r w:rsidRPr="00F338F9">
        <w:t>Appendix 10) and delivery of the project and resulting outcomes. Key milestones are summarise</w:t>
      </w:r>
      <w:r>
        <w:t>d below.</w:t>
      </w:r>
    </w:p>
    <w:p w14:paraId="38491EBD" w14:textId="0507E361" w:rsidR="005378CE" w:rsidRDefault="005378CE" w:rsidP="005378CE">
      <w:pPr>
        <w:pStyle w:val="Caption"/>
      </w:pPr>
      <w:bookmarkStart w:id="273" w:name="_Toc213865311"/>
      <w:r>
        <w:t xml:space="preserve">Table </w:t>
      </w:r>
      <w:r>
        <w:fldChar w:fldCharType="begin"/>
      </w:r>
      <w:r>
        <w:instrText xml:space="preserve"> SEQ Table \* ARABIC </w:instrText>
      </w:r>
      <w:r>
        <w:fldChar w:fldCharType="separate"/>
      </w:r>
      <w:r w:rsidR="009C05F7">
        <w:t>31</w:t>
      </w:r>
      <w:r>
        <w:fldChar w:fldCharType="end"/>
      </w:r>
      <w:r>
        <w:t xml:space="preserve"> - </w:t>
      </w:r>
      <w:r w:rsidRPr="000977D4">
        <w:t>Project timeline</w:t>
      </w:r>
      <w:bookmarkEnd w:id="273"/>
    </w:p>
    <w:tbl>
      <w:tblPr>
        <w:tblW w:w="5100" w:type="pct"/>
        <w:tblInd w:w="-113" w:type="dxa"/>
        <w:tblLayout w:type="fixed"/>
        <w:tblCellMar>
          <w:top w:w="15" w:type="dxa"/>
          <w:left w:w="15" w:type="dxa"/>
          <w:bottom w:w="15" w:type="dxa"/>
          <w:right w:w="15" w:type="dxa"/>
        </w:tblCellMar>
        <w:tblLook w:val="04A0" w:firstRow="1" w:lastRow="0" w:firstColumn="1" w:lastColumn="0" w:noHBand="0" w:noVBand="1"/>
      </w:tblPr>
      <w:tblGrid>
        <w:gridCol w:w="5627"/>
        <w:gridCol w:w="2183"/>
        <w:gridCol w:w="2000"/>
      </w:tblGrid>
      <w:tr w:rsidR="00441E9C" w:rsidRPr="00441E9C" w14:paraId="3D5791F9" w14:textId="77777777" w:rsidTr="00441E9C">
        <w:trPr>
          <w:tblHeader/>
        </w:trPr>
        <w:tc>
          <w:tcPr>
            <w:tcW w:w="4385" w:type="dxa"/>
            <w:tcBorders>
              <w:top w:val="single" w:sz="8" w:space="0" w:color="A6A6A6"/>
              <w:left w:val="single" w:sz="8" w:space="0" w:color="A6A6A6"/>
              <w:bottom w:val="single" w:sz="8" w:space="0" w:color="A6A6A6"/>
              <w:right w:val="single" w:sz="8" w:space="0" w:color="A6A6A6"/>
            </w:tcBorders>
            <w:shd w:val="clear" w:color="auto" w:fill="374264"/>
            <w:tcMar>
              <w:top w:w="0" w:type="dxa"/>
              <w:left w:w="108" w:type="dxa"/>
              <w:bottom w:w="0" w:type="dxa"/>
              <w:right w:w="108" w:type="dxa"/>
            </w:tcMar>
            <w:vAlign w:val="center"/>
            <w:hideMark/>
          </w:tcPr>
          <w:p w14:paraId="33BB3169" w14:textId="77777777" w:rsidR="00441E9C" w:rsidRPr="00441E9C" w:rsidRDefault="00441E9C" w:rsidP="00E67800">
            <w:pPr>
              <w:pStyle w:val="tabletext"/>
              <w:rPr>
                <w:b/>
                <w:bCs/>
                <w:color w:val="FFFFFF" w:themeColor="background1"/>
                <w:lang w:eastAsia="en-GB"/>
              </w:rPr>
            </w:pPr>
            <w:r w:rsidRPr="00441E9C">
              <w:rPr>
                <w:b/>
                <w:bCs/>
                <w:color w:val="FFFFFF" w:themeColor="background1"/>
                <w:lang w:eastAsia="en-GB"/>
              </w:rPr>
              <w:t>Milestone</w:t>
            </w:r>
          </w:p>
        </w:tc>
        <w:tc>
          <w:tcPr>
            <w:tcW w:w="1701" w:type="dxa"/>
            <w:tcBorders>
              <w:top w:val="single" w:sz="8" w:space="0" w:color="A6A6A6"/>
              <w:bottom w:val="single" w:sz="8" w:space="0" w:color="A6A6A6"/>
              <w:right w:val="single" w:sz="8" w:space="0" w:color="A6A6A6"/>
            </w:tcBorders>
            <w:shd w:val="clear" w:color="auto" w:fill="374264"/>
            <w:tcMar>
              <w:top w:w="0" w:type="dxa"/>
              <w:left w:w="108" w:type="dxa"/>
              <w:bottom w:w="0" w:type="dxa"/>
              <w:right w:w="108" w:type="dxa"/>
            </w:tcMar>
            <w:vAlign w:val="center"/>
            <w:hideMark/>
          </w:tcPr>
          <w:p w14:paraId="2F634C35" w14:textId="77777777" w:rsidR="00441E9C" w:rsidRPr="00441E9C" w:rsidRDefault="00441E9C" w:rsidP="00E67800">
            <w:pPr>
              <w:pStyle w:val="tabletext"/>
              <w:rPr>
                <w:b/>
                <w:bCs/>
                <w:color w:val="FFFFFF" w:themeColor="background1"/>
                <w:lang w:eastAsia="en-GB"/>
              </w:rPr>
            </w:pPr>
            <w:r w:rsidRPr="00441E9C">
              <w:rPr>
                <w:b/>
                <w:bCs/>
                <w:color w:val="FFFFFF" w:themeColor="background1"/>
                <w:lang w:eastAsia="en-GB"/>
              </w:rPr>
              <w:t>Start</w:t>
            </w:r>
          </w:p>
        </w:tc>
        <w:tc>
          <w:tcPr>
            <w:tcW w:w="1559" w:type="dxa"/>
            <w:tcBorders>
              <w:top w:val="single" w:sz="8" w:space="0" w:color="A6A6A6"/>
              <w:bottom w:val="single" w:sz="8" w:space="0" w:color="A6A6A6"/>
              <w:right w:val="single" w:sz="8" w:space="0" w:color="A6A6A6"/>
            </w:tcBorders>
            <w:shd w:val="clear" w:color="auto" w:fill="374264"/>
            <w:tcMar>
              <w:top w:w="0" w:type="dxa"/>
              <w:left w:w="108" w:type="dxa"/>
              <w:bottom w:w="0" w:type="dxa"/>
              <w:right w:w="108" w:type="dxa"/>
            </w:tcMar>
            <w:vAlign w:val="center"/>
            <w:hideMark/>
          </w:tcPr>
          <w:p w14:paraId="0F6F5689" w14:textId="77777777" w:rsidR="00441E9C" w:rsidRPr="00441E9C" w:rsidRDefault="00441E9C" w:rsidP="00E67800">
            <w:pPr>
              <w:pStyle w:val="tabletext"/>
              <w:rPr>
                <w:b/>
                <w:bCs/>
                <w:color w:val="FFFFFF" w:themeColor="background1"/>
                <w:lang w:eastAsia="en-GB"/>
              </w:rPr>
            </w:pPr>
            <w:r w:rsidRPr="00441E9C">
              <w:rPr>
                <w:b/>
                <w:bCs/>
                <w:color w:val="FFFFFF" w:themeColor="background1"/>
                <w:lang w:eastAsia="en-GB"/>
              </w:rPr>
              <w:t>Completion</w:t>
            </w:r>
          </w:p>
        </w:tc>
      </w:tr>
      <w:tr w:rsidR="00441E9C" w:rsidRPr="0070589C" w14:paraId="213C440D"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6387CCE1" w14:textId="77777777" w:rsidR="00441E9C" w:rsidRPr="0070589C" w:rsidRDefault="00441E9C" w:rsidP="00E67800">
            <w:pPr>
              <w:pStyle w:val="tabletext"/>
              <w:rPr>
                <w:lang w:eastAsia="en-GB"/>
              </w:rPr>
            </w:pPr>
            <w:r w:rsidRPr="0070589C">
              <w:rPr>
                <w:lang w:eastAsia="en-GB"/>
              </w:rPr>
              <w:t>SOC submission and approval</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6BCBC241" w14:textId="77777777" w:rsidR="00441E9C" w:rsidRPr="0070589C" w:rsidRDefault="00441E9C" w:rsidP="00E67800">
            <w:pPr>
              <w:pStyle w:val="tabletext"/>
              <w:rPr>
                <w:lang w:eastAsia="en-GB"/>
              </w:rPr>
            </w:pPr>
            <w:r w:rsidRPr="0070589C">
              <w:rPr>
                <w:lang w:eastAsia="en-GB"/>
              </w:rPr>
              <w:t>Sept 2024</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02E834BF" w14:textId="77777777" w:rsidR="00441E9C" w:rsidRPr="0070589C" w:rsidRDefault="00441E9C" w:rsidP="00E67800">
            <w:pPr>
              <w:pStyle w:val="tabletext"/>
              <w:rPr>
                <w:lang w:eastAsia="en-GB"/>
              </w:rPr>
            </w:pPr>
            <w:r w:rsidRPr="0070589C">
              <w:rPr>
                <w:lang w:eastAsia="en-GB"/>
              </w:rPr>
              <w:t>Sept 2024</w:t>
            </w:r>
          </w:p>
        </w:tc>
      </w:tr>
      <w:tr w:rsidR="00441E9C" w:rsidRPr="0070589C" w14:paraId="4BB51193"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200B7733" w14:textId="77777777" w:rsidR="00441E9C" w:rsidRPr="0070589C" w:rsidRDefault="00441E9C" w:rsidP="00E67800">
            <w:pPr>
              <w:pStyle w:val="tabletext"/>
              <w:rPr>
                <w:lang w:eastAsia="en-GB"/>
              </w:rPr>
            </w:pPr>
            <w:r w:rsidRPr="0070589C">
              <w:rPr>
                <w:lang w:eastAsia="en-GB"/>
              </w:rPr>
              <w:t>OBC submission and approval</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72E8AD26" w14:textId="77777777" w:rsidR="00441E9C" w:rsidRPr="0070589C" w:rsidRDefault="00441E9C" w:rsidP="00E67800">
            <w:pPr>
              <w:pStyle w:val="tabletext"/>
              <w:rPr>
                <w:lang w:eastAsia="en-GB"/>
              </w:rPr>
            </w:pPr>
            <w:r w:rsidRPr="0070589C">
              <w:rPr>
                <w:lang w:eastAsia="en-GB"/>
              </w:rPr>
              <w:t>Oct 2025</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634791E6" w14:textId="77777777" w:rsidR="00441E9C" w:rsidRPr="0070589C" w:rsidRDefault="00441E9C" w:rsidP="00E67800">
            <w:pPr>
              <w:pStyle w:val="tabletext"/>
              <w:rPr>
                <w:lang w:eastAsia="en-GB"/>
              </w:rPr>
            </w:pPr>
            <w:r w:rsidRPr="0070589C">
              <w:rPr>
                <w:lang w:eastAsia="en-GB"/>
              </w:rPr>
              <w:t>Jan 2026</w:t>
            </w:r>
          </w:p>
        </w:tc>
      </w:tr>
      <w:tr w:rsidR="00441E9C" w:rsidRPr="0070589C" w14:paraId="596CE090"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7C701941" w14:textId="77777777" w:rsidR="00441E9C" w:rsidRPr="0070589C" w:rsidRDefault="00441E9C" w:rsidP="00E67800">
            <w:pPr>
              <w:pStyle w:val="tabletext"/>
              <w:rPr>
                <w:lang w:eastAsia="en-GB"/>
              </w:rPr>
            </w:pPr>
            <w:r w:rsidRPr="0070589C">
              <w:rPr>
                <w:lang w:eastAsia="en-GB"/>
              </w:rPr>
              <w:t>FBC submission and approval</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7385BF2E" w14:textId="77777777" w:rsidR="00441E9C" w:rsidRPr="0070589C" w:rsidRDefault="00441E9C" w:rsidP="00E67800">
            <w:pPr>
              <w:pStyle w:val="tabletext"/>
              <w:rPr>
                <w:lang w:eastAsia="en-GB"/>
              </w:rPr>
            </w:pPr>
            <w:r w:rsidRPr="0070589C">
              <w:rPr>
                <w:lang w:eastAsia="en-GB"/>
              </w:rPr>
              <w:t>May 2026</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6D044F8E" w14:textId="77777777" w:rsidR="00441E9C" w:rsidRPr="0070589C" w:rsidRDefault="00441E9C" w:rsidP="00E67800">
            <w:pPr>
              <w:pStyle w:val="tabletext"/>
              <w:rPr>
                <w:lang w:eastAsia="en-GB"/>
              </w:rPr>
            </w:pPr>
            <w:r w:rsidRPr="0070589C">
              <w:rPr>
                <w:lang w:eastAsia="en-GB"/>
              </w:rPr>
              <w:t>June 2026</w:t>
            </w:r>
          </w:p>
        </w:tc>
      </w:tr>
      <w:tr w:rsidR="00441E9C" w:rsidRPr="0070589C" w14:paraId="1CDA30AB"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40EFD665" w14:textId="77777777" w:rsidR="00441E9C" w:rsidRPr="0070589C" w:rsidRDefault="00441E9C" w:rsidP="00E67800">
            <w:pPr>
              <w:pStyle w:val="tabletext"/>
              <w:rPr>
                <w:lang w:eastAsia="en-GB"/>
              </w:rPr>
            </w:pPr>
            <w:r w:rsidRPr="0070589C">
              <w:rPr>
                <w:lang w:eastAsia="en-GB"/>
              </w:rPr>
              <w:t>Demolition works start</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4C00B19D" w14:textId="77777777" w:rsidR="00441E9C" w:rsidRPr="0070589C" w:rsidRDefault="00441E9C" w:rsidP="00E67800">
            <w:pPr>
              <w:pStyle w:val="tabletext"/>
              <w:rPr>
                <w:lang w:eastAsia="en-GB"/>
              </w:rPr>
            </w:pPr>
            <w:r w:rsidRPr="0070589C">
              <w:rPr>
                <w:lang w:eastAsia="en-GB"/>
              </w:rPr>
              <w:t>Apr 2025</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51AAB478" w14:textId="77777777" w:rsidR="00441E9C" w:rsidRPr="0070589C" w:rsidRDefault="00441E9C" w:rsidP="00E67800">
            <w:pPr>
              <w:pStyle w:val="tabletext"/>
              <w:rPr>
                <w:lang w:eastAsia="en-GB"/>
              </w:rPr>
            </w:pPr>
            <w:r w:rsidRPr="0070589C">
              <w:rPr>
                <w:lang w:eastAsia="en-GB"/>
              </w:rPr>
              <w:t>Oct 2025</w:t>
            </w:r>
          </w:p>
        </w:tc>
      </w:tr>
      <w:tr w:rsidR="00441E9C" w:rsidRPr="0070589C" w14:paraId="41766D26"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7989D820" w14:textId="77777777" w:rsidR="00441E9C" w:rsidRPr="0070589C" w:rsidRDefault="00441E9C" w:rsidP="00E67800">
            <w:pPr>
              <w:pStyle w:val="tabletext"/>
              <w:rPr>
                <w:lang w:eastAsia="en-GB"/>
              </w:rPr>
            </w:pPr>
            <w:r w:rsidRPr="0070589C">
              <w:rPr>
                <w:lang w:eastAsia="en-GB"/>
              </w:rPr>
              <w:t>PCSA design works:</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383532D2" w14:textId="77777777" w:rsidR="00441E9C" w:rsidRPr="0070589C" w:rsidRDefault="00441E9C" w:rsidP="00E67800">
            <w:pPr>
              <w:pStyle w:val="tabletext"/>
              <w:rPr>
                <w:rFonts w:ascii="Times New Roman" w:hAnsi="Times New Roman"/>
                <w:szCs w:val="20"/>
                <w:lang w:eastAsia="en-GB"/>
              </w:rPr>
            </w:pP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6BEB6B0B" w14:textId="77777777" w:rsidR="00441E9C" w:rsidRPr="0070589C" w:rsidRDefault="00441E9C" w:rsidP="00E67800">
            <w:pPr>
              <w:pStyle w:val="tabletext"/>
              <w:rPr>
                <w:rFonts w:ascii="Times New Roman" w:hAnsi="Times New Roman"/>
                <w:szCs w:val="20"/>
                <w:lang w:eastAsia="en-GB"/>
              </w:rPr>
            </w:pPr>
          </w:p>
        </w:tc>
      </w:tr>
      <w:tr w:rsidR="00441E9C" w:rsidRPr="0070589C" w14:paraId="007EE50A"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774610DC" w14:textId="77777777" w:rsidR="00441E9C" w:rsidRPr="0070589C" w:rsidRDefault="00441E9C" w:rsidP="00E67800">
            <w:pPr>
              <w:pStyle w:val="tabletext"/>
              <w:ind w:left="284"/>
              <w:rPr>
                <w:lang w:eastAsia="en-GB"/>
              </w:rPr>
            </w:pPr>
            <w:r w:rsidRPr="0070589C">
              <w:rPr>
                <w:lang w:eastAsia="en-GB"/>
              </w:rPr>
              <w:t>RIBA 3 Design</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5601C1C1" w14:textId="77777777" w:rsidR="00441E9C" w:rsidRPr="0070589C" w:rsidRDefault="00441E9C" w:rsidP="00E67800">
            <w:pPr>
              <w:pStyle w:val="tabletext"/>
              <w:rPr>
                <w:lang w:eastAsia="en-GB"/>
              </w:rPr>
            </w:pPr>
            <w:r w:rsidRPr="0070589C">
              <w:rPr>
                <w:lang w:eastAsia="en-GB"/>
              </w:rPr>
              <w:t>Sept 2025</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1C72F071" w14:textId="77777777" w:rsidR="00441E9C" w:rsidRPr="0070589C" w:rsidRDefault="00441E9C" w:rsidP="00E67800">
            <w:pPr>
              <w:pStyle w:val="tabletext"/>
              <w:rPr>
                <w:lang w:eastAsia="en-GB"/>
              </w:rPr>
            </w:pPr>
            <w:r w:rsidRPr="0070589C">
              <w:rPr>
                <w:lang w:eastAsia="en-GB"/>
              </w:rPr>
              <w:t>Dec 2025</w:t>
            </w:r>
          </w:p>
        </w:tc>
      </w:tr>
      <w:tr w:rsidR="00441E9C" w:rsidRPr="0070589C" w14:paraId="31DB8851"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1F2556C6" w14:textId="77777777" w:rsidR="00441E9C" w:rsidRPr="0070589C" w:rsidRDefault="00441E9C" w:rsidP="00E67800">
            <w:pPr>
              <w:pStyle w:val="tabletext"/>
              <w:ind w:left="284"/>
              <w:rPr>
                <w:lang w:eastAsia="en-GB"/>
              </w:rPr>
            </w:pPr>
            <w:r w:rsidRPr="0070589C">
              <w:rPr>
                <w:lang w:eastAsia="en-GB"/>
              </w:rPr>
              <w:lastRenderedPageBreak/>
              <w:t>RIBA 4 Design</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767EAEDD" w14:textId="77777777" w:rsidR="00441E9C" w:rsidRPr="0070589C" w:rsidRDefault="00441E9C" w:rsidP="00E67800">
            <w:pPr>
              <w:pStyle w:val="tabletext"/>
              <w:rPr>
                <w:lang w:eastAsia="en-GB"/>
              </w:rPr>
            </w:pPr>
            <w:r w:rsidRPr="0070589C">
              <w:rPr>
                <w:lang w:eastAsia="en-GB"/>
              </w:rPr>
              <w:t>Dec 2025</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75073DD2" w14:textId="77777777" w:rsidR="00441E9C" w:rsidRPr="0070589C" w:rsidRDefault="00441E9C" w:rsidP="00E67800">
            <w:pPr>
              <w:pStyle w:val="tabletext"/>
              <w:rPr>
                <w:lang w:eastAsia="en-GB"/>
              </w:rPr>
            </w:pPr>
            <w:r w:rsidRPr="0070589C">
              <w:rPr>
                <w:lang w:eastAsia="en-GB"/>
              </w:rPr>
              <w:t>April 2026</w:t>
            </w:r>
          </w:p>
        </w:tc>
      </w:tr>
      <w:tr w:rsidR="00441E9C" w:rsidRPr="0070589C" w14:paraId="418E7CC9"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4E095BF9" w14:textId="77777777" w:rsidR="00441E9C" w:rsidRPr="0070589C" w:rsidRDefault="00441E9C" w:rsidP="00E67800">
            <w:pPr>
              <w:pStyle w:val="tabletext"/>
              <w:ind w:left="284"/>
              <w:rPr>
                <w:lang w:eastAsia="en-GB"/>
              </w:rPr>
            </w:pPr>
            <w:r w:rsidRPr="0070589C">
              <w:rPr>
                <w:lang w:eastAsia="en-GB"/>
              </w:rPr>
              <w:t xml:space="preserve">RIBA 5 </w:t>
            </w:r>
            <w:r w:rsidRPr="00F23894">
              <w:rPr>
                <w:lang w:eastAsia="en-GB"/>
              </w:rPr>
              <w:t>Design Construction</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581A4369" w14:textId="77777777" w:rsidR="00441E9C" w:rsidRPr="0070589C" w:rsidRDefault="00441E9C" w:rsidP="00E67800">
            <w:pPr>
              <w:pStyle w:val="tabletext"/>
              <w:rPr>
                <w:lang w:eastAsia="en-GB"/>
              </w:rPr>
            </w:pPr>
            <w:r w:rsidRPr="0070589C">
              <w:rPr>
                <w:lang w:eastAsia="en-GB"/>
              </w:rPr>
              <w:t>June 2026</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0298F8D4" w14:textId="77777777" w:rsidR="00441E9C" w:rsidRPr="0070589C" w:rsidRDefault="00441E9C" w:rsidP="00E67800">
            <w:pPr>
              <w:pStyle w:val="tabletext"/>
              <w:rPr>
                <w:lang w:eastAsia="en-GB"/>
              </w:rPr>
            </w:pPr>
            <w:r w:rsidRPr="0070589C">
              <w:rPr>
                <w:lang w:eastAsia="en-GB"/>
              </w:rPr>
              <w:t>July 2028</w:t>
            </w:r>
          </w:p>
        </w:tc>
      </w:tr>
      <w:tr w:rsidR="00441E9C" w:rsidRPr="0070589C" w14:paraId="0FCEB1F5"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12560577" w14:textId="77777777" w:rsidR="00441E9C" w:rsidRPr="0070589C" w:rsidRDefault="00441E9C" w:rsidP="00E67800">
            <w:pPr>
              <w:pStyle w:val="tabletext"/>
              <w:rPr>
                <w:lang w:eastAsia="en-GB"/>
              </w:rPr>
            </w:pPr>
            <w:r w:rsidRPr="0070589C">
              <w:rPr>
                <w:lang w:eastAsia="en-GB"/>
              </w:rPr>
              <w:t>Surgical hub construction</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091C5391" w14:textId="77777777" w:rsidR="00441E9C" w:rsidRPr="0070589C" w:rsidRDefault="00441E9C" w:rsidP="00E67800">
            <w:pPr>
              <w:pStyle w:val="tabletext"/>
              <w:rPr>
                <w:lang w:eastAsia="en-GB"/>
              </w:rPr>
            </w:pPr>
            <w:r w:rsidRPr="0070589C">
              <w:rPr>
                <w:lang w:eastAsia="en-GB"/>
              </w:rPr>
              <w:t>June 2026</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1EBE9108" w14:textId="77777777" w:rsidR="00441E9C" w:rsidRPr="0070589C" w:rsidRDefault="00441E9C" w:rsidP="00E67800">
            <w:pPr>
              <w:pStyle w:val="tabletext"/>
              <w:rPr>
                <w:lang w:eastAsia="en-GB"/>
              </w:rPr>
            </w:pPr>
            <w:r w:rsidRPr="0070589C">
              <w:rPr>
                <w:lang w:eastAsia="en-GB"/>
              </w:rPr>
              <w:t>July 2028</w:t>
            </w:r>
          </w:p>
        </w:tc>
      </w:tr>
      <w:tr w:rsidR="00441E9C" w:rsidRPr="0070589C" w14:paraId="02DE4E43"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078DB383" w14:textId="77777777" w:rsidR="00441E9C" w:rsidRPr="0070589C" w:rsidRDefault="00441E9C" w:rsidP="00E67800">
            <w:pPr>
              <w:pStyle w:val="tabletext"/>
              <w:rPr>
                <w:lang w:eastAsia="en-GB"/>
              </w:rPr>
            </w:pPr>
            <w:r w:rsidRPr="0070589C">
              <w:rPr>
                <w:lang w:eastAsia="en-GB"/>
              </w:rPr>
              <w:t>Operational Commissioning</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622C6235" w14:textId="77777777" w:rsidR="00441E9C" w:rsidRPr="0070589C" w:rsidRDefault="00441E9C" w:rsidP="00E67800">
            <w:pPr>
              <w:pStyle w:val="tabletext"/>
              <w:rPr>
                <w:lang w:eastAsia="en-GB"/>
              </w:rPr>
            </w:pPr>
            <w:r w:rsidRPr="0070589C">
              <w:rPr>
                <w:lang w:eastAsia="en-GB"/>
              </w:rPr>
              <w:t>Aug 2028</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5BC07F3E" w14:textId="77777777" w:rsidR="00441E9C" w:rsidRPr="0070589C" w:rsidRDefault="00441E9C" w:rsidP="00E67800">
            <w:pPr>
              <w:pStyle w:val="tabletext"/>
              <w:rPr>
                <w:lang w:eastAsia="en-GB"/>
              </w:rPr>
            </w:pPr>
            <w:r w:rsidRPr="0070589C">
              <w:rPr>
                <w:lang w:eastAsia="en-GB"/>
              </w:rPr>
              <w:t>Oct 2028</w:t>
            </w:r>
          </w:p>
        </w:tc>
      </w:tr>
      <w:tr w:rsidR="00441E9C" w:rsidRPr="0070589C" w14:paraId="1DE2DADF" w14:textId="77777777" w:rsidTr="00E67800">
        <w:tc>
          <w:tcPr>
            <w:tcW w:w="4385" w:type="dxa"/>
            <w:tcBorders>
              <w:left w:val="single" w:sz="8" w:space="0" w:color="A6A6A6"/>
              <w:bottom w:val="single" w:sz="8" w:space="0" w:color="A6A6A6"/>
              <w:right w:val="single" w:sz="8" w:space="0" w:color="A6A6A6"/>
            </w:tcBorders>
            <w:tcMar>
              <w:top w:w="0" w:type="dxa"/>
              <w:left w:w="108" w:type="dxa"/>
              <w:bottom w:w="0" w:type="dxa"/>
              <w:right w:w="108" w:type="dxa"/>
            </w:tcMar>
            <w:vAlign w:val="center"/>
            <w:hideMark/>
          </w:tcPr>
          <w:p w14:paraId="256D0090" w14:textId="77777777" w:rsidR="00441E9C" w:rsidRPr="0070589C" w:rsidRDefault="00441E9C" w:rsidP="00E67800">
            <w:pPr>
              <w:pStyle w:val="tabletext"/>
              <w:rPr>
                <w:lang w:eastAsia="en-GB"/>
              </w:rPr>
            </w:pPr>
            <w:r w:rsidRPr="0070589C">
              <w:rPr>
                <w:lang w:eastAsia="en-GB"/>
              </w:rPr>
              <w:t>Handover of fully commissioned buildings</w:t>
            </w:r>
          </w:p>
        </w:tc>
        <w:tc>
          <w:tcPr>
            <w:tcW w:w="1701" w:type="dxa"/>
            <w:tcBorders>
              <w:bottom w:val="single" w:sz="8" w:space="0" w:color="A6A6A6"/>
              <w:right w:val="single" w:sz="8" w:space="0" w:color="A6A6A6"/>
            </w:tcBorders>
            <w:tcMar>
              <w:top w:w="0" w:type="dxa"/>
              <w:left w:w="108" w:type="dxa"/>
              <w:bottom w:w="0" w:type="dxa"/>
              <w:right w:w="108" w:type="dxa"/>
            </w:tcMar>
            <w:vAlign w:val="center"/>
            <w:hideMark/>
          </w:tcPr>
          <w:p w14:paraId="61BB4BD6" w14:textId="77777777" w:rsidR="00441E9C" w:rsidRPr="0070589C" w:rsidRDefault="00441E9C" w:rsidP="00E67800">
            <w:pPr>
              <w:pStyle w:val="tabletext"/>
              <w:rPr>
                <w:lang w:eastAsia="en-GB"/>
              </w:rPr>
            </w:pPr>
            <w:r w:rsidRPr="0070589C">
              <w:rPr>
                <w:lang w:eastAsia="en-GB"/>
              </w:rPr>
              <w:t>Nov 2028</w:t>
            </w:r>
          </w:p>
        </w:tc>
        <w:tc>
          <w:tcPr>
            <w:tcW w:w="1559" w:type="dxa"/>
            <w:tcBorders>
              <w:bottom w:val="single" w:sz="8" w:space="0" w:color="A6A6A6"/>
              <w:right w:val="single" w:sz="8" w:space="0" w:color="A6A6A6"/>
            </w:tcBorders>
            <w:tcMar>
              <w:top w:w="0" w:type="dxa"/>
              <w:left w:w="108" w:type="dxa"/>
              <w:bottom w:w="0" w:type="dxa"/>
              <w:right w:w="108" w:type="dxa"/>
            </w:tcMar>
            <w:vAlign w:val="center"/>
            <w:hideMark/>
          </w:tcPr>
          <w:p w14:paraId="69593212" w14:textId="77777777" w:rsidR="00441E9C" w:rsidRPr="0070589C" w:rsidRDefault="00441E9C" w:rsidP="00E67800">
            <w:pPr>
              <w:pStyle w:val="tabletext"/>
              <w:rPr>
                <w:lang w:eastAsia="en-GB"/>
              </w:rPr>
            </w:pPr>
            <w:r>
              <w:rPr>
                <w:lang w:eastAsia="en-GB"/>
              </w:rPr>
              <w:t>Dec</w:t>
            </w:r>
            <w:r w:rsidRPr="0070589C">
              <w:rPr>
                <w:lang w:eastAsia="en-GB"/>
              </w:rPr>
              <w:t xml:space="preserve"> 2028</w:t>
            </w:r>
          </w:p>
        </w:tc>
      </w:tr>
    </w:tbl>
    <w:p w14:paraId="3CE9A7BB" w14:textId="77777777" w:rsidR="005378CE" w:rsidRPr="0073540B" w:rsidRDefault="005378CE" w:rsidP="005378CE"/>
    <w:p w14:paraId="6AD48A2C" w14:textId="77777777" w:rsidR="005378CE" w:rsidRDefault="005378CE" w:rsidP="005378CE">
      <w:pPr>
        <w:pStyle w:val="Heading2"/>
      </w:pPr>
      <w:bookmarkStart w:id="274" w:name="_Toc213865272"/>
      <w:r>
        <w:t>Workforce Plans</w:t>
      </w:r>
      <w:bookmarkEnd w:id="274"/>
    </w:p>
    <w:p w14:paraId="76C5A0A2" w14:textId="60E11196" w:rsidR="005378CE" w:rsidRDefault="009F6E4A" w:rsidP="00DE042F">
      <w:pPr>
        <w:pStyle w:val="Heading3"/>
      </w:pPr>
      <w:r>
        <w:t xml:space="preserve">Workforce Planning Overview </w:t>
      </w:r>
    </w:p>
    <w:p w14:paraId="2A4E69F2" w14:textId="77777777" w:rsidR="009F6E4A" w:rsidRPr="000D62BB" w:rsidRDefault="009F6E4A" w:rsidP="00441E9C">
      <w:r w:rsidRPr="000D62BB">
        <w:t xml:space="preserve">The purpose of the </w:t>
      </w:r>
      <w:r w:rsidRPr="000D62BB">
        <w:rPr>
          <w:rFonts w:eastAsia="Calibri"/>
        </w:rPr>
        <w:t>Llantrisant Health Park (LHP)</w:t>
      </w:r>
      <w:r w:rsidRPr="000D62BB">
        <w:t xml:space="preserve"> workforce plan is to ensure the right workforce, in the right place, with the right skills, at the right time and cost to deliver improved regional access to diagnostics, endoscopy and orthopaedic surgery via regional collaboration</w:t>
      </w:r>
      <w:r w:rsidRPr="000D62BB">
        <w:rPr>
          <w:rFonts w:eastAsia="Arial"/>
          <w:color w:val="005EB8" w:themeColor="text1"/>
        </w:rPr>
        <w:t xml:space="preserve"> </w:t>
      </w:r>
      <w:r w:rsidRPr="000D62BB">
        <w:t>(in accordance with Welsh Government and Ministerial Advisory Group (MAG) recommendations).  This plan focuses specifically on the arthroplasty workforce as part of LHP Phase 2.</w:t>
      </w:r>
    </w:p>
    <w:p w14:paraId="1D434215" w14:textId="77777777" w:rsidR="009F6E4A" w:rsidRPr="009F6E4A" w:rsidRDefault="009F6E4A" w:rsidP="00441E9C">
      <w:pPr>
        <w:rPr>
          <w:rFonts w:eastAsiaTheme="minorEastAsia"/>
        </w:rPr>
      </w:pPr>
      <w:r w:rsidRPr="009F6E4A">
        <w:rPr>
          <w:rFonts w:eastAsia="Calibri"/>
        </w:rPr>
        <w:t xml:space="preserve">LHP, as a stand-alone facility, provides an exciting opportunity for workforce transformation. Through </w:t>
      </w:r>
      <w:r w:rsidRPr="009F6E4A">
        <w:rPr>
          <w:rFonts w:eastAsiaTheme="minorEastAsia"/>
        </w:rPr>
        <w:t xml:space="preserve">maximising skills and increasing workforce capacity the workforce plan will support the delivery of evidence-based, innovative practice, across multi-disciplinary teams, to reduce waiting lists and length of stay for high volume, low complexity, primary lower limb arthroplasty, across the South East Wales region.  </w:t>
      </w:r>
    </w:p>
    <w:p w14:paraId="384AD8F3" w14:textId="77777777" w:rsidR="009F6E4A" w:rsidRPr="009F6E4A" w:rsidRDefault="009F6E4A" w:rsidP="00441E9C">
      <w:pPr>
        <w:rPr>
          <w:rFonts w:eastAsiaTheme="minorEastAsia"/>
        </w:rPr>
      </w:pPr>
      <w:r w:rsidRPr="009F6E4A">
        <w:rPr>
          <w:rFonts w:eastAsia="Calibri"/>
        </w:rPr>
        <w:t xml:space="preserve">The plan will deliver a workforce that is flexible, productive, efficient, cost effective and sustainable with multi-professional teams undertaking roles which are varied and transformational. </w:t>
      </w:r>
      <w:r w:rsidRPr="009F6E4A">
        <w:rPr>
          <w:rFonts w:eastAsiaTheme="minorEastAsia"/>
        </w:rPr>
        <w:t>It will be underpinned by digital and technological opportunities, to improve efficiency and capacity, delivering excellent patient outcomes, whilst also mitigating against some of the external workforce supply challenges. C</w:t>
      </w:r>
      <w:r w:rsidRPr="009F6E4A">
        <w:rPr>
          <w:rFonts w:eastAsia="Calibri"/>
        </w:rPr>
        <w:t>ollaborative working across the region aims to support</w:t>
      </w:r>
      <w:r w:rsidRPr="009F6E4A">
        <w:t xml:space="preserve"> improved training, cross boundary working, and workforce sustainability.</w:t>
      </w:r>
    </w:p>
    <w:p w14:paraId="2A71BA65" w14:textId="77777777" w:rsidR="009F6E4A" w:rsidRPr="009F6E4A" w:rsidRDefault="009F6E4A" w:rsidP="00441E9C">
      <w:pPr>
        <w:rPr>
          <w:rFonts w:eastAsia="Calibri"/>
          <w:highlight w:val="yellow"/>
        </w:rPr>
      </w:pPr>
      <w:r w:rsidRPr="009F6E4A">
        <w:rPr>
          <w:rFonts w:eastAsia="Calibri"/>
        </w:rPr>
        <w:t xml:space="preserve">The plan will align to “A </w:t>
      </w:r>
      <w:r w:rsidRPr="009F6E4A">
        <w:rPr>
          <w:rFonts w:eastAsiaTheme="minorEastAsia"/>
        </w:rPr>
        <w:t xml:space="preserve">Healthier Wales: Our Workforce Strategy for Health and Social Care (National Implementation Plan for Wales)”, Welsh Language Standards, national programmes of work (e.g. Regional Orthopaedics, Regional Endoscopy, HEIW-led Theatres Workforce Transformation Project) and All Wales Strategic Workforce Plans (including Nursing, Pharmacy, Radiology, and Diagnostics). </w:t>
      </w:r>
    </w:p>
    <w:p w14:paraId="68087F8B" w14:textId="77777777" w:rsidR="009F6E4A" w:rsidRPr="009F6E4A" w:rsidRDefault="009F6E4A" w:rsidP="00441E9C">
      <w:pPr>
        <w:rPr>
          <w:rFonts w:eastAsia="Calibri"/>
        </w:rPr>
      </w:pPr>
      <w:r w:rsidRPr="009F6E4A">
        <w:rPr>
          <w:rFonts w:eastAsiaTheme="minorEastAsia"/>
        </w:rPr>
        <w:t>T</w:t>
      </w:r>
      <w:r w:rsidRPr="009F6E4A">
        <w:rPr>
          <w:rFonts w:eastAsia="Calibri"/>
        </w:rPr>
        <w:t>he approach to delivering the workforce model and workforce plan will be u</w:t>
      </w:r>
      <w:r w:rsidRPr="009F6E4A">
        <w:t>nderpinned by the People (&amp; Culture) Plans across the three Health Boards, ensuring alignment and congruent with regional working and LHP</w:t>
      </w:r>
      <w:r w:rsidRPr="009F6E4A">
        <w:rPr>
          <w:rFonts w:eastAsia="Calibri"/>
        </w:rPr>
        <w:t>.  Essential to its delivery will be:  Collaboration, Effective Leadership, Risk Management and Change Management.</w:t>
      </w:r>
    </w:p>
    <w:p w14:paraId="27C29944" w14:textId="26E89FF9" w:rsidR="009C05F7" w:rsidRDefault="009C05F7" w:rsidP="009C05F7">
      <w:pPr>
        <w:pStyle w:val="Caption"/>
        <w:jc w:val="both"/>
      </w:pPr>
      <w:bookmarkStart w:id="275" w:name="_Toc213865330"/>
      <w:r>
        <w:lastRenderedPageBreak/>
        <w:t xml:space="preserve">Figure </w:t>
      </w:r>
      <w:r>
        <w:fldChar w:fldCharType="begin"/>
      </w:r>
      <w:r>
        <w:instrText xml:space="preserve"> SEQ Figure \* ARABIC </w:instrText>
      </w:r>
      <w:r>
        <w:fldChar w:fldCharType="separate"/>
      </w:r>
      <w:r w:rsidR="00376786">
        <w:t>17</w:t>
      </w:r>
      <w:r>
        <w:fldChar w:fldCharType="end"/>
      </w:r>
      <w:r>
        <w:t xml:space="preserve"> - </w:t>
      </w:r>
      <w:r w:rsidRPr="00772DB7">
        <w:t>All Wales strategic workforce planning key requirements</w:t>
      </w:r>
      <w:bookmarkEnd w:id="275"/>
    </w:p>
    <w:p w14:paraId="3C1267E6" w14:textId="77777777" w:rsidR="009C05F7" w:rsidRDefault="009F6E4A" w:rsidP="009F6E4A">
      <w:pPr>
        <w:spacing w:before="200" w:after="0" w:line="257" w:lineRule="auto"/>
        <w:jc w:val="both"/>
        <w:rPr>
          <w:rFonts w:eastAsiaTheme="minorEastAsia" w:cs="Arial"/>
          <w:b/>
          <w:bCs/>
        </w:rPr>
      </w:pPr>
      <w:r w:rsidRPr="000D62BB">
        <w:rPr>
          <w:rFonts w:cs="Arial"/>
          <w:noProof/>
        </w:rPr>
        <w:drawing>
          <wp:inline distT="0" distB="0" distL="0" distR="0" wp14:anchorId="280121EF" wp14:editId="3DFCD140">
            <wp:extent cx="5590800" cy="2358000"/>
            <wp:effectExtent l="0" t="0" r="0" b="4445"/>
            <wp:docPr id="2140896511"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2782675" name=""/>
                    <pic:cNvPicPr/>
                  </pic:nvPicPr>
                  <pic:blipFill>
                    <a:blip r:embed="rId62">
                      <a:extLst>
                        <a:ext uri="{28A0092B-C50C-407E-A947-70E740481C1C}">
                          <a14:useLocalDpi xmlns:a14="http://schemas.microsoft.com/office/drawing/2010/main"/>
                        </a:ext>
                      </a:extLst>
                    </a:blip>
                    <a:stretch>
                      <a:fillRect/>
                    </a:stretch>
                  </pic:blipFill>
                  <pic:spPr>
                    <a:xfrm>
                      <a:off x="0" y="0"/>
                      <a:ext cx="5590800" cy="2358000"/>
                    </a:xfrm>
                    <a:prstGeom prst="rect">
                      <a:avLst/>
                    </a:prstGeom>
                  </pic:spPr>
                </pic:pic>
              </a:graphicData>
            </a:graphic>
          </wp:inline>
        </w:drawing>
      </w:r>
      <w:r w:rsidRPr="000D62BB">
        <w:rPr>
          <w:rFonts w:eastAsiaTheme="minorEastAsia" w:cs="Arial"/>
          <w:b/>
          <w:bCs/>
        </w:rPr>
        <w:t xml:space="preserve"> </w:t>
      </w:r>
    </w:p>
    <w:p w14:paraId="2E3C2386" w14:textId="0A56B961" w:rsidR="009F6E4A" w:rsidRDefault="009F6E4A" w:rsidP="009F6E4A">
      <w:pPr>
        <w:spacing w:before="200" w:after="0" w:line="257" w:lineRule="auto"/>
        <w:jc w:val="both"/>
        <w:rPr>
          <w:rStyle w:val="NoSpacingChar"/>
          <w:i/>
          <w:iCs/>
        </w:rPr>
      </w:pPr>
      <w:r w:rsidRPr="009C05F7">
        <w:rPr>
          <w:rStyle w:val="NoSpacingChar"/>
          <w:i/>
          <w:iCs/>
        </w:rPr>
        <w:t>Source: HEIW</w:t>
      </w:r>
    </w:p>
    <w:p w14:paraId="1AC4C0E2" w14:textId="77777777" w:rsidR="009C05F7" w:rsidRPr="009C05F7" w:rsidRDefault="009C05F7" w:rsidP="009C05F7">
      <w:pPr>
        <w:pStyle w:val="NoSpacing"/>
        <w:rPr>
          <w:rStyle w:val="NoSpacingChar"/>
          <w:i/>
          <w:iCs/>
        </w:rPr>
      </w:pPr>
    </w:p>
    <w:p w14:paraId="542B9BB4" w14:textId="64EEC844" w:rsidR="009F6E4A" w:rsidRPr="00376786" w:rsidRDefault="009F6E4A" w:rsidP="00376786">
      <w:r w:rsidRPr="00376786">
        <w:t xml:space="preserve">To ensure standardisation and incorporation of best practice the plan will work in accordance with the National Blueprint for Orthopaedic Surgical Delivery in Wales, GIRFT recommendations and professional and national standards of clinical care. </w:t>
      </w:r>
    </w:p>
    <w:p w14:paraId="223E6C38" w14:textId="77777777" w:rsidR="009F6E4A" w:rsidRPr="00376786" w:rsidRDefault="009F6E4A" w:rsidP="00376786">
      <w:r w:rsidRPr="00376786">
        <w:t>It is recognised that the transition to SEW regional collaboration at LHP is a critical step in the delivery of integrated, high-quality healthcare. The detail of this transformation depends heavily on the evolving design of the workforce model. Ensuring the right organisational design supported by organisational development to ensure effective leadership, cultural alignment, and clear communication across the system. The workforce plan for LHP will be dependent on the wider evolving work within the South East Wales regional Orthopaedics plan and the new Regional Joint Committee g (RJC), which will be essential enabling factors for its success.  </w:t>
      </w:r>
    </w:p>
    <w:p w14:paraId="3785C760" w14:textId="20B668B0" w:rsidR="009F6E4A" w:rsidRPr="00376786" w:rsidRDefault="009F6E4A" w:rsidP="00376786">
      <w:r w:rsidRPr="00376786">
        <w:t>Key next steps will be a continued focus on fostering collaboration, trust, and shared purpose among staff from the three Health Boards. Cultural readiness for change, combined with a tailored approach to organisational development (OD), will play a pivotal role in making this transition successful. The organisational development interventions outlined in the broader regional plan will be adapted and applied specifically to LHP to ensure seamless integration</w:t>
      </w:r>
    </w:p>
    <w:p w14:paraId="590CEE13" w14:textId="07BF7B96" w:rsidR="009F6E4A" w:rsidRDefault="009F6E4A" w:rsidP="00DE042F">
      <w:pPr>
        <w:pStyle w:val="Heading3"/>
      </w:pPr>
      <w:r>
        <w:t>Developing the Workforce Plan and Model</w:t>
      </w:r>
    </w:p>
    <w:p w14:paraId="75800252" w14:textId="77777777" w:rsidR="009F6E4A" w:rsidRPr="00376786" w:rsidRDefault="009F6E4A" w:rsidP="00376786">
      <w:r w:rsidRPr="00376786">
        <w:t>Our approach to workforce planning is underpinned by the All Wales Six Step Framework (and associated HEIW planning guidance &amp; materials) and is aligned to and integrated across Service, Planning, Finance, and People:</w:t>
      </w:r>
    </w:p>
    <w:p w14:paraId="0DDAFC28" w14:textId="0DEA4D9A" w:rsidR="00376786" w:rsidRDefault="00376786" w:rsidP="00376786">
      <w:pPr>
        <w:pStyle w:val="Caption"/>
        <w:jc w:val="both"/>
      </w:pPr>
      <w:bookmarkStart w:id="276" w:name="_Toc213865331"/>
      <w:r>
        <w:t xml:space="preserve">Figure </w:t>
      </w:r>
      <w:r>
        <w:fldChar w:fldCharType="begin"/>
      </w:r>
      <w:r>
        <w:instrText xml:space="preserve"> SEQ Figure \* ARABIC </w:instrText>
      </w:r>
      <w:r>
        <w:fldChar w:fldCharType="separate"/>
      </w:r>
      <w:r>
        <w:t>18</w:t>
      </w:r>
      <w:r>
        <w:fldChar w:fldCharType="end"/>
      </w:r>
      <w:r>
        <w:t xml:space="preserve"> - </w:t>
      </w:r>
      <w:r w:rsidRPr="0078122F">
        <w:t xml:space="preserve">Fig – All Wales </w:t>
      </w:r>
      <w:r w:rsidR="002B4EE6" w:rsidRPr="0078122F">
        <w:t>strategic workforce planning six step framework</w:t>
      </w:r>
      <w:bookmarkEnd w:id="276"/>
    </w:p>
    <w:p w14:paraId="75A9D3A4" w14:textId="77777777" w:rsidR="009F6E4A" w:rsidRPr="009F6E4A" w:rsidRDefault="009F6E4A" w:rsidP="009F6E4A">
      <w:pPr>
        <w:spacing w:before="200" w:after="0" w:line="257" w:lineRule="auto"/>
        <w:jc w:val="both"/>
        <w:rPr>
          <w:rFonts w:eastAsiaTheme="minorEastAsia" w:cs="Arial"/>
        </w:rPr>
      </w:pPr>
      <w:r w:rsidRPr="009F6E4A">
        <w:rPr>
          <w:rFonts w:cs="Arial"/>
          <w:noProof/>
        </w:rPr>
        <w:drawing>
          <wp:inline distT="0" distB="0" distL="0" distR="0" wp14:anchorId="55F13A4A" wp14:editId="22560366">
            <wp:extent cx="5570886" cy="1763750"/>
            <wp:effectExtent l="0" t="0" r="0" b="0"/>
            <wp:docPr id="677756433" name="drawing" descr="HEIW Roadmap to developing a strategic workforce plan based on the six step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228633" name=""/>
                    <pic:cNvPicPr/>
                  </pic:nvPicPr>
                  <pic:blipFill>
                    <a:blip r:embed="rId63">
                      <a:extLst>
                        <a:ext uri="{28A0092B-C50C-407E-A947-70E740481C1C}">
                          <a14:useLocalDpi xmlns:a14="http://schemas.microsoft.com/office/drawing/2010/main"/>
                        </a:ext>
                      </a:extLst>
                    </a:blip>
                    <a:stretch>
                      <a:fillRect/>
                    </a:stretch>
                  </pic:blipFill>
                  <pic:spPr>
                    <a:xfrm>
                      <a:off x="0" y="0"/>
                      <a:ext cx="5570886" cy="1763750"/>
                    </a:xfrm>
                    <a:prstGeom prst="rect">
                      <a:avLst/>
                    </a:prstGeom>
                  </pic:spPr>
                </pic:pic>
              </a:graphicData>
            </a:graphic>
          </wp:inline>
        </w:drawing>
      </w:r>
    </w:p>
    <w:p w14:paraId="0F292AD3" w14:textId="77777777" w:rsidR="009F6E4A" w:rsidRPr="002B4EE6" w:rsidRDefault="009F6E4A" w:rsidP="002B4EE6">
      <w:pPr>
        <w:rPr>
          <w:i/>
          <w:iCs/>
        </w:rPr>
      </w:pPr>
      <w:r w:rsidRPr="002B4EE6">
        <w:rPr>
          <w:i/>
          <w:iCs/>
        </w:rPr>
        <w:t>Source: HEIW</w:t>
      </w:r>
    </w:p>
    <w:p w14:paraId="395C9806" w14:textId="77777777" w:rsidR="009F6E4A" w:rsidRPr="002B4EE6" w:rsidRDefault="009F6E4A" w:rsidP="002B4EE6">
      <w:r w:rsidRPr="002B4EE6">
        <w:lastRenderedPageBreak/>
        <w:t>LHP will be based on several key general workforce planning principles within the approach. These will need to be finalised, agreed and endorsed across the three Health Boards:</w:t>
      </w:r>
    </w:p>
    <w:p w14:paraId="304100F0" w14:textId="77777777" w:rsidR="009F6E4A" w:rsidRPr="009F6E4A" w:rsidRDefault="009F6E4A" w:rsidP="002B4EE6">
      <w:pPr>
        <w:pStyle w:val="bullets1"/>
      </w:pPr>
      <w:r w:rsidRPr="009F6E4A">
        <w:t>Innovative service delivery models supported by transformational workforce approaches that embed flexibility, cross-skilling, and multidisciplinary team working.</w:t>
      </w:r>
    </w:p>
    <w:p w14:paraId="48CDBA19" w14:textId="77777777" w:rsidR="009F6E4A" w:rsidRPr="009F6E4A" w:rsidRDefault="009F6E4A" w:rsidP="002B4EE6">
      <w:pPr>
        <w:pStyle w:val="bullets1"/>
        <w:rPr>
          <w:rFonts w:eastAsiaTheme="minorEastAsia"/>
        </w:rPr>
      </w:pPr>
      <w:r w:rsidRPr="009F6E4A">
        <w:rPr>
          <w:rFonts w:eastAsiaTheme="minorEastAsia"/>
        </w:rPr>
        <w:t>Strong and compassionate leadership, creating a shared vision and the right conditions for the workforce to thrive</w:t>
      </w:r>
    </w:p>
    <w:p w14:paraId="176932CB" w14:textId="77777777" w:rsidR="009F6E4A" w:rsidRPr="009F6E4A" w:rsidRDefault="009F6E4A" w:rsidP="002B4EE6">
      <w:pPr>
        <w:pStyle w:val="bullets1"/>
        <w:rPr>
          <w:rFonts w:eastAsiaTheme="minorEastAsia"/>
        </w:rPr>
      </w:pPr>
      <w:r w:rsidRPr="009F6E4A">
        <w:rPr>
          <w:rFonts w:eastAsiaTheme="minorEastAsia"/>
        </w:rPr>
        <w:t>Teams brought together with shared values and a positive culture to support multi-disciplinary team working where equality, diversity, inclusion and wellbeing are at the heart of all we do</w:t>
      </w:r>
    </w:p>
    <w:p w14:paraId="39CE43D4" w14:textId="77777777" w:rsidR="009F6E4A" w:rsidRPr="009F6E4A" w:rsidRDefault="009F6E4A" w:rsidP="002B4EE6">
      <w:pPr>
        <w:pStyle w:val="bullets1"/>
        <w:rPr>
          <w:rFonts w:eastAsiaTheme="minorEastAsia"/>
        </w:rPr>
      </w:pPr>
      <w:r w:rsidRPr="009F6E4A">
        <w:rPr>
          <w:rFonts w:eastAsiaTheme="minorEastAsia"/>
        </w:rPr>
        <w:t>Clear structures, roles, responsibilities and reporting lines</w:t>
      </w:r>
    </w:p>
    <w:p w14:paraId="390CEAB1" w14:textId="77777777" w:rsidR="009F6E4A" w:rsidRPr="009F6E4A" w:rsidRDefault="009F6E4A" w:rsidP="002B4EE6">
      <w:pPr>
        <w:pStyle w:val="bullets1"/>
        <w:rPr>
          <w:rFonts w:eastAsiaTheme="minorEastAsia"/>
        </w:rPr>
      </w:pPr>
      <w:r w:rsidRPr="009F6E4A">
        <w:rPr>
          <w:rFonts w:eastAsiaTheme="minorEastAsia"/>
        </w:rPr>
        <w:t>A grounding in prudent health care principles with everyone working at the top of their competencies with the appropriate skill mix to reduce waste and variation for better patient outcomes</w:t>
      </w:r>
    </w:p>
    <w:p w14:paraId="3F945780" w14:textId="77777777" w:rsidR="009F6E4A" w:rsidRPr="009F6E4A" w:rsidRDefault="009F6E4A" w:rsidP="002B4EE6">
      <w:pPr>
        <w:pStyle w:val="bullets1"/>
        <w:rPr>
          <w:rFonts w:eastAsiaTheme="minorEastAsia"/>
        </w:rPr>
      </w:pPr>
      <w:r w:rsidRPr="009F6E4A">
        <w:rPr>
          <w:rFonts w:eastAsiaTheme="minorEastAsia"/>
        </w:rPr>
        <w:t>Support for (if required and appropriate) cross boundary working, within agreed governance and training</w:t>
      </w:r>
    </w:p>
    <w:p w14:paraId="38EDA31D" w14:textId="77777777" w:rsidR="009F6E4A" w:rsidRPr="009F6E4A" w:rsidRDefault="009F6E4A" w:rsidP="002B4EE6">
      <w:pPr>
        <w:pStyle w:val="bullets1"/>
        <w:rPr>
          <w:rFonts w:eastAsiaTheme="minorEastAsia"/>
        </w:rPr>
      </w:pPr>
      <w:r w:rsidRPr="009F6E4A">
        <w:rPr>
          <w:rFonts w:eastAsiaTheme="minorEastAsia"/>
        </w:rPr>
        <w:t>Improved patient experience across each stage of the pathway.</w:t>
      </w:r>
    </w:p>
    <w:p w14:paraId="0F9772AB" w14:textId="77777777" w:rsidR="009F6E4A" w:rsidRPr="009F6E4A" w:rsidRDefault="009F6E4A" w:rsidP="002B4EE6">
      <w:pPr>
        <w:pStyle w:val="bullets1"/>
        <w:rPr>
          <w:rFonts w:eastAsiaTheme="minorEastAsia"/>
        </w:rPr>
      </w:pPr>
      <w:r w:rsidRPr="009F6E4A">
        <w:rPr>
          <w:rFonts w:eastAsiaTheme="minorEastAsia"/>
        </w:rPr>
        <w:t>A strong focus on designing infrastructure that supports workforce wellbeing and experience</w:t>
      </w:r>
    </w:p>
    <w:p w14:paraId="4016C983" w14:textId="77777777" w:rsidR="009F6E4A" w:rsidRPr="009F6E4A" w:rsidRDefault="009F6E4A" w:rsidP="002B4EE6">
      <w:pPr>
        <w:pStyle w:val="bullets1"/>
        <w:rPr>
          <w:rFonts w:eastAsiaTheme="minorEastAsia"/>
          <w:lang w:val="en-US"/>
        </w:rPr>
      </w:pPr>
      <w:r w:rsidRPr="009F6E4A">
        <w:rPr>
          <w:rFonts w:eastAsiaTheme="minorEastAsia"/>
          <w:lang w:val="en-US"/>
        </w:rPr>
        <w:t>Digitally enabled transformation and solutions to deliver high quality elective care</w:t>
      </w:r>
    </w:p>
    <w:p w14:paraId="453D73B1" w14:textId="77777777" w:rsidR="009F6E4A" w:rsidRDefault="009F6E4A" w:rsidP="002B4EE6">
      <w:pPr>
        <w:pStyle w:val="bullets1"/>
      </w:pPr>
      <w:r w:rsidRPr="009F6E4A">
        <w:t xml:space="preserve">Consideration of national and professional standards of practice e.g. Nurse Staffing Act </w:t>
      </w:r>
    </w:p>
    <w:p w14:paraId="0B2F1F1A" w14:textId="77777777" w:rsidR="002B4EE6" w:rsidRDefault="002B4EE6" w:rsidP="002B4EE6">
      <w:pPr>
        <w:pStyle w:val="NoSpacing"/>
      </w:pPr>
    </w:p>
    <w:p w14:paraId="247719B6" w14:textId="77777777" w:rsidR="002B4EE6" w:rsidRDefault="002B4EE6" w:rsidP="002B4EE6">
      <w:r>
        <w:t xml:space="preserve">The South East Wales regional orthopaedic plan will be used to support the development of the LHP workforce plan, with work already under way aiming to deliver sustainable, high-quality orthopaedic services, across the region, over the next four years. The plan in this initial phase, focuses on the acute phase of the Orthopaedic pathway and the Llantrisant Health Park (LHP). The plan will continue to develop in line with the LHP programme timelines. </w:t>
      </w:r>
    </w:p>
    <w:p w14:paraId="08222FB7" w14:textId="77777777" w:rsidR="002B4EE6" w:rsidRDefault="002B4EE6" w:rsidP="002B4EE6">
      <w:r>
        <w:t xml:space="preserve">Workforce planning has begun to identify skills shortages, especially in theatre staffing with critical medical roles, as a major constraint. The plan emphasises strategic workforce mapping, risk analyses, and the development of a regional workforce roadmap aligned with future clinical models to support recruitment, retention, and role standardisation.  The SWOT analysis from the Regional Orthopaedic plan provides a baseline for workforce solutions to be developed on a regional basis to address the significant workforce risks that may not be easily be resolved due to local and national shortages.  </w:t>
      </w:r>
    </w:p>
    <w:p w14:paraId="228D35BB" w14:textId="77777777" w:rsidR="002B4EE6" w:rsidRDefault="002B4EE6" w:rsidP="002B4EE6">
      <w:r>
        <w:t xml:space="preserve">The workforce plan will be an iterative process and will design, develop and aim to deliver a sustainable workforce, taking account of the strategic drivers, context and challenges set out in the workforce section of the Regional Orthopaedic Plan, Appendix 2 to this document. Timelines are being developed to ensure a more detailed workforce plan is in place in readiness for the full business case. </w:t>
      </w:r>
    </w:p>
    <w:p w14:paraId="1E530DE5" w14:textId="62A83EA9" w:rsidR="002B4EE6" w:rsidRDefault="002B4EE6" w:rsidP="002B4EE6">
      <w:pPr>
        <w:pStyle w:val="Heading4"/>
      </w:pPr>
      <w:r>
        <w:t>Defining the workforce and roles required</w:t>
      </w:r>
    </w:p>
    <w:p w14:paraId="7348BE30" w14:textId="77777777" w:rsidR="002B4EE6" w:rsidRDefault="002B4EE6" w:rsidP="002B4EE6">
      <w:r>
        <w:t xml:space="preserve">The workforce required has been mapped against the proposed service activities for LHP, with indicative modelling and numbers for the potential workforce required to support the service model. These numbers are based on current “knowns” and workforce models which either exist or have been agreed e.g. via the Orthopaedic CIN, along with learning from GIRFT accredited units.  Within the current proposal, three CTMUHB orthopaedic theatres will move across to LHP and the associated funded WTE ward and theatre posts will also transfer (under an Organisational Change Programme), with three additional theatres to support additional activity from across the SEW region. </w:t>
      </w:r>
    </w:p>
    <w:p w14:paraId="48B539E3" w14:textId="77777777" w:rsidR="002B4EE6" w:rsidRDefault="002B4EE6" w:rsidP="002B4EE6">
      <w:r>
        <w:t xml:space="preserve">The workforce model will need to continue to evolve alongside and congruent to the clinical, operational, and digital elements of the programme.  It will also need to align to the regional orthopaedic workforce plan to consider the impact on regional demand modelling and LHP </w:t>
      </w:r>
      <w:r>
        <w:lastRenderedPageBreak/>
        <w:t>capacity requirements.   Translating the activities at each stage of the clinical pathways into workforce skills, competencies, roles, and numbers to deliver the model effectively and efficiently.  Key to this will be exploration of potential employment models for the medical workforce, as the regional orthopaedic plan SWOT analysis identified critical challenges (e.g. around job planning).</w:t>
      </w:r>
    </w:p>
    <w:p w14:paraId="59D0993B" w14:textId="77777777" w:rsidR="002B4EE6" w:rsidRDefault="002B4EE6" w:rsidP="002B4EE6">
      <w:pPr>
        <w:pStyle w:val="Heading4"/>
      </w:pPr>
      <w:r>
        <w:t>Exploration of roles</w:t>
      </w:r>
    </w:p>
    <w:p w14:paraId="329341C7" w14:textId="77777777" w:rsidR="002B4EE6" w:rsidRDefault="002B4EE6" w:rsidP="002B4EE6">
      <w:r>
        <w:t xml:space="preserve">A key next step within the programme of work is further exploration of the potential for new, alternative and expanded roles within the workforce model using benchmarking to support a model that is sustainable. The workforce model, plan and resourcing plan will all draw upon learning high performing, elective orthopaedic treatment centres, across the United Kingdom and explore alternative ways of working beyond traditional approaches to service delivery. The pre-implementation period offers the opportunity to pilot new models of care and test concepts - capturing lessons learnt and measuring the effectiveness of changes. An example of this would be the new ways of working already being piloted within Princess of Wales hospital elective orthopaedic unit </w:t>
      </w:r>
    </w:p>
    <w:p w14:paraId="564F44DC" w14:textId="77777777" w:rsidR="002B4EE6" w:rsidRDefault="002B4EE6" w:rsidP="002B4EE6">
      <w:r>
        <w:t>Examples of this include:</w:t>
      </w:r>
    </w:p>
    <w:p w14:paraId="42D889EC" w14:textId="77777777" w:rsidR="009F6E4A" w:rsidRPr="009F6E4A" w:rsidRDefault="009F6E4A" w:rsidP="002B4EE6">
      <w:pPr>
        <w:pStyle w:val="bullets1"/>
      </w:pPr>
      <w:r w:rsidRPr="009F6E4A">
        <w:t xml:space="preserve">Use of alternative roles, e.g. Surgical First Assistants, Assistant Peri-Operative Practitioners </w:t>
      </w:r>
    </w:p>
    <w:p w14:paraId="082FE905" w14:textId="77777777" w:rsidR="009F6E4A" w:rsidRPr="009F6E4A" w:rsidRDefault="009F6E4A" w:rsidP="002B4EE6">
      <w:pPr>
        <w:pStyle w:val="bullets1"/>
      </w:pPr>
      <w:r w:rsidRPr="009F6E4A">
        <w:t xml:space="preserve">Broadening the scope of roles, e.g. HCSW to include </w:t>
      </w:r>
      <w:proofErr w:type="spellStart"/>
      <w:r w:rsidRPr="009F6E4A">
        <w:t>portering</w:t>
      </w:r>
      <w:proofErr w:type="spellEnd"/>
      <w:r w:rsidRPr="009F6E4A">
        <w:t xml:space="preserve"> duties </w:t>
      </w:r>
    </w:p>
    <w:p w14:paraId="310B26D4" w14:textId="77777777" w:rsidR="009F6E4A" w:rsidRPr="009F6E4A" w:rsidRDefault="009F6E4A" w:rsidP="002B4EE6">
      <w:pPr>
        <w:pStyle w:val="bullets1"/>
      </w:pPr>
      <w:r w:rsidRPr="009F6E4A">
        <w:t>Increased therapies input, e.g. to enable discharge, through extension of shift patterns/cover, &amp; “side skilling” nursing staff in therapies competencies such as mobilisation</w:t>
      </w:r>
    </w:p>
    <w:p w14:paraId="13DD6DD5" w14:textId="77777777" w:rsidR="009F6E4A" w:rsidRPr="009F6E4A" w:rsidRDefault="009F6E4A" w:rsidP="002B4EE6">
      <w:pPr>
        <w:pStyle w:val="bullets1"/>
      </w:pPr>
      <w:r w:rsidRPr="009F6E4A">
        <w:t>Enhancing skills to promote flexibility and the potential for “float” roles, e.g. a multiskilled nursing workforce to work across admissions, recovery and the wards</w:t>
      </w:r>
    </w:p>
    <w:p w14:paraId="30CB3D8D" w14:textId="77777777" w:rsidR="009F6E4A" w:rsidRPr="009F6E4A" w:rsidRDefault="009F6E4A" w:rsidP="002B4EE6">
      <w:pPr>
        <w:pStyle w:val="bullets1"/>
      </w:pPr>
      <w:r w:rsidRPr="009F6E4A">
        <w:t>Technology as an enabler and driver of innovation, efficiency and productivity e.g. automation, AI, virtual interactions</w:t>
      </w:r>
    </w:p>
    <w:p w14:paraId="00051468" w14:textId="77777777" w:rsidR="009F6E4A" w:rsidRPr="009F6E4A" w:rsidRDefault="009F6E4A" w:rsidP="009F6E4A">
      <w:pPr>
        <w:spacing w:after="0" w:line="257" w:lineRule="auto"/>
        <w:jc w:val="both"/>
        <w:rPr>
          <w:rFonts w:eastAsia="Calibri" w:cs="Arial"/>
        </w:rPr>
      </w:pPr>
    </w:p>
    <w:p w14:paraId="5DEC8683" w14:textId="77777777" w:rsidR="009F6E4A" w:rsidRPr="009F6E4A" w:rsidRDefault="009F6E4A" w:rsidP="009F6E4A">
      <w:pPr>
        <w:jc w:val="both"/>
        <w:rPr>
          <w:rFonts w:cs="Arial"/>
        </w:rPr>
      </w:pPr>
      <w:r w:rsidRPr="009F6E4A">
        <w:rPr>
          <w:rFonts w:eastAsia="Calibri" w:cs="Arial"/>
        </w:rPr>
        <w:t>Th</w:t>
      </w:r>
      <w:r w:rsidRPr="009F6E4A">
        <w:rPr>
          <w:rFonts w:cs="Arial"/>
        </w:rPr>
        <w:t xml:space="preserve">e workforce numbers and skills will continue to be developed and refined, </w:t>
      </w:r>
      <w:proofErr w:type="gramStart"/>
      <w:r w:rsidRPr="009F6E4A">
        <w:rPr>
          <w:rFonts w:cs="Arial"/>
        </w:rPr>
        <w:t>taking into account</w:t>
      </w:r>
      <w:proofErr w:type="gramEnd"/>
      <w:r w:rsidRPr="009F6E4A">
        <w:rPr>
          <w:rFonts w:cs="Arial"/>
        </w:rPr>
        <w:t xml:space="preserve"> any lesson learnt from Princess of Wales (POW) where we are implementing and learning from elements of the LHP clinical model.</w:t>
      </w:r>
    </w:p>
    <w:p w14:paraId="1DA35D8E" w14:textId="7BB61A24" w:rsidR="005378CE" w:rsidRPr="006B7B8F" w:rsidRDefault="009F6E4A" w:rsidP="00DE042F">
      <w:pPr>
        <w:pStyle w:val="Heading3"/>
      </w:pPr>
      <w:r>
        <w:t xml:space="preserve">Workforce Supply </w:t>
      </w:r>
    </w:p>
    <w:p w14:paraId="7B1B9212" w14:textId="77777777" w:rsidR="00942562" w:rsidRPr="001418EF" w:rsidRDefault="00942562" w:rsidP="001418EF">
      <w:r w:rsidRPr="001418EF">
        <w:t>Dependent on decisions taken within clinical and operating models, the workforce plan will need to consider an assessment of current roles, skills, and competencies, against requirements across the three Health Boards. This would include age profile, skill mix, turnover, vacancy rates and retirement projections. This assessment will further confirm anticipated current and future workforce gaps and risks. It is proposed there will be a dedicated core LHP workforce, with a “Hub &amp; Spoke” model for support services. This emphasises the need for a regional workforce plan to be developed to understand the wider impacts on demand trajectories including LHP.</w:t>
      </w:r>
    </w:p>
    <w:p w14:paraId="6BBFC73B" w14:textId="77777777" w:rsidR="00942562" w:rsidRPr="001418EF" w:rsidRDefault="00942562" w:rsidP="001418EF">
      <w:r w:rsidRPr="001418EF">
        <w:t xml:space="preserve">The work of the regional Orthopaedic planning group has identified several workforce challenges. These include recruiting and retaining medical teams, ongoing and increasingly critical shortage of skilled theatre staff (particularly among Operating Department </w:t>
      </w:r>
      <w:proofErr w:type="gramStart"/>
      <w:r w:rsidRPr="001418EF">
        <w:t>Practitioners  and</w:t>
      </w:r>
      <w:proofErr w:type="gramEnd"/>
      <w:r w:rsidRPr="001418EF">
        <w:t xml:space="preserve"> anaesthetic support staff) which are placing significant and persistent pressure on surgical services across the system.   </w:t>
      </w:r>
    </w:p>
    <w:p w14:paraId="53FECCB1" w14:textId="77777777" w:rsidR="00942562" w:rsidRPr="001418EF" w:rsidRDefault="00942562" w:rsidP="001418EF">
      <w:r w:rsidRPr="001418EF">
        <w:t>It also reported, that for the for the first time in a significant period, the supply of Registered Nurses in Wales is beginning to outpace demand, presenting an opportunity for health boards to address vacancies in scrub practitioner roles.  This trajectory is expected to remain favourable over the next three to five years.</w:t>
      </w:r>
    </w:p>
    <w:p w14:paraId="15165992" w14:textId="77777777" w:rsidR="00942562" w:rsidRPr="001418EF" w:rsidRDefault="00942562" w:rsidP="001418EF">
      <w:r w:rsidRPr="001418EF">
        <w:t xml:space="preserve">Retention is also a key challenge with as the time to replace, train and to reach full competency can be in excess of nine months for some roles creating considerable vulnerability in maintaining </w:t>
      </w:r>
      <w:r w:rsidRPr="001418EF">
        <w:lastRenderedPageBreak/>
        <w:t>safe and effective theatre staffing.  These workforce shortages and retention issues are significantly constraining the ability to deliver elective orthopaedic procedures at the required scale.</w:t>
      </w:r>
    </w:p>
    <w:p w14:paraId="0FFFE693" w14:textId="77777777" w:rsidR="00942562" w:rsidRPr="001418EF" w:rsidRDefault="00942562" w:rsidP="001418EF">
      <w:r w:rsidRPr="001418EF">
        <w:t>The impact of the recent changes to the Resident Doctor contract in Wales are not yet known but any identified risks will also need to factor into the plan with actions to mitigate these risks.</w:t>
      </w:r>
    </w:p>
    <w:p w14:paraId="352D30E5" w14:textId="77777777" w:rsidR="00942562" w:rsidRPr="001418EF" w:rsidRDefault="00942562" w:rsidP="001418EF">
      <w:bookmarkStart w:id="277" w:name="_Hlk213769579"/>
      <w:r w:rsidRPr="001418EF">
        <w:t xml:space="preserve">To maximise the opportunities to staff the LHP and to support regional Orthopaedics the workforce model will need to be as attractive as possible, offering roles and an environment that individuals will want to work or rotate too.  </w:t>
      </w:r>
    </w:p>
    <w:bookmarkEnd w:id="277"/>
    <w:p w14:paraId="65F3B0CE" w14:textId="0FCF1CAE" w:rsidR="00942562" w:rsidRPr="001418EF" w:rsidRDefault="001418EF" w:rsidP="001418EF">
      <w:pPr>
        <w:pStyle w:val="Heading4"/>
      </w:pPr>
      <w:r w:rsidRPr="001418EF">
        <w:t xml:space="preserve">Recruitment </w:t>
      </w:r>
      <w:r>
        <w:t>and</w:t>
      </w:r>
      <w:r w:rsidRPr="001418EF">
        <w:t xml:space="preserve"> resourcing</w:t>
      </w:r>
    </w:p>
    <w:p w14:paraId="50D2B2DD" w14:textId="77777777" w:rsidR="00942562" w:rsidRPr="001418EF" w:rsidRDefault="00942562" w:rsidP="001418EF">
      <w:r w:rsidRPr="001418EF">
        <w:t xml:space="preserve">Further refinement of the workforce plan and the gap analysis within in will allow for the development of a robust recruitment and retention strategy as part of the FBC. This will include proposals for both Agenda for Change and Medical staff.   There will be a focus on resourcing the facility to ensure the workforce and patient benefits are realised, but with a key commitment across all three Health Board’s to work collaboratively on this agenda, noting the need to avoid </w:t>
      </w:r>
      <w:proofErr w:type="spellStart"/>
      <w:r w:rsidRPr="001418EF">
        <w:t>destabiling</w:t>
      </w:r>
      <w:proofErr w:type="spellEnd"/>
      <w:r w:rsidRPr="001418EF">
        <w:t xml:space="preserve"> the Southeast Wales workforce position.</w:t>
      </w:r>
    </w:p>
    <w:p w14:paraId="3E24B4EE" w14:textId="77777777" w:rsidR="00942562" w:rsidRPr="001418EF" w:rsidRDefault="00942562" w:rsidP="001418EF">
      <w:r w:rsidRPr="001418EF">
        <w:t>Potential resourcing options and considerations are as follows:</w:t>
      </w:r>
    </w:p>
    <w:p w14:paraId="213DF6D7" w14:textId="77777777" w:rsidR="00942562" w:rsidRPr="000D62BB" w:rsidRDefault="00942562" w:rsidP="001418EF">
      <w:pPr>
        <w:pStyle w:val="bullets1"/>
      </w:pPr>
      <w:r w:rsidRPr="000D62BB">
        <w:t>Recruitment – either via an internal recruitment team or via a partner organisation (e.g. a recruitment agency, an industry partner).</w:t>
      </w:r>
    </w:p>
    <w:p w14:paraId="61334A8E" w14:textId="77777777" w:rsidR="00942562" w:rsidRPr="000D62BB" w:rsidRDefault="00942562" w:rsidP="001418EF">
      <w:pPr>
        <w:pStyle w:val="bullets1"/>
      </w:pPr>
      <w:r w:rsidRPr="000D62BB">
        <w:t xml:space="preserve">Targeted recruitment campaigns e.g. for critical roles or linked to </w:t>
      </w:r>
      <w:proofErr w:type="gramStart"/>
      <w:r w:rsidRPr="000D62BB">
        <w:t>local residents</w:t>
      </w:r>
      <w:proofErr w:type="gramEnd"/>
      <w:r w:rsidRPr="000D62BB">
        <w:t xml:space="preserve"> and education institutions</w:t>
      </w:r>
    </w:p>
    <w:p w14:paraId="07C00920" w14:textId="77777777" w:rsidR="00942562" w:rsidRPr="000D62BB" w:rsidRDefault="00942562" w:rsidP="001418EF">
      <w:pPr>
        <w:pStyle w:val="bullets1"/>
        <w:rPr>
          <w:rFonts w:eastAsia="Calibri"/>
        </w:rPr>
      </w:pPr>
      <w:r w:rsidRPr="000D62BB">
        <w:rPr>
          <w:rFonts w:eastAsia="Calibri"/>
        </w:rPr>
        <w:t>Insourcing either on a permanent basis or temporarily if resourcing was to be a limiting factor to the “go live” date</w:t>
      </w:r>
    </w:p>
    <w:p w14:paraId="6D2AB470" w14:textId="77777777" w:rsidR="00942562" w:rsidRPr="00942562" w:rsidRDefault="00942562" w:rsidP="001418EF">
      <w:pPr>
        <w:pStyle w:val="bullets1"/>
      </w:pPr>
      <w:r w:rsidRPr="00942562">
        <w:t xml:space="preserve">Rotational posts to enable staff to move between LHP and other sites, gaining a breadth of experience and sharing learning to support both the individual and the organisation </w:t>
      </w:r>
    </w:p>
    <w:p w14:paraId="1A592626" w14:textId="77777777" w:rsidR="00942562" w:rsidRPr="00942562" w:rsidRDefault="00942562" w:rsidP="001418EF">
      <w:pPr>
        <w:pStyle w:val="bullets1"/>
        <w:rPr>
          <w:rFonts w:eastAsia="Calibri"/>
        </w:rPr>
      </w:pPr>
      <w:r w:rsidRPr="00942562">
        <w:rPr>
          <w:rFonts w:eastAsia="Calibri"/>
        </w:rPr>
        <w:t>The use of regional Employment Models - including Service Level Agreements (SLA), honorary contracts, and Memorandum of Understanding (MOU) –options appraisal of best approach will be required which support existing variability in contracts and supports Regional Services</w:t>
      </w:r>
    </w:p>
    <w:p w14:paraId="69194436" w14:textId="77777777" w:rsidR="00942562" w:rsidRPr="00942562" w:rsidRDefault="00942562" w:rsidP="001418EF">
      <w:pPr>
        <w:pStyle w:val="bullets1"/>
        <w:rPr>
          <w:rFonts w:eastAsia="Calibri"/>
        </w:rPr>
      </w:pPr>
      <w:r w:rsidRPr="00942562">
        <w:t>Capitalise on opportunity from anticipated local oversupply within certain healthcare professions (e.g. nurses, paramedics, Physicians Associates)</w:t>
      </w:r>
    </w:p>
    <w:p w14:paraId="095AC59B" w14:textId="77777777" w:rsidR="00942562" w:rsidRPr="00942562" w:rsidRDefault="00942562" w:rsidP="001418EF">
      <w:pPr>
        <w:pStyle w:val="bullets1"/>
        <w:rPr>
          <w:rFonts w:eastAsiaTheme="minorEastAsia"/>
          <w:lang w:val="en-US"/>
        </w:rPr>
      </w:pPr>
      <w:r w:rsidRPr="00942562">
        <w:t xml:space="preserve">Education &amp; training pipelines as a key supply route - </w:t>
      </w:r>
      <w:r w:rsidRPr="00942562">
        <w:rPr>
          <w:rFonts w:eastAsiaTheme="minorEastAsia"/>
          <w:lang w:val="en-US"/>
        </w:rPr>
        <w:t>such as student streamlining, and numbers in the training pipelines as a result of the Integrated Medium-Term Plans (IMTP) / education and training commissioning numbers</w:t>
      </w:r>
    </w:p>
    <w:p w14:paraId="7A5B73B1" w14:textId="77777777" w:rsidR="00942562" w:rsidRPr="00942562" w:rsidRDefault="00942562" w:rsidP="001418EF">
      <w:pPr>
        <w:pStyle w:val="bullets1"/>
      </w:pPr>
      <w:r w:rsidRPr="00942562">
        <w:t xml:space="preserve">Use of Health Boards internal education teams to ensure that any anticipated role/training needs are factored into training plans </w:t>
      </w:r>
    </w:p>
    <w:p w14:paraId="217249D5" w14:textId="77777777" w:rsidR="00942562" w:rsidRPr="00942562" w:rsidRDefault="00942562" w:rsidP="001418EF">
      <w:pPr>
        <w:pStyle w:val="bullets1"/>
      </w:pPr>
      <w:r w:rsidRPr="00942562">
        <w:t xml:space="preserve">Temporary staffing: establish need to expand pools of available temporary staff to support the substantive workforce  </w:t>
      </w:r>
    </w:p>
    <w:p w14:paraId="38874606" w14:textId="77777777" w:rsidR="00942562" w:rsidRPr="000D62BB" w:rsidRDefault="00942562" w:rsidP="00942562">
      <w:pPr>
        <w:pStyle w:val="ListParagraph"/>
        <w:numPr>
          <w:ilvl w:val="0"/>
          <w:numId w:val="0"/>
        </w:numPr>
        <w:ind w:left="360"/>
        <w:jc w:val="both"/>
        <w:rPr>
          <w:rFonts w:ascii="Arial" w:eastAsia="Calibri" w:hAnsi="Arial" w:cs="Arial"/>
          <w:sz w:val="22"/>
          <w:highlight w:val="yellow"/>
        </w:rPr>
      </w:pPr>
    </w:p>
    <w:p w14:paraId="38961F42" w14:textId="77777777" w:rsidR="00942562" w:rsidRPr="001418EF" w:rsidRDefault="00942562" w:rsidP="001418EF">
      <w:r w:rsidRPr="001418EF">
        <w:t xml:space="preserve">The workforce plan will  evolve from early implementation into the medium to longer term to move with the changing environment and allow for the  development of new roles/skills </w:t>
      </w:r>
      <w:proofErr w:type="spellStart"/>
      <w:r w:rsidRPr="001418EF">
        <w:t>e.g</w:t>
      </w:r>
      <w:proofErr w:type="spellEnd"/>
      <w:r w:rsidRPr="001418EF">
        <w:t xml:space="preserve"> registered nursing associate (RNA) Band 4 role and for the impact of technology to be fully understood .  </w:t>
      </w:r>
    </w:p>
    <w:p w14:paraId="723A00F6" w14:textId="34AFDBFD" w:rsidR="00942562" w:rsidRPr="001418EF" w:rsidRDefault="001418EF" w:rsidP="001418EF">
      <w:pPr>
        <w:pStyle w:val="Heading4"/>
      </w:pPr>
      <w:r w:rsidRPr="001418EF">
        <w:t xml:space="preserve">Education </w:t>
      </w:r>
      <w:r>
        <w:t>and</w:t>
      </w:r>
      <w:r w:rsidRPr="001418EF">
        <w:t xml:space="preserve"> training</w:t>
      </w:r>
    </w:p>
    <w:p w14:paraId="3643E357" w14:textId="71BCCD48" w:rsidR="00942562" w:rsidRPr="001418EF" w:rsidRDefault="00942562" w:rsidP="001418EF">
      <w:r w:rsidRPr="001418EF">
        <w:t xml:space="preserve">The development of LHP offers workforce education and training opportunities across all staff groups.  There is also a unique opportunity for Medical Training Opportunities, to significantly expand the surgical, orthopaedics and anaesthetics training and for wider benefits to the region, aligned to GIRFT principles.  </w:t>
      </w:r>
    </w:p>
    <w:p w14:paraId="657551C0" w14:textId="77777777" w:rsidR="00942562" w:rsidRPr="001418EF" w:rsidRDefault="00942562" w:rsidP="001418EF">
      <w:r w:rsidRPr="001418EF">
        <w:t xml:space="preserve">Alignment with Health Education and Improvement Wales (HEIW) and the Deanery will be key to support </w:t>
      </w:r>
      <w:proofErr w:type="spellStart"/>
      <w:r w:rsidRPr="001418EF">
        <w:t>rresident</w:t>
      </w:r>
      <w:proofErr w:type="spellEnd"/>
      <w:r w:rsidRPr="001418EF">
        <w:t xml:space="preserve"> doctor training experience.    In addition, links with NWSSP, as the Single Lead </w:t>
      </w:r>
      <w:r w:rsidRPr="001418EF">
        <w:lastRenderedPageBreak/>
        <w:t xml:space="preserve">Employer (SLE) around resident doctor placements to maximise opportunities to meet skills shortages and improve workforce supply. </w:t>
      </w:r>
    </w:p>
    <w:p w14:paraId="0D247B80" w14:textId="6D6F179A" w:rsidR="005378CE" w:rsidRDefault="00942562" w:rsidP="00DE042F">
      <w:pPr>
        <w:pStyle w:val="Heading3"/>
      </w:pPr>
      <w:r>
        <w:t xml:space="preserve">Future </w:t>
      </w:r>
      <w:r w:rsidR="00EC2BA6">
        <w:t>organisational development plans</w:t>
      </w:r>
    </w:p>
    <w:p w14:paraId="0BC09F3E" w14:textId="77777777" w:rsidR="001418EF" w:rsidRDefault="001418EF" w:rsidP="001418EF">
      <w:r>
        <w:t>Once the workforce model is agreed, running alongside will be to focus on the design and implementation of a series of OD interventions aimed at unlocking the full potential of the LHP staff. These interventions will include:</w:t>
      </w:r>
    </w:p>
    <w:p w14:paraId="77A9C425" w14:textId="4D67EC36" w:rsidR="001418EF" w:rsidRDefault="001418EF" w:rsidP="001418EF">
      <w:pPr>
        <w:pStyle w:val="Heading4"/>
      </w:pPr>
      <w:r>
        <w:t>Leadership development and alignment</w:t>
      </w:r>
    </w:p>
    <w:p w14:paraId="46D6A93D" w14:textId="77777777" w:rsidR="001418EF" w:rsidRDefault="001418EF" w:rsidP="001418EF">
      <w:r>
        <w:t>Establishing strong, aligned leadership across the new organisation will be a priority. This will involve tailored leadership programmes that build shared practices, foster trust, and ensure the leadership team can drive the transformation effectively.</w:t>
      </w:r>
    </w:p>
    <w:p w14:paraId="34277548" w14:textId="5771D6F9" w:rsidR="001418EF" w:rsidRDefault="001418EF" w:rsidP="001418EF">
      <w:pPr>
        <w:pStyle w:val="Heading4"/>
      </w:pPr>
      <w:r>
        <w:t>Communication and engagement strategies</w:t>
      </w:r>
    </w:p>
    <w:p w14:paraId="68CB291D" w14:textId="77777777" w:rsidR="001418EF" w:rsidRDefault="001418EF" w:rsidP="001418EF">
      <w:r>
        <w:t>Communication will be crucial at every stage of the journey. Working in close partnership with communication and engagement teams from the SEW region, we will implement a robust communication strategy that ensures staff are well-informed, actively engaged, and feel part of the transformation. This will include regular updates, feedback loops, and targeted engagement activities designed to bring staff along on the journey.</w:t>
      </w:r>
    </w:p>
    <w:p w14:paraId="54F53532" w14:textId="10CCA95F" w:rsidR="001418EF" w:rsidRDefault="001418EF" w:rsidP="001418EF">
      <w:pPr>
        <w:pStyle w:val="Heading4"/>
      </w:pPr>
      <w:r>
        <w:t>Culture and behavioural change</w:t>
      </w:r>
    </w:p>
    <w:p w14:paraId="5E069C13" w14:textId="77777777" w:rsidR="001418EF" w:rsidRDefault="001418EF" w:rsidP="001418EF">
      <w:r>
        <w:t>The LHP will only succeed if we can embed a shared vision and culture of collaboration across the three Health Boards. OD strategies will focus on developing the behaviours and relational conditions necessary for regional collaboration and will be designed to overcome the challenges inherent in merging diverse organisational cultures.</w:t>
      </w:r>
    </w:p>
    <w:p w14:paraId="3E9E67BC" w14:textId="203A7FDA" w:rsidR="001418EF" w:rsidRDefault="001418EF" w:rsidP="001418EF">
      <w:pPr>
        <w:pStyle w:val="Heading4"/>
      </w:pPr>
      <w:r>
        <w:t>People potential at LHP</w:t>
      </w:r>
    </w:p>
    <w:p w14:paraId="5DFE612D" w14:textId="77777777" w:rsidR="001418EF" w:rsidRDefault="001418EF" w:rsidP="001418EF">
      <w:r>
        <w:t>Recognising that the greatest asset in this transformation is the workforce itself, we will unlock the potential of LHP’s people by aligning their development with the broader goals of integrated service delivery. Targeted interventions will aim to build capacity in areas such as systems thinking, change management, and inter-organisational collaboration.</w:t>
      </w:r>
    </w:p>
    <w:p w14:paraId="1AC5F0DB" w14:textId="02E2D8F0" w:rsidR="005378CE" w:rsidRDefault="001418EF" w:rsidP="001418EF">
      <w:r>
        <w:t>By focusing on these areas, the Health Boards can ensure that the workforce is equipped to support the long-term success of Llantrisant Health Park, enabling it to achieve its vision of delivering equitable, sustainable, and high-quality healthcare to the communities it serves.</w:t>
      </w:r>
    </w:p>
    <w:p w14:paraId="68ADB554" w14:textId="77777777" w:rsidR="00EC2BA6" w:rsidRPr="001418EF" w:rsidRDefault="00EC2BA6" w:rsidP="00EC2BA6">
      <w:pPr>
        <w:pStyle w:val="NoSpacing"/>
      </w:pPr>
    </w:p>
    <w:p w14:paraId="36B5C106" w14:textId="77777777" w:rsidR="005378CE" w:rsidRDefault="005378CE" w:rsidP="005378CE">
      <w:pPr>
        <w:pStyle w:val="Heading2"/>
      </w:pPr>
      <w:bookmarkStart w:id="278" w:name="_Toc213865273"/>
      <w:r>
        <w:t>Stakeholder engagement</w:t>
      </w:r>
      <w:bookmarkEnd w:id="278"/>
    </w:p>
    <w:p w14:paraId="75BAD73F" w14:textId="77777777" w:rsidR="005378CE" w:rsidRDefault="005378CE" w:rsidP="00DE042F">
      <w:pPr>
        <w:pStyle w:val="Heading3"/>
      </w:pPr>
      <w:r>
        <w:t>Engagement to date</w:t>
      </w:r>
    </w:p>
    <w:p w14:paraId="1BE08473" w14:textId="6FBA3840" w:rsidR="005378CE" w:rsidRDefault="005378CE" w:rsidP="005378CE">
      <w:r w:rsidRPr="5B694236">
        <w:t xml:space="preserve">Key staff stakeholders across all health boards have been involved in design so far. </w:t>
      </w:r>
      <w:r w:rsidR="007772B1">
        <w:t xml:space="preserve">The original </w:t>
      </w:r>
      <w:r w:rsidRPr="5B694236">
        <w:t>RIBA 3 design review meetings were held in April and May 2025 to confirm all key stakeholders were agreed with current designs.</w:t>
      </w:r>
      <w:r w:rsidR="007772B1">
        <w:t xml:space="preserve"> The redesign work has been shared with key stakeholders and further reviews will be held during the rework of RIBA 3 and development of RIBA 4 stages</w:t>
      </w:r>
    </w:p>
    <w:p w14:paraId="0F45ED4C" w14:textId="184F5D66" w:rsidR="005378CE" w:rsidRDefault="005378CE" w:rsidP="005378CE">
      <w:r w:rsidRPr="5B694236">
        <w:t>An initial Arthroplasty workshop was successfully held in March 2025, to collaborate across the three health boards</w:t>
      </w:r>
      <w:r w:rsidR="00FE6AAF">
        <w:t>,</w:t>
      </w:r>
      <w:r w:rsidRPr="5B694236">
        <w:t xml:space="preserve"> confirming work to date, the vision for the health park and the importance of stakeholder input.</w:t>
      </w:r>
      <w:r w:rsidR="007772B1">
        <w:t xml:space="preserve">  The LHP programme also feeds into the Regional Orthopaedic Board on a monthly basis.</w:t>
      </w:r>
    </w:p>
    <w:p w14:paraId="08AD34F6" w14:textId="77777777" w:rsidR="005378CE" w:rsidRPr="00EC2BA6" w:rsidRDefault="005378CE" w:rsidP="00EC2BA6">
      <w:pPr>
        <w:pStyle w:val="Heading3"/>
      </w:pPr>
      <w:r w:rsidRPr="00EC2BA6">
        <w:lastRenderedPageBreak/>
        <w:t>Future communications and engagement</w:t>
      </w:r>
    </w:p>
    <w:p w14:paraId="628AC3A0" w14:textId="06EA1BAA" w:rsidR="007772B1" w:rsidRDefault="007772B1" w:rsidP="007772B1">
      <w:pPr>
        <w:rPr>
          <w:rFonts w:cs="Arial"/>
        </w:rPr>
      </w:pPr>
      <w:r w:rsidRPr="00CC17DD">
        <w:rPr>
          <w:rFonts w:cs="Arial"/>
        </w:rPr>
        <w:t>The engagement and communication functions of the three southeast region health boards are working in partnership to develop and implement plans that reflect the requirements of the region and the localities.</w:t>
      </w:r>
    </w:p>
    <w:p w14:paraId="5E33ECA6" w14:textId="60D7C20A" w:rsidR="007772B1" w:rsidRPr="00CC17DD" w:rsidRDefault="007772B1" w:rsidP="007772B1">
      <w:pPr>
        <w:rPr>
          <w:rFonts w:cs="Arial"/>
        </w:rPr>
      </w:pPr>
      <w:r>
        <w:rPr>
          <w:rFonts w:cs="Arial"/>
        </w:rPr>
        <w:t xml:space="preserve">The objective of this work is to </w:t>
      </w:r>
    </w:p>
    <w:p w14:paraId="75B0695C" w14:textId="77777777" w:rsidR="007772B1" w:rsidRPr="00CC17DD" w:rsidRDefault="007772B1" w:rsidP="007772B1">
      <w:pPr>
        <w:pStyle w:val="bullets1"/>
      </w:pPr>
      <w:r w:rsidRPr="00CC17DD">
        <w:t>inform and generate confidence among public and staff about the purpose, services, and benefits of Llantrisant Health Park.</w:t>
      </w:r>
    </w:p>
    <w:p w14:paraId="0BC6DDD8" w14:textId="77777777" w:rsidR="007772B1" w:rsidRPr="00CC17DD" w:rsidRDefault="007772B1" w:rsidP="007772B1">
      <w:pPr>
        <w:pStyle w:val="bullets1"/>
      </w:pPr>
      <w:r w:rsidRPr="00CC17DD">
        <w:t>gather feedback, ideas, and concerns to shape the facility’s development and service offering.</w:t>
      </w:r>
    </w:p>
    <w:p w14:paraId="67395ED7" w14:textId="77777777" w:rsidR="007772B1" w:rsidRPr="00CC17DD" w:rsidRDefault="007772B1" w:rsidP="007772B1">
      <w:pPr>
        <w:pStyle w:val="bullets1"/>
      </w:pPr>
      <w:r w:rsidRPr="00CC17DD">
        <w:t>build trust and foster a sense of ownership and partnership among stakeholders.</w:t>
      </w:r>
    </w:p>
    <w:p w14:paraId="1EF840DD" w14:textId="77777777" w:rsidR="007772B1" w:rsidRDefault="007772B1" w:rsidP="007772B1">
      <w:pPr>
        <w:pStyle w:val="bullets1"/>
      </w:pPr>
      <w:r w:rsidRPr="00CC17DD">
        <w:t>identify potential engagement challenges and barriers to engagement early and collaboratively develop solutions.</w:t>
      </w:r>
    </w:p>
    <w:p w14:paraId="7E358C2C" w14:textId="77777777" w:rsidR="00EC2BA6" w:rsidRPr="00EC2BA6" w:rsidRDefault="00EC2BA6" w:rsidP="00EC2BA6">
      <w:pPr>
        <w:pStyle w:val="NoSpacing"/>
      </w:pPr>
    </w:p>
    <w:p w14:paraId="7BA497FB" w14:textId="2DB3C54D" w:rsidR="007772B1" w:rsidRPr="00EC2BA6" w:rsidRDefault="007772B1" w:rsidP="00EC2BA6">
      <w:r w:rsidRPr="00EC2BA6">
        <w:t xml:space="preserve">In developing and delivering communications and engagement activities all Health Boards will: </w:t>
      </w:r>
    </w:p>
    <w:p w14:paraId="781CEFCC" w14:textId="77777777" w:rsidR="007772B1" w:rsidRPr="00CC17DD" w:rsidRDefault="007772B1" w:rsidP="007772B1">
      <w:pPr>
        <w:pStyle w:val="bullets1"/>
      </w:pPr>
      <w:r w:rsidRPr="00CC17DD">
        <w:t>Foster and maintain stakeholder and public confidence in the LHP as a landmark development that will improve the provision of modern health care in south-east Wales</w:t>
      </w:r>
    </w:p>
    <w:p w14:paraId="0928688A" w14:textId="77777777" w:rsidR="007772B1" w:rsidRPr="00CC17DD" w:rsidRDefault="007772B1" w:rsidP="007772B1">
      <w:pPr>
        <w:pStyle w:val="bullets1"/>
      </w:pPr>
      <w:r w:rsidRPr="00CC17DD">
        <w:t>Provide the public with a range of opportunities to inform the development of the LHP in ways that maximise access, clinical effectiveness and the experience of patients</w:t>
      </w:r>
    </w:p>
    <w:p w14:paraId="6E3F1A52" w14:textId="77777777" w:rsidR="007772B1" w:rsidRPr="00CC17DD" w:rsidRDefault="007772B1" w:rsidP="007772B1">
      <w:pPr>
        <w:pStyle w:val="bullets1"/>
      </w:pPr>
      <w:r w:rsidRPr="00CC17DD">
        <w:t>Take a collaborative approach, with NHS partners, to developing and disseminating messages and communications/engagement resources, that enable consistency, clarity and accuracy locally, across the region and nationally</w:t>
      </w:r>
    </w:p>
    <w:p w14:paraId="05E1B1BB" w14:textId="77777777" w:rsidR="007772B1" w:rsidRPr="00CC17DD" w:rsidRDefault="007772B1" w:rsidP="007772B1">
      <w:pPr>
        <w:pStyle w:val="bullets1"/>
      </w:pPr>
      <w:r w:rsidRPr="00CC17DD">
        <w:t>Use existing, trusted methods, platforms and forums to engage</w:t>
      </w:r>
    </w:p>
    <w:p w14:paraId="3E6C02D0" w14:textId="77777777" w:rsidR="007772B1" w:rsidRPr="00CC17DD" w:rsidRDefault="007772B1" w:rsidP="007772B1">
      <w:pPr>
        <w:pStyle w:val="bullets1"/>
      </w:pPr>
      <w:r w:rsidRPr="00CC17DD">
        <w:t xml:space="preserve">Respect and reflect local engagement </w:t>
      </w:r>
      <w:proofErr w:type="gramStart"/>
      <w:r w:rsidRPr="00CC17DD">
        <w:t>needs</w:t>
      </w:r>
      <w:proofErr w:type="gramEnd"/>
      <w:r w:rsidRPr="00CC17DD">
        <w:t>, supporting differentiation of approaches based on local requirements whilst maintaining consistency and accuracy of messages</w:t>
      </w:r>
    </w:p>
    <w:p w14:paraId="50B4C206" w14:textId="77777777" w:rsidR="007772B1" w:rsidRPr="00CC17DD" w:rsidRDefault="007772B1" w:rsidP="007772B1">
      <w:pPr>
        <w:pStyle w:val="bullets1"/>
      </w:pPr>
      <w:r w:rsidRPr="00CC17DD">
        <w:t xml:space="preserve">Work alongside </w:t>
      </w:r>
      <w:proofErr w:type="spellStart"/>
      <w:r w:rsidRPr="00CC17DD">
        <w:t>Llais</w:t>
      </w:r>
      <w:proofErr w:type="spellEnd"/>
      <w:r w:rsidRPr="00CC17DD">
        <w:t xml:space="preserve"> to identify and deliver upon emerging opportunities to better engage and involve the public and patients throughout the lifetime of the programme</w:t>
      </w:r>
    </w:p>
    <w:p w14:paraId="41843F90" w14:textId="77777777" w:rsidR="007772B1" w:rsidRPr="00CC17DD" w:rsidRDefault="007772B1" w:rsidP="007772B1">
      <w:pPr>
        <w:pStyle w:val="bullets1"/>
      </w:pPr>
      <w:r w:rsidRPr="00CC17DD">
        <w:t>Identify potential engagement challenges and barriers to engagement early and collaboratively develop solutions</w:t>
      </w:r>
    </w:p>
    <w:p w14:paraId="098759EC" w14:textId="77777777" w:rsidR="007772B1" w:rsidRPr="00CC17DD" w:rsidRDefault="007772B1" w:rsidP="007772B1">
      <w:pPr>
        <w:pStyle w:val="bullets1"/>
      </w:pPr>
      <w:r w:rsidRPr="00CC17DD">
        <w:t xml:space="preserve">Promote opportunities to add social value within local communities </w:t>
      </w:r>
    </w:p>
    <w:p w14:paraId="289167B6" w14:textId="77777777" w:rsidR="007772B1" w:rsidRPr="00CC17DD" w:rsidRDefault="007772B1" w:rsidP="007772B1">
      <w:pPr>
        <w:pStyle w:val="bullets1"/>
      </w:pPr>
      <w:r w:rsidRPr="00CC17DD">
        <w:t>Identify and celebrate programme milestones, alongside partners</w:t>
      </w:r>
    </w:p>
    <w:p w14:paraId="6D4474B3" w14:textId="77777777" w:rsidR="007772B1" w:rsidRPr="00CC17DD" w:rsidRDefault="007772B1" w:rsidP="007772B1">
      <w:pPr>
        <w:pStyle w:val="bullets1"/>
      </w:pPr>
      <w:r w:rsidRPr="00CC17DD">
        <w:t xml:space="preserve">Involve local political partners and relevant third-sector organisations </w:t>
      </w:r>
    </w:p>
    <w:p w14:paraId="57A64AA1" w14:textId="3C7D42B3" w:rsidR="005378CE" w:rsidRDefault="007772B1" w:rsidP="00E67800">
      <w:pPr>
        <w:pStyle w:val="bullets1"/>
      </w:pPr>
      <w:r w:rsidRPr="00CC17DD">
        <w:t xml:space="preserve">Provide assurance on the effectiveness of communications and engagement </w:t>
      </w:r>
      <w:proofErr w:type="gramStart"/>
      <w:r w:rsidRPr="00CC17DD">
        <w:t>activities.</w:t>
      </w:r>
      <w:r w:rsidR="005378CE" w:rsidRPr="1AE9B327">
        <w:t>.</w:t>
      </w:r>
      <w:proofErr w:type="gramEnd"/>
    </w:p>
    <w:p w14:paraId="2189D91C" w14:textId="77777777" w:rsidR="005378CE" w:rsidRDefault="005378CE" w:rsidP="005378CE">
      <w:pPr>
        <w:pStyle w:val="NoSpacing"/>
      </w:pPr>
    </w:p>
    <w:p w14:paraId="0A54D568" w14:textId="58E80874" w:rsidR="007772B1" w:rsidRDefault="007772B1" w:rsidP="00DE042F">
      <w:pPr>
        <w:pStyle w:val="Heading3"/>
      </w:pPr>
      <w:r>
        <w:t xml:space="preserve">Working with </w:t>
      </w:r>
      <w:proofErr w:type="spellStart"/>
      <w:r>
        <w:t>Llais</w:t>
      </w:r>
      <w:proofErr w:type="spellEnd"/>
      <w:r>
        <w:t xml:space="preserve"> </w:t>
      </w:r>
    </w:p>
    <w:p w14:paraId="49F205C2" w14:textId="77777777" w:rsidR="007772B1" w:rsidRPr="00CC17DD" w:rsidRDefault="007772B1" w:rsidP="007772B1">
      <w:pPr>
        <w:rPr>
          <w:rFonts w:cs="Arial"/>
        </w:rPr>
      </w:pPr>
      <w:r w:rsidRPr="00CC17DD">
        <w:rPr>
          <w:rFonts w:cs="Arial"/>
        </w:rPr>
        <w:t xml:space="preserve">The health boards are working with </w:t>
      </w:r>
      <w:proofErr w:type="spellStart"/>
      <w:r w:rsidRPr="00CC17DD">
        <w:rPr>
          <w:rFonts w:cs="Arial"/>
        </w:rPr>
        <w:t>Llais</w:t>
      </w:r>
      <w:proofErr w:type="spellEnd"/>
      <w:r w:rsidRPr="00CC17DD">
        <w:rPr>
          <w:rFonts w:cs="Arial"/>
        </w:rPr>
        <w:t xml:space="preserve"> at a regional and local level to enable it to influence and inform engagement plans. This includes working with </w:t>
      </w:r>
      <w:proofErr w:type="spellStart"/>
      <w:r w:rsidRPr="00CC17DD">
        <w:rPr>
          <w:rFonts w:cs="Arial"/>
        </w:rPr>
        <w:t>Llais</w:t>
      </w:r>
      <w:proofErr w:type="spellEnd"/>
      <w:r w:rsidRPr="00CC17DD">
        <w:rPr>
          <w:rFonts w:cs="Arial"/>
        </w:rPr>
        <w:t xml:space="preserve"> on LHP-specific briefing and planning sessions (next due on 14 November). To date </w:t>
      </w:r>
      <w:proofErr w:type="spellStart"/>
      <w:r w:rsidRPr="00CC17DD">
        <w:rPr>
          <w:rFonts w:cs="Arial"/>
        </w:rPr>
        <w:t>Llais</w:t>
      </w:r>
      <w:proofErr w:type="spellEnd"/>
      <w:r w:rsidRPr="00CC17DD">
        <w:rPr>
          <w:rFonts w:cs="Arial"/>
        </w:rPr>
        <w:t xml:space="preserve"> have made clear their expectations for regional engagement and that health boards should avoid duplication whilst learning from the outputs from previous engagement programmes. </w:t>
      </w:r>
    </w:p>
    <w:p w14:paraId="1AA0DC6E" w14:textId="112642F9" w:rsidR="007772B1" w:rsidRDefault="007772B1" w:rsidP="00DE042F">
      <w:pPr>
        <w:pStyle w:val="Heading3"/>
      </w:pPr>
      <w:r>
        <w:t xml:space="preserve">Communication and </w:t>
      </w:r>
      <w:r w:rsidR="00EC2BA6">
        <w:t>engagement priorities</w:t>
      </w:r>
    </w:p>
    <w:p w14:paraId="560882B5" w14:textId="0375EFBD" w:rsidR="007772B1" w:rsidRPr="00CC17DD" w:rsidRDefault="007772B1" w:rsidP="007772B1">
      <w:pPr>
        <w:rPr>
          <w:rFonts w:cs="Arial"/>
        </w:rPr>
      </w:pPr>
      <w:r w:rsidRPr="00CC17DD">
        <w:rPr>
          <w:rFonts w:cs="Arial"/>
        </w:rPr>
        <w:t>The engagement working group, comprising the three health boards (CTM, AB, CAV) are meeting weekly to develop and implement a shared programme of engagement across the region. The group</w:t>
      </w:r>
      <w:r w:rsidR="000C7AB0">
        <w:rPr>
          <w:rFonts w:cs="Arial"/>
        </w:rPr>
        <w:t>’</w:t>
      </w:r>
      <w:r w:rsidRPr="00CC17DD">
        <w:rPr>
          <w:rFonts w:cs="Arial"/>
        </w:rPr>
        <w:t>s priorities include</w:t>
      </w:r>
      <w:r w:rsidR="000C7AB0">
        <w:rPr>
          <w:rFonts w:cs="Arial"/>
        </w:rPr>
        <w:t xml:space="preserve"> </w:t>
      </w:r>
    </w:p>
    <w:p w14:paraId="1F8B2C41" w14:textId="77777777" w:rsidR="007772B1" w:rsidRPr="00CC17DD" w:rsidRDefault="007772B1" w:rsidP="000C7AB0">
      <w:pPr>
        <w:pStyle w:val="bullets1"/>
      </w:pPr>
      <w:r w:rsidRPr="00CC17DD">
        <w:t>Creation and completion of assessment tool to:</w:t>
      </w:r>
    </w:p>
    <w:p w14:paraId="392D6C91" w14:textId="77777777" w:rsidR="007772B1" w:rsidRPr="00CC17DD" w:rsidRDefault="007772B1" w:rsidP="000C7AB0">
      <w:pPr>
        <w:pStyle w:val="bullets2"/>
      </w:pPr>
      <w:r w:rsidRPr="00CC17DD">
        <w:lastRenderedPageBreak/>
        <w:t xml:space="preserve">Enable structured and consistent interrogation of previous and live engagement activities across the SE Wales region, to identify shared learning about successful methods, collate learning, and provide a baseline a baseline of current public opinion on key issues relevant to the LHP programme </w:t>
      </w:r>
    </w:p>
    <w:p w14:paraId="1EAABDEF" w14:textId="77777777" w:rsidR="007772B1" w:rsidRPr="00CC17DD" w:rsidRDefault="007772B1" w:rsidP="000C7AB0">
      <w:pPr>
        <w:pStyle w:val="bullets2"/>
      </w:pPr>
      <w:r w:rsidRPr="00CC17DD">
        <w:t>Map the impact of LHP at health board level to enable prioritisation of engagement activities and resources</w:t>
      </w:r>
    </w:p>
    <w:p w14:paraId="582923A1" w14:textId="77777777" w:rsidR="007772B1" w:rsidRPr="00CC17DD" w:rsidRDefault="007772B1" w:rsidP="000C7AB0">
      <w:pPr>
        <w:pStyle w:val="bullets2"/>
      </w:pPr>
      <w:r w:rsidRPr="00CC17DD">
        <w:t xml:space="preserve">Plot impact against </w:t>
      </w:r>
      <w:proofErr w:type="spellStart"/>
      <w:r w:rsidRPr="00CC17DD">
        <w:t>Llais</w:t>
      </w:r>
      <w:proofErr w:type="spellEnd"/>
      <w:r w:rsidRPr="00CC17DD">
        <w:t xml:space="preserve"> criteria for engagement/consultation</w:t>
      </w:r>
    </w:p>
    <w:p w14:paraId="2A5D02F4" w14:textId="77777777" w:rsidR="007772B1" w:rsidRPr="00CC17DD" w:rsidRDefault="007772B1" w:rsidP="000C7AB0">
      <w:pPr>
        <w:pStyle w:val="bullets2"/>
      </w:pPr>
      <w:r w:rsidRPr="00CC17DD">
        <w:t xml:space="preserve">Provide a single set of core data  </w:t>
      </w:r>
    </w:p>
    <w:p w14:paraId="4D471E69" w14:textId="77777777" w:rsidR="007772B1" w:rsidRPr="000C7AB0" w:rsidRDefault="007772B1" w:rsidP="000C7AB0">
      <w:pPr>
        <w:pStyle w:val="NoSpacing"/>
      </w:pPr>
    </w:p>
    <w:p w14:paraId="3C667ED5" w14:textId="77777777" w:rsidR="007772B1" w:rsidRPr="00CC17DD" w:rsidRDefault="007772B1" w:rsidP="000C7AB0">
      <w:pPr>
        <w:pStyle w:val="bullets1"/>
      </w:pPr>
      <w:r w:rsidRPr="00CC17DD">
        <w:t xml:space="preserve">Interrogation of local stakeholder data to identify and prioritise audiences at a local and regional level. Development of a shared stakeholder map that enables engagement to be undertaken as efficiently as possible, with minimal duplication </w:t>
      </w:r>
    </w:p>
    <w:p w14:paraId="374CA994" w14:textId="77777777" w:rsidR="007772B1" w:rsidRPr="00CC17DD" w:rsidRDefault="007772B1" w:rsidP="000C7AB0">
      <w:pPr>
        <w:pStyle w:val="bullets1"/>
      </w:pPr>
      <w:r w:rsidRPr="00CC17DD">
        <w:t>Through mapping, identify existing touchpoints/forums with patient, public, community and staff groups to maximise the efficiency and expediency of engagement</w:t>
      </w:r>
    </w:p>
    <w:p w14:paraId="4541E374" w14:textId="77777777" w:rsidR="007772B1" w:rsidRPr="00CC17DD" w:rsidRDefault="007772B1" w:rsidP="000C7AB0">
      <w:pPr>
        <w:pStyle w:val="bullets1"/>
      </w:pPr>
      <w:r w:rsidRPr="00CC17DD">
        <w:t xml:space="preserve">Routine – min monthly – LHP/regional engagement meetings (next due 14 Nov) with </w:t>
      </w:r>
      <w:proofErr w:type="spellStart"/>
      <w:r w:rsidRPr="00CC17DD">
        <w:t>Llais</w:t>
      </w:r>
      <w:proofErr w:type="spellEnd"/>
      <w:r w:rsidRPr="00CC17DD">
        <w:t xml:space="preserve"> to enable input into plans and identify opportunities for </w:t>
      </w:r>
      <w:proofErr w:type="spellStart"/>
      <w:r w:rsidRPr="00CC17DD">
        <w:t>Llais</w:t>
      </w:r>
      <w:proofErr w:type="spellEnd"/>
      <w:r w:rsidRPr="00CC17DD">
        <w:t xml:space="preserve"> to amplify and enhance engagement. </w:t>
      </w:r>
    </w:p>
    <w:p w14:paraId="559269B9" w14:textId="77777777" w:rsidR="007772B1" w:rsidRPr="00CC17DD" w:rsidRDefault="007772B1" w:rsidP="000C7AB0">
      <w:pPr>
        <w:pStyle w:val="bullets1"/>
      </w:pPr>
      <w:r w:rsidRPr="00CC17DD">
        <w:t>Creation of single channels for regional engagement to enable sharing and development of core programme content and learning</w:t>
      </w:r>
    </w:p>
    <w:p w14:paraId="1F817A3A" w14:textId="77777777" w:rsidR="007772B1" w:rsidRPr="00CC17DD" w:rsidRDefault="007772B1" w:rsidP="000C7AB0">
      <w:pPr>
        <w:pStyle w:val="bullets1"/>
      </w:pPr>
      <w:r w:rsidRPr="00CC17DD">
        <w:t xml:space="preserve">Development of a single engagement and communication plan, using good practice from other engagement programmes, with a phased delivery plan for pace and relevance. To include a digital engagement plan to generate engagement through local web and social platforms. </w:t>
      </w:r>
    </w:p>
    <w:p w14:paraId="7D9E6F4C" w14:textId="77777777" w:rsidR="007772B1" w:rsidRPr="00CC17DD" w:rsidRDefault="007772B1" w:rsidP="000C7AB0">
      <w:pPr>
        <w:pStyle w:val="bullets1"/>
      </w:pPr>
      <w:r w:rsidRPr="00CC17DD">
        <w:t xml:space="preserve">Development of an LHP patient panel to provide ongoing input into the programme on key elements affecting experience, including transport and travel, wayfinding, and patient information (concept being worked up with </w:t>
      </w:r>
      <w:proofErr w:type="spellStart"/>
      <w:r w:rsidRPr="00CC17DD">
        <w:t>Llais</w:t>
      </w:r>
      <w:proofErr w:type="spellEnd"/>
      <w:r w:rsidRPr="00CC17DD">
        <w:t>)</w:t>
      </w:r>
    </w:p>
    <w:p w14:paraId="7ADBA946" w14:textId="77777777" w:rsidR="007772B1" w:rsidRPr="00CC17DD" w:rsidRDefault="007772B1" w:rsidP="000C7AB0">
      <w:pPr>
        <w:pStyle w:val="bullets1"/>
      </w:pPr>
      <w:r w:rsidRPr="00CC17DD">
        <w:t xml:space="preserve">A regularly updated library of content, that provides all partners with the data, messages and tools to engage efficiently and effectively. CTM to provide resources centrally, in collaboration with partners, to enable localised delivery that meets local requirements and makes effective use of local platforms. </w:t>
      </w:r>
    </w:p>
    <w:p w14:paraId="57F9D9DD" w14:textId="77777777" w:rsidR="007772B1" w:rsidRPr="00CC17DD" w:rsidRDefault="007772B1" w:rsidP="000C7AB0">
      <w:pPr>
        <w:pStyle w:val="NoSpacing"/>
      </w:pPr>
    </w:p>
    <w:p w14:paraId="7861ABCB" w14:textId="2727E1CE" w:rsidR="007772B1" w:rsidRPr="000C7AB0" w:rsidRDefault="007772B1" w:rsidP="000C7AB0">
      <w:r w:rsidRPr="000C7AB0">
        <w:t>Producing core content to widen profile and understanding of LHP amongst public audiences and enable localised delivery of engagement actions. Inc. key messages, content for web and socials, graphics, talking heads videos</w:t>
      </w:r>
    </w:p>
    <w:p w14:paraId="405AB9C0" w14:textId="27E31210" w:rsidR="005378CE" w:rsidRPr="006B7B8F" w:rsidRDefault="007772B1" w:rsidP="00DE042F">
      <w:pPr>
        <w:pStyle w:val="Heading3"/>
      </w:pPr>
      <w:r>
        <w:t xml:space="preserve">Timing and </w:t>
      </w:r>
      <w:r w:rsidR="000C7AB0">
        <w:t xml:space="preserve">phasing </w:t>
      </w:r>
    </w:p>
    <w:p w14:paraId="30FB1E47" w14:textId="77777777" w:rsidR="007772B1" w:rsidRPr="00CC17DD" w:rsidRDefault="007772B1" w:rsidP="007772B1">
      <w:pPr>
        <w:rPr>
          <w:rFonts w:cs="Arial"/>
        </w:rPr>
      </w:pPr>
      <w:r w:rsidRPr="00CC17DD">
        <w:rPr>
          <w:rFonts w:cs="Arial"/>
        </w:rPr>
        <w:t>The engagement and communications plan in development will set out the appropriate phasing and timetable for activity, taking into account local issues and current programmes of work; particularly those involving public engagement (where appropriate we will aim to integrate engagement opportunities relevant to LHP into these programmes but not to the detriment of existing timetables).</w:t>
      </w:r>
    </w:p>
    <w:p w14:paraId="2CC54B22" w14:textId="77777777" w:rsidR="007772B1" w:rsidRPr="00CC17DD" w:rsidRDefault="007772B1" w:rsidP="007772B1">
      <w:pPr>
        <w:rPr>
          <w:rFonts w:cs="Arial"/>
        </w:rPr>
      </w:pPr>
      <w:r w:rsidRPr="00CC17DD">
        <w:rPr>
          <w:rFonts w:cs="Arial"/>
        </w:rPr>
        <w:t xml:space="preserve">We will also be cognisant of national issues – including the 2026 </w:t>
      </w:r>
      <w:proofErr w:type="spellStart"/>
      <w:r w:rsidRPr="00CC17DD">
        <w:rPr>
          <w:rFonts w:cs="Arial"/>
        </w:rPr>
        <w:t>Senedd</w:t>
      </w:r>
      <w:proofErr w:type="spellEnd"/>
      <w:r w:rsidRPr="00CC17DD">
        <w:rPr>
          <w:rFonts w:cs="Arial"/>
        </w:rPr>
        <w:t xml:space="preserve"> elections – that will impact upon the delivery of engagement, working within the guidance set out for the period of pre-election sensitivity.  </w:t>
      </w:r>
    </w:p>
    <w:p w14:paraId="13B841AB" w14:textId="77777777" w:rsidR="005378CE" w:rsidRDefault="005378CE" w:rsidP="005378CE">
      <w:pPr>
        <w:pStyle w:val="NoSpacing"/>
      </w:pPr>
    </w:p>
    <w:p w14:paraId="1EBBEFB3" w14:textId="77777777" w:rsidR="005378CE" w:rsidRDefault="005378CE" w:rsidP="005378CE">
      <w:pPr>
        <w:pStyle w:val="Heading2"/>
      </w:pPr>
      <w:bookmarkStart w:id="279" w:name="_Toc213865274"/>
      <w:r>
        <w:t>Project assurance</w:t>
      </w:r>
      <w:bookmarkEnd w:id="279"/>
    </w:p>
    <w:p w14:paraId="2AE770CF" w14:textId="77777777" w:rsidR="005378CE" w:rsidRPr="005502CF" w:rsidRDefault="005378CE" w:rsidP="005378CE">
      <w:pPr>
        <w:spacing w:after="160"/>
      </w:pPr>
      <w:r w:rsidRPr="00874DF0">
        <w:t xml:space="preserve">The current governance </w:t>
      </w:r>
      <w:r>
        <w:t xml:space="preserve">structure </w:t>
      </w:r>
      <w:r w:rsidRPr="00874DF0">
        <w:t xml:space="preserve">allows for a clear </w:t>
      </w:r>
      <w:r>
        <w:t>separation between governance functions and those that deliver or approve outputs.</w:t>
      </w:r>
      <w:r w:rsidRPr="005502CF">
        <w:t xml:space="preserve"> The assurance functions will confirm that the processes and procedures followed by the delivery groups have been </w:t>
      </w:r>
      <w:proofErr w:type="gramStart"/>
      <w:r w:rsidRPr="005502CF">
        <w:t>sufficient</w:t>
      </w:r>
      <w:proofErr w:type="gramEnd"/>
      <w:r w:rsidRPr="005502CF">
        <w:t xml:space="preserve"> and in accordance with sound management principles. The assurance function will also act as the coordination point between the delivery and governance functions. </w:t>
      </w:r>
    </w:p>
    <w:p w14:paraId="0BDF7351" w14:textId="77777777" w:rsidR="005378CE" w:rsidRPr="005502CF" w:rsidRDefault="005378CE" w:rsidP="005378CE">
      <w:pPr>
        <w:spacing w:after="160"/>
      </w:pPr>
      <w:r w:rsidRPr="005502CF">
        <w:lastRenderedPageBreak/>
        <w:t xml:space="preserve">Within the PRINCE 2 governance arrangements the PMO is classed as part of the Assurance function. </w:t>
      </w:r>
    </w:p>
    <w:p w14:paraId="1657B428" w14:textId="77777777" w:rsidR="005378CE" w:rsidRPr="005502CF" w:rsidRDefault="005378CE" w:rsidP="00DE042F">
      <w:pPr>
        <w:pStyle w:val="Heading3"/>
      </w:pPr>
      <w:r w:rsidRPr="005502CF">
        <w:t>Programme</w:t>
      </w:r>
    </w:p>
    <w:p w14:paraId="3DA7322E" w14:textId="77777777" w:rsidR="005378CE" w:rsidRPr="005502CF" w:rsidRDefault="005378CE" w:rsidP="005378CE">
      <w:pPr>
        <w:pStyle w:val="bullets1"/>
      </w:pPr>
      <w:r w:rsidRPr="005502CF">
        <w:t>Review of upcoming programme activity and milestones with LHP Technical PM and Project Director to determine outputs required by workstreams</w:t>
      </w:r>
    </w:p>
    <w:p w14:paraId="523CEBC5" w14:textId="77777777" w:rsidR="005378CE" w:rsidRPr="005502CF" w:rsidRDefault="005378CE" w:rsidP="005378CE">
      <w:pPr>
        <w:pStyle w:val="bullets1"/>
      </w:pPr>
      <w:r w:rsidRPr="005502CF">
        <w:t>Create lookahead programme highlighting key programme deliverables over coming weeks/months for dissemination to workstreams</w:t>
      </w:r>
    </w:p>
    <w:p w14:paraId="062DD556" w14:textId="77777777" w:rsidR="005378CE" w:rsidRDefault="005378CE" w:rsidP="005378CE">
      <w:pPr>
        <w:pStyle w:val="bullets1"/>
      </w:pPr>
      <w:r w:rsidRPr="005502CF">
        <w:t>Track workstream output and performance toward achieving programme deliverables and feed progress into monthly reporting – PMO drumbeat.</w:t>
      </w:r>
    </w:p>
    <w:p w14:paraId="275E05E2" w14:textId="77777777" w:rsidR="005378CE" w:rsidRPr="00F776BF" w:rsidRDefault="005378CE" w:rsidP="005378CE">
      <w:pPr>
        <w:pStyle w:val="NoSpacing"/>
      </w:pPr>
    </w:p>
    <w:p w14:paraId="5D146712" w14:textId="77777777" w:rsidR="005378CE" w:rsidRPr="005502CF" w:rsidRDefault="005378CE" w:rsidP="00DE042F">
      <w:pPr>
        <w:pStyle w:val="Heading3"/>
      </w:pPr>
      <w:r w:rsidRPr="005502CF">
        <w:t>Risk</w:t>
      </w:r>
    </w:p>
    <w:p w14:paraId="72C311AD" w14:textId="77777777" w:rsidR="005378CE" w:rsidRPr="005502CF" w:rsidRDefault="005378CE" w:rsidP="005378CE">
      <w:pPr>
        <w:pStyle w:val="bullets1"/>
      </w:pPr>
      <w:r w:rsidRPr="005502CF">
        <w:t>Review of risk with LHP Technical PM and Project Director to review and update risk register based on workstream risks</w:t>
      </w:r>
    </w:p>
    <w:p w14:paraId="408A0884" w14:textId="77777777" w:rsidR="005378CE" w:rsidRPr="005502CF" w:rsidRDefault="005378CE" w:rsidP="005378CE">
      <w:pPr>
        <w:pStyle w:val="bullets1"/>
      </w:pPr>
      <w:r w:rsidRPr="005502CF">
        <w:t>Track workstream risks and feed into project reporting – PMO drumbeat.</w:t>
      </w:r>
    </w:p>
    <w:p w14:paraId="0A7594BC" w14:textId="77777777" w:rsidR="005378CE" w:rsidRDefault="005378CE" w:rsidP="005378CE">
      <w:pPr>
        <w:pStyle w:val="NoSpacing"/>
      </w:pPr>
    </w:p>
    <w:p w14:paraId="5BD7AF89" w14:textId="77777777" w:rsidR="005378CE" w:rsidRPr="005502CF" w:rsidRDefault="005378CE" w:rsidP="00DE042F">
      <w:pPr>
        <w:pStyle w:val="Heading3"/>
      </w:pPr>
      <w:r w:rsidRPr="005502CF">
        <w:t>Key Performance Indicators (KPIs)</w:t>
      </w:r>
    </w:p>
    <w:p w14:paraId="7C76004B" w14:textId="77777777" w:rsidR="005378CE" w:rsidRPr="005502CF" w:rsidRDefault="005378CE" w:rsidP="005378CE">
      <w:pPr>
        <w:pStyle w:val="bullets1"/>
      </w:pPr>
      <w:r w:rsidRPr="005502CF">
        <w:t>Work with LHP Project Director to determine workstream KPIs</w:t>
      </w:r>
    </w:p>
    <w:p w14:paraId="55F6422B" w14:textId="77777777" w:rsidR="005378CE" w:rsidRPr="00885E96" w:rsidRDefault="005378CE" w:rsidP="005378CE">
      <w:pPr>
        <w:pStyle w:val="bullets1"/>
      </w:pPr>
      <w:r w:rsidRPr="005502CF">
        <w:t>Track workstream KPIs and feed into project reporting – PMO drumbeat.</w:t>
      </w:r>
    </w:p>
    <w:p w14:paraId="63554E73" w14:textId="77777777" w:rsidR="005378CE" w:rsidRDefault="005378CE" w:rsidP="00DE042F">
      <w:pPr>
        <w:pStyle w:val="NoSpacing"/>
      </w:pPr>
      <w:r w:rsidRPr="00F776BF">
        <w:t xml:space="preserve">  </w:t>
      </w:r>
    </w:p>
    <w:p w14:paraId="5AAF8205" w14:textId="60456C2D" w:rsidR="005378CE" w:rsidRDefault="005378CE" w:rsidP="005378CE">
      <w:r>
        <w:t>In addition to the above NWSSP Audit services are developing an audit plan with CTM to provide independent oversight of the capital programme.  A notional fee budget has been included at OBC stage as the plan is developed</w:t>
      </w:r>
      <w:r w:rsidR="00E94E8B">
        <w:t>,</w:t>
      </w:r>
      <w:r>
        <w:t xml:space="preserve"> and this will be shared with NWSSP – SES once it is developed. </w:t>
      </w:r>
    </w:p>
    <w:p w14:paraId="0503090F" w14:textId="77777777" w:rsidR="00DE042F" w:rsidRPr="00F776BF" w:rsidRDefault="00DE042F" w:rsidP="00D93136">
      <w:pPr>
        <w:pStyle w:val="NoSpacing"/>
      </w:pPr>
    </w:p>
    <w:p w14:paraId="1A1BD768" w14:textId="77777777" w:rsidR="005378CE" w:rsidRDefault="005378CE" w:rsidP="005378CE">
      <w:pPr>
        <w:pStyle w:val="Heading2"/>
      </w:pPr>
      <w:bookmarkStart w:id="280" w:name="_Toc213865275"/>
      <w:r>
        <w:t>Change management</w:t>
      </w:r>
      <w:bookmarkEnd w:id="280"/>
    </w:p>
    <w:p w14:paraId="39235F3D" w14:textId="77777777" w:rsidR="005378CE" w:rsidRPr="00022BDF" w:rsidRDefault="005378CE" w:rsidP="005378CE">
      <w:r w:rsidRPr="00022BDF">
        <w:t>The Health Boards are aware that the project is a major change for staff working in the area and across all three Health Boards, therefore its success is predicated on staff supporting the project. To date, key staff have been involved in workshops regarding clinical flows and design and it is envisaged that they will continue to play an instrumental role as the project moves into its next phase. Prior to the new facilities opening, detailed planning work will be undertaken to understand any changes to ways of working, and staff will be supported by the project team to prepare for this. Transition plans will be developed in collaboration with all relevant stakeholders, to ensure the new facilities run smoothly and that staff are prepared for any changes to their working model as a result.</w:t>
      </w:r>
    </w:p>
    <w:p w14:paraId="1D097251" w14:textId="77777777" w:rsidR="005378CE" w:rsidRPr="00022BDF" w:rsidRDefault="005378CE" w:rsidP="005378CE">
      <w:r w:rsidRPr="00022BDF">
        <w:t>There will be no change to organisational structures following completion of the development. There is potential for positive cultural changes following completion to enable staff to work more effectively and efficiently in a new fit-for-purpose building. This can help contribute to higher levels of staff retention over the coming years to improve the working culture for both staff and patients.</w:t>
      </w:r>
    </w:p>
    <w:p w14:paraId="779EC34D" w14:textId="5BE88B7D" w:rsidR="005378CE" w:rsidRPr="00022BDF" w:rsidRDefault="005378CE" w:rsidP="005378CE">
      <w:r w:rsidRPr="00022BDF">
        <w:t>Within each stage there will be a series of decision points where major documents produced by workstreams will be ratified within the governance arrangements. For example, clinical advice leaflets pre/post day surgery. All documents will be subject to a robust and consistent version control methodology. The following documents are core to the project at this stage:</w:t>
      </w:r>
    </w:p>
    <w:tbl>
      <w:tblPr>
        <w:tblW w:w="5100" w:type="pct"/>
        <w:tblInd w:w="-113" w:type="dxa"/>
        <w:tblLayout w:type="fixed"/>
        <w:tblLook w:val="04A0" w:firstRow="1" w:lastRow="0" w:firstColumn="1" w:lastColumn="0" w:noHBand="0" w:noVBand="1"/>
      </w:tblPr>
      <w:tblGrid>
        <w:gridCol w:w="5500"/>
        <w:gridCol w:w="4331"/>
      </w:tblGrid>
      <w:tr w:rsidR="005378CE" w:rsidRPr="00D93136" w14:paraId="32865D8E" w14:textId="77777777" w:rsidTr="00D93136">
        <w:tc>
          <w:tcPr>
            <w:tcW w:w="5500" w:type="dxa"/>
            <w:tcMar>
              <w:left w:w="108" w:type="dxa"/>
              <w:right w:w="108" w:type="dxa"/>
            </w:tcMar>
          </w:tcPr>
          <w:p w14:paraId="20B758DC" w14:textId="77777777" w:rsidR="005378CE" w:rsidRPr="00D93136" w:rsidRDefault="005378CE" w:rsidP="00D93136">
            <w:pPr>
              <w:pStyle w:val="bullets1"/>
            </w:pPr>
            <w:r w:rsidRPr="00D93136">
              <w:t>Strategy documents, including the Clinical Services Strategy, Workforce Plan, Programme etc.;</w:t>
            </w:r>
          </w:p>
          <w:p w14:paraId="34D8BB60" w14:textId="77777777" w:rsidR="005378CE" w:rsidRPr="00D93136" w:rsidRDefault="005378CE" w:rsidP="00D93136">
            <w:pPr>
              <w:pStyle w:val="bullets1"/>
            </w:pPr>
            <w:r w:rsidRPr="00D93136">
              <w:t>Schedule of accommodation;</w:t>
            </w:r>
          </w:p>
        </w:tc>
        <w:tc>
          <w:tcPr>
            <w:tcW w:w="4331" w:type="dxa"/>
            <w:tcMar>
              <w:left w:w="108" w:type="dxa"/>
              <w:right w:w="108" w:type="dxa"/>
            </w:tcMar>
          </w:tcPr>
          <w:p w14:paraId="79992857" w14:textId="77777777" w:rsidR="005378CE" w:rsidRPr="00D93136" w:rsidRDefault="005378CE" w:rsidP="00D93136">
            <w:pPr>
              <w:pStyle w:val="bullets1"/>
            </w:pPr>
            <w:r w:rsidRPr="00D93136">
              <w:t>Clinical models of care and patient flow diagrams;</w:t>
            </w:r>
          </w:p>
          <w:p w14:paraId="03AD82FA" w14:textId="77777777" w:rsidR="005378CE" w:rsidRPr="00D93136" w:rsidRDefault="005378CE" w:rsidP="00D93136">
            <w:pPr>
              <w:pStyle w:val="bullets1"/>
            </w:pPr>
            <w:r w:rsidRPr="00D93136">
              <w:t>Clinical advice documents.</w:t>
            </w:r>
          </w:p>
        </w:tc>
      </w:tr>
    </w:tbl>
    <w:p w14:paraId="67BFD4EB" w14:textId="77777777" w:rsidR="005378CE" w:rsidRPr="00022BDF" w:rsidRDefault="005378CE" w:rsidP="005378CE">
      <w:pPr>
        <w:pStyle w:val="NoSpacing"/>
      </w:pPr>
      <w:r w:rsidRPr="00022BDF">
        <w:t xml:space="preserve"> </w:t>
      </w:r>
    </w:p>
    <w:p w14:paraId="45582E63" w14:textId="77777777" w:rsidR="005378CE" w:rsidRDefault="005378CE" w:rsidP="005378CE">
      <w:pPr>
        <w:rPr>
          <w:highlight w:val="yellow"/>
        </w:rPr>
      </w:pPr>
      <w:r w:rsidRPr="00022BDF">
        <w:lastRenderedPageBreak/>
        <w:t xml:space="preserve">All changes will be subject to a formal change control process. Change is not design development. Change can only occur when strategic, operational policies or functional content quantities are altered from those included in the current approved documents. Change management associated with the infrastructure aspects of this project will be managed by the LHP Project Team through </w:t>
      </w:r>
      <w:r w:rsidRPr="00C61CA0">
        <w:t>Programme Board and Regional Oversight Board.</w:t>
      </w:r>
    </w:p>
    <w:p w14:paraId="62F85ED5" w14:textId="77777777" w:rsidR="005378CE" w:rsidRPr="00022BDF" w:rsidRDefault="005378CE" w:rsidP="005378CE">
      <w:pPr>
        <w:pStyle w:val="NoSpacing"/>
        <w:rPr>
          <w:highlight w:val="yellow"/>
        </w:rPr>
      </w:pPr>
    </w:p>
    <w:p w14:paraId="6D5B0D88" w14:textId="77777777" w:rsidR="005378CE" w:rsidRDefault="005378CE" w:rsidP="005378CE">
      <w:pPr>
        <w:pStyle w:val="Heading2"/>
      </w:pPr>
      <w:bookmarkStart w:id="281" w:name="_Toc213865276"/>
      <w:r w:rsidRPr="5B694236">
        <w:t>Contingency plans</w:t>
      </w:r>
      <w:bookmarkEnd w:id="281"/>
    </w:p>
    <w:p w14:paraId="592319C8" w14:textId="77777777" w:rsidR="005378CE" w:rsidRPr="00022BDF" w:rsidRDefault="005378CE" w:rsidP="005378CE">
      <w:r w:rsidRPr="00022BDF">
        <w:t>Should the current scheme fail to proceed, the only contingency plan would be to continue with business as usual for services regionally, working with wait list initiatives or temporary diagnostic solutions such as mobile MRI when required to meet additional demand.</w:t>
      </w:r>
    </w:p>
    <w:p w14:paraId="32A105C4" w14:textId="77777777" w:rsidR="005378CE" w:rsidRDefault="005378CE" w:rsidP="005378CE">
      <w:pPr>
        <w:pStyle w:val="NoSpacing"/>
      </w:pPr>
    </w:p>
    <w:p w14:paraId="6667108F" w14:textId="77777777" w:rsidR="005378CE" w:rsidRDefault="005378CE" w:rsidP="005378CE">
      <w:pPr>
        <w:pStyle w:val="Heading2"/>
      </w:pPr>
      <w:bookmarkStart w:id="282" w:name="_Toc213865277"/>
      <w:r>
        <w:t>Benefits realisation</w:t>
      </w:r>
      <w:bookmarkEnd w:id="282"/>
    </w:p>
    <w:p w14:paraId="1AF32E6B" w14:textId="77777777" w:rsidR="005378CE" w:rsidRPr="00022BDF" w:rsidRDefault="005378CE" w:rsidP="005378CE">
      <w:r w:rsidRPr="00022BDF">
        <w:t>A Benefits Realisation Plan will be developed by the Programme Board to put in place the necessary arrangements to ensure that the project delivers its anticipated benefits. This includes setting out the arrangements for planning, modelling and tracking the identified benefits as well as a framework that assigns responsibility for the realisation of the benefits throughout key phases of the project. The Benefits Realisation Plan will be owned by the</w:t>
      </w:r>
      <w:r>
        <w:t xml:space="preserve"> Health Board’s Infrastructure and Clinical and Operational Programme Directors.</w:t>
      </w:r>
    </w:p>
    <w:p w14:paraId="7E488AFF" w14:textId="77777777" w:rsidR="005378CE" w:rsidRPr="00022BDF" w:rsidRDefault="005378CE" w:rsidP="005378CE">
      <w:r w:rsidRPr="00022BDF">
        <w:t xml:space="preserve">The main benefits for the preferred option are outlined in the benefits register included in </w:t>
      </w:r>
      <w:r w:rsidRPr="00F338F9">
        <w:t>Appendix 5 while the actions required to realise the benefits will be confirmed at FBC stage and included as a full benefits realisation plan.</w:t>
      </w:r>
    </w:p>
    <w:p w14:paraId="40094775" w14:textId="77777777" w:rsidR="005378CE" w:rsidRPr="00022BDF" w:rsidRDefault="005378CE" w:rsidP="005378CE">
      <w:r w:rsidRPr="00022BDF">
        <w:t>The spending objectives and aligned benefits used in the selection of the preferred option will be used to measure the project success.</w:t>
      </w:r>
    </w:p>
    <w:p w14:paraId="3F071FDB" w14:textId="77777777" w:rsidR="005378CE" w:rsidRPr="00022BDF" w:rsidRDefault="005378CE" w:rsidP="005378CE">
      <w:r w:rsidRPr="00022BDF">
        <w:t>This evaluation process will be run in parallel with the Post Project Evaluation Plan as noted below and will be developed as part of the detailed design stage. The Benefits Realisation Plan will be regularly reviewed and updated. This will ensure that – should any strategic change take place, such as a legislative change – the service and project will be flexed accordingly to ensure that the facility delivers a fit for purpose service from the point of operational commencement.</w:t>
      </w:r>
    </w:p>
    <w:p w14:paraId="0F5DF1EC" w14:textId="77777777" w:rsidR="005378CE" w:rsidRDefault="005378CE" w:rsidP="005378CE">
      <w:r w:rsidRPr="00022BDF">
        <w:t>The benefits realisation approach outlined above is a key output to provide assurance on investment delivery and performance and will be shared with the Health Boards and Welsh Government to facilitate shared learning at FBC stage.</w:t>
      </w:r>
    </w:p>
    <w:p w14:paraId="2216AAA6" w14:textId="77777777" w:rsidR="005378CE" w:rsidRPr="00022BDF" w:rsidRDefault="005378CE" w:rsidP="005378CE">
      <w:pPr>
        <w:pStyle w:val="NoSpacing"/>
      </w:pPr>
    </w:p>
    <w:p w14:paraId="5A9D79D2" w14:textId="77777777" w:rsidR="005378CE" w:rsidRDefault="005378CE" w:rsidP="005378CE">
      <w:pPr>
        <w:pStyle w:val="Heading2"/>
      </w:pPr>
      <w:bookmarkStart w:id="283" w:name="_Toc213865278"/>
      <w:r>
        <w:t>Risk management</w:t>
      </w:r>
      <w:bookmarkEnd w:id="283"/>
    </w:p>
    <w:p w14:paraId="66574D1F" w14:textId="77777777" w:rsidR="005378CE" w:rsidRPr="00022BDF" w:rsidRDefault="005378CE" w:rsidP="005378CE">
      <w:r w:rsidRPr="00022BDF">
        <w:t>The complexity of the LHP programme necessitates an appropriate risk management process is put in place to identify, assess and mitigate the likelihood of risks materialising throughout the programme duration.</w:t>
      </w:r>
    </w:p>
    <w:p w14:paraId="3E368451" w14:textId="77777777" w:rsidR="005378CE" w:rsidRPr="00022BDF" w:rsidRDefault="005378CE" w:rsidP="005378CE">
      <w:r w:rsidRPr="00022BDF">
        <w:t xml:space="preserve">Workstream risks are those which are considered by each workstream as a risk to successful delivery of business outcomes and targets. They vary from seemingly insignificant risks to risks which are potentially very damaging. Where risks are deemed to be significant (residual rating &gt;12) and occur across </w:t>
      </w:r>
      <w:proofErr w:type="gramStart"/>
      <w:r w:rsidRPr="00022BDF">
        <w:t>a number of</w:t>
      </w:r>
      <w:proofErr w:type="gramEnd"/>
      <w:r w:rsidRPr="00022BDF">
        <w:t xml:space="preserve"> workstreams these are considered as programme risks and dealt with accordingly.</w:t>
      </w:r>
    </w:p>
    <w:p w14:paraId="4C7EDA09" w14:textId="77777777" w:rsidR="005378CE" w:rsidRPr="00022BDF" w:rsidRDefault="005378CE" w:rsidP="005378CE">
      <w:r w:rsidRPr="00022BDF">
        <w:t>Risk management is therefore dealt with in a two-tier system approach:</w:t>
      </w:r>
    </w:p>
    <w:p w14:paraId="397F7777" w14:textId="77777777" w:rsidR="005378CE" w:rsidRPr="00022BDF" w:rsidRDefault="005378CE" w:rsidP="005378CE">
      <w:pPr>
        <w:pStyle w:val="bullets1"/>
      </w:pPr>
      <w:r w:rsidRPr="00022BDF">
        <w:t>Workstream risk management is an iterative process undertaken by workstream leads, with a monthly reporting cycle up to the LHP Steering Group. All workstreams will be issued a risk register template to log their risks and issues</w:t>
      </w:r>
    </w:p>
    <w:p w14:paraId="6A16F528" w14:textId="77777777" w:rsidR="005378CE" w:rsidRDefault="005378CE" w:rsidP="005378CE">
      <w:pPr>
        <w:pStyle w:val="bullets1"/>
      </w:pPr>
      <w:r w:rsidRPr="00022BDF">
        <w:lastRenderedPageBreak/>
        <w:t>Programme risk management is an iterative document that is reviewed monthly in the Programme Board and Steering Group meetings and updated to reflect any changes that may impact programme scope, cost, timeliness, quality, or designs.</w:t>
      </w:r>
    </w:p>
    <w:p w14:paraId="0DC7F313" w14:textId="77777777" w:rsidR="005378CE" w:rsidRPr="00022BDF" w:rsidRDefault="005378CE" w:rsidP="005378CE">
      <w:pPr>
        <w:pStyle w:val="NoSpacing"/>
      </w:pPr>
    </w:p>
    <w:p w14:paraId="4AC4D6D3" w14:textId="77777777" w:rsidR="005378CE" w:rsidRPr="00022BDF" w:rsidRDefault="005378CE" w:rsidP="005378CE">
      <w:bookmarkStart w:id="284" w:name="_Toc59609525"/>
      <w:r w:rsidRPr="00022BDF">
        <w:t>Should any risks be identified through the programme that have an impact on the Health Board service delivery and / or strategic direction then it should be escalated via the SRO to the Assistant Director of Governance and Risk for inclusion and scrutiny on the Organisational Risk Register.</w:t>
      </w:r>
    </w:p>
    <w:p w14:paraId="7C723BF5" w14:textId="77777777" w:rsidR="005378CE" w:rsidRPr="00022BDF" w:rsidRDefault="005378CE" w:rsidP="005378CE">
      <w:pPr>
        <w:pStyle w:val="Heading3"/>
      </w:pPr>
      <w:r w:rsidRPr="00022BDF">
        <w:t>Consequence and likelihood definitions</w:t>
      </w:r>
      <w:bookmarkEnd w:id="284"/>
    </w:p>
    <w:p w14:paraId="45732801" w14:textId="77777777" w:rsidR="005378CE" w:rsidRPr="006C1A04" w:rsidRDefault="005378CE" w:rsidP="005378CE">
      <w:r w:rsidRPr="006C1A04">
        <w:t xml:space="preserve">The below tables include the initial definitions relating to the consequence and likelihood of a risk occurring. These definitions are used for both workstream-level risks that are maintained in the dashboard report </w:t>
      </w:r>
      <w:r w:rsidRPr="006C1A04">
        <w:rPr>
          <w:i/>
          <w:iCs/>
        </w:rPr>
        <w:t>and</w:t>
      </w:r>
      <w:r w:rsidRPr="006C1A04">
        <w:t xml:space="preserve"> the programme levels risks that are reflected in the programme risk register.</w:t>
      </w:r>
    </w:p>
    <w:p w14:paraId="35BEC831" w14:textId="6B15C9BB" w:rsidR="00BE09D9" w:rsidRDefault="00BE09D9" w:rsidP="00BE09D9">
      <w:pPr>
        <w:pStyle w:val="Caption"/>
      </w:pPr>
      <w:bookmarkStart w:id="285" w:name="_Toc213865312"/>
      <w:r>
        <w:t xml:space="preserve">Table </w:t>
      </w:r>
      <w:r>
        <w:fldChar w:fldCharType="begin"/>
      </w:r>
      <w:r>
        <w:instrText xml:space="preserve"> SEQ Table \* ARABIC </w:instrText>
      </w:r>
      <w:r>
        <w:fldChar w:fldCharType="separate"/>
      </w:r>
      <w:r w:rsidR="004A33ED">
        <w:t>32</w:t>
      </w:r>
      <w:r>
        <w:fldChar w:fldCharType="end"/>
      </w:r>
      <w:r>
        <w:t xml:space="preserve"> - </w:t>
      </w:r>
      <w:r w:rsidRPr="00A73CE2">
        <w:t>Risk consequence definitions</w:t>
      </w:r>
      <w:bookmarkEnd w:id="285"/>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903"/>
        <w:gridCol w:w="1511"/>
        <w:gridCol w:w="7407"/>
      </w:tblGrid>
      <w:tr w:rsidR="005378CE" w:rsidRPr="00022BDF" w14:paraId="52CF30FA" w14:textId="77777777" w:rsidTr="00BE09D9">
        <w:trPr>
          <w:cantSplit/>
          <w:tblHeader/>
        </w:trPr>
        <w:tc>
          <w:tcPr>
            <w:tcW w:w="846" w:type="dxa"/>
            <w:shd w:val="clear" w:color="auto" w:fill="374264" w:themeFill="text2"/>
            <w:vAlign w:val="center"/>
            <w:hideMark/>
          </w:tcPr>
          <w:p w14:paraId="419A7ABC" w14:textId="77777777" w:rsidR="005378CE" w:rsidRPr="00022BDF" w:rsidRDefault="005378CE" w:rsidP="00377EA9">
            <w:pPr>
              <w:pStyle w:val="tabletext"/>
              <w:rPr>
                <w:b/>
                <w:bCs/>
                <w:color w:val="FFFFFF" w:themeColor="background1"/>
              </w:rPr>
            </w:pPr>
            <w:r w:rsidRPr="00022BDF">
              <w:rPr>
                <w:b/>
                <w:bCs/>
                <w:color w:val="FFFFFF" w:themeColor="background1"/>
              </w:rPr>
              <w:t>Score</w:t>
            </w:r>
          </w:p>
        </w:tc>
        <w:tc>
          <w:tcPr>
            <w:tcW w:w="1417" w:type="dxa"/>
            <w:shd w:val="clear" w:color="auto" w:fill="374264" w:themeFill="text2"/>
            <w:vAlign w:val="center"/>
            <w:hideMark/>
          </w:tcPr>
          <w:p w14:paraId="5E63518A" w14:textId="77777777" w:rsidR="005378CE" w:rsidRPr="00022BDF" w:rsidRDefault="005378CE" w:rsidP="00377EA9">
            <w:pPr>
              <w:pStyle w:val="tabletext"/>
              <w:rPr>
                <w:b/>
                <w:bCs/>
                <w:color w:val="FFFFFF" w:themeColor="background1"/>
              </w:rPr>
            </w:pPr>
            <w:r w:rsidRPr="00022BDF">
              <w:rPr>
                <w:b/>
                <w:bCs/>
                <w:color w:val="FFFFFF" w:themeColor="background1"/>
              </w:rPr>
              <w:t>Descriptor</w:t>
            </w:r>
          </w:p>
        </w:tc>
        <w:tc>
          <w:tcPr>
            <w:tcW w:w="6945" w:type="dxa"/>
            <w:shd w:val="clear" w:color="auto" w:fill="374264" w:themeFill="text2"/>
            <w:vAlign w:val="center"/>
            <w:hideMark/>
          </w:tcPr>
          <w:p w14:paraId="233C13C5" w14:textId="77777777" w:rsidR="005378CE" w:rsidRPr="00022BDF" w:rsidRDefault="005378CE" w:rsidP="00377EA9">
            <w:pPr>
              <w:pStyle w:val="tabletext"/>
              <w:rPr>
                <w:b/>
                <w:bCs/>
                <w:color w:val="FFFFFF" w:themeColor="background1"/>
              </w:rPr>
            </w:pPr>
            <w:r w:rsidRPr="00022BDF">
              <w:rPr>
                <w:b/>
                <w:bCs/>
                <w:color w:val="FFFFFF" w:themeColor="background1"/>
              </w:rPr>
              <w:t>Actual or potential impact on the individual/service or organisation</w:t>
            </w:r>
          </w:p>
        </w:tc>
      </w:tr>
      <w:tr w:rsidR="005378CE" w:rsidRPr="00022BDF" w14:paraId="22CB932C" w14:textId="77777777" w:rsidTr="00BE09D9">
        <w:trPr>
          <w:cantSplit/>
        </w:trPr>
        <w:tc>
          <w:tcPr>
            <w:tcW w:w="846" w:type="dxa"/>
            <w:vAlign w:val="center"/>
            <w:hideMark/>
          </w:tcPr>
          <w:p w14:paraId="7196BA70" w14:textId="77777777" w:rsidR="005378CE" w:rsidRPr="00022BDF" w:rsidRDefault="005378CE" w:rsidP="00377EA9">
            <w:pPr>
              <w:pStyle w:val="tabletext"/>
            </w:pPr>
            <w:r w:rsidRPr="00022BDF">
              <w:t>1</w:t>
            </w:r>
          </w:p>
        </w:tc>
        <w:tc>
          <w:tcPr>
            <w:tcW w:w="1417" w:type="dxa"/>
            <w:vAlign w:val="center"/>
            <w:hideMark/>
          </w:tcPr>
          <w:p w14:paraId="3E7B4FCD" w14:textId="77777777" w:rsidR="005378CE" w:rsidRPr="00022BDF" w:rsidRDefault="005378CE" w:rsidP="00377EA9">
            <w:pPr>
              <w:pStyle w:val="tabletext"/>
            </w:pPr>
            <w:r w:rsidRPr="00022BDF">
              <w:t xml:space="preserve">Negligible </w:t>
            </w:r>
          </w:p>
        </w:tc>
        <w:tc>
          <w:tcPr>
            <w:tcW w:w="6945" w:type="dxa"/>
            <w:vAlign w:val="center"/>
            <w:hideMark/>
          </w:tcPr>
          <w:p w14:paraId="1BB141B8" w14:textId="77777777" w:rsidR="005378CE" w:rsidRPr="00022BDF" w:rsidRDefault="005378CE" w:rsidP="00377EA9">
            <w:pPr>
              <w:pStyle w:val="tabletext"/>
            </w:pPr>
            <w:r w:rsidRPr="00022BDF">
              <w:t xml:space="preserve">Minimal injury requiring no/minimal intervention or treatment. </w:t>
            </w:r>
          </w:p>
          <w:p w14:paraId="7A32E5F0" w14:textId="77777777" w:rsidR="005378CE" w:rsidRPr="00022BDF" w:rsidRDefault="005378CE" w:rsidP="00377EA9">
            <w:pPr>
              <w:pStyle w:val="tabletext"/>
            </w:pPr>
            <w:r w:rsidRPr="00022BDF">
              <w:t>Potential for public concern</w:t>
            </w:r>
          </w:p>
          <w:p w14:paraId="0DAC2DF0" w14:textId="77777777" w:rsidR="005378CE" w:rsidRPr="00022BDF" w:rsidRDefault="005378CE" w:rsidP="00377EA9">
            <w:pPr>
              <w:pStyle w:val="tabletext"/>
            </w:pPr>
            <w:r w:rsidRPr="00022BDF">
              <w:t>Insignificant cost increase/ schedule slippage</w:t>
            </w:r>
          </w:p>
          <w:p w14:paraId="216B0C82" w14:textId="77777777" w:rsidR="005378CE" w:rsidRPr="00022BDF" w:rsidRDefault="005378CE" w:rsidP="00377EA9">
            <w:pPr>
              <w:pStyle w:val="tabletext"/>
            </w:pPr>
            <w:r w:rsidRPr="00022BDF">
              <w:t>Minimal or no impact on the environment</w:t>
            </w:r>
          </w:p>
        </w:tc>
      </w:tr>
      <w:tr w:rsidR="005378CE" w:rsidRPr="00022BDF" w14:paraId="619FFD17" w14:textId="77777777" w:rsidTr="00BE09D9">
        <w:trPr>
          <w:cantSplit/>
        </w:trPr>
        <w:tc>
          <w:tcPr>
            <w:tcW w:w="846" w:type="dxa"/>
            <w:vAlign w:val="center"/>
            <w:hideMark/>
          </w:tcPr>
          <w:p w14:paraId="76D9BE72" w14:textId="77777777" w:rsidR="005378CE" w:rsidRPr="00022BDF" w:rsidRDefault="005378CE" w:rsidP="00377EA9">
            <w:pPr>
              <w:pStyle w:val="tabletext"/>
            </w:pPr>
            <w:r w:rsidRPr="00022BDF">
              <w:t>2</w:t>
            </w:r>
          </w:p>
        </w:tc>
        <w:tc>
          <w:tcPr>
            <w:tcW w:w="1417" w:type="dxa"/>
            <w:vAlign w:val="center"/>
            <w:hideMark/>
          </w:tcPr>
          <w:p w14:paraId="1A6C15D9" w14:textId="77777777" w:rsidR="005378CE" w:rsidRPr="00022BDF" w:rsidRDefault="005378CE" w:rsidP="00377EA9">
            <w:pPr>
              <w:pStyle w:val="tabletext"/>
            </w:pPr>
            <w:r w:rsidRPr="00022BDF">
              <w:t>Minor</w:t>
            </w:r>
          </w:p>
        </w:tc>
        <w:tc>
          <w:tcPr>
            <w:tcW w:w="6945" w:type="dxa"/>
            <w:vAlign w:val="center"/>
            <w:hideMark/>
          </w:tcPr>
          <w:p w14:paraId="3F8EF82E" w14:textId="77777777" w:rsidR="005378CE" w:rsidRPr="00022BDF" w:rsidRDefault="005378CE" w:rsidP="00377EA9">
            <w:pPr>
              <w:pStyle w:val="tabletext"/>
            </w:pPr>
            <w:r w:rsidRPr="00022BDF">
              <w:t>Minor injury or illness, requiring minor intervention.</w:t>
            </w:r>
          </w:p>
          <w:p w14:paraId="6AD3C816" w14:textId="77777777" w:rsidR="005378CE" w:rsidRPr="00022BDF" w:rsidRDefault="005378CE" w:rsidP="00377EA9">
            <w:pPr>
              <w:pStyle w:val="tabletext"/>
            </w:pPr>
            <w:r w:rsidRPr="00022BDF">
              <w:t>Local media coverage – short-term reduction in public confidence</w:t>
            </w:r>
          </w:p>
          <w:p w14:paraId="59AFE9DA" w14:textId="77777777" w:rsidR="005378CE" w:rsidRPr="00022BDF" w:rsidRDefault="005378CE" w:rsidP="00377EA9">
            <w:pPr>
              <w:pStyle w:val="tabletext"/>
            </w:pPr>
            <w:r w:rsidRPr="00022BDF">
              <w:t>&lt;5% over project budget, schedule slippage</w:t>
            </w:r>
          </w:p>
          <w:p w14:paraId="4CAB45C2" w14:textId="77777777" w:rsidR="005378CE" w:rsidRPr="00022BDF" w:rsidRDefault="005378CE" w:rsidP="00377EA9">
            <w:pPr>
              <w:pStyle w:val="tabletext"/>
            </w:pPr>
            <w:r w:rsidRPr="00022BDF">
              <w:t>Minor impact on the environment</w:t>
            </w:r>
          </w:p>
        </w:tc>
      </w:tr>
      <w:tr w:rsidR="005378CE" w:rsidRPr="00022BDF" w14:paraId="7B8CED47" w14:textId="77777777" w:rsidTr="00BE09D9">
        <w:trPr>
          <w:cantSplit/>
        </w:trPr>
        <w:tc>
          <w:tcPr>
            <w:tcW w:w="846" w:type="dxa"/>
            <w:vAlign w:val="center"/>
            <w:hideMark/>
          </w:tcPr>
          <w:p w14:paraId="51BD3E7C" w14:textId="77777777" w:rsidR="005378CE" w:rsidRPr="00022BDF" w:rsidRDefault="005378CE" w:rsidP="00377EA9">
            <w:pPr>
              <w:pStyle w:val="tabletext"/>
            </w:pPr>
            <w:r w:rsidRPr="00022BDF">
              <w:t>3</w:t>
            </w:r>
          </w:p>
        </w:tc>
        <w:tc>
          <w:tcPr>
            <w:tcW w:w="1417" w:type="dxa"/>
            <w:vAlign w:val="center"/>
            <w:hideMark/>
          </w:tcPr>
          <w:p w14:paraId="641300CC" w14:textId="77777777" w:rsidR="005378CE" w:rsidRPr="00022BDF" w:rsidRDefault="005378CE" w:rsidP="00377EA9">
            <w:pPr>
              <w:pStyle w:val="tabletext"/>
            </w:pPr>
            <w:r w:rsidRPr="00022BDF">
              <w:t>Moderate</w:t>
            </w:r>
          </w:p>
        </w:tc>
        <w:tc>
          <w:tcPr>
            <w:tcW w:w="6945" w:type="dxa"/>
            <w:vAlign w:val="center"/>
            <w:hideMark/>
          </w:tcPr>
          <w:p w14:paraId="48128593" w14:textId="77777777" w:rsidR="005378CE" w:rsidRPr="00022BDF" w:rsidRDefault="005378CE" w:rsidP="00377EA9">
            <w:pPr>
              <w:pStyle w:val="tabletext"/>
            </w:pPr>
            <w:r w:rsidRPr="00022BDF">
              <w:t>Moderate injury requiring professional intervention.</w:t>
            </w:r>
          </w:p>
          <w:p w14:paraId="099B2EB9" w14:textId="77777777" w:rsidR="005378CE" w:rsidRPr="00022BDF" w:rsidRDefault="005378CE" w:rsidP="00377EA9">
            <w:pPr>
              <w:pStyle w:val="tabletext"/>
            </w:pPr>
            <w:r w:rsidRPr="00022BDF">
              <w:t>Local media coverage – long-term reduction in public confidence</w:t>
            </w:r>
          </w:p>
          <w:p w14:paraId="215C2C47" w14:textId="77777777" w:rsidR="005378CE" w:rsidRPr="00022BDF" w:rsidRDefault="005378CE" w:rsidP="00377EA9">
            <w:pPr>
              <w:pStyle w:val="tabletext"/>
            </w:pPr>
            <w:r w:rsidRPr="00022BDF">
              <w:t>5 – 10% over project budget, schedule slippage</w:t>
            </w:r>
          </w:p>
          <w:p w14:paraId="681B54B1" w14:textId="77777777" w:rsidR="005378CE" w:rsidRPr="00022BDF" w:rsidRDefault="005378CE" w:rsidP="00377EA9">
            <w:pPr>
              <w:pStyle w:val="tabletext"/>
            </w:pPr>
            <w:r w:rsidRPr="00022BDF">
              <w:t>Moderate impact on the environment</w:t>
            </w:r>
          </w:p>
        </w:tc>
      </w:tr>
      <w:tr w:rsidR="005378CE" w:rsidRPr="00022BDF" w14:paraId="125E690E" w14:textId="77777777" w:rsidTr="00BE09D9">
        <w:trPr>
          <w:cantSplit/>
        </w:trPr>
        <w:tc>
          <w:tcPr>
            <w:tcW w:w="846" w:type="dxa"/>
            <w:vAlign w:val="center"/>
            <w:hideMark/>
          </w:tcPr>
          <w:p w14:paraId="6877BAF8" w14:textId="77777777" w:rsidR="005378CE" w:rsidRPr="00022BDF" w:rsidRDefault="005378CE" w:rsidP="00377EA9">
            <w:pPr>
              <w:pStyle w:val="tabletext"/>
            </w:pPr>
            <w:r w:rsidRPr="00022BDF">
              <w:t>4</w:t>
            </w:r>
          </w:p>
        </w:tc>
        <w:tc>
          <w:tcPr>
            <w:tcW w:w="1417" w:type="dxa"/>
            <w:vAlign w:val="center"/>
            <w:hideMark/>
          </w:tcPr>
          <w:p w14:paraId="544CB7CD" w14:textId="77777777" w:rsidR="005378CE" w:rsidRPr="00022BDF" w:rsidRDefault="005378CE" w:rsidP="00377EA9">
            <w:pPr>
              <w:pStyle w:val="tabletext"/>
            </w:pPr>
            <w:r w:rsidRPr="00022BDF">
              <w:t>Major</w:t>
            </w:r>
          </w:p>
        </w:tc>
        <w:tc>
          <w:tcPr>
            <w:tcW w:w="6945" w:type="dxa"/>
            <w:vAlign w:val="center"/>
            <w:hideMark/>
          </w:tcPr>
          <w:p w14:paraId="1E34090B" w14:textId="77777777" w:rsidR="005378CE" w:rsidRPr="00022BDF" w:rsidRDefault="005378CE" w:rsidP="00377EA9">
            <w:pPr>
              <w:pStyle w:val="tabletext"/>
            </w:pPr>
            <w:r w:rsidRPr="00022BDF">
              <w:t>Major injury leading to long-term incapacity/disability</w:t>
            </w:r>
          </w:p>
          <w:p w14:paraId="4D4BAF1B" w14:textId="77777777" w:rsidR="005378CE" w:rsidRPr="00022BDF" w:rsidRDefault="005378CE" w:rsidP="00377EA9">
            <w:pPr>
              <w:pStyle w:val="tabletext"/>
            </w:pPr>
            <w:r w:rsidRPr="00022BDF">
              <w:t>National media coverage with &lt;3 days service well below reasonable public expectation</w:t>
            </w:r>
          </w:p>
          <w:p w14:paraId="6B897CEB" w14:textId="77777777" w:rsidR="005378CE" w:rsidRPr="00022BDF" w:rsidRDefault="005378CE" w:rsidP="00377EA9">
            <w:pPr>
              <w:pStyle w:val="tabletext"/>
            </w:pPr>
            <w:r w:rsidRPr="00022BDF">
              <w:t>10-25% over project budget, schedule slippage, key objectives not met</w:t>
            </w:r>
          </w:p>
          <w:p w14:paraId="148A229C" w14:textId="77777777" w:rsidR="005378CE" w:rsidRPr="00022BDF" w:rsidRDefault="005378CE" w:rsidP="00377EA9">
            <w:pPr>
              <w:pStyle w:val="tabletext"/>
            </w:pPr>
            <w:r w:rsidRPr="00022BDF">
              <w:t>Major impact on the environment</w:t>
            </w:r>
          </w:p>
        </w:tc>
      </w:tr>
      <w:tr w:rsidR="005378CE" w:rsidRPr="00022BDF" w14:paraId="00C59F75" w14:textId="77777777" w:rsidTr="00BE09D9">
        <w:trPr>
          <w:cantSplit/>
        </w:trPr>
        <w:tc>
          <w:tcPr>
            <w:tcW w:w="846" w:type="dxa"/>
            <w:vAlign w:val="center"/>
            <w:hideMark/>
          </w:tcPr>
          <w:p w14:paraId="4AF10245" w14:textId="77777777" w:rsidR="005378CE" w:rsidRPr="00022BDF" w:rsidRDefault="005378CE" w:rsidP="00377EA9">
            <w:pPr>
              <w:pStyle w:val="tabletext"/>
            </w:pPr>
            <w:r w:rsidRPr="00022BDF">
              <w:t>5</w:t>
            </w:r>
          </w:p>
        </w:tc>
        <w:tc>
          <w:tcPr>
            <w:tcW w:w="1417" w:type="dxa"/>
            <w:vAlign w:val="center"/>
            <w:hideMark/>
          </w:tcPr>
          <w:p w14:paraId="1AF0F626" w14:textId="77777777" w:rsidR="005378CE" w:rsidRPr="00022BDF" w:rsidRDefault="005378CE" w:rsidP="00377EA9">
            <w:pPr>
              <w:pStyle w:val="tabletext"/>
            </w:pPr>
            <w:r w:rsidRPr="00022BDF">
              <w:t>Catastrophic</w:t>
            </w:r>
          </w:p>
        </w:tc>
        <w:tc>
          <w:tcPr>
            <w:tcW w:w="6945" w:type="dxa"/>
            <w:vAlign w:val="center"/>
            <w:hideMark/>
          </w:tcPr>
          <w:p w14:paraId="291FC48E" w14:textId="77777777" w:rsidR="005378CE" w:rsidRPr="00022BDF" w:rsidRDefault="005378CE" w:rsidP="00377EA9">
            <w:pPr>
              <w:pStyle w:val="tabletext"/>
            </w:pPr>
            <w:r w:rsidRPr="00022BDF">
              <w:t>National media coverage with &gt;3 days service well below reasonable public expectation. MP concerned (questions in the House)</w:t>
            </w:r>
          </w:p>
          <w:p w14:paraId="42C450A1" w14:textId="77777777" w:rsidR="005378CE" w:rsidRPr="00022BDF" w:rsidRDefault="005378CE" w:rsidP="00377EA9">
            <w:pPr>
              <w:pStyle w:val="tabletext"/>
            </w:pPr>
            <w:r w:rsidRPr="00022BDF">
              <w:t>Incident leading to &gt; 25% over project budget, schedule slippage, key objectives note met</w:t>
            </w:r>
          </w:p>
          <w:p w14:paraId="0056108D" w14:textId="77777777" w:rsidR="005378CE" w:rsidRPr="00022BDF" w:rsidRDefault="005378CE" w:rsidP="00377EA9">
            <w:pPr>
              <w:pStyle w:val="tabletext"/>
            </w:pPr>
            <w:r w:rsidRPr="00022BDF">
              <w:t>Catastrophic impact on the environment</w:t>
            </w:r>
          </w:p>
        </w:tc>
      </w:tr>
    </w:tbl>
    <w:p w14:paraId="388301C1" w14:textId="77777777" w:rsidR="005378CE" w:rsidRPr="00BE09D9" w:rsidRDefault="005378CE" w:rsidP="00BE09D9"/>
    <w:p w14:paraId="14E71E72" w14:textId="2A9B182B" w:rsidR="005378CE" w:rsidRDefault="005378CE" w:rsidP="005378CE">
      <w:pPr>
        <w:pStyle w:val="Caption"/>
      </w:pPr>
      <w:bookmarkStart w:id="286" w:name="_Toc213865313"/>
      <w:r>
        <w:t xml:space="preserve">Table </w:t>
      </w:r>
      <w:r>
        <w:fldChar w:fldCharType="begin"/>
      </w:r>
      <w:r>
        <w:instrText xml:space="preserve"> SEQ Table \* ARABIC </w:instrText>
      </w:r>
      <w:r>
        <w:fldChar w:fldCharType="separate"/>
      </w:r>
      <w:r w:rsidR="004A33ED">
        <w:t>33</w:t>
      </w:r>
      <w:r>
        <w:fldChar w:fldCharType="end"/>
      </w:r>
      <w:r>
        <w:t xml:space="preserve"> - Risk </w:t>
      </w:r>
      <w:r w:rsidRPr="00022BDF">
        <w:rPr>
          <w:b/>
          <w:bCs/>
        </w:rPr>
        <w:t>likelihood</w:t>
      </w:r>
      <w:r w:rsidRPr="008D7B7B">
        <w:t xml:space="preserve"> definitions</w:t>
      </w:r>
      <w:bookmarkEnd w:id="286"/>
    </w:p>
    <w:tbl>
      <w:tblPr>
        <w:tblW w:w="5100" w:type="pct"/>
        <w:tblInd w:w="-113" w:type="dxa"/>
        <w:tblBorders>
          <w:top w:val="single" w:sz="4" w:space="0" w:color="A6A6A6" w:themeColor="accent6" w:themeShade="A6"/>
          <w:left w:val="single" w:sz="4" w:space="0" w:color="A6A6A6" w:themeColor="accent6" w:themeShade="A6"/>
          <w:bottom w:val="single" w:sz="4" w:space="0" w:color="A6A6A6" w:themeColor="accent6" w:themeShade="A6"/>
          <w:right w:val="single" w:sz="4" w:space="0" w:color="A6A6A6" w:themeColor="accent6" w:themeShade="A6"/>
          <w:insideH w:val="single" w:sz="4" w:space="0" w:color="A6A6A6" w:themeColor="accent6" w:themeShade="A6"/>
          <w:insideV w:val="single" w:sz="4" w:space="0" w:color="A6A6A6" w:themeColor="accent6" w:themeShade="A6"/>
        </w:tblBorders>
        <w:tblLayout w:type="fixed"/>
        <w:tblLook w:val="04A0" w:firstRow="1" w:lastRow="0" w:firstColumn="1" w:lastColumn="0" w:noHBand="0" w:noVBand="1"/>
      </w:tblPr>
      <w:tblGrid>
        <w:gridCol w:w="959"/>
        <w:gridCol w:w="1559"/>
        <w:gridCol w:w="7303"/>
      </w:tblGrid>
      <w:tr w:rsidR="005378CE" w:rsidRPr="00022BDF" w14:paraId="1BB4BEF5" w14:textId="77777777" w:rsidTr="00377EA9">
        <w:trPr>
          <w:tblHeader/>
        </w:trPr>
        <w:tc>
          <w:tcPr>
            <w:tcW w:w="959" w:type="dxa"/>
            <w:shd w:val="clear" w:color="auto" w:fill="374264" w:themeFill="text2"/>
            <w:vAlign w:val="center"/>
            <w:hideMark/>
          </w:tcPr>
          <w:p w14:paraId="0187C599" w14:textId="77777777" w:rsidR="005378CE" w:rsidRPr="00022BDF" w:rsidRDefault="005378CE" w:rsidP="00377EA9">
            <w:pPr>
              <w:pStyle w:val="tabletext"/>
              <w:rPr>
                <w:b/>
                <w:bCs/>
                <w:color w:val="FFFFFF" w:themeColor="background1"/>
              </w:rPr>
            </w:pPr>
            <w:r w:rsidRPr="00022BDF">
              <w:rPr>
                <w:b/>
                <w:bCs/>
                <w:color w:val="FFFFFF" w:themeColor="background1"/>
              </w:rPr>
              <w:t>Score</w:t>
            </w:r>
          </w:p>
        </w:tc>
        <w:tc>
          <w:tcPr>
            <w:tcW w:w="1559" w:type="dxa"/>
            <w:shd w:val="clear" w:color="auto" w:fill="374264" w:themeFill="text2"/>
            <w:vAlign w:val="center"/>
            <w:hideMark/>
          </w:tcPr>
          <w:p w14:paraId="50B42B50" w14:textId="77777777" w:rsidR="005378CE" w:rsidRPr="00022BDF" w:rsidRDefault="005378CE" w:rsidP="00377EA9">
            <w:pPr>
              <w:pStyle w:val="tabletext"/>
              <w:rPr>
                <w:b/>
                <w:bCs/>
                <w:color w:val="FFFFFF" w:themeColor="background1"/>
              </w:rPr>
            </w:pPr>
            <w:r w:rsidRPr="00022BDF">
              <w:rPr>
                <w:b/>
                <w:bCs/>
                <w:color w:val="FFFFFF" w:themeColor="background1"/>
              </w:rPr>
              <w:t>Descriptor</w:t>
            </w:r>
          </w:p>
        </w:tc>
        <w:tc>
          <w:tcPr>
            <w:tcW w:w="7303" w:type="dxa"/>
            <w:shd w:val="clear" w:color="auto" w:fill="374264" w:themeFill="text2"/>
            <w:vAlign w:val="center"/>
            <w:hideMark/>
          </w:tcPr>
          <w:p w14:paraId="2AEE86C3" w14:textId="77777777" w:rsidR="005378CE" w:rsidRPr="00022BDF" w:rsidRDefault="005378CE" w:rsidP="00377EA9">
            <w:pPr>
              <w:pStyle w:val="tabletext"/>
              <w:rPr>
                <w:b/>
                <w:bCs/>
                <w:color w:val="FFFFFF" w:themeColor="background1"/>
              </w:rPr>
            </w:pPr>
            <w:r w:rsidRPr="00022BDF">
              <w:rPr>
                <w:b/>
                <w:bCs/>
                <w:color w:val="FFFFFF" w:themeColor="background1"/>
              </w:rPr>
              <w:t xml:space="preserve">Likelihood of occurrence </w:t>
            </w:r>
          </w:p>
        </w:tc>
      </w:tr>
      <w:tr w:rsidR="005378CE" w:rsidRPr="00022BDF" w14:paraId="1CB852E8" w14:textId="77777777" w:rsidTr="00377EA9">
        <w:tc>
          <w:tcPr>
            <w:tcW w:w="959" w:type="dxa"/>
            <w:vAlign w:val="center"/>
            <w:hideMark/>
          </w:tcPr>
          <w:p w14:paraId="000E87DD" w14:textId="77777777" w:rsidR="005378CE" w:rsidRPr="00022BDF" w:rsidRDefault="005378CE" w:rsidP="00377EA9">
            <w:pPr>
              <w:pStyle w:val="tabletext"/>
            </w:pPr>
            <w:r w:rsidRPr="00022BDF">
              <w:t>1</w:t>
            </w:r>
          </w:p>
        </w:tc>
        <w:tc>
          <w:tcPr>
            <w:tcW w:w="1559" w:type="dxa"/>
            <w:vAlign w:val="center"/>
            <w:hideMark/>
          </w:tcPr>
          <w:p w14:paraId="487EC801" w14:textId="77777777" w:rsidR="005378CE" w:rsidRPr="00022BDF" w:rsidRDefault="005378CE" w:rsidP="00377EA9">
            <w:pPr>
              <w:pStyle w:val="tabletext"/>
            </w:pPr>
            <w:r w:rsidRPr="00022BDF">
              <w:t>Rare</w:t>
            </w:r>
          </w:p>
        </w:tc>
        <w:tc>
          <w:tcPr>
            <w:tcW w:w="7303" w:type="dxa"/>
            <w:vAlign w:val="center"/>
            <w:hideMark/>
          </w:tcPr>
          <w:p w14:paraId="42CBBA56" w14:textId="77777777" w:rsidR="005378CE" w:rsidRPr="00022BDF" w:rsidRDefault="005378CE" w:rsidP="00377EA9">
            <w:pPr>
              <w:pStyle w:val="tabletext"/>
            </w:pPr>
            <w:r w:rsidRPr="00022BDF">
              <w:t>This will probably never happen/recur</w:t>
            </w:r>
          </w:p>
        </w:tc>
      </w:tr>
      <w:tr w:rsidR="005378CE" w:rsidRPr="00022BDF" w14:paraId="71C939A9" w14:textId="77777777" w:rsidTr="00377EA9">
        <w:tc>
          <w:tcPr>
            <w:tcW w:w="959" w:type="dxa"/>
            <w:vAlign w:val="center"/>
            <w:hideMark/>
          </w:tcPr>
          <w:p w14:paraId="665143B4" w14:textId="77777777" w:rsidR="005378CE" w:rsidRPr="00022BDF" w:rsidRDefault="005378CE" w:rsidP="00377EA9">
            <w:pPr>
              <w:pStyle w:val="tabletext"/>
            </w:pPr>
            <w:r w:rsidRPr="00022BDF">
              <w:t>2</w:t>
            </w:r>
          </w:p>
        </w:tc>
        <w:tc>
          <w:tcPr>
            <w:tcW w:w="1559" w:type="dxa"/>
            <w:vAlign w:val="center"/>
            <w:hideMark/>
          </w:tcPr>
          <w:p w14:paraId="569F3DC9" w14:textId="77777777" w:rsidR="005378CE" w:rsidRPr="00022BDF" w:rsidRDefault="005378CE" w:rsidP="00377EA9">
            <w:pPr>
              <w:pStyle w:val="tabletext"/>
            </w:pPr>
            <w:r w:rsidRPr="00022BDF">
              <w:t>Unlikely</w:t>
            </w:r>
          </w:p>
        </w:tc>
        <w:tc>
          <w:tcPr>
            <w:tcW w:w="7303" w:type="dxa"/>
            <w:vAlign w:val="center"/>
            <w:hideMark/>
          </w:tcPr>
          <w:p w14:paraId="3612295A" w14:textId="77777777" w:rsidR="005378CE" w:rsidRPr="00022BDF" w:rsidRDefault="005378CE" w:rsidP="00377EA9">
            <w:pPr>
              <w:pStyle w:val="tabletext"/>
            </w:pPr>
            <w:r w:rsidRPr="00022BDF">
              <w:t>Do not expect it to happen/recur but it is possible it may do so</w:t>
            </w:r>
          </w:p>
        </w:tc>
      </w:tr>
      <w:tr w:rsidR="005378CE" w:rsidRPr="00022BDF" w14:paraId="52C36A36" w14:textId="77777777" w:rsidTr="00377EA9">
        <w:tc>
          <w:tcPr>
            <w:tcW w:w="959" w:type="dxa"/>
            <w:vAlign w:val="center"/>
            <w:hideMark/>
          </w:tcPr>
          <w:p w14:paraId="4FB5EBAD" w14:textId="77777777" w:rsidR="005378CE" w:rsidRPr="00022BDF" w:rsidRDefault="005378CE" w:rsidP="00377EA9">
            <w:pPr>
              <w:pStyle w:val="tabletext"/>
            </w:pPr>
            <w:r w:rsidRPr="00022BDF">
              <w:t>3</w:t>
            </w:r>
          </w:p>
        </w:tc>
        <w:tc>
          <w:tcPr>
            <w:tcW w:w="1559" w:type="dxa"/>
            <w:vAlign w:val="center"/>
            <w:hideMark/>
          </w:tcPr>
          <w:p w14:paraId="111F1940" w14:textId="77777777" w:rsidR="005378CE" w:rsidRPr="00022BDF" w:rsidRDefault="005378CE" w:rsidP="00377EA9">
            <w:pPr>
              <w:pStyle w:val="tabletext"/>
            </w:pPr>
            <w:r w:rsidRPr="00022BDF">
              <w:t>Possible</w:t>
            </w:r>
          </w:p>
        </w:tc>
        <w:tc>
          <w:tcPr>
            <w:tcW w:w="7303" w:type="dxa"/>
            <w:vAlign w:val="center"/>
            <w:hideMark/>
          </w:tcPr>
          <w:p w14:paraId="71187813" w14:textId="77777777" w:rsidR="005378CE" w:rsidRPr="00022BDF" w:rsidRDefault="005378CE" w:rsidP="00377EA9">
            <w:pPr>
              <w:pStyle w:val="tabletext"/>
            </w:pPr>
            <w:r w:rsidRPr="00022BDF">
              <w:t>Might happen or recur occasionally</w:t>
            </w:r>
          </w:p>
        </w:tc>
      </w:tr>
      <w:tr w:rsidR="005378CE" w:rsidRPr="00022BDF" w14:paraId="2EC46CFF" w14:textId="77777777" w:rsidTr="00377EA9">
        <w:tc>
          <w:tcPr>
            <w:tcW w:w="959" w:type="dxa"/>
            <w:vAlign w:val="center"/>
            <w:hideMark/>
          </w:tcPr>
          <w:p w14:paraId="2DCE7674" w14:textId="77777777" w:rsidR="005378CE" w:rsidRPr="00022BDF" w:rsidRDefault="005378CE" w:rsidP="00377EA9">
            <w:pPr>
              <w:pStyle w:val="tabletext"/>
            </w:pPr>
            <w:r w:rsidRPr="00022BDF">
              <w:t>4</w:t>
            </w:r>
          </w:p>
        </w:tc>
        <w:tc>
          <w:tcPr>
            <w:tcW w:w="1559" w:type="dxa"/>
            <w:vAlign w:val="center"/>
            <w:hideMark/>
          </w:tcPr>
          <w:p w14:paraId="64A31C00" w14:textId="77777777" w:rsidR="005378CE" w:rsidRPr="00022BDF" w:rsidRDefault="005378CE" w:rsidP="00377EA9">
            <w:pPr>
              <w:pStyle w:val="tabletext"/>
            </w:pPr>
            <w:r w:rsidRPr="00022BDF">
              <w:t>Likely</w:t>
            </w:r>
          </w:p>
        </w:tc>
        <w:tc>
          <w:tcPr>
            <w:tcW w:w="7303" w:type="dxa"/>
            <w:vAlign w:val="center"/>
            <w:hideMark/>
          </w:tcPr>
          <w:p w14:paraId="6076205D" w14:textId="77777777" w:rsidR="005378CE" w:rsidRPr="00022BDF" w:rsidRDefault="005378CE" w:rsidP="00377EA9">
            <w:pPr>
              <w:pStyle w:val="tabletext"/>
            </w:pPr>
            <w:r w:rsidRPr="00022BDF">
              <w:t>Will probably happen/recur but it is not a persisting issue</w:t>
            </w:r>
          </w:p>
        </w:tc>
      </w:tr>
      <w:tr w:rsidR="005378CE" w:rsidRPr="00022BDF" w14:paraId="0373C5EF" w14:textId="77777777" w:rsidTr="00377EA9">
        <w:tc>
          <w:tcPr>
            <w:tcW w:w="959" w:type="dxa"/>
            <w:vAlign w:val="center"/>
            <w:hideMark/>
          </w:tcPr>
          <w:p w14:paraId="40964AFA" w14:textId="77777777" w:rsidR="005378CE" w:rsidRPr="00022BDF" w:rsidRDefault="005378CE" w:rsidP="00377EA9">
            <w:pPr>
              <w:pStyle w:val="tabletext"/>
            </w:pPr>
            <w:r w:rsidRPr="00022BDF">
              <w:t>5</w:t>
            </w:r>
          </w:p>
        </w:tc>
        <w:tc>
          <w:tcPr>
            <w:tcW w:w="1559" w:type="dxa"/>
            <w:vAlign w:val="center"/>
            <w:hideMark/>
          </w:tcPr>
          <w:p w14:paraId="60C73894" w14:textId="77777777" w:rsidR="005378CE" w:rsidRPr="00022BDF" w:rsidRDefault="005378CE" w:rsidP="00377EA9">
            <w:pPr>
              <w:pStyle w:val="tabletext"/>
            </w:pPr>
            <w:r w:rsidRPr="00022BDF">
              <w:t>Almost certain</w:t>
            </w:r>
          </w:p>
        </w:tc>
        <w:tc>
          <w:tcPr>
            <w:tcW w:w="7303" w:type="dxa"/>
            <w:vAlign w:val="center"/>
            <w:hideMark/>
          </w:tcPr>
          <w:p w14:paraId="55D264D9" w14:textId="77777777" w:rsidR="005378CE" w:rsidRPr="00022BDF" w:rsidRDefault="005378CE" w:rsidP="00377EA9">
            <w:pPr>
              <w:pStyle w:val="tabletext"/>
            </w:pPr>
            <w:r w:rsidRPr="00022BDF">
              <w:t>Will undoubtedly happen/recur, possible frequently</w:t>
            </w:r>
          </w:p>
        </w:tc>
      </w:tr>
    </w:tbl>
    <w:p w14:paraId="0B7D00EC" w14:textId="77777777" w:rsidR="005378CE" w:rsidRPr="00022BDF" w:rsidRDefault="005378CE" w:rsidP="005378CE">
      <w:pPr>
        <w:pStyle w:val="NoSpacing"/>
      </w:pPr>
      <w:bookmarkStart w:id="287" w:name="_Toc59609526"/>
    </w:p>
    <w:p w14:paraId="55991FD2" w14:textId="77777777" w:rsidR="005378CE" w:rsidRPr="003A6871" w:rsidRDefault="005378CE" w:rsidP="003A6871">
      <w:pPr>
        <w:pStyle w:val="Heading3"/>
      </w:pPr>
      <w:r w:rsidRPr="003A6871">
        <w:lastRenderedPageBreak/>
        <w:t>Risk matrix</w:t>
      </w:r>
      <w:bookmarkEnd w:id="287"/>
    </w:p>
    <w:p w14:paraId="6E669D11" w14:textId="77777777" w:rsidR="005378CE" w:rsidRDefault="005378CE" w:rsidP="005378CE">
      <w:r w:rsidRPr="00022BDF">
        <w:t>The risk matrix shown below is also consistent between both levels of risk management. The Health Board risk matrix is shown below</w:t>
      </w:r>
      <w:r>
        <w:t>.</w:t>
      </w:r>
    </w:p>
    <w:p w14:paraId="71A496F3" w14:textId="6093CBB5" w:rsidR="005378CE" w:rsidRDefault="005378CE" w:rsidP="005378CE">
      <w:pPr>
        <w:pStyle w:val="Caption"/>
      </w:pPr>
      <w:bookmarkStart w:id="288" w:name="_Toc213865332"/>
      <w:r>
        <w:t xml:space="preserve">Figure </w:t>
      </w:r>
      <w:r w:rsidR="009C05F7">
        <w:fldChar w:fldCharType="begin"/>
      </w:r>
      <w:r w:rsidR="009C05F7">
        <w:instrText xml:space="preserve"> SEQ Figure \* ARABIC </w:instrText>
      </w:r>
      <w:r w:rsidR="009C05F7">
        <w:fldChar w:fldCharType="separate"/>
      </w:r>
      <w:r w:rsidR="00376786">
        <w:t>19</w:t>
      </w:r>
      <w:r w:rsidR="009C05F7">
        <w:fldChar w:fldCharType="end"/>
      </w:r>
      <w:r>
        <w:t xml:space="preserve"> - </w:t>
      </w:r>
      <w:r w:rsidRPr="00FD26D7">
        <w:t>Risk scoring matrix (Likelihood x Consequence = Risk score)</w:t>
      </w:r>
      <w:bookmarkEnd w:id="288"/>
    </w:p>
    <w:p w14:paraId="767C22CF" w14:textId="0C6EA27C" w:rsidR="005378CE" w:rsidRPr="006C1A04" w:rsidRDefault="005378CE" w:rsidP="005378CE">
      <w:r>
        <w:rPr>
          <w:noProof/>
        </w:rPr>
        <w:drawing>
          <wp:inline distT="0" distB="0" distL="0" distR="0" wp14:anchorId="3054F97B" wp14:editId="46F3ADF1">
            <wp:extent cx="6118462" cy="2007620"/>
            <wp:effectExtent l="0" t="0" r="0" b="0"/>
            <wp:docPr id="471377962" name="Picture 2"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377962" name="Picture 2" descr="A screenshot of a computer&#10;&#10;AI-generated content may be incorrect."/>
                    <pic:cNvPicPr/>
                  </pic:nvPicPr>
                  <pic:blipFill>
                    <a:blip r:embed="rId64">
                      <a:extLst>
                        <a:ext uri="{28A0092B-C50C-407E-A947-70E740481C1C}">
                          <a14:useLocalDpi xmlns:a14="http://schemas.microsoft.com/office/drawing/2010/main" val="0"/>
                        </a:ext>
                      </a:extLst>
                    </a:blip>
                    <a:stretch>
                      <a:fillRect/>
                    </a:stretch>
                  </pic:blipFill>
                  <pic:spPr>
                    <a:xfrm>
                      <a:off x="0" y="0"/>
                      <a:ext cx="6118462" cy="2007620"/>
                    </a:xfrm>
                    <a:prstGeom prst="rect">
                      <a:avLst/>
                    </a:prstGeom>
                  </pic:spPr>
                </pic:pic>
              </a:graphicData>
            </a:graphic>
          </wp:inline>
        </w:drawing>
      </w:r>
    </w:p>
    <w:p w14:paraId="135062A0" w14:textId="77777777" w:rsidR="005378CE" w:rsidRDefault="005378CE" w:rsidP="005378CE">
      <w:r w:rsidRPr="00022BDF">
        <w:t>Risk</w:t>
      </w:r>
      <w:r>
        <w:t xml:space="preserve">s should be </w:t>
      </w:r>
      <w:r w:rsidRPr="00022BDF">
        <w:t>assess</w:t>
      </w:r>
      <w:r>
        <w:t>ed and</w:t>
      </w:r>
      <w:r w:rsidRPr="00022BDF">
        <w:t xml:space="preserve"> reviewed on a regular basis</w:t>
      </w:r>
      <w:r>
        <w:t>,</w:t>
      </w:r>
      <w:r w:rsidRPr="00022BDF">
        <w:t xml:space="preserve"> as determined </w:t>
      </w:r>
      <w:r>
        <w:t>by their score</w:t>
      </w:r>
      <w:r w:rsidRPr="00022BDF">
        <w:t>:</w:t>
      </w:r>
    </w:p>
    <w:tbl>
      <w:tblPr>
        <w:tblW w:w="5100" w:type="pct"/>
        <w:tblInd w:w="-113" w:type="dxa"/>
        <w:tblLayout w:type="fixed"/>
        <w:tblLook w:val="04A0" w:firstRow="1" w:lastRow="0" w:firstColumn="1" w:lastColumn="0" w:noHBand="0" w:noVBand="1"/>
      </w:tblPr>
      <w:tblGrid>
        <w:gridCol w:w="822"/>
        <w:gridCol w:w="1276"/>
        <w:gridCol w:w="7733"/>
      </w:tblGrid>
      <w:tr w:rsidR="005378CE" w:rsidRPr="00B16823" w14:paraId="27517010" w14:textId="77777777" w:rsidTr="00377EA9">
        <w:tc>
          <w:tcPr>
            <w:tcW w:w="822" w:type="dxa"/>
            <w:shd w:val="clear" w:color="auto" w:fill="92D050"/>
            <w:vAlign w:val="center"/>
          </w:tcPr>
          <w:p w14:paraId="0DE45EAF" w14:textId="77777777" w:rsidR="005378CE" w:rsidRPr="00D95D00" w:rsidRDefault="005378CE" w:rsidP="00377EA9">
            <w:pPr>
              <w:pStyle w:val="tabletext"/>
              <w:jc w:val="center"/>
              <w:rPr>
                <w:b/>
                <w:bCs/>
              </w:rPr>
            </w:pPr>
            <w:r w:rsidRPr="00D95D00">
              <w:rPr>
                <w:b/>
                <w:bCs/>
              </w:rPr>
              <w:t>1-6</w:t>
            </w:r>
          </w:p>
        </w:tc>
        <w:tc>
          <w:tcPr>
            <w:tcW w:w="1276" w:type="dxa"/>
            <w:shd w:val="clear" w:color="auto" w:fill="92D050"/>
            <w:vAlign w:val="center"/>
          </w:tcPr>
          <w:p w14:paraId="0D1108CA" w14:textId="77777777" w:rsidR="005378CE" w:rsidRPr="00D95D00" w:rsidRDefault="005378CE" w:rsidP="00377EA9">
            <w:pPr>
              <w:pStyle w:val="tabletext"/>
              <w:rPr>
                <w:b/>
                <w:bCs/>
              </w:rPr>
            </w:pPr>
            <w:r w:rsidRPr="00D95D00">
              <w:rPr>
                <w:b/>
                <w:bCs/>
              </w:rPr>
              <w:t>Low</w:t>
            </w:r>
          </w:p>
        </w:tc>
        <w:tc>
          <w:tcPr>
            <w:tcW w:w="7733" w:type="dxa"/>
            <w:vAlign w:val="center"/>
          </w:tcPr>
          <w:p w14:paraId="618ADD1C" w14:textId="77777777" w:rsidR="005378CE" w:rsidRPr="00B16823" w:rsidRDefault="005378CE" w:rsidP="00377EA9">
            <w:pPr>
              <w:pStyle w:val="tabletext"/>
            </w:pPr>
            <w:r>
              <w:t>Low risks should be reviewed and progress on actions recorded and updated at least every 6 months</w:t>
            </w:r>
          </w:p>
        </w:tc>
      </w:tr>
      <w:tr w:rsidR="005378CE" w:rsidRPr="00B16823" w14:paraId="35A45F19" w14:textId="77777777" w:rsidTr="00377EA9">
        <w:tc>
          <w:tcPr>
            <w:tcW w:w="822" w:type="dxa"/>
            <w:shd w:val="clear" w:color="auto" w:fill="FFC000"/>
            <w:vAlign w:val="center"/>
          </w:tcPr>
          <w:p w14:paraId="7A44D712" w14:textId="77777777" w:rsidR="005378CE" w:rsidRPr="00D95D00" w:rsidRDefault="005378CE" w:rsidP="00377EA9">
            <w:pPr>
              <w:pStyle w:val="tabletext"/>
              <w:jc w:val="center"/>
              <w:rPr>
                <w:b/>
                <w:bCs/>
              </w:rPr>
            </w:pPr>
            <w:r w:rsidRPr="00D95D00">
              <w:rPr>
                <w:b/>
                <w:bCs/>
              </w:rPr>
              <w:t>8-12</w:t>
            </w:r>
          </w:p>
        </w:tc>
        <w:tc>
          <w:tcPr>
            <w:tcW w:w="1276" w:type="dxa"/>
            <w:shd w:val="clear" w:color="auto" w:fill="FFC000"/>
            <w:vAlign w:val="center"/>
          </w:tcPr>
          <w:p w14:paraId="3DFBD5C2" w14:textId="77777777" w:rsidR="005378CE" w:rsidRPr="00D95D00" w:rsidRDefault="005378CE" w:rsidP="00377EA9">
            <w:pPr>
              <w:pStyle w:val="tabletext"/>
              <w:rPr>
                <w:b/>
                <w:bCs/>
              </w:rPr>
            </w:pPr>
            <w:r w:rsidRPr="00D95D00">
              <w:rPr>
                <w:b/>
                <w:bCs/>
              </w:rPr>
              <w:t>Moderate</w:t>
            </w:r>
          </w:p>
        </w:tc>
        <w:tc>
          <w:tcPr>
            <w:tcW w:w="7733" w:type="dxa"/>
            <w:vAlign w:val="center"/>
          </w:tcPr>
          <w:p w14:paraId="01445603" w14:textId="77777777" w:rsidR="005378CE" w:rsidRPr="00B16823" w:rsidRDefault="005378CE" w:rsidP="00377EA9">
            <w:pPr>
              <w:pStyle w:val="tabletext"/>
            </w:pPr>
            <w:r>
              <w:t xml:space="preserve">Moderate risks should be reviewed and progress on actions recorded and updated at least quarterly </w:t>
            </w:r>
          </w:p>
        </w:tc>
      </w:tr>
      <w:tr w:rsidR="005378CE" w:rsidRPr="00B16823" w14:paraId="06DB7F49" w14:textId="77777777" w:rsidTr="00377EA9">
        <w:tc>
          <w:tcPr>
            <w:tcW w:w="822" w:type="dxa"/>
            <w:shd w:val="clear" w:color="auto" w:fill="FF0000"/>
            <w:vAlign w:val="center"/>
          </w:tcPr>
          <w:p w14:paraId="7DE109C9" w14:textId="77777777" w:rsidR="005378CE" w:rsidRPr="00D95D00" w:rsidRDefault="005378CE" w:rsidP="00377EA9">
            <w:pPr>
              <w:pStyle w:val="tabletext"/>
              <w:jc w:val="center"/>
              <w:rPr>
                <w:b/>
                <w:bCs/>
                <w:color w:val="FFFFFF" w:themeColor="background1"/>
              </w:rPr>
            </w:pPr>
            <w:r w:rsidRPr="00D95D00">
              <w:rPr>
                <w:b/>
                <w:bCs/>
                <w:color w:val="FFFFFF" w:themeColor="background1"/>
              </w:rPr>
              <w:t>15-25</w:t>
            </w:r>
          </w:p>
        </w:tc>
        <w:tc>
          <w:tcPr>
            <w:tcW w:w="1276" w:type="dxa"/>
            <w:shd w:val="clear" w:color="auto" w:fill="FF0000"/>
            <w:vAlign w:val="center"/>
          </w:tcPr>
          <w:p w14:paraId="3D41692B" w14:textId="77777777" w:rsidR="005378CE" w:rsidRPr="00D95D00" w:rsidRDefault="005378CE" w:rsidP="00377EA9">
            <w:pPr>
              <w:pStyle w:val="tabletext"/>
              <w:rPr>
                <w:b/>
                <w:bCs/>
                <w:color w:val="FFFFFF" w:themeColor="background1"/>
              </w:rPr>
            </w:pPr>
            <w:r w:rsidRPr="00D95D00">
              <w:rPr>
                <w:b/>
                <w:bCs/>
                <w:color w:val="FFFFFF" w:themeColor="background1"/>
              </w:rPr>
              <w:t>High</w:t>
            </w:r>
          </w:p>
        </w:tc>
        <w:tc>
          <w:tcPr>
            <w:tcW w:w="7733" w:type="dxa"/>
            <w:vAlign w:val="center"/>
          </w:tcPr>
          <w:p w14:paraId="116C67EC" w14:textId="77777777" w:rsidR="005378CE" w:rsidRPr="00B16823" w:rsidRDefault="005378CE" w:rsidP="00377EA9">
            <w:pPr>
              <w:pStyle w:val="tabletext"/>
            </w:pPr>
            <w:r>
              <w:t>High risks should be reviewed and progress on actions recorded and updated at least every 2 months; if scored 20 or over the risk should be reviewed each month</w:t>
            </w:r>
          </w:p>
        </w:tc>
      </w:tr>
    </w:tbl>
    <w:p w14:paraId="2DAECFFD" w14:textId="77777777" w:rsidR="005378CE" w:rsidRPr="006C1A04" w:rsidRDefault="005378CE" w:rsidP="005378CE">
      <w:pPr>
        <w:pStyle w:val="NoSpacing"/>
      </w:pPr>
    </w:p>
    <w:p w14:paraId="266DE6CB" w14:textId="77777777" w:rsidR="005378CE" w:rsidRPr="006C1A04" w:rsidRDefault="005378CE" w:rsidP="005378CE">
      <w:r w:rsidRPr="006C1A04">
        <w:t>The following management actions are taken for each category:</w:t>
      </w:r>
    </w:p>
    <w:p w14:paraId="613BB0F7" w14:textId="77777777" w:rsidR="005378CE" w:rsidRPr="00022BDF" w:rsidRDefault="005378CE" w:rsidP="005378CE">
      <w:pPr>
        <w:pStyle w:val="bullets1"/>
      </w:pPr>
      <w:r w:rsidRPr="006A6651">
        <w:rPr>
          <w:b/>
          <w:bCs/>
        </w:rPr>
        <w:t>Red</w:t>
      </w:r>
      <w:r w:rsidRPr="00022BDF">
        <w:t xml:space="preserve"> – Reviewed at every Steering Group and Programme Board meeting with clear and determined action reviews in each pertinent workstream. Workstream leads are predominantly identified as the risk owner;</w:t>
      </w:r>
    </w:p>
    <w:p w14:paraId="4A00EEEA" w14:textId="77777777" w:rsidR="005378CE" w:rsidRPr="00022BDF" w:rsidRDefault="005378CE" w:rsidP="005378CE">
      <w:pPr>
        <w:pStyle w:val="bullets1"/>
      </w:pPr>
      <w:r w:rsidRPr="006A6651">
        <w:rPr>
          <w:b/>
          <w:bCs/>
        </w:rPr>
        <w:t>Amber</w:t>
      </w:r>
      <w:r w:rsidRPr="00022BDF">
        <w:t xml:space="preserve"> – Reviewed regularly and appropriate review dates are agreed at workstream groups/committees. The risk owner should be a senior member of the pertinent workstream; and</w:t>
      </w:r>
    </w:p>
    <w:p w14:paraId="20DA522A" w14:textId="77777777" w:rsidR="005378CE" w:rsidRPr="00022BDF" w:rsidRDefault="005378CE" w:rsidP="005378CE">
      <w:pPr>
        <w:pStyle w:val="bullets1"/>
      </w:pPr>
      <w:r w:rsidRPr="006A6651">
        <w:rPr>
          <w:b/>
          <w:bCs/>
        </w:rPr>
        <w:t>Yellow and Green</w:t>
      </w:r>
      <w:r w:rsidRPr="00022BDF">
        <w:t xml:space="preserve"> – Reviewed regularly to ensure the likelihood and/or consequence of the risk arising has not risen. Risk ownership can be assigned to anyone on the pertinent workstream.</w:t>
      </w:r>
    </w:p>
    <w:p w14:paraId="728ECFD9" w14:textId="77777777" w:rsidR="005378CE" w:rsidRPr="003A6871" w:rsidRDefault="005378CE" w:rsidP="003A6871"/>
    <w:p w14:paraId="6BC8B9AE" w14:textId="77777777" w:rsidR="005378CE" w:rsidRDefault="005378CE" w:rsidP="005378CE">
      <w:pPr>
        <w:pStyle w:val="Heading2"/>
      </w:pPr>
      <w:bookmarkStart w:id="289" w:name="_Toc213865279"/>
      <w:r>
        <w:t>Contract management</w:t>
      </w:r>
      <w:bookmarkEnd w:id="289"/>
    </w:p>
    <w:p w14:paraId="0E88402D" w14:textId="77777777" w:rsidR="005378CE" w:rsidRDefault="005378CE" w:rsidP="005378CE">
      <w:r>
        <w:t xml:space="preserve">Robust contract management process will be put in place to oversee the construction contracts.  The use of regular reviews and KPI monitoring will be critical to managing and overseeing performance throughout contract durations. </w:t>
      </w:r>
    </w:p>
    <w:p w14:paraId="54C51A7E" w14:textId="77777777" w:rsidR="00521D89" w:rsidRPr="002C5CAA" w:rsidRDefault="00521D89" w:rsidP="00521D89">
      <w:pPr>
        <w:pStyle w:val="NoSpacing"/>
      </w:pPr>
    </w:p>
    <w:p w14:paraId="02650357" w14:textId="77777777" w:rsidR="003A6871" w:rsidRDefault="003A6871">
      <w:pPr>
        <w:spacing w:after="160" w:line="259" w:lineRule="auto"/>
        <w:rPr>
          <w:rFonts w:asciiTheme="majorHAnsi" w:eastAsiaTheme="majorEastAsia" w:hAnsiTheme="majorHAnsi" w:cstheme="majorBidi"/>
          <w:b/>
          <w:color w:val="356A91" w:themeColor="accent1"/>
          <w:sz w:val="32"/>
          <w:szCs w:val="26"/>
        </w:rPr>
      </w:pPr>
      <w:r>
        <w:br w:type="page"/>
      </w:r>
    </w:p>
    <w:p w14:paraId="1C12AA7C" w14:textId="5CE2C323" w:rsidR="005378CE" w:rsidRDefault="005378CE" w:rsidP="005378CE">
      <w:pPr>
        <w:pStyle w:val="Heading2"/>
      </w:pPr>
      <w:bookmarkStart w:id="290" w:name="_Toc213865280"/>
      <w:r>
        <w:lastRenderedPageBreak/>
        <w:t>Post-project evaluation</w:t>
      </w:r>
      <w:bookmarkEnd w:id="290"/>
    </w:p>
    <w:p w14:paraId="13230A00" w14:textId="77777777" w:rsidR="005378CE" w:rsidRDefault="005378CE" w:rsidP="005378CE">
      <w:r>
        <w:t>Post-project evaluation (PPE) is a mandatory requirement for infrastructure projects that receive Welsh Government funding. The purpose of PPE is to improve project delivery through lessons learned during the project delivery phase and to appraise whether the project has delivered its anticipated outcomes and benefits.</w:t>
      </w:r>
    </w:p>
    <w:p w14:paraId="42436942" w14:textId="77777777" w:rsidR="005378CE" w:rsidRDefault="005378CE" w:rsidP="005378CE">
      <w:r>
        <w:t xml:space="preserve">The Health Board and its partners are committed to ensuring that a thorough and robust post-project evaluation is undertaken at key stages in the process to ensure that lessons are learnt. </w:t>
      </w:r>
    </w:p>
    <w:p w14:paraId="2F29D8DA" w14:textId="77777777" w:rsidR="005378CE" w:rsidRDefault="005378CE" w:rsidP="005378CE">
      <w:r>
        <w:t xml:space="preserve">The PPE also sets in place a framework within which the benefits realisation plan set out in section 10.11 can be tested to identify which benefits have been achieved and which have not. </w:t>
      </w:r>
    </w:p>
    <w:p w14:paraId="7370EECC" w14:textId="77777777" w:rsidR="005378CE" w:rsidRDefault="005378CE" w:rsidP="005378CE">
      <w:r>
        <w:t>The Health Board is exploring opportunities to work with a local university in carrying out the PPE. Detailed plans will be drawn up in partnership with the university. The evaluation will be carried out in line with NHS guidance, and will measure the project against the following factors:</w:t>
      </w:r>
    </w:p>
    <w:p w14:paraId="4E85EC83" w14:textId="77777777" w:rsidR="005378CE" w:rsidRDefault="005378CE" w:rsidP="005378CE">
      <w:pPr>
        <w:pStyle w:val="bullets1"/>
      </w:pPr>
      <w:r>
        <w:t>The extent to which the original objectives have been met</w:t>
      </w:r>
    </w:p>
    <w:p w14:paraId="02CF46B8" w14:textId="77777777" w:rsidR="005378CE" w:rsidRDefault="005378CE" w:rsidP="005378CE">
      <w:pPr>
        <w:pStyle w:val="bullets1"/>
      </w:pPr>
      <w:r>
        <w:t>Measurement against the Benefits Realisation Plan</w:t>
      </w:r>
    </w:p>
    <w:p w14:paraId="64D8AE40" w14:textId="77777777" w:rsidR="005378CE" w:rsidRDefault="005378CE" w:rsidP="005378CE">
      <w:pPr>
        <w:pStyle w:val="bullets1"/>
      </w:pPr>
      <w:r>
        <w:t>The cost of the project and the extent to which it can demonstrate value for money</w:t>
      </w:r>
    </w:p>
    <w:p w14:paraId="67A1A9F0" w14:textId="77777777" w:rsidR="005378CE" w:rsidRDefault="005378CE" w:rsidP="005378CE">
      <w:pPr>
        <w:pStyle w:val="bullets1"/>
      </w:pPr>
      <w:r>
        <w:t>The Project outcome compared with the ‘Do Nothing’ or ‘Do Minimum’ scenarios</w:t>
      </w:r>
    </w:p>
    <w:p w14:paraId="4001411E" w14:textId="77777777" w:rsidR="005378CE" w:rsidRDefault="005378CE" w:rsidP="005378CE">
      <w:pPr>
        <w:pStyle w:val="bullets1"/>
      </w:pPr>
      <w:r>
        <w:t>The economic viability of the project in comparison with the ‘Do Nothing option</w:t>
      </w:r>
    </w:p>
    <w:p w14:paraId="0B2BE914" w14:textId="293D8DB1" w:rsidR="005378CE" w:rsidRDefault="00521D89" w:rsidP="005378CE">
      <w:pPr>
        <w:pStyle w:val="bullets1"/>
      </w:pPr>
      <w:r>
        <w:t>Risk allocation</w:t>
      </w:r>
    </w:p>
    <w:p w14:paraId="2E995B31" w14:textId="77777777" w:rsidR="005378CE" w:rsidRDefault="005378CE" w:rsidP="005378CE">
      <w:pPr>
        <w:pStyle w:val="bullets1"/>
      </w:pPr>
      <w:r>
        <w:t>Timetable</w:t>
      </w:r>
    </w:p>
    <w:p w14:paraId="4C4C1FBF" w14:textId="77777777" w:rsidR="005378CE" w:rsidRDefault="005378CE" w:rsidP="005378CE">
      <w:pPr>
        <w:pStyle w:val="bullets1"/>
      </w:pPr>
      <w:r>
        <w:t>Functional Suitability – how the facility performs</w:t>
      </w:r>
    </w:p>
    <w:p w14:paraId="1F6ABE07" w14:textId="77777777" w:rsidR="005378CE" w:rsidRDefault="005378CE" w:rsidP="005378CE">
      <w:pPr>
        <w:pStyle w:val="bullets1"/>
      </w:pPr>
      <w:r>
        <w:t>Functional Relationships – how well the various process flows (staff, patient, service) work</w:t>
      </w:r>
    </w:p>
    <w:p w14:paraId="5D08CBA3" w14:textId="77777777" w:rsidR="005378CE" w:rsidRDefault="005378CE" w:rsidP="005378CE">
      <w:pPr>
        <w:pStyle w:val="bullets1"/>
      </w:pPr>
      <w:r>
        <w:t>User satisfaction</w:t>
      </w:r>
    </w:p>
    <w:p w14:paraId="357915CA" w14:textId="77777777" w:rsidR="005378CE" w:rsidRDefault="005378CE" w:rsidP="005378CE">
      <w:pPr>
        <w:pStyle w:val="bullets1"/>
      </w:pPr>
      <w:r>
        <w:t>Procurement route.</w:t>
      </w:r>
    </w:p>
    <w:p w14:paraId="0145BD9A" w14:textId="77777777" w:rsidR="005378CE" w:rsidRPr="00AD3489" w:rsidRDefault="005378CE" w:rsidP="005378CE">
      <w:pPr>
        <w:pStyle w:val="NoSpacing"/>
      </w:pPr>
    </w:p>
    <w:p w14:paraId="6B8780E7" w14:textId="77777777" w:rsidR="005378CE" w:rsidRDefault="005378CE" w:rsidP="005378CE">
      <w:r>
        <w:t>We envisage four key stages to the evaluation, outlined as follows:</w:t>
      </w:r>
    </w:p>
    <w:p w14:paraId="48691475" w14:textId="77777777" w:rsidR="005378CE" w:rsidRPr="0033580B" w:rsidRDefault="005378CE" w:rsidP="005378CE">
      <w:pPr>
        <w:pStyle w:val="H3alt"/>
      </w:pPr>
      <w:r w:rsidRPr="0033580B">
        <w:t>Stage 1: Project procurement</w:t>
      </w:r>
    </w:p>
    <w:p w14:paraId="02429929" w14:textId="77777777" w:rsidR="005378CE" w:rsidRDefault="005378CE" w:rsidP="005378CE">
      <w:r>
        <w:t>The objective of the evaluation at this stage is to assess how well the project was managed from the time of OBC approval to commencement of the construction phase. It is planned that this evaluation will be undertaken within three months of construction commencement. The evaluation at this stage will examine:</w:t>
      </w:r>
    </w:p>
    <w:p w14:paraId="4FFA6667" w14:textId="77777777" w:rsidR="005378CE" w:rsidRDefault="005378CE" w:rsidP="005378CE">
      <w:pPr>
        <w:pStyle w:val="bullets1"/>
      </w:pPr>
      <w:r>
        <w:t>How effectively the project was managed</w:t>
      </w:r>
    </w:p>
    <w:p w14:paraId="54375336" w14:textId="77777777" w:rsidR="005378CE" w:rsidRDefault="005378CE" w:rsidP="005378CE">
      <w:pPr>
        <w:pStyle w:val="bullets1"/>
      </w:pPr>
      <w:r>
        <w:t>The quality of the documentation prepared by the Health Board and its partners</w:t>
      </w:r>
    </w:p>
    <w:p w14:paraId="69802EA2" w14:textId="77777777" w:rsidR="005378CE" w:rsidRDefault="005378CE" w:rsidP="005378CE">
      <w:pPr>
        <w:pStyle w:val="bullets1"/>
      </w:pPr>
      <w:r>
        <w:t>Communications and involvement during procurement</w:t>
      </w:r>
    </w:p>
    <w:p w14:paraId="7589EBE4" w14:textId="77777777" w:rsidR="005378CE" w:rsidRDefault="005378CE" w:rsidP="005378CE">
      <w:pPr>
        <w:pStyle w:val="bullets1"/>
      </w:pPr>
      <w:r>
        <w:t>The effectiveness of advisers used on the scheme</w:t>
      </w:r>
    </w:p>
    <w:p w14:paraId="472B9160" w14:textId="77777777" w:rsidR="005378CE" w:rsidRDefault="005378CE" w:rsidP="005378CE">
      <w:pPr>
        <w:pStyle w:val="bullets1"/>
      </w:pPr>
      <w:r>
        <w:t>The efficacy of NHS guidance in delivering the scheme.</w:t>
      </w:r>
    </w:p>
    <w:p w14:paraId="6D74D9FA" w14:textId="77777777" w:rsidR="005378CE" w:rsidRPr="0033580B" w:rsidRDefault="005378CE" w:rsidP="005378CE">
      <w:pPr>
        <w:pStyle w:val="NoSpacing"/>
      </w:pPr>
    </w:p>
    <w:p w14:paraId="36DB3E50" w14:textId="77777777" w:rsidR="005378CE" w:rsidRDefault="005378CE" w:rsidP="005378CE">
      <w:pPr>
        <w:pStyle w:val="H3alt"/>
      </w:pPr>
      <w:r>
        <w:t>Stage 2: Implementation</w:t>
      </w:r>
    </w:p>
    <w:p w14:paraId="13F24B85" w14:textId="77777777" w:rsidR="005378CE" w:rsidRDefault="005378CE" w:rsidP="005378CE">
      <w:r>
        <w:t>The objective of this stage is to assess how well the project was managed from the time the construction phase commences through to commencement of operational commissioning. It is considered that this should be undertaken three months following operational commissioning of the unit. The evaluation at this stage will examine: -</w:t>
      </w:r>
    </w:p>
    <w:p w14:paraId="5147F998" w14:textId="77777777" w:rsidR="005378CE" w:rsidRDefault="005378CE" w:rsidP="005378CE">
      <w:pPr>
        <w:pStyle w:val="bullets1"/>
      </w:pPr>
      <w:r>
        <w:lastRenderedPageBreak/>
        <w:t>How effectively the project was managed</w:t>
      </w:r>
    </w:p>
    <w:p w14:paraId="513F129C" w14:textId="77777777" w:rsidR="005378CE" w:rsidRDefault="005378CE" w:rsidP="005378CE">
      <w:pPr>
        <w:pStyle w:val="bullets1"/>
      </w:pPr>
      <w:r>
        <w:t>Communications and involvement during construction</w:t>
      </w:r>
    </w:p>
    <w:p w14:paraId="7BB9D511" w14:textId="77777777" w:rsidR="005378CE" w:rsidRDefault="005378CE" w:rsidP="005378CE">
      <w:pPr>
        <w:pStyle w:val="bullets1"/>
      </w:pPr>
      <w:r>
        <w:t>The effectiveness of the joint working arrangements established by the Contractor, the design team and the project team.</w:t>
      </w:r>
    </w:p>
    <w:p w14:paraId="232FEAAF" w14:textId="77777777" w:rsidR="005378CE" w:rsidRPr="0033580B" w:rsidRDefault="005378CE" w:rsidP="005378CE">
      <w:pPr>
        <w:pStyle w:val="NoSpacing"/>
      </w:pPr>
    </w:p>
    <w:p w14:paraId="004AF8A5" w14:textId="77777777" w:rsidR="005378CE" w:rsidRDefault="005378CE" w:rsidP="005378CE">
      <w:pPr>
        <w:pStyle w:val="H3alt"/>
      </w:pPr>
      <w:r>
        <w:t>Stage 3: New operational model in place</w:t>
      </w:r>
    </w:p>
    <w:p w14:paraId="220EC917" w14:textId="77777777" w:rsidR="005378CE" w:rsidRDefault="005378CE" w:rsidP="005378CE">
      <w:r>
        <w:t>The objective of this stage will be to assess how well the project was managed during the operational commissioning phase, through to operation in the new building. It is proposed that this stage will be undertaken up to 12 months after completion of operational commissioning of the scheme. The evaluation at this stage will examine:</w:t>
      </w:r>
    </w:p>
    <w:p w14:paraId="2C453732" w14:textId="77777777" w:rsidR="005378CE" w:rsidRDefault="005378CE" w:rsidP="005378CE">
      <w:pPr>
        <w:pStyle w:val="bullets1"/>
      </w:pPr>
      <w:r>
        <w:t>How effectively the project was managed</w:t>
      </w:r>
    </w:p>
    <w:p w14:paraId="766349B5" w14:textId="77777777" w:rsidR="005378CE" w:rsidRDefault="005378CE" w:rsidP="005378CE">
      <w:pPr>
        <w:pStyle w:val="bullets1"/>
      </w:pPr>
      <w:r>
        <w:t>Effectiveness of the new operational model</w:t>
      </w:r>
    </w:p>
    <w:p w14:paraId="5A0FAF12" w14:textId="77777777" w:rsidR="005378CE" w:rsidRDefault="005378CE" w:rsidP="005378CE">
      <w:pPr>
        <w:pStyle w:val="bullets1"/>
      </w:pPr>
      <w:r>
        <w:t>Communications and involvement during commissioning, and into operations</w:t>
      </w:r>
    </w:p>
    <w:p w14:paraId="26BC2B5E" w14:textId="77777777" w:rsidR="005378CE" w:rsidRDefault="005378CE" w:rsidP="005378CE">
      <w:pPr>
        <w:pStyle w:val="bullets1"/>
      </w:pPr>
      <w:r>
        <w:t>Overall success factors for the project in terms of cost and time</w:t>
      </w:r>
    </w:p>
    <w:p w14:paraId="1BD88938" w14:textId="77777777" w:rsidR="005378CE" w:rsidRDefault="005378CE" w:rsidP="005378CE">
      <w:pPr>
        <w:pStyle w:val="bullets1"/>
      </w:pPr>
      <w:r>
        <w:t>Extent to which the new operational model meets users’ needs – from the point of view of patients, carers and staff.</w:t>
      </w:r>
    </w:p>
    <w:p w14:paraId="2D8DB6B9" w14:textId="77777777" w:rsidR="00521D89" w:rsidRPr="00521D89" w:rsidRDefault="00521D89" w:rsidP="00521D89">
      <w:pPr>
        <w:pStyle w:val="NoSpacing"/>
      </w:pPr>
    </w:p>
    <w:p w14:paraId="5D14FB8A" w14:textId="77777777" w:rsidR="005378CE" w:rsidRPr="00A41EBA" w:rsidRDefault="005378CE" w:rsidP="005378CE">
      <w:pPr>
        <w:pStyle w:val="H3alt"/>
        <w:rPr>
          <w:iCs/>
        </w:rPr>
      </w:pPr>
      <w:r w:rsidRPr="00A41EBA">
        <w:t xml:space="preserve">Stage 4: New </w:t>
      </w:r>
      <w:r>
        <w:t>o</w:t>
      </w:r>
      <w:r w:rsidRPr="00A41EBA">
        <w:t xml:space="preserve">perational </w:t>
      </w:r>
      <w:r>
        <w:t>m</w:t>
      </w:r>
      <w:r w:rsidRPr="00A41EBA">
        <w:t xml:space="preserve">odel </w:t>
      </w:r>
      <w:r>
        <w:t>w</w:t>
      </w:r>
      <w:r w:rsidRPr="00A41EBA">
        <w:t>ell-established</w:t>
      </w:r>
    </w:p>
    <w:p w14:paraId="0902C0F1" w14:textId="77777777" w:rsidR="005378CE" w:rsidRDefault="005378CE" w:rsidP="005378CE">
      <w:r>
        <w:t>It is proposed that this evaluation is undertaken 18 months following completion of operational commissioning. The objective of this stage will assess how well and effectively the project was managed during the actual operation of the new Health and Wellbeing Centre. The evaluation at this stage will examine:</w:t>
      </w:r>
    </w:p>
    <w:p w14:paraId="49B08EEE" w14:textId="77777777" w:rsidR="005378CE" w:rsidRDefault="005378CE" w:rsidP="005378CE">
      <w:pPr>
        <w:pStyle w:val="bullets1"/>
      </w:pPr>
      <w:r>
        <w:t>Effectiveness of the new operational model</w:t>
      </w:r>
    </w:p>
    <w:p w14:paraId="15680ED7" w14:textId="77777777" w:rsidR="005378CE" w:rsidRDefault="005378CE" w:rsidP="005378CE">
      <w:pPr>
        <w:pStyle w:val="bullets1"/>
      </w:pPr>
      <w:r>
        <w:t>Extent to which the new operational model meets users’ needs – from the point of view of patients, carers and staff.</w:t>
      </w:r>
    </w:p>
    <w:p w14:paraId="540E016E" w14:textId="77777777" w:rsidR="005378CE" w:rsidRPr="0033580B" w:rsidRDefault="005378CE" w:rsidP="005378CE">
      <w:pPr>
        <w:pStyle w:val="NoSpacing"/>
      </w:pPr>
    </w:p>
    <w:p w14:paraId="3859C30F" w14:textId="77777777" w:rsidR="005378CE" w:rsidRDefault="005378CE" w:rsidP="005378CE">
      <w:r>
        <w:t>The evaluation process will be managed by the Project Manager via a bespoke team established to oversee the PPE. Evaluation reports will be made available to all relevant stakeholders, including Welsh Government.</w:t>
      </w:r>
    </w:p>
    <w:p w14:paraId="669CF814" w14:textId="77777777" w:rsidR="005378CE" w:rsidRPr="0033580B" w:rsidRDefault="005378CE" w:rsidP="005378CE"/>
    <w:p w14:paraId="609F06B2" w14:textId="77777777" w:rsidR="003E6F43" w:rsidRPr="00CB4ED1" w:rsidRDefault="003E6F43" w:rsidP="0033580B"/>
    <w:sectPr w:rsidR="003E6F43" w:rsidRPr="00CB4ED1" w:rsidSect="003569C4">
      <w:headerReference w:type="default" r:id="rId65"/>
      <w:footerReference w:type="first" r:id="rId66"/>
      <w:pgSz w:w="11906" w:h="16838" w:code="9"/>
      <w:pgMar w:top="964" w:right="1134" w:bottom="1531" w:left="1134" w:header="284" w:footer="454"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B6AE665" w14:textId="77777777" w:rsidR="00AE5329" w:rsidRPr="00CB4ED1" w:rsidRDefault="00AE5329" w:rsidP="00E53CBD">
      <w:pPr>
        <w:spacing w:after="0"/>
      </w:pPr>
      <w:r w:rsidRPr="00CB4ED1">
        <w:separator/>
      </w:r>
    </w:p>
  </w:endnote>
  <w:endnote w:type="continuationSeparator" w:id="0">
    <w:p w14:paraId="150C3C23" w14:textId="77777777" w:rsidR="00AE5329" w:rsidRPr="00CB4ED1" w:rsidRDefault="00AE5329" w:rsidP="00E53CBD">
      <w:pPr>
        <w:spacing w:after="0"/>
      </w:pPr>
      <w:r w:rsidRPr="00CB4ED1">
        <w:continuationSeparator/>
      </w:r>
    </w:p>
  </w:endnote>
  <w:endnote w:type="continuationNotice" w:id="1">
    <w:p w14:paraId="6FE49305" w14:textId="77777777" w:rsidR="00AE5329" w:rsidRPr="00CB4ED1" w:rsidRDefault="00AE532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M Sans">
    <w:altName w:val="Calibri"/>
    <w:charset w:val="00"/>
    <w:family w:val="auto"/>
    <w:pitch w:val="variable"/>
    <w:sig w:usb0="8000002F" w:usb1="5000205B" w:usb2="00000000" w:usb3="00000000" w:csb0="00000093" w:csb1="00000000"/>
  </w:font>
  <w:font w:name="Calibri">
    <w:panose1 w:val="020F0502020204030204"/>
    <w:charset w:val="00"/>
    <w:family w:val="swiss"/>
    <w:pitch w:val="variable"/>
    <w:sig w:usb0="E4002EFF" w:usb1="C200247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MT">
    <w:altName w:val="Arial"/>
    <w:charset w:val="01"/>
    <w:family w:val="swiss"/>
    <w:pitch w:val="variable"/>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yriad Pro">
    <w:altName w:val="Arial"/>
    <w:charset w:val="00"/>
    <w:family w:val="swiss"/>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92BAD6" w:themeColor="accent3"/>
        <w:sz w:val="18"/>
        <w:szCs w:val="18"/>
      </w:rPr>
      <w:id w:val="-989478701"/>
      <w:docPartObj>
        <w:docPartGallery w:val="Page Numbers (Bottom of Page)"/>
        <w:docPartUnique/>
      </w:docPartObj>
    </w:sdtPr>
    <w:sdtEndPr>
      <w:rPr>
        <w:color w:val="auto"/>
      </w:rPr>
    </w:sdtEndPr>
    <w:sdtContent>
      <w:p w14:paraId="0FDFD86D" w14:textId="6F5D6ED1" w:rsidR="00AE5329" w:rsidRPr="00CB4ED1" w:rsidRDefault="00AE5329" w:rsidP="00E03D46">
        <w:pPr>
          <w:pStyle w:val="Footer"/>
          <w:spacing w:before="60"/>
          <w:jc w:val="center"/>
          <w:rPr>
            <w:color w:val="92BAD6" w:themeColor="accent3"/>
            <w:sz w:val="18"/>
            <w:szCs w:val="18"/>
          </w:rPr>
        </w:pPr>
        <w:r w:rsidRPr="00CB4ED1">
          <w:rPr>
            <w:color w:val="92BAD6" w:themeColor="accent3"/>
            <w:sz w:val="18"/>
            <w:szCs w:val="18"/>
          </w:rPr>
          <w:t>Llantrisant Health Park – Outline Business Case</w:t>
        </w:r>
      </w:p>
      <w:p w14:paraId="197E771C" w14:textId="77777777" w:rsidR="00AE5329" w:rsidRPr="00CB4ED1" w:rsidRDefault="00AE5329" w:rsidP="00E53CBD">
        <w:pPr>
          <w:pStyle w:val="Footer"/>
          <w:jc w:val="center"/>
          <w:rPr>
            <w:sz w:val="18"/>
            <w:szCs w:val="18"/>
          </w:rPr>
        </w:pPr>
        <w:r w:rsidRPr="00CB4ED1">
          <w:rPr>
            <w:noProof/>
            <w:sz w:val="18"/>
            <w:szCs w:val="18"/>
          </w:rPr>
          <w:drawing>
            <wp:inline distT="0" distB="0" distL="0" distR="0" wp14:anchorId="40A606D0" wp14:editId="3C6034E7">
              <wp:extent cx="5469828" cy="47106"/>
              <wp:effectExtent l="0" t="0" r="0" b="0"/>
              <wp:docPr id="164762195" name="Picture 164762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5469828" cy="47106"/>
                      </a:xfrm>
                      <a:prstGeom prst="rect">
                        <a:avLst/>
                      </a:prstGeom>
                    </pic:spPr>
                  </pic:pic>
                </a:graphicData>
              </a:graphic>
            </wp:inline>
          </w:drawing>
        </w:r>
      </w:p>
      <w:p w14:paraId="23AC38C7" w14:textId="77777777" w:rsidR="00AE5329" w:rsidRPr="00CB4ED1" w:rsidRDefault="00AE5329" w:rsidP="00E53CBD">
        <w:pPr>
          <w:pStyle w:val="Footer"/>
          <w:spacing w:before="120"/>
          <w:jc w:val="center"/>
          <w:rPr>
            <w:sz w:val="18"/>
            <w:szCs w:val="18"/>
          </w:rPr>
        </w:pPr>
        <w:r w:rsidRPr="00CB4ED1">
          <w:rPr>
            <w:sz w:val="18"/>
            <w:szCs w:val="18"/>
          </w:rPr>
          <w:fldChar w:fldCharType="begin"/>
        </w:r>
        <w:r w:rsidRPr="00CB4ED1">
          <w:rPr>
            <w:sz w:val="18"/>
            <w:szCs w:val="18"/>
          </w:rPr>
          <w:instrText xml:space="preserve"> PAGE   \* MERGEFORMAT </w:instrText>
        </w:r>
        <w:r w:rsidRPr="00CB4ED1">
          <w:rPr>
            <w:sz w:val="18"/>
            <w:szCs w:val="18"/>
          </w:rPr>
          <w:fldChar w:fldCharType="separate"/>
        </w:r>
        <w:r w:rsidRPr="00CB4ED1">
          <w:rPr>
            <w:sz w:val="18"/>
            <w:szCs w:val="18"/>
          </w:rPr>
          <w:t>2</w:t>
        </w:r>
        <w:r w:rsidRPr="00CB4ED1">
          <w:rPr>
            <w:sz w:val="18"/>
            <w:szCs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64F025" w14:textId="4D20829E" w:rsidR="00AE5329" w:rsidRPr="00CB4ED1" w:rsidRDefault="00AE5329" w:rsidP="53A7F2AD">
    <w:pPr>
      <w:jc w:val="center"/>
    </w:pPr>
    <w:r w:rsidRPr="00CB4ED1">
      <w:rPr>
        <w:noProof/>
      </w:rPr>
      <w:drawing>
        <wp:anchor distT="0" distB="0" distL="114300" distR="114300" simplePos="0" relativeHeight="251657216" behindDoc="1" locked="0" layoutInCell="1" allowOverlap="1" wp14:anchorId="0FF49DB6" wp14:editId="6191AFB3">
          <wp:simplePos x="0" y="0"/>
          <wp:positionH relativeFrom="page">
            <wp:align>center</wp:align>
          </wp:positionH>
          <wp:positionV relativeFrom="page">
            <wp:posOffset>7377430</wp:posOffset>
          </wp:positionV>
          <wp:extent cx="6786000" cy="3353400"/>
          <wp:effectExtent l="0" t="0" r="0" b="0"/>
          <wp:wrapNone/>
          <wp:docPr id="528887082"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7624170" name=""/>
                  <pic:cNvPicPr/>
                </pic:nvPicPr>
                <pic:blipFill>
                  <a:blip r:embed="rId1">
                    <a:extLst>
                      <a:ext uri="{28A0092B-C50C-407E-A947-70E740481C1C}">
                        <a14:useLocalDpi xmlns:a14="http://schemas.microsoft.com/office/drawing/2010/main" val="0"/>
                      </a:ext>
                    </a:extLst>
                  </a:blip>
                  <a:srcRect/>
                  <a:stretch>
                    <a:fillRect/>
                  </a:stretch>
                </pic:blipFill>
                <pic:spPr>
                  <a:xfrm>
                    <a:off x="0" y="0"/>
                    <a:ext cx="6786000" cy="3353400"/>
                  </a:xfrm>
                  <a:prstGeom prst="rect">
                    <a:avLst/>
                  </a:prstGeom>
                  <a:ln>
                    <a:noFill/>
                  </a:ln>
                  <a:effectLst>
                    <a:softEdge rad="112500"/>
                  </a:effectLst>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210"/>
      <w:gridCol w:w="3210"/>
      <w:gridCol w:w="3210"/>
    </w:tblGrid>
    <w:tr w:rsidR="00AE5329" w:rsidRPr="00CB4ED1" w14:paraId="2E0FD1DA" w14:textId="77777777" w:rsidTr="56EE322B">
      <w:trPr>
        <w:trHeight w:val="300"/>
      </w:trPr>
      <w:tc>
        <w:tcPr>
          <w:tcW w:w="3210" w:type="dxa"/>
        </w:tcPr>
        <w:p w14:paraId="4504D31C" w14:textId="32E049B4" w:rsidR="00AE5329" w:rsidRPr="00CB4ED1" w:rsidRDefault="00AE5329" w:rsidP="56EE322B">
          <w:pPr>
            <w:pStyle w:val="Header"/>
            <w:ind w:left="-115"/>
          </w:pPr>
        </w:p>
      </w:tc>
      <w:tc>
        <w:tcPr>
          <w:tcW w:w="3210" w:type="dxa"/>
        </w:tcPr>
        <w:p w14:paraId="4ED9E232" w14:textId="416DCBD7" w:rsidR="00AE5329" w:rsidRPr="00CB4ED1" w:rsidRDefault="00AE5329" w:rsidP="56EE322B">
          <w:pPr>
            <w:pStyle w:val="Header"/>
            <w:jc w:val="center"/>
          </w:pPr>
        </w:p>
      </w:tc>
      <w:tc>
        <w:tcPr>
          <w:tcW w:w="3210" w:type="dxa"/>
        </w:tcPr>
        <w:p w14:paraId="6E504F30" w14:textId="7BA92245" w:rsidR="00AE5329" w:rsidRPr="00CB4ED1" w:rsidRDefault="00AE5329" w:rsidP="56EE322B">
          <w:pPr>
            <w:pStyle w:val="Header"/>
            <w:ind w:right="-115"/>
            <w:jc w:val="right"/>
          </w:pPr>
        </w:p>
      </w:tc>
    </w:tr>
  </w:tbl>
  <w:p w14:paraId="091891FF" w14:textId="4C897390" w:rsidR="00AE5329" w:rsidRPr="00CB4ED1" w:rsidRDefault="00AE5329">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00AE5329" w:rsidRPr="00CB4ED1" w14:paraId="6E8AE7AB" w14:textId="77777777" w:rsidTr="56EE322B">
      <w:trPr>
        <w:trHeight w:val="300"/>
      </w:trPr>
      <w:tc>
        <w:tcPr>
          <w:tcW w:w="3005" w:type="dxa"/>
        </w:tcPr>
        <w:p w14:paraId="24D98D8F" w14:textId="0B8FDD84" w:rsidR="00AE5329" w:rsidRPr="00CB4ED1" w:rsidRDefault="00AE5329" w:rsidP="56EE322B">
          <w:pPr>
            <w:pStyle w:val="Header"/>
            <w:ind w:left="-115"/>
          </w:pPr>
        </w:p>
      </w:tc>
      <w:tc>
        <w:tcPr>
          <w:tcW w:w="3005" w:type="dxa"/>
        </w:tcPr>
        <w:p w14:paraId="1FF7FEE9" w14:textId="284E24B0" w:rsidR="00AE5329" w:rsidRPr="00CB4ED1" w:rsidRDefault="00AE5329" w:rsidP="56EE322B">
          <w:pPr>
            <w:pStyle w:val="Header"/>
            <w:jc w:val="center"/>
          </w:pPr>
        </w:p>
      </w:tc>
      <w:tc>
        <w:tcPr>
          <w:tcW w:w="3005" w:type="dxa"/>
        </w:tcPr>
        <w:p w14:paraId="0B01017F" w14:textId="151A0905" w:rsidR="00AE5329" w:rsidRPr="00CB4ED1" w:rsidRDefault="00AE5329" w:rsidP="56EE322B">
          <w:pPr>
            <w:pStyle w:val="Header"/>
            <w:ind w:right="-115"/>
            <w:jc w:val="right"/>
          </w:pPr>
        </w:p>
      </w:tc>
    </w:tr>
  </w:tbl>
  <w:p w14:paraId="5EFCE46B" w14:textId="294E4613" w:rsidR="00AE5329" w:rsidRPr="00CB4ED1" w:rsidRDefault="00AE5329">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color w:val="92BAD6" w:themeColor="accent3"/>
        <w:sz w:val="18"/>
        <w:szCs w:val="18"/>
      </w:rPr>
      <w:id w:val="818388195"/>
      <w:docPartObj>
        <w:docPartGallery w:val="Page Numbers (Bottom of Page)"/>
        <w:docPartUnique/>
      </w:docPartObj>
    </w:sdtPr>
    <w:sdtEndPr>
      <w:rPr>
        <w:color w:val="auto"/>
      </w:rPr>
    </w:sdtEndPr>
    <w:sdtContent>
      <w:p w14:paraId="2032EA2A" w14:textId="77777777" w:rsidR="00AE5329" w:rsidRPr="00CB4ED1" w:rsidRDefault="00AE5329" w:rsidP="001A1DDB">
        <w:pPr>
          <w:pStyle w:val="Footer"/>
          <w:spacing w:before="60"/>
          <w:jc w:val="center"/>
          <w:rPr>
            <w:color w:val="92BAD6" w:themeColor="accent3"/>
            <w:sz w:val="18"/>
            <w:szCs w:val="18"/>
          </w:rPr>
        </w:pPr>
        <w:r w:rsidRPr="00CB4ED1">
          <w:rPr>
            <w:color w:val="92BAD6" w:themeColor="accent3"/>
            <w:sz w:val="18"/>
            <w:szCs w:val="18"/>
          </w:rPr>
          <w:t>Llantrisant Health Park – Outline Business Case</w:t>
        </w:r>
      </w:p>
      <w:p w14:paraId="5C4E1869" w14:textId="77777777" w:rsidR="00AE5329" w:rsidRPr="00CB4ED1" w:rsidRDefault="00AE5329" w:rsidP="001A1DDB">
        <w:pPr>
          <w:pStyle w:val="Footer"/>
          <w:jc w:val="center"/>
          <w:rPr>
            <w:sz w:val="18"/>
            <w:szCs w:val="18"/>
          </w:rPr>
        </w:pPr>
        <w:r w:rsidRPr="00CB4ED1">
          <w:rPr>
            <w:noProof/>
            <w:sz w:val="18"/>
            <w:szCs w:val="18"/>
          </w:rPr>
          <w:drawing>
            <wp:inline distT="0" distB="0" distL="0" distR="0" wp14:anchorId="4508B6B4" wp14:editId="7A55E9E2">
              <wp:extent cx="5469828" cy="47106"/>
              <wp:effectExtent l="0" t="0" r="0" b="0"/>
              <wp:docPr id="483282768" name="Picture 4832827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5469828" cy="47106"/>
                      </a:xfrm>
                      <a:prstGeom prst="rect">
                        <a:avLst/>
                      </a:prstGeom>
                    </pic:spPr>
                  </pic:pic>
                </a:graphicData>
              </a:graphic>
            </wp:inline>
          </w:drawing>
        </w:r>
      </w:p>
      <w:p w14:paraId="3B0B551A" w14:textId="77777777" w:rsidR="00AE5329" w:rsidRPr="00CB4ED1" w:rsidRDefault="00AE5329" w:rsidP="001A1DDB">
        <w:pPr>
          <w:pStyle w:val="Footer"/>
          <w:spacing w:before="120"/>
          <w:jc w:val="center"/>
          <w:rPr>
            <w:sz w:val="18"/>
            <w:szCs w:val="18"/>
          </w:rPr>
        </w:pPr>
        <w:r w:rsidRPr="00CB4ED1">
          <w:rPr>
            <w:sz w:val="18"/>
            <w:szCs w:val="18"/>
          </w:rPr>
          <w:fldChar w:fldCharType="begin"/>
        </w:r>
        <w:r w:rsidRPr="00CB4ED1">
          <w:rPr>
            <w:sz w:val="18"/>
            <w:szCs w:val="18"/>
          </w:rPr>
          <w:instrText xml:space="preserve"> PAGE   \* MERGEFORMAT </w:instrText>
        </w:r>
        <w:r w:rsidRPr="00CB4ED1">
          <w:rPr>
            <w:sz w:val="18"/>
            <w:szCs w:val="18"/>
          </w:rPr>
          <w:fldChar w:fldCharType="separate"/>
        </w:r>
        <w:r w:rsidRPr="00CB4ED1">
          <w:rPr>
            <w:sz w:val="18"/>
            <w:szCs w:val="18"/>
          </w:rPr>
          <w:t>61</w:t>
        </w:r>
        <w:r w:rsidRPr="00CB4ED1">
          <w:rPr>
            <w:sz w:val="18"/>
            <w:szCs w:val="18"/>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4470"/>
      <w:gridCol w:w="4470"/>
      <w:gridCol w:w="4470"/>
    </w:tblGrid>
    <w:tr w:rsidR="00AE5329" w:rsidRPr="00CB4ED1" w14:paraId="2F530B6A" w14:textId="77777777" w:rsidTr="56EE322B">
      <w:trPr>
        <w:trHeight w:val="300"/>
      </w:trPr>
      <w:tc>
        <w:tcPr>
          <w:tcW w:w="4470" w:type="dxa"/>
        </w:tcPr>
        <w:p w14:paraId="116D1F59" w14:textId="77777777" w:rsidR="00AE5329" w:rsidRPr="00CB4ED1" w:rsidRDefault="00AE5329" w:rsidP="56EE322B">
          <w:pPr>
            <w:pStyle w:val="Header"/>
            <w:ind w:left="-115"/>
          </w:pPr>
        </w:p>
      </w:tc>
      <w:tc>
        <w:tcPr>
          <w:tcW w:w="4470" w:type="dxa"/>
        </w:tcPr>
        <w:p w14:paraId="225864C9" w14:textId="77777777" w:rsidR="00AE5329" w:rsidRPr="00CB4ED1" w:rsidRDefault="00AE5329" w:rsidP="56EE322B">
          <w:pPr>
            <w:pStyle w:val="Header"/>
            <w:jc w:val="center"/>
          </w:pPr>
        </w:p>
      </w:tc>
      <w:tc>
        <w:tcPr>
          <w:tcW w:w="4470" w:type="dxa"/>
        </w:tcPr>
        <w:p w14:paraId="341F497D" w14:textId="77777777" w:rsidR="00AE5329" w:rsidRPr="00CB4ED1" w:rsidRDefault="00AE5329" w:rsidP="56EE322B">
          <w:pPr>
            <w:pStyle w:val="Header"/>
            <w:ind w:right="-115"/>
            <w:jc w:val="right"/>
          </w:pPr>
        </w:p>
      </w:tc>
    </w:tr>
  </w:tbl>
  <w:p w14:paraId="1FE9B488" w14:textId="77777777" w:rsidR="00AE5329" w:rsidRPr="00CB4ED1" w:rsidRDefault="00AE5329">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005"/>
      <w:gridCol w:w="3005"/>
      <w:gridCol w:w="3005"/>
    </w:tblGrid>
    <w:tr w:rsidR="00AE5329" w:rsidRPr="00CB4ED1" w14:paraId="40ECF632" w14:textId="77777777" w:rsidTr="56EE322B">
      <w:trPr>
        <w:trHeight w:val="300"/>
      </w:trPr>
      <w:tc>
        <w:tcPr>
          <w:tcW w:w="3005" w:type="dxa"/>
        </w:tcPr>
        <w:p w14:paraId="4605E019" w14:textId="4B089E9C" w:rsidR="00AE5329" w:rsidRPr="00CB4ED1" w:rsidRDefault="00AE5329" w:rsidP="56EE322B">
          <w:pPr>
            <w:pStyle w:val="Header"/>
            <w:ind w:left="-115"/>
          </w:pPr>
        </w:p>
      </w:tc>
      <w:tc>
        <w:tcPr>
          <w:tcW w:w="3005" w:type="dxa"/>
        </w:tcPr>
        <w:p w14:paraId="41DE9542" w14:textId="7BC55F20" w:rsidR="00AE5329" w:rsidRPr="00CB4ED1" w:rsidRDefault="00AE5329" w:rsidP="56EE322B">
          <w:pPr>
            <w:pStyle w:val="Header"/>
            <w:jc w:val="center"/>
          </w:pPr>
        </w:p>
      </w:tc>
      <w:tc>
        <w:tcPr>
          <w:tcW w:w="3005" w:type="dxa"/>
        </w:tcPr>
        <w:p w14:paraId="5F535FC2" w14:textId="1A6C5B03" w:rsidR="00AE5329" w:rsidRPr="00CB4ED1" w:rsidRDefault="00AE5329" w:rsidP="56EE322B">
          <w:pPr>
            <w:pStyle w:val="Header"/>
            <w:ind w:right="-115"/>
            <w:jc w:val="right"/>
          </w:pPr>
        </w:p>
      </w:tc>
    </w:tr>
  </w:tbl>
  <w:p w14:paraId="4D4274E8" w14:textId="585CC963" w:rsidR="00AE5329" w:rsidRPr="00CB4ED1" w:rsidRDefault="00AE53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B30C41" w14:textId="77777777" w:rsidR="00AE5329" w:rsidRPr="00CB4ED1" w:rsidRDefault="00AE5329" w:rsidP="00E53CBD">
      <w:pPr>
        <w:spacing w:after="0"/>
      </w:pPr>
      <w:r w:rsidRPr="00CB4ED1">
        <w:separator/>
      </w:r>
    </w:p>
  </w:footnote>
  <w:footnote w:type="continuationSeparator" w:id="0">
    <w:p w14:paraId="6F498B8D" w14:textId="77777777" w:rsidR="00AE5329" w:rsidRPr="00CB4ED1" w:rsidRDefault="00AE5329" w:rsidP="00E53CBD">
      <w:pPr>
        <w:spacing w:after="0"/>
      </w:pPr>
      <w:r w:rsidRPr="00CB4ED1">
        <w:continuationSeparator/>
      </w:r>
    </w:p>
  </w:footnote>
  <w:footnote w:type="continuationNotice" w:id="1">
    <w:p w14:paraId="67EEB0F8" w14:textId="77777777" w:rsidR="00AE5329" w:rsidRPr="00CB4ED1" w:rsidRDefault="00AE5329">
      <w:pPr>
        <w:spacing w:after="0"/>
      </w:pPr>
    </w:p>
  </w:footnote>
  <w:footnote w:id="2">
    <w:p w14:paraId="67747034" w14:textId="77777777" w:rsidR="00AE5329" w:rsidRPr="00CB4ED1" w:rsidRDefault="00AE5329" w:rsidP="00DF73C0">
      <w:pPr>
        <w:pStyle w:val="FootnoteText"/>
        <w:ind w:left="142" w:hanging="142"/>
        <w:rPr>
          <w:sz w:val="16"/>
          <w:szCs w:val="16"/>
        </w:rPr>
      </w:pPr>
      <w:r w:rsidRPr="00CB4ED1">
        <w:rPr>
          <w:rStyle w:val="FootnoteReference"/>
          <w:sz w:val="16"/>
          <w:szCs w:val="16"/>
        </w:rPr>
        <w:footnoteRef/>
      </w:r>
      <w:r w:rsidRPr="00CB4ED1">
        <w:rPr>
          <w:sz w:val="16"/>
          <w:szCs w:val="16"/>
        </w:rPr>
        <w:t xml:space="preserve"> 2022: Joseph, V, Boktor, J. GE, Roy, K. and Lewis, PM. (2022) ‘</w:t>
      </w:r>
      <w:r w:rsidRPr="00CB4ED1">
        <w:rPr>
          <w:i/>
          <w:iCs/>
          <w:sz w:val="16"/>
          <w:szCs w:val="16"/>
        </w:rPr>
        <w:t>Dedicated orthopaedic elective unit: our experience from a district general hospital’</w:t>
      </w:r>
      <w:r w:rsidRPr="00CB4ED1">
        <w:rPr>
          <w:sz w:val="16"/>
          <w:szCs w:val="16"/>
        </w:rPr>
        <w:t>, Irish Journal of Medical Science (1971 -), https://doi.org/10.1007/s11845-022-03174-9</w:t>
      </w:r>
    </w:p>
  </w:footnote>
  <w:footnote w:id="3">
    <w:p w14:paraId="790163F0" w14:textId="77777777" w:rsidR="00AE5329" w:rsidRPr="00CB4ED1" w:rsidRDefault="00AE5329" w:rsidP="00DF73C0">
      <w:pPr>
        <w:pStyle w:val="FootnoteText"/>
        <w:ind w:left="284" w:hanging="284"/>
        <w:rPr>
          <w:sz w:val="16"/>
          <w:szCs w:val="16"/>
        </w:rPr>
      </w:pPr>
      <w:r w:rsidRPr="00CB4ED1">
        <w:rPr>
          <w:rStyle w:val="FootnoteReference"/>
          <w:sz w:val="16"/>
          <w:szCs w:val="16"/>
        </w:rPr>
        <w:footnoteRef/>
      </w:r>
      <w:r w:rsidRPr="00CB4ED1">
        <w:rPr>
          <w:sz w:val="16"/>
          <w:szCs w:val="16"/>
        </w:rPr>
        <w:t xml:space="preserve"> see: WHO Health Systems Performance Assessment, Debates, Methods and Empiricism, 2003, table 32.9 </w:t>
      </w:r>
      <w:hyperlink r:id="rId1" w:history="1">
        <w:r w:rsidRPr="00CB4ED1">
          <w:rPr>
            <w:rStyle w:val="Hyperlink"/>
            <w:sz w:val="16"/>
            <w:szCs w:val="16"/>
          </w:rPr>
          <w:t>https://iris.who.int/handle/10665/42735</w:t>
        </w:r>
      </w:hyperlink>
      <w:r w:rsidRPr="00CB4ED1">
        <w:rPr>
          <w:sz w:val="16"/>
          <w:szCs w:val="16"/>
        </w:rPr>
        <w:t xml:space="preserve"> </w:t>
      </w:r>
    </w:p>
  </w:footnote>
  <w:footnote w:id="4">
    <w:p w14:paraId="4563E15A" w14:textId="77777777" w:rsidR="00AE5329" w:rsidRPr="000D3368" w:rsidRDefault="00AE5329" w:rsidP="00DF73C0">
      <w:pPr>
        <w:pStyle w:val="FootnoteText"/>
        <w:rPr>
          <w:sz w:val="16"/>
          <w:szCs w:val="16"/>
        </w:rPr>
      </w:pPr>
      <w:r w:rsidRPr="00CB4ED1">
        <w:rPr>
          <w:rStyle w:val="FootnoteReference"/>
          <w:sz w:val="16"/>
          <w:szCs w:val="16"/>
        </w:rPr>
        <w:footnoteRef/>
      </w:r>
      <w:r w:rsidRPr="00CB4ED1">
        <w:rPr>
          <w:sz w:val="16"/>
          <w:szCs w:val="16"/>
        </w:rPr>
        <w:t xml:space="preserve"> Joseph, V, Boktor, JGE, Roy, K and Lewis, PM (2022) ‘Dedicated orthopaedic elective unit: our experience from a district general hospital’, Irish Journal of Medical Science (1971 -), https://doi.org/10.1007/s11845-022-03174-9</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210"/>
      <w:gridCol w:w="3210"/>
      <w:gridCol w:w="3210"/>
    </w:tblGrid>
    <w:tr w:rsidR="00AE5329" w:rsidRPr="00CB4ED1" w14:paraId="2C7483E7" w14:textId="77777777" w:rsidTr="3BF82A55">
      <w:trPr>
        <w:trHeight w:val="300"/>
      </w:trPr>
      <w:tc>
        <w:tcPr>
          <w:tcW w:w="3210" w:type="dxa"/>
        </w:tcPr>
        <w:p w14:paraId="4E43A853" w14:textId="7654AD28" w:rsidR="00AE5329" w:rsidRPr="00CB4ED1" w:rsidRDefault="00AE5329" w:rsidP="3BF82A55">
          <w:pPr>
            <w:pStyle w:val="Header"/>
            <w:ind w:left="-115"/>
          </w:pPr>
        </w:p>
      </w:tc>
      <w:tc>
        <w:tcPr>
          <w:tcW w:w="3210" w:type="dxa"/>
        </w:tcPr>
        <w:p w14:paraId="46C3A52F" w14:textId="38C3E0B2" w:rsidR="00AE5329" w:rsidRPr="00CB4ED1" w:rsidRDefault="00AE5329" w:rsidP="3BF82A55">
          <w:pPr>
            <w:pStyle w:val="Header"/>
            <w:jc w:val="center"/>
          </w:pPr>
        </w:p>
      </w:tc>
      <w:tc>
        <w:tcPr>
          <w:tcW w:w="3210" w:type="dxa"/>
        </w:tcPr>
        <w:p w14:paraId="0F659018" w14:textId="2423A62E" w:rsidR="00AE5329" w:rsidRPr="00CB4ED1" w:rsidRDefault="00AE5329" w:rsidP="3BF82A55">
          <w:pPr>
            <w:pStyle w:val="Header"/>
            <w:ind w:right="-115"/>
            <w:jc w:val="right"/>
          </w:pPr>
        </w:p>
      </w:tc>
    </w:tr>
  </w:tbl>
  <w:p w14:paraId="62FCE838" w14:textId="5E054BCD" w:rsidR="00AE5329" w:rsidRPr="00CB4ED1" w:rsidRDefault="00AE532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210"/>
      <w:gridCol w:w="3210"/>
      <w:gridCol w:w="3210"/>
    </w:tblGrid>
    <w:tr w:rsidR="00AE5329" w:rsidRPr="00CB4ED1" w14:paraId="2B73D933" w14:textId="77777777" w:rsidTr="3BF82A55">
      <w:trPr>
        <w:trHeight w:val="300"/>
      </w:trPr>
      <w:tc>
        <w:tcPr>
          <w:tcW w:w="3210" w:type="dxa"/>
        </w:tcPr>
        <w:p w14:paraId="163F2BA2" w14:textId="0D3CDF61" w:rsidR="00AE5329" w:rsidRPr="00CB4ED1" w:rsidRDefault="00AE5329" w:rsidP="3BF82A55">
          <w:pPr>
            <w:pStyle w:val="Header"/>
            <w:ind w:left="-115"/>
          </w:pPr>
        </w:p>
      </w:tc>
      <w:tc>
        <w:tcPr>
          <w:tcW w:w="3210" w:type="dxa"/>
        </w:tcPr>
        <w:p w14:paraId="12207B48" w14:textId="0F303444" w:rsidR="00AE5329" w:rsidRPr="00CB4ED1" w:rsidRDefault="00AE5329" w:rsidP="3BF82A55">
          <w:pPr>
            <w:pStyle w:val="Header"/>
            <w:jc w:val="center"/>
          </w:pPr>
        </w:p>
      </w:tc>
      <w:tc>
        <w:tcPr>
          <w:tcW w:w="3210" w:type="dxa"/>
        </w:tcPr>
        <w:p w14:paraId="33AD9C20" w14:textId="1BCA1A37" w:rsidR="00AE5329" w:rsidRPr="00CB4ED1" w:rsidRDefault="00AE5329" w:rsidP="3BF82A55">
          <w:pPr>
            <w:pStyle w:val="Header"/>
            <w:ind w:right="-115"/>
            <w:jc w:val="right"/>
          </w:pPr>
        </w:p>
      </w:tc>
    </w:tr>
  </w:tbl>
  <w:p w14:paraId="611724F7" w14:textId="7B519536" w:rsidR="00AE5329" w:rsidRPr="00CB4ED1" w:rsidRDefault="00AE532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A5AFC9" w14:textId="66102E17" w:rsidR="00AE5329" w:rsidRPr="00CB4ED1" w:rsidRDefault="00AE5329" w:rsidP="0026148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3210"/>
      <w:gridCol w:w="3210"/>
      <w:gridCol w:w="3210"/>
    </w:tblGrid>
    <w:tr w:rsidR="00AE5329" w:rsidRPr="00CB4ED1" w14:paraId="34F523C5" w14:textId="77777777" w:rsidTr="56EE322B">
      <w:trPr>
        <w:trHeight w:val="300"/>
      </w:trPr>
      <w:tc>
        <w:tcPr>
          <w:tcW w:w="3210" w:type="dxa"/>
        </w:tcPr>
        <w:p w14:paraId="57F5A8A7" w14:textId="3E51BDBB" w:rsidR="00AE5329" w:rsidRPr="00CB4ED1" w:rsidRDefault="00AE5329" w:rsidP="56EE322B">
          <w:pPr>
            <w:pStyle w:val="Header"/>
            <w:ind w:left="-115"/>
          </w:pPr>
        </w:p>
      </w:tc>
      <w:tc>
        <w:tcPr>
          <w:tcW w:w="3210" w:type="dxa"/>
        </w:tcPr>
        <w:p w14:paraId="12B19C0B" w14:textId="3857A607" w:rsidR="00AE5329" w:rsidRPr="00CB4ED1" w:rsidRDefault="00AE5329" w:rsidP="56EE322B">
          <w:pPr>
            <w:pStyle w:val="Header"/>
            <w:jc w:val="center"/>
          </w:pPr>
        </w:p>
      </w:tc>
      <w:tc>
        <w:tcPr>
          <w:tcW w:w="3210" w:type="dxa"/>
        </w:tcPr>
        <w:p w14:paraId="5DB9B3AF" w14:textId="6D13C004" w:rsidR="00AE5329" w:rsidRPr="00CB4ED1" w:rsidRDefault="00AE5329" w:rsidP="56EE322B">
          <w:pPr>
            <w:pStyle w:val="Header"/>
            <w:ind w:right="-115"/>
            <w:jc w:val="right"/>
          </w:pPr>
        </w:p>
      </w:tc>
    </w:tr>
  </w:tbl>
  <w:p w14:paraId="10F736AF" w14:textId="25C2A740" w:rsidR="00AE5329" w:rsidRPr="00CB4ED1" w:rsidRDefault="00AE5329">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52027132"/>
      <w:docPartObj>
        <w:docPartGallery w:val="Watermarks"/>
        <w:docPartUnique/>
      </w:docPartObj>
    </w:sdtPr>
    <w:sdtContent>
      <w:p w14:paraId="5B611ED0" w14:textId="68EE8AF3" w:rsidR="00AE5329" w:rsidRPr="00CB4ED1" w:rsidRDefault="00AE5329" w:rsidP="0024497C">
        <w:pPr>
          <w:pStyle w:val="Header"/>
        </w:pPr>
        <w:r>
          <w:pict w14:anchorId="3BDBC1E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50" type="#_x0000_t136" style="position:absolute;margin-left:0;margin-top:0;width:412.4pt;height:247.45pt;rotation:315;z-index:-25165824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C91A94" w14:textId="77777777" w:rsidR="00AE5329" w:rsidRPr="00CB4ED1" w:rsidRDefault="00AE5329" w:rsidP="006B22E1">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1C46EA" w14:textId="1D369E1E" w:rsidR="00AE5329" w:rsidRPr="00CB4ED1" w:rsidRDefault="00AE5329" w:rsidP="001A1DD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155921"/>
    <w:multiLevelType w:val="hybridMultilevel"/>
    <w:tmpl w:val="27FAF3F0"/>
    <w:lvl w:ilvl="0" w:tplc="36282CD6">
      <w:start w:val="1"/>
      <w:numFmt w:val="bullet"/>
      <w:pStyle w:val="bullet2"/>
      <w:lvlText w:val=""/>
      <w:lvlJc w:val="left"/>
      <w:pPr>
        <w:ind w:left="1287" w:hanging="360"/>
      </w:pPr>
      <w:rPr>
        <w:rFonts w:ascii="Wingdings" w:hAnsi="Wingdings" w:hint="default"/>
        <w:b w:val="0"/>
        <w:i w:val="0"/>
        <w:caps w:val="0"/>
        <w:strike w:val="0"/>
        <w:dstrike w:val="0"/>
        <w:vanish w:val="0"/>
        <w:color w:val="009DD9"/>
        <w:sz w:val="22"/>
        <w:vertAlign w:val="baseline"/>
      </w:rPr>
    </w:lvl>
    <w:lvl w:ilvl="1" w:tplc="6C94C4A6" w:tentative="1">
      <w:start w:val="1"/>
      <w:numFmt w:val="bullet"/>
      <w:lvlText w:val="o"/>
      <w:lvlJc w:val="left"/>
      <w:pPr>
        <w:ind w:left="2007" w:hanging="360"/>
      </w:pPr>
      <w:rPr>
        <w:rFonts w:ascii="Courier New" w:hAnsi="Courier New" w:hint="default"/>
      </w:rPr>
    </w:lvl>
    <w:lvl w:ilvl="2" w:tplc="CC7EACBC" w:tentative="1">
      <w:start w:val="1"/>
      <w:numFmt w:val="bullet"/>
      <w:lvlText w:val=""/>
      <w:lvlJc w:val="left"/>
      <w:pPr>
        <w:ind w:left="2727" w:hanging="360"/>
      </w:pPr>
      <w:rPr>
        <w:rFonts w:ascii="Wingdings" w:hAnsi="Wingdings" w:hint="default"/>
      </w:rPr>
    </w:lvl>
    <w:lvl w:ilvl="3" w:tplc="45A8AF00" w:tentative="1">
      <w:start w:val="1"/>
      <w:numFmt w:val="bullet"/>
      <w:lvlText w:val=""/>
      <w:lvlJc w:val="left"/>
      <w:pPr>
        <w:ind w:left="3447" w:hanging="360"/>
      </w:pPr>
      <w:rPr>
        <w:rFonts w:ascii="Symbol" w:hAnsi="Symbol" w:hint="default"/>
      </w:rPr>
    </w:lvl>
    <w:lvl w:ilvl="4" w:tplc="40A8E9FC" w:tentative="1">
      <w:start w:val="1"/>
      <w:numFmt w:val="bullet"/>
      <w:lvlText w:val="o"/>
      <w:lvlJc w:val="left"/>
      <w:pPr>
        <w:ind w:left="4167" w:hanging="360"/>
      </w:pPr>
      <w:rPr>
        <w:rFonts w:ascii="Courier New" w:hAnsi="Courier New" w:hint="default"/>
      </w:rPr>
    </w:lvl>
    <w:lvl w:ilvl="5" w:tplc="1A5CB6D2" w:tentative="1">
      <w:start w:val="1"/>
      <w:numFmt w:val="bullet"/>
      <w:lvlText w:val=""/>
      <w:lvlJc w:val="left"/>
      <w:pPr>
        <w:ind w:left="4887" w:hanging="360"/>
      </w:pPr>
      <w:rPr>
        <w:rFonts w:ascii="Wingdings" w:hAnsi="Wingdings" w:hint="default"/>
      </w:rPr>
    </w:lvl>
    <w:lvl w:ilvl="6" w:tplc="26062534" w:tentative="1">
      <w:start w:val="1"/>
      <w:numFmt w:val="bullet"/>
      <w:lvlText w:val=""/>
      <w:lvlJc w:val="left"/>
      <w:pPr>
        <w:ind w:left="5607" w:hanging="360"/>
      </w:pPr>
      <w:rPr>
        <w:rFonts w:ascii="Symbol" w:hAnsi="Symbol" w:hint="default"/>
      </w:rPr>
    </w:lvl>
    <w:lvl w:ilvl="7" w:tplc="8A64A95E" w:tentative="1">
      <w:start w:val="1"/>
      <w:numFmt w:val="bullet"/>
      <w:lvlText w:val="o"/>
      <w:lvlJc w:val="left"/>
      <w:pPr>
        <w:ind w:left="6327" w:hanging="360"/>
      </w:pPr>
      <w:rPr>
        <w:rFonts w:ascii="Courier New" w:hAnsi="Courier New" w:hint="default"/>
      </w:rPr>
    </w:lvl>
    <w:lvl w:ilvl="8" w:tplc="27AE81F0" w:tentative="1">
      <w:start w:val="1"/>
      <w:numFmt w:val="bullet"/>
      <w:lvlText w:val=""/>
      <w:lvlJc w:val="left"/>
      <w:pPr>
        <w:ind w:left="7047" w:hanging="360"/>
      </w:pPr>
      <w:rPr>
        <w:rFonts w:ascii="Wingdings" w:hAnsi="Wingdings" w:hint="default"/>
      </w:rPr>
    </w:lvl>
  </w:abstractNum>
  <w:abstractNum w:abstractNumId="1" w15:restartNumberingAfterBreak="0">
    <w:nsid w:val="0B440306"/>
    <w:multiLevelType w:val="hybridMultilevel"/>
    <w:tmpl w:val="FFFFFFFF"/>
    <w:lvl w:ilvl="0" w:tplc="B64CF4C8">
      <w:start w:val="1"/>
      <w:numFmt w:val="bullet"/>
      <w:lvlText w:val="·"/>
      <w:lvlJc w:val="left"/>
      <w:pPr>
        <w:ind w:left="720" w:hanging="360"/>
      </w:pPr>
      <w:rPr>
        <w:rFonts w:ascii="Symbol" w:hAnsi="Symbol" w:hint="default"/>
      </w:rPr>
    </w:lvl>
    <w:lvl w:ilvl="1" w:tplc="3E500CA0">
      <w:start w:val="1"/>
      <w:numFmt w:val="bullet"/>
      <w:lvlText w:val="o"/>
      <w:lvlJc w:val="left"/>
      <w:pPr>
        <w:ind w:left="1440" w:hanging="360"/>
      </w:pPr>
      <w:rPr>
        <w:rFonts w:ascii="Courier New" w:hAnsi="Courier New" w:hint="default"/>
      </w:rPr>
    </w:lvl>
    <w:lvl w:ilvl="2" w:tplc="B8FAE882">
      <w:start w:val="1"/>
      <w:numFmt w:val="bullet"/>
      <w:lvlText w:val=""/>
      <w:lvlJc w:val="left"/>
      <w:pPr>
        <w:ind w:left="2160" w:hanging="360"/>
      </w:pPr>
      <w:rPr>
        <w:rFonts w:ascii="Wingdings" w:hAnsi="Wingdings" w:hint="default"/>
      </w:rPr>
    </w:lvl>
    <w:lvl w:ilvl="3" w:tplc="45C4E9E2">
      <w:start w:val="1"/>
      <w:numFmt w:val="bullet"/>
      <w:lvlText w:val=""/>
      <w:lvlJc w:val="left"/>
      <w:pPr>
        <w:ind w:left="2880" w:hanging="360"/>
      </w:pPr>
      <w:rPr>
        <w:rFonts w:ascii="Symbol" w:hAnsi="Symbol" w:hint="default"/>
      </w:rPr>
    </w:lvl>
    <w:lvl w:ilvl="4" w:tplc="458C6FB2">
      <w:start w:val="1"/>
      <w:numFmt w:val="bullet"/>
      <w:lvlText w:val="o"/>
      <w:lvlJc w:val="left"/>
      <w:pPr>
        <w:ind w:left="3600" w:hanging="360"/>
      </w:pPr>
      <w:rPr>
        <w:rFonts w:ascii="Courier New" w:hAnsi="Courier New" w:hint="default"/>
      </w:rPr>
    </w:lvl>
    <w:lvl w:ilvl="5" w:tplc="A372B5D4">
      <w:start w:val="1"/>
      <w:numFmt w:val="bullet"/>
      <w:lvlText w:val=""/>
      <w:lvlJc w:val="left"/>
      <w:pPr>
        <w:ind w:left="4320" w:hanging="360"/>
      </w:pPr>
      <w:rPr>
        <w:rFonts w:ascii="Wingdings" w:hAnsi="Wingdings" w:hint="default"/>
      </w:rPr>
    </w:lvl>
    <w:lvl w:ilvl="6" w:tplc="228EE8A6">
      <w:start w:val="1"/>
      <w:numFmt w:val="bullet"/>
      <w:lvlText w:val=""/>
      <w:lvlJc w:val="left"/>
      <w:pPr>
        <w:ind w:left="5040" w:hanging="360"/>
      </w:pPr>
      <w:rPr>
        <w:rFonts w:ascii="Symbol" w:hAnsi="Symbol" w:hint="default"/>
      </w:rPr>
    </w:lvl>
    <w:lvl w:ilvl="7" w:tplc="ECC2665E">
      <w:start w:val="1"/>
      <w:numFmt w:val="bullet"/>
      <w:lvlText w:val="o"/>
      <w:lvlJc w:val="left"/>
      <w:pPr>
        <w:ind w:left="5760" w:hanging="360"/>
      </w:pPr>
      <w:rPr>
        <w:rFonts w:ascii="Courier New" w:hAnsi="Courier New" w:hint="default"/>
      </w:rPr>
    </w:lvl>
    <w:lvl w:ilvl="8" w:tplc="8E42E2B0">
      <w:start w:val="1"/>
      <w:numFmt w:val="bullet"/>
      <w:lvlText w:val=""/>
      <w:lvlJc w:val="left"/>
      <w:pPr>
        <w:ind w:left="6480" w:hanging="360"/>
      </w:pPr>
      <w:rPr>
        <w:rFonts w:ascii="Wingdings" w:hAnsi="Wingdings" w:hint="default"/>
      </w:rPr>
    </w:lvl>
  </w:abstractNum>
  <w:abstractNum w:abstractNumId="2" w15:restartNumberingAfterBreak="0">
    <w:nsid w:val="0C1364EC"/>
    <w:multiLevelType w:val="hybridMultilevel"/>
    <w:tmpl w:val="14068D90"/>
    <w:lvl w:ilvl="0" w:tplc="02E6944C">
      <w:start w:val="1"/>
      <w:numFmt w:val="bullet"/>
      <w:pStyle w:val="responsibilitybullets"/>
      <w:lvlText w:val=""/>
      <w:lvlJc w:val="left"/>
      <w:pPr>
        <w:ind w:left="720" w:hanging="360"/>
      </w:pPr>
      <w:rPr>
        <w:rFonts w:ascii="Symbol" w:hAnsi="Symbol" w:hint="default"/>
      </w:rPr>
    </w:lvl>
    <w:lvl w:ilvl="1" w:tplc="D1C4DBAA" w:tentative="1">
      <w:start w:val="1"/>
      <w:numFmt w:val="bullet"/>
      <w:lvlText w:val="o"/>
      <w:lvlJc w:val="left"/>
      <w:pPr>
        <w:ind w:left="1440" w:hanging="360"/>
      </w:pPr>
      <w:rPr>
        <w:rFonts w:ascii="Courier New" w:hAnsi="Courier New" w:hint="default"/>
      </w:rPr>
    </w:lvl>
    <w:lvl w:ilvl="2" w:tplc="942A8934" w:tentative="1">
      <w:start w:val="1"/>
      <w:numFmt w:val="bullet"/>
      <w:lvlText w:val=""/>
      <w:lvlJc w:val="left"/>
      <w:pPr>
        <w:ind w:left="2160" w:hanging="360"/>
      </w:pPr>
      <w:rPr>
        <w:rFonts w:ascii="Wingdings" w:hAnsi="Wingdings" w:hint="default"/>
      </w:rPr>
    </w:lvl>
    <w:lvl w:ilvl="3" w:tplc="2198348A" w:tentative="1">
      <w:start w:val="1"/>
      <w:numFmt w:val="bullet"/>
      <w:lvlText w:val=""/>
      <w:lvlJc w:val="left"/>
      <w:pPr>
        <w:ind w:left="2880" w:hanging="360"/>
      </w:pPr>
      <w:rPr>
        <w:rFonts w:ascii="Symbol" w:hAnsi="Symbol" w:hint="default"/>
      </w:rPr>
    </w:lvl>
    <w:lvl w:ilvl="4" w:tplc="E59E7AE4" w:tentative="1">
      <w:start w:val="1"/>
      <w:numFmt w:val="bullet"/>
      <w:lvlText w:val="o"/>
      <w:lvlJc w:val="left"/>
      <w:pPr>
        <w:ind w:left="3600" w:hanging="360"/>
      </w:pPr>
      <w:rPr>
        <w:rFonts w:ascii="Courier New" w:hAnsi="Courier New" w:hint="default"/>
      </w:rPr>
    </w:lvl>
    <w:lvl w:ilvl="5" w:tplc="FD0A0292" w:tentative="1">
      <w:start w:val="1"/>
      <w:numFmt w:val="bullet"/>
      <w:lvlText w:val=""/>
      <w:lvlJc w:val="left"/>
      <w:pPr>
        <w:ind w:left="4320" w:hanging="360"/>
      </w:pPr>
      <w:rPr>
        <w:rFonts w:ascii="Wingdings" w:hAnsi="Wingdings" w:hint="default"/>
      </w:rPr>
    </w:lvl>
    <w:lvl w:ilvl="6" w:tplc="EA1A650E" w:tentative="1">
      <w:start w:val="1"/>
      <w:numFmt w:val="bullet"/>
      <w:lvlText w:val=""/>
      <w:lvlJc w:val="left"/>
      <w:pPr>
        <w:ind w:left="5040" w:hanging="360"/>
      </w:pPr>
      <w:rPr>
        <w:rFonts w:ascii="Symbol" w:hAnsi="Symbol" w:hint="default"/>
      </w:rPr>
    </w:lvl>
    <w:lvl w:ilvl="7" w:tplc="4900103E" w:tentative="1">
      <w:start w:val="1"/>
      <w:numFmt w:val="bullet"/>
      <w:lvlText w:val="o"/>
      <w:lvlJc w:val="left"/>
      <w:pPr>
        <w:ind w:left="5760" w:hanging="360"/>
      </w:pPr>
      <w:rPr>
        <w:rFonts w:ascii="Courier New" w:hAnsi="Courier New" w:hint="default"/>
      </w:rPr>
    </w:lvl>
    <w:lvl w:ilvl="8" w:tplc="70F00C64" w:tentative="1">
      <w:start w:val="1"/>
      <w:numFmt w:val="bullet"/>
      <w:lvlText w:val=""/>
      <w:lvlJc w:val="left"/>
      <w:pPr>
        <w:ind w:left="6480" w:hanging="360"/>
      </w:pPr>
      <w:rPr>
        <w:rFonts w:ascii="Wingdings" w:hAnsi="Wingdings" w:hint="default"/>
      </w:rPr>
    </w:lvl>
  </w:abstractNum>
  <w:abstractNum w:abstractNumId="3" w15:restartNumberingAfterBreak="0">
    <w:nsid w:val="109845A7"/>
    <w:multiLevelType w:val="hybridMultilevel"/>
    <w:tmpl w:val="3924827A"/>
    <w:lvl w:ilvl="0" w:tplc="C57A6E90">
      <w:start w:val="1"/>
      <w:numFmt w:val="bullet"/>
      <w:pStyle w:val="ListParagraph"/>
      <w:lvlText w:val=""/>
      <w:lvlJc w:val="left"/>
      <w:pPr>
        <w:ind w:left="360" w:hanging="360"/>
      </w:pPr>
      <w:rPr>
        <w:rFonts w:ascii="Symbol" w:hAnsi="Symbol" w:hint="default"/>
        <w:b w:val="0"/>
        <w:i w:val="0"/>
        <w:strike w:val="0"/>
        <w:dstrike w:val="0"/>
        <w:color w:val="000000"/>
        <w:sz w:val="21"/>
        <w:szCs w:val="21"/>
        <w:u w:val="none" w:color="000000"/>
        <w:bdr w:val="none" w:sz="0" w:space="0" w:color="auto"/>
        <w:shd w:val="clear" w:color="auto" w:fill="auto"/>
        <w:vertAlign w:val="baseline"/>
      </w:rPr>
    </w:lvl>
    <w:lvl w:ilvl="1" w:tplc="2AEAC37C" w:tentative="1">
      <w:start w:val="1"/>
      <w:numFmt w:val="bullet"/>
      <w:lvlText w:val="o"/>
      <w:lvlJc w:val="left"/>
      <w:pPr>
        <w:ind w:left="1440" w:hanging="360"/>
      </w:pPr>
      <w:rPr>
        <w:rFonts w:ascii="Courier New" w:hAnsi="Courier New" w:hint="default"/>
      </w:rPr>
    </w:lvl>
    <w:lvl w:ilvl="2" w:tplc="E7B0C6F6" w:tentative="1">
      <w:start w:val="1"/>
      <w:numFmt w:val="bullet"/>
      <w:lvlText w:val=""/>
      <w:lvlJc w:val="left"/>
      <w:pPr>
        <w:ind w:left="2160" w:hanging="360"/>
      </w:pPr>
      <w:rPr>
        <w:rFonts w:ascii="Wingdings" w:hAnsi="Wingdings" w:hint="default"/>
      </w:rPr>
    </w:lvl>
    <w:lvl w:ilvl="3" w:tplc="545EEA58" w:tentative="1">
      <w:start w:val="1"/>
      <w:numFmt w:val="bullet"/>
      <w:lvlText w:val=""/>
      <w:lvlJc w:val="left"/>
      <w:pPr>
        <w:ind w:left="2880" w:hanging="360"/>
      </w:pPr>
      <w:rPr>
        <w:rFonts w:ascii="Symbol" w:hAnsi="Symbol" w:hint="default"/>
      </w:rPr>
    </w:lvl>
    <w:lvl w:ilvl="4" w:tplc="C728CE38" w:tentative="1">
      <w:start w:val="1"/>
      <w:numFmt w:val="bullet"/>
      <w:lvlText w:val="o"/>
      <w:lvlJc w:val="left"/>
      <w:pPr>
        <w:ind w:left="3600" w:hanging="360"/>
      </w:pPr>
      <w:rPr>
        <w:rFonts w:ascii="Courier New" w:hAnsi="Courier New" w:hint="default"/>
      </w:rPr>
    </w:lvl>
    <w:lvl w:ilvl="5" w:tplc="D0D070DC" w:tentative="1">
      <w:start w:val="1"/>
      <w:numFmt w:val="bullet"/>
      <w:lvlText w:val=""/>
      <w:lvlJc w:val="left"/>
      <w:pPr>
        <w:ind w:left="4320" w:hanging="360"/>
      </w:pPr>
      <w:rPr>
        <w:rFonts w:ascii="Wingdings" w:hAnsi="Wingdings" w:hint="default"/>
      </w:rPr>
    </w:lvl>
    <w:lvl w:ilvl="6" w:tplc="3BF20196" w:tentative="1">
      <w:start w:val="1"/>
      <w:numFmt w:val="bullet"/>
      <w:lvlText w:val=""/>
      <w:lvlJc w:val="left"/>
      <w:pPr>
        <w:ind w:left="5040" w:hanging="360"/>
      </w:pPr>
      <w:rPr>
        <w:rFonts w:ascii="Symbol" w:hAnsi="Symbol" w:hint="default"/>
      </w:rPr>
    </w:lvl>
    <w:lvl w:ilvl="7" w:tplc="35708986" w:tentative="1">
      <w:start w:val="1"/>
      <w:numFmt w:val="bullet"/>
      <w:lvlText w:val="o"/>
      <w:lvlJc w:val="left"/>
      <w:pPr>
        <w:ind w:left="5760" w:hanging="360"/>
      </w:pPr>
      <w:rPr>
        <w:rFonts w:ascii="Courier New" w:hAnsi="Courier New" w:hint="default"/>
      </w:rPr>
    </w:lvl>
    <w:lvl w:ilvl="8" w:tplc="8314357C" w:tentative="1">
      <w:start w:val="1"/>
      <w:numFmt w:val="bullet"/>
      <w:lvlText w:val=""/>
      <w:lvlJc w:val="left"/>
      <w:pPr>
        <w:ind w:left="6480" w:hanging="360"/>
      </w:pPr>
      <w:rPr>
        <w:rFonts w:ascii="Wingdings" w:hAnsi="Wingdings" w:hint="default"/>
      </w:rPr>
    </w:lvl>
  </w:abstractNum>
  <w:abstractNum w:abstractNumId="4" w15:restartNumberingAfterBreak="0">
    <w:nsid w:val="160607AD"/>
    <w:multiLevelType w:val="hybridMultilevel"/>
    <w:tmpl w:val="9A2041AE"/>
    <w:lvl w:ilvl="0" w:tplc="AE847060">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F26C1B"/>
    <w:multiLevelType w:val="hybridMultilevel"/>
    <w:tmpl w:val="0C2E8F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4F545B"/>
    <w:multiLevelType w:val="hybridMultilevel"/>
    <w:tmpl w:val="F982BC3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19145D"/>
    <w:multiLevelType w:val="hybridMultilevel"/>
    <w:tmpl w:val="AAA87C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BC2C72"/>
    <w:multiLevelType w:val="hybridMultilevel"/>
    <w:tmpl w:val="8F7CEF58"/>
    <w:lvl w:ilvl="0" w:tplc="B2B8B8A8">
      <w:start w:val="1"/>
      <w:numFmt w:val="bullet"/>
      <w:lvlText w:val="·"/>
      <w:lvlJc w:val="left"/>
      <w:pPr>
        <w:ind w:left="720" w:hanging="360"/>
      </w:pPr>
      <w:rPr>
        <w:rFonts w:ascii="Symbol" w:hAnsi="Symbol" w:hint="default"/>
      </w:rPr>
    </w:lvl>
    <w:lvl w:ilvl="1" w:tplc="A0882C8A">
      <w:start w:val="1"/>
      <w:numFmt w:val="bullet"/>
      <w:lvlText w:val="o"/>
      <w:lvlJc w:val="left"/>
      <w:pPr>
        <w:ind w:left="1440" w:hanging="360"/>
      </w:pPr>
      <w:rPr>
        <w:rFonts w:ascii="Courier New" w:hAnsi="Courier New" w:hint="default"/>
      </w:rPr>
    </w:lvl>
    <w:lvl w:ilvl="2" w:tplc="395E5D24">
      <w:start w:val="1"/>
      <w:numFmt w:val="bullet"/>
      <w:lvlText w:val=""/>
      <w:lvlJc w:val="left"/>
      <w:pPr>
        <w:ind w:left="2160" w:hanging="360"/>
      </w:pPr>
      <w:rPr>
        <w:rFonts w:ascii="Wingdings" w:hAnsi="Wingdings" w:hint="default"/>
      </w:rPr>
    </w:lvl>
    <w:lvl w:ilvl="3" w:tplc="C7267E0C">
      <w:start w:val="1"/>
      <w:numFmt w:val="bullet"/>
      <w:lvlText w:val=""/>
      <w:lvlJc w:val="left"/>
      <w:pPr>
        <w:ind w:left="2880" w:hanging="360"/>
      </w:pPr>
      <w:rPr>
        <w:rFonts w:ascii="Symbol" w:hAnsi="Symbol" w:hint="default"/>
      </w:rPr>
    </w:lvl>
    <w:lvl w:ilvl="4" w:tplc="330010F8">
      <w:start w:val="1"/>
      <w:numFmt w:val="bullet"/>
      <w:lvlText w:val="o"/>
      <w:lvlJc w:val="left"/>
      <w:pPr>
        <w:ind w:left="3600" w:hanging="360"/>
      </w:pPr>
      <w:rPr>
        <w:rFonts w:ascii="Courier New" w:hAnsi="Courier New" w:hint="default"/>
      </w:rPr>
    </w:lvl>
    <w:lvl w:ilvl="5" w:tplc="52F4B8B8">
      <w:start w:val="1"/>
      <w:numFmt w:val="bullet"/>
      <w:lvlText w:val=""/>
      <w:lvlJc w:val="left"/>
      <w:pPr>
        <w:ind w:left="4320" w:hanging="360"/>
      </w:pPr>
      <w:rPr>
        <w:rFonts w:ascii="Wingdings" w:hAnsi="Wingdings" w:hint="default"/>
      </w:rPr>
    </w:lvl>
    <w:lvl w:ilvl="6" w:tplc="1E66A81A">
      <w:start w:val="1"/>
      <w:numFmt w:val="bullet"/>
      <w:lvlText w:val=""/>
      <w:lvlJc w:val="left"/>
      <w:pPr>
        <w:ind w:left="5040" w:hanging="360"/>
      </w:pPr>
      <w:rPr>
        <w:rFonts w:ascii="Symbol" w:hAnsi="Symbol" w:hint="default"/>
      </w:rPr>
    </w:lvl>
    <w:lvl w:ilvl="7" w:tplc="592C77AC">
      <w:start w:val="1"/>
      <w:numFmt w:val="bullet"/>
      <w:lvlText w:val="o"/>
      <w:lvlJc w:val="left"/>
      <w:pPr>
        <w:ind w:left="5760" w:hanging="360"/>
      </w:pPr>
      <w:rPr>
        <w:rFonts w:ascii="Courier New" w:hAnsi="Courier New" w:hint="default"/>
      </w:rPr>
    </w:lvl>
    <w:lvl w:ilvl="8" w:tplc="7908C0EA">
      <w:start w:val="1"/>
      <w:numFmt w:val="bullet"/>
      <w:lvlText w:val=""/>
      <w:lvlJc w:val="left"/>
      <w:pPr>
        <w:ind w:left="6480" w:hanging="360"/>
      </w:pPr>
      <w:rPr>
        <w:rFonts w:ascii="Wingdings" w:hAnsi="Wingdings" w:hint="default"/>
      </w:rPr>
    </w:lvl>
  </w:abstractNum>
  <w:abstractNum w:abstractNumId="9" w15:restartNumberingAfterBreak="0">
    <w:nsid w:val="20F75C44"/>
    <w:multiLevelType w:val="hybridMultilevel"/>
    <w:tmpl w:val="D2349DD6"/>
    <w:styleLink w:val="MainHeadings"/>
    <w:lvl w:ilvl="0" w:tplc="69545BF0">
      <w:start w:val="1"/>
      <w:numFmt w:val="bullet"/>
      <w:lvlText w:val=""/>
      <w:lvlJc w:val="left"/>
      <w:pPr>
        <w:ind w:left="360" w:hanging="360"/>
      </w:pPr>
      <w:rPr>
        <w:rFonts w:ascii="Symbol" w:hAnsi="Symbol" w:hint="default"/>
      </w:rPr>
    </w:lvl>
    <w:lvl w:ilvl="1" w:tplc="786EB880">
      <w:start w:val="1"/>
      <w:numFmt w:val="bullet"/>
      <w:lvlText w:val="o"/>
      <w:lvlJc w:val="left"/>
      <w:pPr>
        <w:ind w:left="1080" w:hanging="360"/>
      </w:pPr>
      <w:rPr>
        <w:rFonts w:ascii="Courier New" w:hAnsi="Courier New" w:hint="default"/>
      </w:rPr>
    </w:lvl>
    <w:lvl w:ilvl="2" w:tplc="9FAE431A" w:tentative="1">
      <w:start w:val="1"/>
      <w:numFmt w:val="bullet"/>
      <w:lvlText w:val=""/>
      <w:lvlJc w:val="left"/>
      <w:pPr>
        <w:ind w:left="1800" w:hanging="360"/>
      </w:pPr>
      <w:rPr>
        <w:rFonts w:ascii="Wingdings" w:hAnsi="Wingdings" w:hint="default"/>
      </w:rPr>
    </w:lvl>
    <w:lvl w:ilvl="3" w:tplc="BA18C83E" w:tentative="1">
      <w:start w:val="1"/>
      <w:numFmt w:val="bullet"/>
      <w:lvlText w:val=""/>
      <w:lvlJc w:val="left"/>
      <w:pPr>
        <w:ind w:left="2520" w:hanging="360"/>
      </w:pPr>
      <w:rPr>
        <w:rFonts w:ascii="Symbol" w:hAnsi="Symbol" w:hint="default"/>
      </w:rPr>
    </w:lvl>
    <w:lvl w:ilvl="4" w:tplc="750CB6AE" w:tentative="1">
      <w:start w:val="1"/>
      <w:numFmt w:val="bullet"/>
      <w:lvlText w:val="o"/>
      <w:lvlJc w:val="left"/>
      <w:pPr>
        <w:ind w:left="3240" w:hanging="360"/>
      </w:pPr>
      <w:rPr>
        <w:rFonts w:ascii="Courier New" w:hAnsi="Courier New" w:hint="default"/>
      </w:rPr>
    </w:lvl>
    <w:lvl w:ilvl="5" w:tplc="AC50E3BC" w:tentative="1">
      <w:start w:val="1"/>
      <w:numFmt w:val="bullet"/>
      <w:lvlText w:val=""/>
      <w:lvlJc w:val="left"/>
      <w:pPr>
        <w:ind w:left="3960" w:hanging="360"/>
      </w:pPr>
      <w:rPr>
        <w:rFonts w:ascii="Wingdings" w:hAnsi="Wingdings" w:hint="default"/>
      </w:rPr>
    </w:lvl>
    <w:lvl w:ilvl="6" w:tplc="3E3E5CAE" w:tentative="1">
      <w:start w:val="1"/>
      <w:numFmt w:val="bullet"/>
      <w:lvlText w:val=""/>
      <w:lvlJc w:val="left"/>
      <w:pPr>
        <w:ind w:left="4680" w:hanging="360"/>
      </w:pPr>
      <w:rPr>
        <w:rFonts w:ascii="Symbol" w:hAnsi="Symbol" w:hint="default"/>
      </w:rPr>
    </w:lvl>
    <w:lvl w:ilvl="7" w:tplc="0DEC6266" w:tentative="1">
      <w:start w:val="1"/>
      <w:numFmt w:val="bullet"/>
      <w:lvlText w:val="o"/>
      <w:lvlJc w:val="left"/>
      <w:pPr>
        <w:ind w:left="5400" w:hanging="360"/>
      </w:pPr>
      <w:rPr>
        <w:rFonts w:ascii="Courier New" w:hAnsi="Courier New" w:hint="default"/>
      </w:rPr>
    </w:lvl>
    <w:lvl w:ilvl="8" w:tplc="66EE575E" w:tentative="1">
      <w:start w:val="1"/>
      <w:numFmt w:val="bullet"/>
      <w:lvlText w:val=""/>
      <w:lvlJc w:val="left"/>
      <w:pPr>
        <w:ind w:left="6120" w:hanging="360"/>
      </w:pPr>
      <w:rPr>
        <w:rFonts w:ascii="Wingdings" w:hAnsi="Wingdings" w:hint="default"/>
      </w:rPr>
    </w:lvl>
  </w:abstractNum>
  <w:abstractNum w:abstractNumId="10" w15:restartNumberingAfterBreak="0">
    <w:nsid w:val="24120C6B"/>
    <w:multiLevelType w:val="hybridMultilevel"/>
    <w:tmpl w:val="FFFFFFFF"/>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1" w15:restartNumberingAfterBreak="0">
    <w:nsid w:val="29C225BC"/>
    <w:multiLevelType w:val="hybridMultilevel"/>
    <w:tmpl w:val="D1006E16"/>
    <w:lvl w:ilvl="0" w:tplc="66486948">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start w:val="1"/>
      <w:numFmt w:val="lowerRoman"/>
      <w:pStyle w:val="Style1"/>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2F057D35"/>
    <w:multiLevelType w:val="hybridMultilevel"/>
    <w:tmpl w:val="5C602B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1F9DBE"/>
    <w:multiLevelType w:val="hybridMultilevel"/>
    <w:tmpl w:val="9F2CC822"/>
    <w:lvl w:ilvl="0" w:tplc="384E7964">
      <w:start w:val="1"/>
      <w:numFmt w:val="bullet"/>
      <w:pStyle w:val="tablebulletsLHP"/>
      <w:lvlText w:val=""/>
      <w:lvlJc w:val="left"/>
      <w:pPr>
        <w:ind w:left="360" w:hanging="360"/>
      </w:pPr>
      <w:rPr>
        <w:rFonts w:ascii="Symbol" w:hAnsi="Symbol" w:hint="default"/>
      </w:rPr>
    </w:lvl>
    <w:lvl w:ilvl="1" w:tplc="6680A57E">
      <w:start w:val="1"/>
      <w:numFmt w:val="bullet"/>
      <w:lvlText w:val="o"/>
      <w:lvlJc w:val="left"/>
      <w:pPr>
        <w:ind w:left="1080" w:hanging="360"/>
      </w:pPr>
      <w:rPr>
        <w:rFonts w:ascii="Courier New" w:hAnsi="Courier New" w:hint="default"/>
      </w:rPr>
    </w:lvl>
    <w:lvl w:ilvl="2" w:tplc="443AAFD2">
      <w:start w:val="1"/>
      <w:numFmt w:val="bullet"/>
      <w:lvlText w:val=""/>
      <w:lvlJc w:val="left"/>
      <w:pPr>
        <w:ind w:left="1800" w:hanging="360"/>
      </w:pPr>
      <w:rPr>
        <w:rFonts w:ascii="Wingdings" w:hAnsi="Wingdings" w:hint="default"/>
      </w:rPr>
    </w:lvl>
    <w:lvl w:ilvl="3" w:tplc="8F040A5C">
      <w:start w:val="1"/>
      <w:numFmt w:val="bullet"/>
      <w:lvlText w:val=""/>
      <w:lvlJc w:val="left"/>
      <w:pPr>
        <w:ind w:left="2520" w:hanging="360"/>
      </w:pPr>
      <w:rPr>
        <w:rFonts w:ascii="Symbol" w:hAnsi="Symbol" w:hint="default"/>
      </w:rPr>
    </w:lvl>
    <w:lvl w:ilvl="4" w:tplc="C87E4538">
      <w:start w:val="1"/>
      <w:numFmt w:val="bullet"/>
      <w:lvlText w:val="o"/>
      <w:lvlJc w:val="left"/>
      <w:pPr>
        <w:ind w:left="3240" w:hanging="360"/>
      </w:pPr>
      <w:rPr>
        <w:rFonts w:ascii="Courier New" w:hAnsi="Courier New" w:hint="default"/>
      </w:rPr>
    </w:lvl>
    <w:lvl w:ilvl="5" w:tplc="FFB6A99E">
      <w:start w:val="1"/>
      <w:numFmt w:val="bullet"/>
      <w:lvlText w:val=""/>
      <w:lvlJc w:val="left"/>
      <w:pPr>
        <w:ind w:left="3960" w:hanging="360"/>
      </w:pPr>
      <w:rPr>
        <w:rFonts w:ascii="Wingdings" w:hAnsi="Wingdings" w:hint="default"/>
      </w:rPr>
    </w:lvl>
    <w:lvl w:ilvl="6" w:tplc="B4F82742">
      <w:start w:val="1"/>
      <w:numFmt w:val="bullet"/>
      <w:lvlText w:val=""/>
      <w:lvlJc w:val="left"/>
      <w:pPr>
        <w:ind w:left="4680" w:hanging="360"/>
      </w:pPr>
      <w:rPr>
        <w:rFonts w:ascii="Symbol" w:hAnsi="Symbol" w:hint="default"/>
      </w:rPr>
    </w:lvl>
    <w:lvl w:ilvl="7" w:tplc="781EBDB2">
      <w:start w:val="1"/>
      <w:numFmt w:val="bullet"/>
      <w:lvlText w:val="o"/>
      <w:lvlJc w:val="left"/>
      <w:pPr>
        <w:ind w:left="5400" w:hanging="360"/>
      </w:pPr>
      <w:rPr>
        <w:rFonts w:ascii="Courier New" w:hAnsi="Courier New" w:hint="default"/>
      </w:rPr>
    </w:lvl>
    <w:lvl w:ilvl="8" w:tplc="D0D4D420">
      <w:start w:val="1"/>
      <w:numFmt w:val="bullet"/>
      <w:lvlText w:val=""/>
      <w:lvlJc w:val="left"/>
      <w:pPr>
        <w:ind w:left="6120" w:hanging="360"/>
      </w:pPr>
      <w:rPr>
        <w:rFonts w:ascii="Wingdings" w:hAnsi="Wingdings" w:hint="default"/>
      </w:rPr>
    </w:lvl>
  </w:abstractNum>
  <w:abstractNum w:abstractNumId="14" w15:restartNumberingAfterBreak="0">
    <w:nsid w:val="32CA369C"/>
    <w:multiLevelType w:val="multilevel"/>
    <w:tmpl w:val="FFFCFFC2"/>
    <w:numStyleLink w:val="LHPmainheadings1-3"/>
  </w:abstractNum>
  <w:abstractNum w:abstractNumId="15" w15:restartNumberingAfterBreak="0">
    <w:nsid w:val="34A00BEF"/>
    <w:multiLevelType w:val="multilevel"/>
    <w:tmpl w:val="FFFCFFC2"/>
    <w:styleLink w:val="LHPmainheadings1-3"/>
    <w:lvl w:ilvl="0">
      <w:start w:val="1"/>
      <w:numFmt w:val="decimal"/>
      <w:pStyle w:val="Heading1"/>
      <w:lvlText w:val="%1"/>
      <w:lvlJc w:val="left"/>
      <w:pPr>
        <w:ind w:left="851" w:hanging="851"/>
      </w:pPr>
      <w:rPr>
        <w:rFonts w:hint="default"/>
      </w:rPr>
    </w:lvl>
    <w:lvl w:ilvl="1">
      <w:start w:val="1"/>
      <w:numFmt w:val="decimal"/>
      <w:pStyle w:val="Heading2"/>
      <w:lvlText w:val="%1.%2"/>
      <w:lvlJc w:val="left"/>
      <w:pPr>
        <w:ind w:left="1134" w:hanging="1134"/>
      </w:pPr>
      <w:rPr>
        <w:rFonts w:hint="default"/>
      </w:rPr>
    </w:lvl>
    <w:lvl w:ilvl="2">
      <w:start w:val="1"/>
      <w:numFmt w:val="decimal"/>
      <w:pStyle w:val="Heading3"/>
      <w:lvlText w:val="%1.%2.%3"/>
      <w:lvlJc w:val="left"/>
      <w:pPr>
        <w:ind w:left="1134" w:hanging="1134"/>
      </w:pPr>
      <w:rPr>
        <w:rFonts w:hint="default"/>
      </w:rPr>
    </w:lvl>
    <w:lvl w:ilvl="3">
      <w:start w:val="1"/>
      <w:numFmt w:val="none"/>
      <w:lvlText w:val=""/>
      <w:lvlJc w:val="left"/>
      <w:pPr>
        <w:ind w:left="864" w:hanging="864"/>
      </w:pPr>
      <w:rPr>
        <w:rFonts w:hint="default"/>
      </w:rPr>
    </w:lvl>
    <w:lvl w:ilvl="4">
      <w:start w:val="1"/>
      <w:numFmt w:val="none"/>
      <w:lvlText w:val=""/>
      <w:lvlJc w:val="left"/>
      <w:pPr>
        <w:ind w:left="1008" w:hanging="1008"/>
      </w:pPr>
      <w:rPr>
        <w:rFonts w:hint="default"/>
      </w:rPr>
    </w:lvl>
    <w:lvl w:ilvl="5">
      <w:start w:val="1"/>
      <w:numFmt w:val="none"/>
      <w:lvlText w:val=""/>
      <w:lvlJc w:val="left"/>
      <w:pPr>
        <w:ind w:left="1152" w:hanging="1152"/>
      </w:pPr>
      <w:rPr>
        <w:rFonts w:hint="default"/>
      </w:rPr>
    </w:lvl>
    <w:lvl w:ilvl="6">
      <w:start w:val="1"/>
      <w:numFmt w:val="none"/>
      <w:lvlText w:val=""/>
      <w:lvlJc w:val="left"/>
      <w:pPr>
        <w:ind w:left="1296" w:hanging="1296"/>
      </w:pPr>
      <w:rPr>
        <w:rFonts w:hint="default"/>
      </w:rPr>
    </w:lvl>
    <w:lvl w:ilvl="7">
      <w:start w:val="1"/>
      <w:numFmt w:val="none"/>
      <w:lvlText w:val=""/>
      <w:lvlJc w:val="left"/>
      <w:pPr>
        <w:ind w:left="1440" w:hanging="1440"/>
      </w:pPr>
      <w:rPr>
        <w:rFonts w:hint="default"/>
      </w:rPr>
    </w:lvl>
    <w:lvl w:ilvl="8">
      <w:start w:val="1"/>
      <w:numFmt w:val="none"/>
      <w:lvlText w:val=""/>
      <w:lvlJc w:val="left"/>
      <w:pPr>
        <w:ind w:left="1584" w:hanging="1584"/>
      </w:pPr>
      <w:rPr>
        <w:rFonts w:hint="default"/>
      </w:rPr>
    </w:lvl>
  </w:abstractNum>
  <w:abstractNum w:abstractNumId="16" w15:restartNumberingAfterBreak="0">
    <w:nsid w:val="35151B57"/>
    <w:multiLevelType w:val="multilevel"/>
    <w:tmpl w:val="02E8E874"/>
    <w:lvl w:ilvl="0">
      <w:numFmt w:val="bullet"/>
      <w:pStyle w:val="Bullets"/>
      <w:lvlText w:val=""/>
      <w:lvlJc w:val="left"/>
      <w:pPr>
        <w:ind w:left="720" w:hanging="360"/>
      </w:pPr>
      <w:rPr>
        <w:rFonts w:ascii="Symbol" w:hAnsi="Symbol" w:hint="default"/>
      </w:rPr>
    </w:lvl>
    <w:lvl w:ilvl="1">
      <w:numFmt w:val="bullet"/>
      <w:lvlText w:val="o"/>
      <w:lvlJc w:val="left"/>
      <w:pPr>
        <w:ind w:left="1440" w:hanging="360"/>
      </w:pPr>
      <w:rPr>
        <w:rFonts w:ascii="Courier New" w:hAnsi="Courier New" w:hint="default"/>
      </w:rPr>
    </w:lvl>
    <w:lvl w:ilvl="2">
      <w:numFmt w:val="bullet"/>
      <w:lvlText w:val=""/>
      <w:lvlJc w:val="left"/>
      <w:pPr>
        <w:ind w:left="2160" w:hanging="360"/>
      </w:pPr>
      <w:rPr>
        <w:rFonts w:ascii="Wingdings" w:hAnsi="Wingdings" w:hint="default"/>
      </w:rPr>
    </w:lvl>
    <w:lvl w:ilvl="3">
      <w:numFmt w:val="bullet"/>
      <w:lvlText w:val=""/>
      <w:lvlJc w:val="left"/>
      <w:pPr>
        <w:ind w:left="2880" w:hanging="360"/>
      </w:pPr>
      <w:rPr>
        <w:rFonts w:ascii="Symbol" w:hAnsi="Symbol" w:hint="default"/>
      </w:rPr>
    </w:lvl>
    <w:lvl w:ilvl="4">
      <w:numFmt w:val="bullet"/>
      <w:lvlText w:val="o"/>
      <w:lvlJc w:val="left"/>
      <w:pPr>
        <w:ind w:left="3600" w:hanging="360"/>
      </w:pPr>
      <w:rPr>
        <w:rFonts w:ascii="Courier New" w:hAnsi="Courier New" w:hint="default"/>
      </w:rPr>
    </w:lvl>
    <w:lvl w:ilvl="5">
      <w:numFmt w:val="bullet"/>
      <w:lvlText w:val=""/>
      <w:lvlJc w:val="left"/>
      <w:pPr>
        <w:ind w:left="4320" w:hanging="360"/>
      </w:pPr>
      <w:rPr>
        <w:rFonts w:ascii="Wingdings" w:hAnsi="Wingdings" w:hint="default"/>
      </w:rPr>
    </w:lvl>
    <w:lvl w:ilvl="6">
      <w:numFmt w:val="bullet"/>
      <w:lvlText w:val=""/>
      <w:lvlJc w:val="left"/>
      <w:pPr>
        <w:ind w:left="5040" w:hanging="360"/>
      </w:pPr>
      <w:rPr>
        <w:rFonts w:ascii="Symbol" w:hAnsi="Symbol" w:hint="default"/>
      </w:rPr>
    </w:lvl>
    <w:lvl w:ilvl="7">
      <w:numFmt w:val="bullet"/>
      <w:lvlText w:val="o"/>
      <w:lvlJc w:val="left"/>
      <w:pPr>
        <w:ind w:left="5760" w:hanging="360"/>
      </w:pPr>
      <w:rPr>
        <w:rFonts w:ascii="Courier New" w:hAnsi="Courier New" w:hint="default"/>
      </w:rPr>
    </w:lvl>
    <w:lvl w:ilvl="8">
      <w:numFmt w:val="bullet"/>
      <w:lvlText w:val=""/>
      <w:lvlJc w:val="left"/>
      <w:pPr>
        <w:ind w:left="6480" w:hanging="360"/>
      </w:pPr>
      <w:rPr>
        <w:rFonts w:ascii="Wingdings" w:hAnsi="Wingdings" w:hint="default"/>
      </w:rPr>
    </w:lvl>
  </w:abstractNum>
  <w:abstractNum w:abstractNumId="17" w15:restartNumberingAfterBreak="0">
    <w:nsid w:val="362C6A72"/>
    <w:multiLevelType w:val="hybridMultilevel"/>
    <w:tmpl w:val="48540EBC"/>
    <w:lvl w:ilvl="0" w:tplc="6A10543A">
      <w:start w:val="1"/>
      <w:numFmt w:val="bullet"/>
      <w:pStyle w:val="bullet1"/>
      <w:lvlText w:val=""/>
      <w:lvlJc w:val="left"/>
      <w:pPr>
        <w:ind w:left="720" w:hanging="360"/>
      </w:pPr>
      <w:rPr>
        <w:rFonts w:ascii="Wingdings" w:hAnsi="Wingdings" w:hint="default"/>
        <w:b w:val="0"/>
        <w:i w:val="0"/>
        <w:caps w:val="0"/>
        <w:strike w:val="0"/>
        <w:dstrike w:val="0"/>
        <w:vanish w:val="0"/>
        <w:color w:val="356A91" w:themeColor="accent1"/>
        <w:sz w:val="12"/>
        <w:u w:val="none"/>
        <w:vertAlign w:val="baseline"/>
      </w:rPr>
    </w:lvl>
    <w:lvl w:ilvl="1" w:tplc="CDB4140A">
      <w:start w:val="1"/>
      <w:numFmt w:val="bullet"/>
      <w:lvlText w:val="o"/>
      <w:lvlJc w:val="left"/>
      <w:pPr>
        <w:ind w:left="1440" w:hanging="360"/>
      </w:pPr>
      <w:rPr>
        <w:rFonts w:ascii="Courier New" w:hAnsi="Courier New" w:hint="default"/>
      </w:rPr>
    </w:lvl>
    <w:lvl w:ilvl="2" w:tplc="085CEFC0">
      <w:start w:val="1"/>
      <w:numFmt w:val="bullet"/>
      <w:lvlText w:val=""/>
      <w:lvlJc w:val="left"/>
      <w:pPr>
        <w:ind w:left="2160" w:hanging="360"/>
      </w:pPr>
      <w:rPr>
        <w:rFonts w:ascii="Wingdings" w:hAnsi="Wingdings" w:hint="default"/>
      </w:rPr>
    </w:lvl>
    <w:lvl w:ilvl="3" w:tplc="3788B1F4" w:tentative="1">
      <w:start w:val="1"/>
      <w:numFmt w:val="bullet"/>
      <w:lvlText w:val=""/>
      <w:lvlJc w:val="left"/>
      <w:pPr>
        <w:ind w:left="2880" w:hanging="360"/>
      </w:pPr>
      <w:rPr>
        <w:rFonts w:ascii="Symbol" w:hAnsi="Symbol" w:hint="default"/>
      </w:rPr>
    </w:lvl>
    <w:lvl w:ilvl="4" w:tplc="63DEB908" w:tentative="1">
      <w:start w:val="1"/>
      <w:numFmt w:val="bullet"/>
      <w:lvlText w:val="o"/>
      <w:lvlJc w:val="left"/>
      <w:pPr>
        <w:ind w:left="3600" w:hanging="360"/>
      </w:pPr>
      <w:rPr>
        <w:rFonts w:ascii="Courier New" w:hAnsi="Courier New" w:hint="default"/>
      </w:rPr>
    </w:lvl>
    <w:lvl w:ilvl="5" w:tplc="F092CF40" w:tentative="1">
      <w:start w:val="1"/>
      <w:numFmt w:val="bullet"/>
      <w:lvlText w:val=""/>
      <w:lvlJc w:val="left"/>
      <w:pPr>
        <w:ind w:left="4320" w:hanging="360"/>
      </w:pPr>
      <w:rPr>
        <w:rFonts w:ascii="Wingdings" w:hAnsi="Wingdings" w:hint="default"/>
      </w:rPr>
    </w:lvl>
    <w:lvl w:ilvl="6" w:tplc="422275F0" w:tentative="1">
      <w:start w:val="1"/>
      <w:numFmt w:val="bullet"/>
      <w:lvlText w:val=""/>
      <w:lvlJc w:val="left"/>
      <w:pPr>
        <w:ind w:left="5040" w:hanging="360"/>
      </w:pPr>
      <w:rPr>
        <w:rFonts w:ascii="Symbol" w:hAnsi="Symbol" w:hint="default"/>
      </w:rPr>
    </w:lvl>
    <w:lvl w:ilvl="7" w:tplc="F7DC3C7E" w:tentative="1">
      <w:start w:val="1"/>
      <w:numFmt w:val="bullet"/>
      <w:lvlText w:val="o"/>
      <w:lvlJc w:val="left"/>
      <w:pPr>
        <w:ind w:left="5760" w:hanging="360"/>
      </w:pPr>
      <w:rPr>
        <w:rFonts w:ascii="Courier New" w:hAnsi="Courier New" w:hint="default"/>
      </w:rPr>
    </w:lvl>
    <w:lvl w:ilvl="8" w:tplc="337218AC" w:tentative="1">
      <w:start w:val="1"/>
      <w:numFmt w:val="bullet"/>
      <w:lvlText w:val=""/>
      <w:lvlJc w:val="left"/>
      <w:pPr>
        <w:ind w:left="6480" w:hanging="360"/>
      </w:pPr>
      <w:rPr>
        <w:rFonts w:ascii="Wingdings" w:hAnsi="Wingdings" w:hint="default"/>
      </w:rPr>
    </w:lvl>
  </w:abstractNum>
  <w:abstractNum w:abstractNumId="18" w15:restartNumberingAfterBreak="0">
    <w:nsid w:val="36CD0642"/>
    <w:multiLevelType w:val="hybridMultilevel"/>
    <w:tmpl w:val="88DE4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F65B07"/>
    <w:multiLevelType w:val="hybridMultilevel"/>
    <w:tmpl w:val="DFF8A72A"/>
    <w:lvl w:ilvl="0" w:tplc="998865E4">
      <w:start w:val="1"/>
      <w:numFmt w:val="bullet"/>
      <w:lvlText w:val=""/>
      <w:lvlJc w:val="left"/>
      <w:pPr>
        <w:ind w:left="720" w:hanging="360"/>
      </w:pPr>
      <w:rPr>
        <w:rFonts w:ascii="Symbol" w:hAnsi="Symbol" w:hint="default"/>
      </w:rPr>
    </w:lvl>
    <w:lvl w:ilvl="1" w:tplc="395041A2">
      <w:start w:val="1"/>
      <w:numFmt w:val="bullet"/>
      <w:lvlText w:val="o"/>
      <w:lvlJc w:val="left"/>
      <w:pPr>
        <w:ind w:left="1440" w:hanging="360"/>
      </w:pPr>
      <w:rPr>
        <w:rFonts w:ascii="Courier New" w:hAnsi="Courier New" w:hint="default"/>
      </w:rPr>
    </w:lvl>
    <w:lvl w:ilvl="2" w:tplc="5BC28A24">
      <w:start w:val="1"/>
      <w:numFmt w:val="bullet"/>
      <w:lvlText w:val=""/>
      <w:lvlJc w:val="left"/>
      <w:pPr>
        <w:ind w:left="2160" w:hanging="360"/>
      </w:pPr>
      <w:rPr>
        <w:rFonts w:ascii="Wingdings" w:hAnsi="Wingdings" w:hint="default"/>
      </w:rPr>
    </w:lvl>
    <w:lvl w:ilvl="3" w:tplc="16B2FA44">
      <w:start w:val="1"/>
      <w:numFmt w:val="bullet"/>
      <w:lvlText w:val=""/>
      <w:lvlJc w:val="left"/>
      <w:pPr>
        <w:ind w:left="2880" w:hanging="360"/>
      </w:pPr>
      <w:rPr>
        <w:rFonts w:ascii="Symbol" w:hAnsi="Symbol" w:hint="default"/>
      </w:rPr>
    </w:lvl>
    <w:lvl w:ilvl="4" w:tplc="8C0655A6">
      <w:start w:val="1"/>
      <w:numFmt w:val="bullet"/>
      <w:lvlText w:val="o"/>
      <w:lvlJc w:val="left"/>
      <w:pPr>
        <w:ind w:left="3600" w:hanging="360"/>
      </w:pPr>
      <w:rPr>
        <w:rFonts w:ascii="Courier New" w:hAnsi="Courier New" w:hint="default"/>
      </w:rPr>
    </w:lvl>
    <w:lvl w:ilvl="5" w:tplc="1AC07D04">
      <w:start w:val="1"/>
      <w:numFmt w:val="bullet"/>
      <w:lvlText w:val=""/>
      <w:lvlJc w:val="left"/>
      <w:pPr>
        <w:ind w:left="4320" w:hanging="360"/>
      </w:pPr>
      <w:rPr>
        <w:rFonts w:ascii="Wingdings" w:hAnsi="Wingdings" w:hint="default"/>
      </w:rPr>
    </w:lvl>
    <w:lvl w:ilvl="6" w:tplc="97FAC602">
      <w:start w:val="1"/>
      <w:numFmt w:val="bullet"/>
      <w:lvlText w:val=""/>
      <w:lvlJc w:val="left"/>
      <w:pPr>
        <w:ind w:left="5040" w:hanging="360"/>
      </w:pPr>
      <w:rPr>
        <w:rFonts w:ascii="Symbol" w:hAnsi="Symbol" w:hint="default"/>
      </w:rPr>
    </w:lvl>
    <w:lvl w:ilvl="7" w:tplc="C02C084E">
      <w:start w:val="1"/>
      <w:numFmt w:val="bullet"/>
      <w:lvlText w:val="o"/>
      <w:lvlJc w:val="left"/>
      <w:pPr>
        <w:ind w:left="5760" w:hanging="360"/>
      </w:pPr>
      <w:rPr>
        <w:rFonts w:ascii="Courier New" w:hAnsi="Courier New" w:hint="default"/>
      </w:rPr>
    </w:lvl>
    <w:lvl w:ilvl="8" w:tplc="F718E7FC">
      <w:start w:val="1"/>
      <w:numFmt w:val="bullet"/>
      <w:lvlText w:val=""/>
      <w:lvlJc w:val="left"/>
      <w:pPr>
        <w:ind w:left="6480" w:hanging="360"/>
      </w:pPr>
      <w:rPr>
        <w:rFonts w:ascii="Wingdings" w:hAnsi="Wingdings" w:hint="default"/>
      </w:rPr>
    </w:lvl>
  </w:abstractNum>
  <w:abstractNum w:abstractNumId="20" w15:restartNumberingAfterBreak="0">
    <w:nsid w:val="3BFE4D6E"/>
    <w:multiLevelType w:val="hybridMultilevel"/>
    <w:tmpl w:val="FFFFFFFF"/>
    <w:lvl w:ilvl="0" w:tplc="D444CAB0">
      <w:start w:val="1"/>
      <w:numFmt w:val="bullet"/>
      <w:lvlText w:val="-"/>
      <w:lvlJc w:val="left"/>
      <w:pPr>
        <w:ind w:left="720" w:hanging="360"/>
      </w:pPr>
      <w:rPr>
        <w:rFonts w:ascii="Aptos" w:hAnsi="Aptos" w:hint="default"/>
      </w:rPr>
    </w:lvl>
    <w:lvl w:ilvl="1" w:tplc="4A4E14E6">
      <w:start w:val="1"/>
      <w:numFmt w:val="bullet"/>
      <w:lvlText w:val="o"/>
      <w:lvlJc w:val="left"/>
      <w:pPr>
        <w:ind w:left="1440" w:hanging="360"/>
      </w:pPr>
      <w:rPr>
        <w:rFonts w:ascii="Courier New" w:hAnsi="Courier New" w:hint="default"/>
      </w:rPr>
    </w:lvl>
    <w:lvl w:ilvl="2" w:tplc="2474C1A4">
      <w:start w:val="1"/>
      <w:numFmt w:val="bullet"/>
      <w:lvlText w:val=""/>
      <w:lvlJc w:val="left"/>
      <w:pPr>
        <w:ind w:left="2160" w:hanging="360"/>
      </w:pPr>
      <w:rPr>
        <w:rFonts w:ascii="Wingdings" w:hAnsi="Wingdings" w:hint="default"/>
      </w:rPr>
    </w:lvl>
    <w:lvl w:ilvl="3" w:tplc="30520936">
      <w:start w:val="1"/>
      <w:numFmt w:val="bullet"/>
      <w:lvlText w:val=""/>
      <w:lvlJc w:val="left"/>
      <w:pPr>
        <w:ind w:left="2880" w:hanging="360"/>
      </w:pPr>
      <w:rPr>
        <w:rFonts w:ascii="Symbol" w:hAnsi="Symbol" w:hint="default"/>
      </w:rPr>
    </w:lvl>
    <w:lvl w:ilvl="4" w:tplc="D0F6E77E">
      <w:start w:val="1"/>
      <w:numFmt w:val="bullet"/>
      <w:lvlText w:val="o"/>
      <w:lvlJc w:val="left"/>
      <w:pPr>
        <w:ind w:left="3600" w:hanging="360"/>
      </w:pPr>
      <w:rPr>
        <w:rFonts w:ascii="Courier New" w:hAnsi="Courier New" w:hint="default"/>
      </w:rPr>
    </w:lvl>
    <w:lvl w:ilvl="5" w:tplc="8F1A3BF8">
      <w:start w:val="1"/>
      <w:numFmt w:val="bullet"/>
      <w:lvlText w:val=""/>
      <w:lvlJc w:val="left"/>
      <w:pPr>
        <w:ind w:left="4320" w:hanging="360"/>
      </w:pPr>
      <w:rPr>
        <w:rFonts w:ascii="Wingdings" w:hAnsi="Wingdings" w:hint="default"/>
      </w:rPr>
    </w:lvl>
    <w:lvl w:ilvl="6" w:tplc="2B5CCCC2">
      <w:start w:val="1"/>
      <w:numFmt w:val="bullet"/>
      <w:lvlText w:val=""/>
      <w:lvlJc w:val="left"/>
      <w:pPr>
        <w:ind w:left="5040" w:hanging="360"/>
      </w:pPr>
      <w:rPr>
        <w:rFonts w:ascii="Symbol" w:hAnsi="Symbol" w:hint="default"/>
      </w:rPr>
    </w:lvl>
    <w:lvl w:ilvl="7" w:tplc="E1B2F4C2">
      <w:start w:val="1"/>
      <w:numFmt w:val="bullet"/>
      <w:lvlText w:val="o"/>
      <w:lvlJc w:val="left"/>
      <w:pPr>
        <w:ind w:left="5760" w:hanging="360"/>
      </w:pPr>
      <w:rPr>
        <w:rFonts w:ascii="Courier New" w:hAnsi="Courier New" w:hint="default"/>
      </w:rPr>
    </w:lvl>
    <w:lvl w:ilvl="8" w:tplc="4D4E1F6E">
      <w:start w:val="1"/>
      <w:numFmt w:val="bullet"/>
      <w:lvlText w:val=""/>
      <w:lvlJc w:val="left"/>
      <w:pPr>
        <w:ind w:left="6480" w:hanging="360"/>
      </w:pPr>
      <w:rPr>
        <w:rFonts w:ascii="Wingdings" w:hAnsi="Wingdings" w:hint="default"/>
      </w:rPr>
    </w:lvl>
  </w:abstractNum>
  <w:abstractNum w:abstractNumId="21" w15:restartNumberingAfterBreak="0">
    <w:nsid w:val="3F30CA95"/>
    <w:multiLevelType w:val="hybridMultilevel"/>
    <w:tmpl w:val="FFFFFFFF"/>
    <w:lvl w:ilvl="0" w:tplc="09A2FA8A">
      <w:start w:val="1"/>
      <w:numFmt w:val="bullet"/>
      <w:lvlText w:val=""/>
      <w:lvlJc w:val="left"/>
      <w:pPr>
        <w:ind w:left="720" w:hanging="360"/>
      </w:pPr>
      <w:rPr>
        <w:rFonts w:ascii="Symbol" w:hAnsi="Symbol" w:hint="default"/>
      </w:rPr>
    </w:lvl>
    <w:lvl w:ilvl="1" w:tplc="30ACA428">
      <w:start w:val="1"/>
      <w:numFmt w:val="bullet"/>
      <w:lvlText w:val="o"/>
      <w:lvlJc w:val="left"/>
      <w:pPr>
        <w:ind w:left="1440" w:hanging="360"/>
      </w:pPr>
      <w:rPr>
        <w:rFonts w:ascii="Courier New" w:hAnsi="Courier New" w:hint="default"/>
      </w:rPr>
    </w:lvl>
    <w:lvl w:ilvl="2" w:tplc="3708BA48">
      <w:start w:val="1"/>
      <w:numFmt w:val="bullet"/>
      <w:lvlText w:val=""/>
      <w:lvlJc w:val="left"/>
      <w:pPr>
        <w:ind w:left="2160" w:hanging="360"/>
      </w:pPr>
      <w:rPr>
        <w:rFonts w:ascii="Wingdings" w:hAnsi="Wingdings" w:hint="default"/>
      </w:rPr>
    </w:lvl>
    <w:lvl w:ilvl="3" w:tplc="F2B46846">
      <w:start w:val="1"/>
      <w:numFmt w:val="bullet"/>
      <w:lvlText w:val=""/>
      <w:lvlJc w:val="left"/>
      <w:pPr>
        <w:ind w:left="2880" w:hanging="360"/>
      </w:pPr>
      <w:rPr>
        <w:rFonts w:ascii="Symbol" w:hAnsi="Symbol" w:hint="default"/>
      </w:rPr>
    </w:lvl>
    <w:lvl w:ilvl="4" w:tplc="B92AF2F2">
      <w:start w:val="1"/>
      <w:numFmt w:val="bullet"/>
      <w:lvlText w:val="o"/>
      <w:lvlJc w:val="left"/>
      <w:pPr>
        <w:ind w:left="3600" w:hanging="360"/>
      </w:pPr>
      <w:rPr>
        <w:rFonts w:ascii="Courier New" w:hAnsi="Courier New" w:hint="default"/>
      </w:rPr>
    </w:lvl>
    <w:lvl w:ilvl="5" w:tplc="F3AE2304">
      <w:start w:val="1"/>
      <w:numFmt w:val="bullet"/>
      <w:lvlText w:val=""/>
      <w:lvlJc w:val="left"/>
      <w:pPr>
        <w:ind w:left="4320" w:hanging="360"/>
      </w:pPr>
      <w:rPr>
        <w:rFonts w:ascii="Wingdings" w:hAnsi="Wingdings" w:hint="default"/>
      </w:rPr>
    </w:lvl>
    <w:lvl w:ilvl="6" w:tplc="BEF2C190">
      <w:start w:val="1"/>
      <w:numFmt w:val="bullet"/>
      <w:lvlText w:val=""/>
      <w:lvlJc w:val="left"/>
      <w:pPr>
        <w:ind w:left="5040" w:hanging="360"/>
      </w:pPr>
      <w:rPr>
        <w:rFonts w:ascii="Symbol" w:hAnsi="Symbol" w:hint="default"/>
      </w:rPr>
    </w:lvl>
    <w:lvl w:ilvl="7" w:tplc="664E43A8">
      <w:start w:val="1"/>
      <w:numFmt w:val="bullet"/>
      <w:lvlText w:val="o"/>
      <w:lvlJc w:val="left"/>
      <w:pPr>
        <w:ind w:left="5760" w:hanging="360"/>
      </w:pPr>
      <w:rPr>
        <w:rFonts w:ascii="Courier New" w:hAnsi="Courier New" w:hint="default"/>
      </w:rPr>
    </w:lvl>
    <w:lvl w:ilvl="8" w:tplc="F0F6D622">
      <w:start w:val="1"/>
      <w:numFmt w:val="bullet"/>
      <w:lvlText w:val=""/>
      <w:lvlJc w:val="left"/>
      <w:pPr>
        <w:ind w:left="6480" w:hanging="360"/>
      </w:pPr>
      <w:rPr>
        <w:rFonts w:ascii="Wingdings" w:hAnsi="Wingdings" w:hint="default"/>
      </w:rPr>
    </w:lvl>
  </w:abstractNum>
  <w:abstractNum w:abstractNumId="22" w15:restartNumberingAfterBreak="0">
    <w:nsid w:val="417D605B"/>
    <w:multiLevelType w:val="hybridMultilevel"/>
    <w:tmpl w:val="FFFFFFFF"/>
    <w:styleLink w:val="LFO16"/>
    <w:lvl w:ilvl="0" w:tplc="FBF46D68">
      <w:start w:val="50"/>
      <w:numFmt w:val="lowerRoman"/>
      <w:lvlText w:val="l"/>
      <w:lvlJc w:val="right"/>
      <w:pPr>
        <w:ind w:left="720" w:hanging="360"/>
      </w:pPr>
    </w:lvl>
    <w:lvl w:ilvl="1" w:tplc="C6AE77F8">
      <w:start w:val="1"/>
      <w:numFmt w:val="lowerLetter"/>
      <w:lvlText w:val="%2."/>
      <w:lvlJc w:val="left"/>
      <w:pPr>
        <w:ind w:left="1440" w:hanging="360"/>
      </w:pPr>
    </w:lvl>
    <w:lvl w:ilvl="2" w:tplc="F354A6C0">
      <w:start w:val="1"/>
      <w:numFmt w:val="lowerRoman"/>
      <w:lvlText w:val="%3."/>
      <w:lvlJc w:val="right"/>
      <w:pPr>
        <w:ind w:left="2160" w:hanging="180"/>
      </w:pPr>
    </w:lvl>
    <w:lvl w:ilvl="3" w:tplc="9E386D64">
      <w:start w:val="1"/>
      <w:numFmt w:val="decimal"/>
      <w:lvlText w:val="%4."/>
      <w:lvlJc w:val="left"/>
      <w:pPr>
        <w:ind w:left="2880" w:hanging="360"/>
      </w:pPr>
    </w:lvl>
    <w:lvl w:ilvl="4" w:tplc="FC6A21BE">
      <w:start w:val="1"/>
      <w:numFmt w:val="lowerLetter"/>
      <w:lvlText w:val="%5."/>
      <w:lvlJc w:val="left"/>
      <w:pPr>
        <w:ind w:left="3600" w:hanging="360"/>
      </w:pPr>
    </w:lvl>
    <w:lvl w:ilvl="5" w:tplc="FD3A3B4C">
      <w:start w:val="1"/>
      <w:numFmt w:val="lowerRoman"/>
      <w:lvlText w:val="%6."/>
      <w:lvlJc w:val="right"/>
      <w:pPr>
        <w:ind w:left="4320" w:hanging="180"/>
      </w:pPr>
    </w:lvl>
    <w:lvl w:ilvl="6" w:tplc="3A3EA7D4">
      <w:start w:val="1"/>
      <w:numFmt w:val="decimal"/>
      <w:lvlText w:val="%7."/>
      <w:lvlJc w:val="left"/>
      <w:pPr>
        <w:ind w:left="5040" w:hanging="360"/>
      </w:pPr>
    </w:lvl>
    <w:lvl w:ilvl="7" w:tplc="E572C64E">
      <w:start w:val="1"/>
      <w:numFmt w:val="lowerLetter"/>
      <w:lvlText w:val="%8."/>
      <w:lvlJc w:val="left"/>
      <w:pPr>
        <w:ind w:left="5760" w:hanging="360"/>
      </w:pPr>
    </w:lvl>
    <w:lvl w:ilvl="8" w:tplc="37029098">
      <w:start w:val="1"/>
      <w:numFmt w:val="lowerRoman"/>
      <w:lvlText w:val="%9."/>
      <w:lvlJc w:val="right"/>
      <w:pPr>
        <w:ind w:left="6480" w:hanging="180"/>
      </w:pPr>
    </w:lvl>
  </w:abstractNum>
  <w:abstractNum w:abstractNumId="23" w15:restartNumberingAfterBreak="0">
    <w:nsid w:val="4ACD6D7F"/>
    <w:multiLevelType w:val="multilevel"/>
    <w:tmpl w:val="B712BC56"/>
    <w:styleLink w:val="lettered"/>
    <w:lvl w:ilvl="0">
      <w:start w:val="1"/>
      <w:numFmt w:val="none"/>
      <w:pStyle w:val="BodyText"/>
      <w:lvlText w:val=""/>
      <w:lvlJc w:val="left"/>
      <w:pPr>
        <w:ind w:left="0" w:firstLine="0"/>
      </w:pPr>
      <w:rPr>
        <w:rFonts w:hint="default"/>
      </w:rPr>
    </w:lvl>
    <w:lvl w:ilvl="1">
      <w:start w:val="1"/>
      <w:numFmt w:val="lowerLetter"/>
      <w:pStyle w:val="letteredlist"/>
      <w:lvlText w:val="%2)"/>
      <w:lvlJc w:val="left"/>
      <w:pPr>
        <w:ind w:left="397" w:hanging="397"/>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4D8E679C"/>
    <w:multiLevelType w:val="hybridMultilevel"/>
    <w:tmpl w:val="FFFFFFFF"/>
    <w:styleLink w:val="LHPBullets"/>
    <w:lvl w:ilvl="0" w:tplc="2A8A688E">
      <w:start w:val="50"/>
      <w:numFmt w:val="lowerRoman"/>
      <w:lvlText w:val="l"/>
      <w:lvlJc w:val="right"/>
      <w:pPr>
        <w:ind w:left="720" w:hanging="360"/>
      </w:pPr>
    </w:lvl>
    <w:lvl w:ilvl="1" w:tplc="82A8F4BE">
      <w:start w:val="1"/>
      <w:numFmt w:val="lowerLetter"/>
      <w:lvlText w:val="%2."/>
      <w:lvlJc w:val="left"/>
      <w:pPr>
        <w:ind w:left="1440" w:hanging="360"/>
      </w:pPr>
    </w:lvl>
    <w:lvl w:ilvl="2" w:tplc="9DE27CAE">
      <w:start w:val="1"/>
      <w:numFmt w:val="lowerRoman"/>
      <w:lvlText w:val="%3."/>
      <w:lvlJc w:val="right"/>
      <w:pPr>
        <w:ind w:left="2160" w:hanging="180"/>
      </w:pPr>
    </w:lvl>
    <w:lvl w:ilvl="3" w:tplc="AEC43B72">
      <w:start w:val="1"/>
      <w:numFmt w:val="decimal"/>
      <w:lvlText w:val="%4."/>
      <w:lvlJc w:val="left"/>
      <w:pPr>
        <w:ind w:left="2880" w:hanging="360"/>
      </w:pPr>
    </w:lvl>
    <w:lvl w:ilvl="4" w:tplc="D2F80092">
      <w:start w:val="1"/>
      <w:numFmt w:val="lowerLetter"/>
      <w:lvlText w:val="%5."/>
      <w:lvlJc w:val="left"/>
      <w:pPr>
        <w:ind w:left="3600" w:hanging="360"/>
      </w:pPr>
    </w:lvl>
    <w:lvl w:ilvl="5" w:tplc="5E707D60">
      <w:start w:val="1"/>
      <w:numFmt w:val="lowerRoman"/>
      <w:lvlText w:val="%6."/>
      <w:lvlJc w:val="right"/>
      <w:pPr>
        <w:ind w:left="4320" w:hanging="180"/>
      </w:pPr>
    </w:lvl>
    <w:lvl w:ilvl="6" w:tplc="2D1298FE">
      <w:start w:val="1"/>
      <w:numFmt w:val="decimal"/>
      <w:lvlText w:val="%7."/>
      <w:lvlJc w:val="left"/>
      <w:pPr>
        <w:ind w:left="5040" w:hanging="360"/>
      </w:pPr>
    </w:lvl>
    <w:lvl w:ilvl="7" w:tplc="D9181478">
      <w:start w:val="1"/>
      <w:numFmt w:val="lowerLetter"/>
      <w:lvlText w:val="%8."/>
      <w:lvlJc w:val="left"/>
      <w:pPr>
        <w:ind w:left="5760" w:hanging="360"/>
      </w:pPr>
    </w:lvl>
    <w:lvl w:ilvl="8" w:tplc="AB18506E">
      <w:start w:val="1"/>
      <w:numFmt w:val="lowerRoman"/>
      <w:lvlText w:val="%9."/>
      <w:lvlJc w:val="right"/>
      <w:pPr>
        <w:ind w:left="6480" w:hanging="180"/>
      </w:pPr>
    </w:lvl>
  </w:abstractNum>
  <w:abstractNum w:abstractNumId="25" w15:restartNumberingAfterBreak="0">
    <w:nsid w:val="51E15EBF"/>
    <w:multiLevelType w:val="multilevel"/>
    <w:tmpl w:val="1B3C2D98"/>
    <w:lvl w:ilvl="0">
      <w:numFmt w:val="bullet"/>
      <w:pStyle w:val="Subbullet"/>
      <w:lvlText w:val=""/>
      <w:lvlJc w:val="left"/>
      <w:pPr>
        <w:tabs>
          <w:tab w:val="num" w:pos="720"/>
        </w:tabs>
        <w:ind w:left="720" w:hanging="360"/>
      </w:pPr>
      <w:rPr>
        <w:rFonts w:ascii="Symbol" w:hAnsi="Symbol" w:hint="default"/>
      </w:rPr>
    </w:lvl>
    <w:lvl w:ilvl="1" w:tentative="1">
      <w:numFmt w:val="bullet"/>
      <w:lvlText w:val="o"/>
      <w:lvlJc w:val="left"/>
      <w:pPr>
        <w:tabs>
          <w:tab w:val="num" w:pos="1440"/>
        </w:tabs>
        <w:ind w:left="1440" w:hanging="360"/>
      </w:pPr>
      <w:rPr>
        <w:rFonts w:ascii="Courier New" w:hAnsi="Courier New" w:hint="default"/>
      </w:rPr>
    </w:lvl>
    <w:lvl w:ilvl="2">
      <w:numFmt w:val="bullet"/>
      <w:lvlText w:val=""/>
      <w:lvlJc w:val="left"/>
      <w:pPr>
        <w:tabs>
          <w:tab w:val="num" w:pos="2160"/>
        </w:tabs>
        <w:ind w:left="2160" w:hanging="360"/>
      </w:pPr>
      <w:rPr>
        <w:rFonts w:ascii="Wingdings" w:hAnsi="Wingdings" w:hint="default"/>
      </w:rPr>
    </w:lvl>
    <w:lvl w:ilvl="3" w:tentative="1">
      <w:numFmt w:val="bullet"/>
      <w:lvlText w:val=""/>
      <w:lvlJc w:val="left"/>
      <w:pPr>
        <w:tabs>
          <w:tab w:val="num" w:pos="2880"/>
        </w:tabs>
        <w:ind w:left="2880" w:hanging="360"/>
      </w:pPr>
      <w:rPr>
        <w:rFonts w:ascii="Symbol" w:hAnsi="Symbol" w:hint="default"/>
      </w:rPr>
    </w:lvl>
    <w:lvl w:ilvl="4" w:tentative="1">
      <w:numFmt w:val="bullet"/>
      <w:lvlText w:val="o"/>
      <w:lvlJc w:val="left"/>
      <w:pPr>
        <w:tabs>
          <w:tab w:val="num" w:pos="3600"/>
        </w:tabs>
        <w:ind w:left="3600" w:hanging="360"/>
      </w:pPr>
      <w:rPr>
        <w:rFonts w:ascii="Courier New" w:hAnsi="Courier New" w:hint="default"/>
      </w:rPr>
    </w:lvl>
    <w:lvl w:ilvl="5" w:tentative="1">
      <w:numFmt w:val="bullet"/>
      <w:lvlText w:val=""/>
      <w:lvlJc w:val="left"/>
      <w:pPr>
        <w:tabs>
          <w:tab w:val="num" w:pos="4320"/>
        </w:tabs>
        <w:ind w:left="4320" w:hanging="360"/>
      </w:pPr>
      <w:rPr>
        <w:rFonts w:ascii="Wingdings" w:hAnsi="Wingdings" w:hint="default"/>
      </w:rPr>
    </w:lvl>
    <w:lvl w:ilvl="6" w:tentative="1">
      <w:numFmt w:val="bullet"/>
      <w:lvlText w:val=""/>
      <w:lvlJc w:val="left"/>
      <w:pPr>
        <w:tabs>
          <w:tab w:val="num" w:pos="5040"/>
        </w:tabs>
        <w:ind w:left="5040" w:hanging="360"/>
      </w:pPr>
      <w:rPr>
        <w:rFonts w:ascii="Symbol" w:hAnsi="Symbol" w:hint="default"/>
      </w:rPr>
    </w:lvl>
    <w:lvl w:ilvl="7" w:tentative="1">
      <w:numFmt w:val="bullet"/>
      <w:lvlText w:val="o"/>
      <w:lvlJc w:val="left"/>
      <w:pPr>
        <w:tabs>
          <w:tab w:val="num" w:pos="5760"/>
        </w:tabs>
        <w:ind w:left="5760" w:hanging="360"/>
      </w:pPr>
      <w:rPr>
        <w:rFonts w:ascii="Courier New" w:hAnsi="Courier New" w:hint="default"/>
      </w:rPr>
    </w:lvl>
    <w:lvl w:ilvl="8" w:tentative="1">
      <w:numFmt w:val="bullet"/>
      <w:lvlText w:val=""/>
      <w:lvlJc w:val="left"/>
      <w:pPr>
        <w:tabs>
          <w:tab w:val="num" w:pos="6480"/>
        </w:tabs>
        <w:ind w:left="6480" w:hanging="360"/>
      </w:pPr>
      <w:rPr>
        <w:rFonts w:ascii="Wingdings" w:hAnsi="Wingdings" w:hint="default"/>
      </w:rPr>
    </w:lvl>
  </w:abstractNum>
  <w:abstractNum w:abstractNumId="26" w15:restartNumberingAfterBreak="0">
    <w:nsid w:val="5FE01E79"/>
    <w:multiLevelType w:val="hybridMultilevel"/>
    <w:tmpl w:val="9BCED486"/>
    <w:lvl w:ilvl="0" w:tplc="7638C588">
      <w:start w:val="1"/>
      <w:numFmt w:val="bullet"/>
      <w:lvlText w:val="·"/>
      <w:lvlJc w:val="left"/>
      <w:pPr>
        <w:ind w:left="720" w:hanging="360"/>
      </w:pPr>
      <w:rPr>
        <w:rFonts w:ascii="Symbol" w:hAnsi="Symbol" w:hint="default"/>
      </w:rPr>
    </w:lvl>
    <w:lvl w:ilvl="1" w:tplc="69E6024C">
      <w:start w:val="1"/>
      <w:numFmt w:val="bullet"/>
      <w:lvlText w:val="o"/>
      <w:lvlJc w:val="left"/>
      <w:pPr>
        <w:ind w:left="1440" w:hanging="360"/>
      </w:pPr>
      <w:rPr>
        <w:rFonts w:ascii="Courier New" w:hAnsi="Courier New" w:hint="default"/>
      </w:rPr>
    </w:lvl>
    <w:lvl w:ilvl="2" w:tplc="9D601214">
      <w:start w:val="1"/>
      <w:numFmt w:val="bullet"/>
      <w:lvlText w:val=""/>
      <w:lvlJc w:val="left"/>
      <w:pPr>
        <w:ind w:left="2160" w:hanging="360"/>
      </w:pPr>
      <w:rPr>
        <w:rFonts w:ascii="Wingdings" w:hAnsi="Wingdings" w:hint="default"/>
      </w:rPr>
    </w:lvl>
    <w:lvl w:ilvl="3" w:tplc="E072F6D2">
      <w:start w:val="1"/>
      <w:numFmt w:val="bullet"/>
      <w:lvlText w:val=""/>
      <w:lvlJc w:val="left"/>
      <w:pPr>
        <w:ind w:left="2880" w:hanging="360"/>
      </w:pPr>
      <w:rPr>
        <w:rFonts w:ascii="Symbol" w:hAnsi="Symbol" w:hint="default"/>
      </w:rPr>
    </w:lvl>
    <w:lvl w:ilvl="4" w:tplc="7A102988">
      <w:start w:val="1"/>
      <w:numFmt w:val="bullet"/>
      <w:lvlText w:val="o"/>
      <w:lvlJc w:val="left"/>
      <w:pPr>
        <w:ind w:left="3600" w:hanging="360"/>
      </w:pPr>
      <w:rPr>
        <w:rFonts w:ascii="Courier New" w:hAnsi="Courier New" w:hint="default"/>
      </w:rPr>
    </w:lvl>
    <w:lvl w:ilvl="5" w:tplc="B60673B8">
      <w:start w:val="1"/>
      <w:numFmt w:val="bullet"/>
      <w:lvlText w:val=""/>
      <w:lvlJc w:val="left"/>
      <w:pPr>
        <w:ind w:left="4320" w:hanging="360"/>
      </w:pPr>
      <w:rPr>
        <w:rFonts w:ascii="Wingdings" w:hAnsi="Wingdings" w:hint="default"/>
      </w:rPr>
    </w:lvl>
    <w:lvl w:ilvl="6" w:tplc="C3343372">
      <w:start w:val="1"/>
      <w:numFmt w:val="bullet"/>
      <w:lvlText w:val=""/>
      <w:lvlJc w:val="left"/>
      <w:pPr>
        <w:ind w:left="5040" w:hanging="360"/>
      </w:pPr>
      <w:rPr>
        <w:rFonts w:ascii="Symbol" w:hAnsi="Symbol" w:hint="default"/>
      </w:rPr>
    </w:lvl>
    <w:lvl w:ilvl="7" w:tplc="2CAC4BB6">
      <w:start w:val="1"/>
      <w:numFmt w:val="bullet"/>
      <w:lvlText w:val="o"/>
      <w:lvlJc w:val="left"/>
      <w:pPr>
        <w:ind w:left="5760" w:hanging="360"/>
      </w:pPr>
      <w:rPr>
        <w:rFonts w:ascii="Courier New" w:hAnsi="Courier New" w:hint="default"/>
      </w:rPr>
    </w:lvl>
    <w:lvl w:ilvl="8" w:tplc="D884CB7A">
      <w:start w:val="1"/>
      <w:numFmt w:val="bullet"/>
      <w:lvlText w:val=""/>
      <w:lvlJc w:val="left"/>
      <w:pPr>
        <w:ind w:left="6480" w:hanging="360"/>
      </w:pPr>
      <w:rPr>
        <w:rFonts w:ascii="Wingdings" w:hAnsi="Wingdings" w:hint="default"/>
      </w:rPr>
    </w:lvl>
  </w:abstractNum>
  <w:abstractNum w:abstractNumId="27" w15:restartNumberingAfterBreak="0">
    <w:nsid w:val="60514979"/>
    <w:multiLevelType w:val="hybridMultilevel"/>
    <w:tmpl w:val="C4163D94"/>
    <w:lvl w:ilvl="0" w:tplc="08090001">
      <w:start w:val="1"/>
      <w:numFmt w:val="bullet"/>
      <w:lvlText w:val=""/>
      <w:lvlJc w:val="left"/>
      <w:pPr>
        <w:ind w:left="360" w:hanging="360"/>
      </w:pPr>
      <w:rPr>
        <w:rFonts w:ascii="Symbol" w:hAnsi="Symbo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29F4C29"/>
    <w:multiLevelType w:val="hybridMultilevel"/>
    <w:tmpl w:val="22568CE4"/>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66DA0BEF"/>
    <w:multiLevelType w:val="hybridMultilevel"/>
    <w:tmpl w:val="1E10C732"/>
    <w:lvl w:ilvl="0" w:tplc="C756B974">
      <w:start w:val="1"/>
      <w:numFmt w:val="lowerLetter"/>
      <w:lvlText w:val="(%1)"/>
      <w:lvlJc w:val="left"/>
      <w:pPr>
        <w:ind w:left="828" w:hanging="360"/>
      </w:pPr>
      <w:rPr>
        <w:rFonts w:ascii="Arial" w:eastAsia="Arial" w:hAnsi="Arial" w:cs="Arial" w:hint="default"/>
        <w:b w:val="0"/>
        <w:bCs w:val="0"/>
        <w:i w:val="0"/>
        <w:iCs w:val="0"/>
        <w:color w:val="006FC0"/>
        <w:spacing w:val="-1"/>
        <w:w w:val="100"/>
        <w:sz w:val="22"/>
        <w:szCs w:val="22"/>
        <w:lang w:val="en-US" w:eastAsia="en-US" w:bidi="ar-SA"/>
      </w:rPr>
    </w:lvl>
    <w:lvl w:ilvl="1" w:tplc="FFFFFFFF" w:tentative="1">
      <w:start w:val="1"/>
      <w:numFmt w:val="bullet"/>
      <w:lvlText w:val="o"/>
      <w:lvlJc w:val="left"/>
      <w:pPr>
        <w:ind w:left="1548" w:hanging="360"/>
      </w:pPr>
      <w:rPr>
        <w:rFonts w:ascii="Courier New" w:hAnsi="Courier New" w:cs="Courier New" w:hint="default"/>
      </w:rPr>
    </w:lvl>
    <w:lvl w:ilvl="2" w:tplc="FFFFFFFF" w:tentative="1">
      <w:start w:val="1"/>
      <w:numFmt w:val="bullet"/>
      <w:lvlText w:val=""/>
      <w:lvlJc w:val="left"/>
      <w:pPr>
        <w:ind w:left="2268" w:hanging="360"/>
      </w:pPr>
      <w:rPr>
        <w:rFonts w:ascii="Wingdings" w:hAnsi="Wingdings" w:hint="default"/>
      </w:rPr>
    </w:lvl>
    <w:lvl w:ilvl="3" w:tplc="FFFFFFFF" w:tentative="1">
      <w:start w:val="1"/>
      <w:numFmt w:val="bullet"/>
      <w:lvlText w:val=""/>
      <w:lvlJc w:val="left"/>
      <w:pPr>
        <w:ind w:left="2988" w:hanging="360"/>
      </w:pPr>
      <w:rPr>
        <w:rFonts w:ascii="Symbol" w:hAnsi="Symbol" w:hint="default"/>
      </w:rPr>
    </w:lvl>
    <w:lvl w:ilvl="4" w:tplc="FFFFFFFF" w:tentative="1">
      <w:start w:val="1"/>
      <w:numFmt w:val="bullet"/>
      <w:lvlText w:val="o"/>
      <w:lvlJc w:val="left"/>
      <w:pPr>
        <w:ind w:left="3708" w:hanging="360"/>
      </w:pPr>
      <w:rPr>
        <w:rFonts w:ascii="Courier New" w:hAnsi="Courier New" w:cs="Courier New" w:hint="default"/>
      </w:rPr>
    </w:lvl>
    <w:lvl w:ilvl="5" w:tplc="FFFFFFFF" w:tentative="1">
      <w:start w:val="1"/>
      <w:numFmt w:val="bullet"/>
      <w:lvlText w:val=""/>
      <w:lvlJc w:val="left"/>
      <w:pPr>
        <w:ind w:left="4428" w:hanging="360"/>
      </w:pPr>
      <w:rPr>
        <w:rFonts w:ascii="Wingdings" w:hAnsi="Wingdings" w:hint="default"/>
      </w:rPr>
    </w:lvl>
    <w:lvl w:ilvl="6" w:tplc="FFFFFFFF" w:tentative="1">
      <w:start w:val="1"/>
      <w:numFmt w:val="bullet"/>
      <w:lvlText w:val=""/>
      <w:lvlJc w:val="left"/>
      <w:pPr>
        <w:ind w:left="5148" w:hanging="360"/>
      </w:pPr>
      <w:rPr>
        <w:rFonts w:ascii="Symbol" w:hAnsi="Symbol" w:hint="default"/>
      </w:rPr>
    </w:lvl>
    <w:lvl w:ilvl="7" w:tplc="FFFFFFFF" w:tentative="1">
      <w:start w:val="1"/>
      <w:numFmt w:val="bullet"/>
      <w:lvlText w:val="o"/>
      <w:lvlJc w:val="left"/>
      <w:pPr>
        <w:ind w:left="5868" w:hanging="360"/>
      </w:pPr>
      <w:rPr>
        <w:rFonts w:ascii="Courier New" w:hAnsi="Courier New" w:cs="Courier New" w:hint="default"/>
      </w:rPr>
    </w:lvl>
    <w:lvl w:ilvl="8" w:tplc="FFFFFFFF" w:tentative="1">
      <w:start w:val="1"/>
      <w:numFmt w:val="bullet"/>
      <w:lvlText w:val=""/>
      <w:lvlJc w:val="left"/>
      <w:pPr>
        <w:ind w:left="6588" w:hanging="360"/>
      </w:pPr>
      <w:rPr>
        <w:rFonts w:ascii="Wingdings" w:hAnsi="Wingdings" w:hint="default"/>
      </w:rPr>
    </w:lvl>
  </w:abstractNum>
  <w:abstractNum w:abstractNumId="30" w15:restartNumberingAfterBreak="0">
    <w:nsid w:val="67D51B1F"/>
    <w:multiLevelType w:val="hybridMultilevel"/>
    <w:tmpl w:val="1AE2CBC2"/>
    <w:lvl w:ilvl="0" w:tplc="5C049220">
      <w:start w:val="1"/>
      <w:numFmt w:val="bullet"/>
      <w:lvlText w:val=""/>
      <w:lvlJc w:val="left"/>
      <w:pPr>
        <w:tabs>
          <w:tab w:val="num" w:pos="851"/>
        </w:tabs>
        <w:ind w:left="851" w:hanging="284"/>
      </w:pPr>
      <w:rPr>
        <w:rFonts w:ascii="Wingdings" w:hAnsi="Wingdings" w:hint="default"/>
        <w:color w:val="5F97A9"/>
      </w:rPr>
    </w:lvl>
    <w:lvl w:ilvl="1" w:tplc="40FECC38">
      <w:start w:val="1"/>
      <w:numFmt w:val="bullet"/>
      <w:pStyle w:val="2Bullet"/>
      <w:lvlText w:val=""/>
      <w:lvlJc w:val="left"/>
      <w:pPr>
        <w:tabs>
          <w:tab w:val="num" w:pos="851"/>
        </w:tabs>
        <w:ind w:left="851" w:hanging="284"/>
      </w:pPr>
      <w:rPr>
        <w:rFonts w:ascii="Wingdings" w:hAnsi="Wingdings" w:hint="default"/>
        <w:color w:val="5F97A9"/>
      </w:rPr>
    </w:lvl>
    <w:lvl w:ilvl="2" w:tplc="0958C5E8">
      <w:start w:val="1"/>
      <w:numFmt w:val="bullet"/>
      <w:lvlText w:val=""/>
      <w:lvlJc w:val="left"/>
      <w:pPr>
        <w:tabs>
          <w:tab w:val="num" w:pos="2444"/>
        </w:tabs>
        <w:ind w:left="2444" w:hanging="360"/>
      </w:pPr>
      <w:rPr>
        <w:rFonts w:ascii="Wingdings" w:hAnsi="Wingdings" w:hint="default"/>
      </w:rPr>
    </w:lvl>
    <w:lvl w:ilvl="3" w:tplc="DF9880C8" w:tentative="1">
      <w:start w:val="1"/>
      <w:numFmt w:val="bullet"/>
      <w:lvlText w:val=""/>
      <w:lvlJc w:val="left"/>
      <w:pPr>
        <w:tabs>
          <w:tab w:val="num" w:pos="3164"/>
        </w:tabs>
        <w:ind w:left="3164" w:hanging="360"/>
      </w:pPr>
      <w:rPr>
        <w:rFonts w:ascii="Symbol" w:hAnsi="Symbol" w:hint="default"/>
      </w:rPr>
    </w:lvl>
    <w:lvl w:ilvl="4" w:tplc="DC5C6224" w:tentative="1">
      <w:start w:val="1"/>
      <w:numFmt w:val="bullet"/>
      <w:lvlText w:val="o"/>
      <w:lvlJc w:val="left"/>
      <w:pPr>
        <w:tabs>
          <w:tab w:val="num" w:pos="3884"/>
        </w:tabs>
        <w:ind w:left="3884" w:hanging="360"/>
      </w:pPr>
      <w:rPr>
        <w:rFonts w:ascii="Courier New" w:hAnsi="Courier New" w:hint="default"/>
      </w:rPr>
    </w:lvl>
    <w:lvl w:ilvl="5" w:tplc="99A85384" w:tentative="1">
      <w:start w:val="1"/>
      <w:numFmt w:val="bullet"/>
      <w:lvlText w:val=""/>
      <w:lvlJc w:val="left"/>
      <w:pPr>
        <w:tabs>
          <w:tab w:val="num" w:pos="4604"/>
        </w:tabs>
        <w:ind w:left="4604" w:hanging="360"/>
      </w:pPr>
      <w:rPr>
        <w:rFonts w:ascii="Wingdings" w:hAnsi="Wingdings" w:hint="default"/>
      </w:rPr>
    </w:lvl>
    <w:lvl w:ilvl="6" w:tplc="742C3E18" w:tentative="1">
      <w:start w:val="1"/>
      <w:numFmt w:val="bullet"/>
      <w:lvlText w:val=""/>
      <w:lvlJc w:val="left"/>
      <w:pPr>
        <w:tabs>
          <w:tab w:val="num" w:pos="5324"/>
        </w:tabs>
        <w:ind w:left="5324" w:hanging="360"/>
      </w:pPr>
      <w:rPr>
        <w:rFonts w:ascii="Symbol" w:hAnsi="Symbol" w:hint="default"/>
      </w:rPr>
    </w:lvl>
    <w:lvl w:ilvl="7" w:tplc="A168C04A" w:tentative="1">
      <w:start w:val="1"/>
      <w:numFmt w:val="bullet"/>
      <w:lvlText w:val="o"/>
      <w:lvlJc w:val="left"/>
      <w:pPr>
        <w:tabs>
          <w:tab w:val="num" w:pos="6044"/>
        </w:tabs>
        <w:ind w:left="6044" w:hanging="360"/>
      </w:pPr>
      <w:rPr>
        <w:rFonts w:ascii="Courier New" w:hAnsi="Courier New" w:hint="default"/>
      </w:rPr>
    </w:lvl>
    <w:lvl w:ilvl="8" w:tplc="594AC15A" w:tentative="1">
      <w:start w:val="1"/>
      <w:numFmt w:val="bullet"/>
      <w:lvlText w:val=""/>
      <w:lvlJc w:val="left"/>
      <w:pPr>
        <w:tabs>
          <w:tab w:val="num" w:pos="6764"/>
        </w:tabs>
        <w:ind w:left="6764" w:hanging="360"/>
      </w:pPr>
      <w:rPr>
        <w:rFonts w:ascii="Wingdings" w:hAnsi="Wingdings" w:hint="default"/>
      </w:rPr>
    </w:lvl>
  </w:abstractNum>
  <w:abstractNum w:abstractNumId="31" w15:restartNumberingAfterBreak="0">
    <w:nsid w:val="68C223E7"/>
    <w:multiLevelType w:val="hybridMultilevel"/>
    <w:tmpl w:val="DBB2F75A"/>
    <w:styleLink w:val="LFO25"/>
    <w:lvl w:ilvl="0" w:tplc="68B68730">
      <w:start w:val="1"/>
      <w:numFmt w:val="bullet"/>
      <w:lvlText w:val=""/>
      <w:lvlJc w:val="left"/>
      <w:pPr>
        <w:ind w:left="360" w:hanging="360"/>
      </w:pPr>
      <w:rPr>
        <w:rFonts w:ascii="Symbol" w:hAnsi="Symbol" w:hint="default"/>
      </w:rPr>
    </w:lvl>
    <w:lvl w:ilvl="1" w:tplc="E216E88C" w:tentative="1">
      <w:start w:val="1"/>
      <w:numFmt w:val="bullet"/>
      <w:lvlText w:val="o"/>
      <w:lvlJc w:val="left"/>
      <w:pPr>
        <w:ind w:left="1080" w:hanging="360"/>
      </w:pPr>
      <w:rPr>
        <w:rFonts w:ascii="Courier New" w:hAnsi="Courier New" w:hint="default"/>
      </w:rPr>
    </w:lvl>
    <w:lvl w:ilvl="2" w:tplc="E2F6A18C" w:tentative="1">
      <w:start w:val="1"/>
      <w:numFmt w:val="bullet"/>
      <w:lvlText w:val=""/>
      <w:lvlJc w:val="left"/>
      <w:pPr>
        <w:ind w:left="1800" w:hanging="360"/>
      </w:pPr>
      <w:rPr>
        <w:rFonts w:ascii="Wingdings" w:hAnsi="Wingdings" w:hint="default"/>
      </w:rPr>
    </w:lvl>
    <w:lvl w:ilvl="3" w:tplc="E376AE24" w:tentative="1">
      <w:start w:val="1"/>
      <w:numFmt w:val="bullet"/>
      <w:lvlText w:val=""/>
      <w:lvlJc w:val="left"/>
      <w:pPr>
        <w:ind w:left="2520" w:hanging="360"/>
      </w:pPr>
      <w:rPr>
        <w:rFonts w:ascii="Symbol" w:hAnsi="Symbol" w:hint="default"/>
      </w:rPr>
    </w:lvl>
    <w:lvl w:ilvl="4" w:tplc="2948F77E" w:tentative="1">
      <w:start w:val="1"/>
      <w:numFmt w:val="bullet"/>
      <w:lvlText w:val="o"/>
      <w:lvlJc w:val="left"/>
      <w:pPr>
        <w:ind w:left="3240" w:hanging="360"/>
      </w:pPr>
      <w:rPr>
        <w:rFonts w:ascii="Courier New" w:hAnsi="Courier New" w:hint="default"/>
      </w:rPr>
    </w:lvl>
    <w:lvl w:ilvl="5" w:tplc="51B85580">
      <w:start w:val="1"/>
      <w:numFmt w:val="bullet"/>
      <w:lvlText w:val=""/>
      <w:lvlJc w:val="left"/>
      <w:pPr>
        <w:ind w:left="3960" w:hanging="360"/>
      </w:pPr>
      <w:rPr>
        <w:rFonts w:ascii="Wingdings" w:hAnsi="Wingdings" w:hint="default"/>
      </w:rPr>
    </w:lvl>
    <w:lvl w:ilvl="6" w:tplc="8A2098D0" w:tentative="1">
      <w:start w:val="1"/>
      <w:numFmt w:val="bullet"/>
      <w:lvlText w:val=""/>
      <w:lvlJc w:val="left"/>
      <w:pPr>
        <w:ind w:left="4680" w:hanging="360"/>
      </w:pPr>
      <w:rPr>
        <w:rFonts w:ascii="Symbol" w:hAnsi="Symbol" w:hint="default"/>
      </w:rPr>
    </w:lvl>
    <w:lvl w:ilvl="7" w:tplc="CB727DAC" w:tentative="1">
      <w:start w:val="1"/>
      <w:numFmt w:val="bullet"/>
      <w:lvlText w:val="o"/>
      <w:lvlJc w:val="left"/>
      <w:pPr>
        <w:ind w:left="5400" w:hanging="360"/>
      </w:pPr>
      <w:rPr>
        <w:rFonts w:ascii="Courier New" w:hAnsi="Courier New" w:hint="default"/>
      </w:rPr>
    </w:lvl>
    <w:lvl w:ilvl="8" w:tplc="BA5E1A72" w:tentative="1">
      <w:start w:val="1"/>
      <w:numFmt w:val="bullet"/>
      <w:lvlText w:val=""/>
      <w:lvlJc w:val="left"/>
      <w:pPr>
        <w:ind w:left="6120" w:hanging="360"/>
      </w:pPr>
      <w:rPr>
        <w:rFonts w:ascii="Wingdings" w:hAnsi="Wingdings" w:hint="default"/>
      </w:rPr>
    </w:lvl>
  </w:abstractNum>
  <w:abstractNum w:abstractNumId="32" w15:restartNumberingAfterBreak="0">
    <w:nsid w:val="691A621B"/>
    <w:multiLevelType w:val="hybridMultilevel"/>
    <w:tmpl w:val="61B6E0BC"/>
    <w:styleLink w:val="LFO18"/>
    <w:lvl w:ilvl="0" w:tplc="787805F2">
      <w:start w:val="1"/>
      <w:numFmt w:val="bullet"/>
      <w:lvlText w:val=""/>
      <w:lvlJc w:val="left"/>
      <w:pPr>
        <w:ind w:left="1080" w:hanging="360"/>
      </w:pPr>
      <w:rPr>
        <w:rFonts w:ascii="Symbol" w:hAnsi="Symbol" w:hint="default"/>
      </w:rPr>
    </w:lvl>
    <w:lvl w:ilvl="1" w:tplc="7C58A230" w:tentative="1">
      <w:start w:val="1"/>
      <w:numFmt w:val="bullet"/>
      <w:lvlText w:val="o"/>
      <w:lvlJc w:val="left"/>
      <w:pPr>
        <w:ind w:left="1800" w:hanging="360"/>
      </w:pPr>
      <w:rPr>
        <w:rFonts w:ascii="Courier New" w:hAnsi="Courier New" w:hint="default"/>
      </w:rPr>
    </w:lvl>
    <w:lvl w:ilvl="2" w:tplc="9F340C24" w:tentative="1">
      <w:start w:val="1"/>
      <w:numFmt w:val="bullet"/>
      <w:lvlText w:val=""/>
      <w:lvlJc w:val="left"/>
      <w:pPr>
        <w:ind w:left="2520" w:hanging="360"/>
      </w:pPr>
      <w:rPr>
        <w:rFonts w:ascii="Wingdings" w:hAnsi="Wingdings" w:hint="default"/>
      </w:rPr>
    </w:lvl>
    <w:lvl w:ilvl="3" w:tplc="4658185E">
      <w:start w:val="1"/>
      <w:numFmt w:val="bullet"/>
      <w:lvlText w:val=""/>
      <w:lvlJc w:val="left"/>
      <w:pPr>
        <w:ind w:left="3240" w:hanging="360"/>
      </w:pPr>
      <w:rPr>
        <w:rFonts w:ascii="Symbol" w:hAnsi="Symbol" w:hint="default"/>
      </w:rPr>
    </w:lvl>
    <w:lvl w:ilvl="4" w:tplc="1C7C33E0" w:tentative="1">
      <w:start w:val="1"/>
      <w:numFmt w:val="bullet"/>
      <w:lvlText w:val="o"/>
      <w:lvlJc w:val="left"/>
      <w:pPr>
        <w:ind w:left="3960" w:hanging="360"/>
      </w:pPr>
      <w:rPr>
        <w:rFonts w:ascii="Courier New" w:hAnsi="Courier New" w:hint="default"/>
      </w:rPr>
    </w:lvl>
    <w:lvl w:ilvl="5" w:tplc="84E26FF2" w:tentative="1">
      <w:start w:val="1"/>
      <w:numFmt w:val="bullet"/>
      <w:lvlText w:val=""/>
      <w:lvlJc w:val="left"/>
      <w:pPr>
        <w:ind w:left="4680" w:hanging="360"/>
      </w:pPr>
      <w:rPr>
        <w:rFonts w:ascii="Wingdings" w:hAnsi="Wingdings" w:hint="default"/>
      </w:rPr>
    </w:lvl>
    <w:lvl w:ilvl="6" w:tplc="028ADAFC" w:tentative="1">
      <w:start w:val="1"/>
      <w:numFmt w:val="bullet"/>
      <w:lvlText w:val=""/>
      <w:lvlJc w:val="left"/>
      <w:pPr>
        <w:ind w:left="5400" w:hanging="360"/>
      </w:pPr>
      <w:rPr>
        <w:rFonts w:ascii="Symbol" w:hAnsi="Symbol" w:hint="default"/>
      </w:rPr>
    </w:lvl>
    <w:lvl w:ilvl="7" w:tplc="9B0E08FC" w:tentative="1">
      <w:start w:val="1"/>
      <w:numFmt w:val="bullet"/>
      <w:lvlText w:val="o"/>
      <w:lvlJc w:val="left"/>
      <w:pPr>
        <w:ind w:left="6120" w:hanging="360"/>
      </w:pPr>
      <w:rPr>
        <w:rFonts w:ascii="Courier New" w:hAnsi="Courier New" w:hint="default"/>
      </w:rPr>
    </w:lvl>
    <w:lvl w:ilvl="8" w:tplc="F99EDC44" w:tentative="1">
      <w:start w:val="1"/>
      <w:numFmt w:val="bullet"/>
      <w:lvlText w:val=""/>
      <w:lvlJc w:val="left"/>
      <w:pPr>
        <w:ind w:left="6840" w:hanging="360"/>
      </w:pPr>
      <w:rPr>
        <w:rFonts w:ascii="Wingdings" w:hAnsi="Wingdings" w:hint="default"/>
      </w:rPr>
    </w:lvl>
  </w:abstractNum>
  <w:abstractNum w:abstractNumId="33" w15:restartNumberingAfterBreak="0">
    <w:nsid w:val="694E130C"/>
    <w:multiLevelType w:val="multilevel"/>
    <w:tmpl w:val="CF20B87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rPr>
        <w:rFonts w:hint="default"/>
      </w:rPr>
    </w:lvl>
    <w:lvl w:ilvl="4">
      <w:start w:val="1"/>
      <w:numFmt w:val="decimal"/>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34" w15:restartNumberingAfterBreak="0">
    <w:nsid w:val="69AF3734"/>
    <w:multiLevelType w:val="hybridMultilevel"/>
    <w:tmpl w:val="1B3C2D98"/>
    <w:styleLink w:val="LFO15"/>
    <w:lvl w:ilvl="0" w:tplc="B8D0B5C4">
      <w:start w:val="1"/>
      <w:numFmt w:val="bullet"/>
      <w:lvlText w:val=""/>
      <w:lvlJc w:val="left"/>
      <w:pPr>
        <w:tabs>
          <w:tab w:val="num" w:pos="720"/>
        </w:tabs>
        <w:ind w:left="720" w:hanging="360"/>
      </w:pPr>
      <w:rPr>
        <w:rFonts w:ascii="Wingdings" w:hAnsi="Wingdings" w:hint="default"/>
      </w:rPr>
    </w:lvl>
    <w:lvl w:ilvl="1" w:tplc="BE5E9266">
      <w:start w:val="1"/>
      <w:numFmt w:val="bullet"/>
      <w:lvlText w:val="•"/>
      <w:lvlJc w:val="left"/>
      <w:pPr>
        <w:tabs>
          <w:tab w:val="num" w:pos="1440"/>
        </w:tabs>
        <w:ind w:left="1440" w:hanging="360"/>
      </w:pPr>
      <w:rPr>
        <w:rFonts w:ascii="Arial" w:hAnsi="Arial" w:hint="default"/>
      </w:rPr>
    </w:lvl>
    <w:lvl w:ilvl="2" w:tplc="FF120386">
      <w:start w:val="1"/>
      <w:numFmt w:val="bullet"/>
      <w:lvlText w:val="•"/>
      <w:lvlJc w:val="left"/>
      <w:pPr>
        <w:tabs>
          <w:tab w:val="num" w:pos="2160"/>
        </w:tabs>
        <w:ind w:left="2160" w:hanging="360"/>
      </w:pPr>
      <w:rPr>
        <w:rFonts w:ascii="Arial" w:hAnsi="Arial" w:hint="default"/>
      </w:rPr>
    </w:lvl>
    <w:lvl w:ilvl="3" w:tplc="A2809F30" w:tentative="1">
      <w:start w:val="1"/>
      <w:numFmt w:val="bullet"/>
      <w:lvlText w:val="•"/>
      <w:lvlJc w:val="left"/>
      <w:pPr>
        <w:tabs>
          <w:tab w:val="num" w:pos="2880"/>
        </w:tabs>
        <w:ind w:left="2880" w:hanging="360"/>
      </w:pPr>
      <w:rPr>
        <w:rFonts w:ascii="Arial" w:hAnsi="Arial" w:hint="default"/>
      </w:rPr>
    </w:lvl>
    <w:lvl w:ilvl="4" w:tplc="8DE02F80" w:tentative="1">
      <w:start w:val="1"/>
      <w:numFmt w:val="bullet"/>
      <w:lvlText w:val="•"/>
      <w:lvlJc w:val="left"/>
      <w:pPr>
        <w:tabs>
          <w:tab w:val="num" w:pos="3600"/>
        </w:tabs>
        <w:ind w:left="3600" w:hanging="360"/>
      </w:pPr>
      <w:rPr>
        <w:rFonts w:ascii="Arial" w:hAnsi="Arial" w:hint="default"/>
      </w:rPr>
    </w:lvl>
    <w:lvl w:ilvl="5" w:tplc="BC9C1FBC" w:tentative="1">
      <w:start w:val="1"/>
      <w:numFmt w:val="bullet"/>
      <w:lvlText w:val="•"/>
      <w:lvlJc w:val="left"/>
      <w:pPr>
        <w:tabs>
          <w:tab w:val="num" w:pos="4320"/>
        </w:tabs>
        <w:ind w:left="4320" w:hanging="360"/>
      </w:pPr>
      <w:rPr>
        <w:rFonts w:ascii="Arial" w:hAnsi="Arial" w:hint="default"/>
      </w:rPr>
    </w:lvl>
    <w:lvl w:ilvl="6" w:tplc="D73E25B8" w:tentative="1">
      <w:start w:val="1"/>
      <w:numFmt w:val="bullet"/>
      <w:lvlText w:val="•"/>
      <w:lvlJc w:val="left"/>
      <w:pPr>
        <w:tabs>
          <w:tab w:val="num" w:pos="5040"/>
        </w:tabs>
        <w:ind w:left="5040" w:hanging="360"/>
      </w:pPr>
      <w:rPr>
        <w:rFonts w:ascii="Arial" w:hAnsi="Arial" w:hint="default"/>
      </w:rPr>
    </w:lvl>
    <w:lvl w:ilvl="7" w:tplc="62B2C9B8" w:tentative="1">
      <w:start w:val="1"/>
      <w:numFmt w:val="bullet"/>
      <w:lvlText w:val="•"/>
      <w:lvlJc w:val="left"/>
      <w:pPr>
        <w:tabs>
          <w:tab w:val="num" w:pos="5760"/>
        </w:tabs>
        <w:ind w:left="5760" w:hanging="360"/>
      </w:pPr>
      <w:rPr>
        <w:rFonts w:ascii="Arial" w:hAnsi="Arial" w:hint="default"/>
      </w:rPr>
    </w:lvl>
    <w:lvl w:ilvl="8" w:tplc="47EEF3A8"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6B0C791C"/>
    <w:multiLevelType w:val="hybridMultilevel"/>
    <w:tmpl w:val="00E49A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BE801E9"/>
    <w:multiLevelType w:val="hybridMultilevel"/>
    <w:tmpl w:val="C9C654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3D87848"/>
    <w:multiLevelType w:val="hybridMultilevel"/>
    <w:tmpl w:val="E752F4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79D0EDD"/>
    <w:multiLevelType w:val="multilevel"/>
    <w:tmpl w:val="7826CA84"/>
    <w:styleLink w:val="LHPbullets0"/>
    <w:lvl w:ilvl="0">
      <w:start w:val="1"/>
      <w:numFmt w:val="bullet"/>
      <w:pStyle w:val="bullets1"/>
      <w:lvlText w:val=""/>
      <w:lvlJc w:val="left"/>
      <w:pPr>
        <w:ind w:left="284" w:hanging="284"/>
      </w:pPr>
      <w:rPr>
        <w:rFonts w:ascii="Symbol" w:hAnsi="Symbol" w:hint="default"/>
        <w:b w:val="0"/>
        <w:i w:val="0"/>
        <w:caps w:val="0"/>
        <w:strike w:val="0"/>
        <w:dstrike w:val="0"/>
        <w:vanish w:val="0"/>
        <w:color w:val="356A91" w:themeColor="accent1"/>
        <w:sz w:val="22"/>
        <w:u w:val="none"/>
        <w:vertAlign w:val="baseline"/>
      </w:rPr>
    </w:lvl>
    <w:lvl w:ilvl="1">
      <w:start w:val="1"/>
      <w:numFmt w:val="bullet"/>
      <w:pStyle w:val="bullets2"/>
      <w:lvlText w:val=""/>
      <w:lvlJc w:val="left"/>
      <w:pPr>
        <w:ind w:left="567" w:hanging="283"/>
      </w:pPr>
      <w:rPr>
        <w:rFonts w:ascii="Wingdings" w:hAnsi="Wingdings" w:hint="default"/>
        <w:caps w:val="0"/>
        <w:strike w:val="0"/>
        <w:dstrike w:val="0"/>
        <w:vanish w:val="0"/>
        <w:color w:val="356A91" w:themeColor="accent1"/>
        <w:sz w:val="20"/>
        <w:u w:val="none"/>
        <w:vertAlign w:val="baseline"/>
      </w:rPr>
    </w:lvl>
    <w:lvl w:ilvl="2">
      <w:start w:val="1"/>
      <w:numFmt w:val="bullet"/>
      <w:pStyle w:val="bullets3"/>
      <w:lvlText w:val="»"/>
      <w:lvlJc w:val="left"/>
      <w:pPr>
        <w:ind w:left="851" w:hanging="284"/>
      </w:pPr>
      <w:rPr>
        <w:rFonts w:ascii="Arial" w:hAnsi="Arial" w:hint="default"/>
        <w:b w:val="0"/>
        <w:i w:val="0"/>
        <w:caps w:val="0"/>
        <w:strike w:val="0"/>
        <w:dstrike w:val="0"/>
        <w:vanish w:val="0"/>
        <w:color w:val="356A91" w:themeColor="accent1"/>
        <w:sz w:val="18"/>
        <w:u w:val="none"/>
        <w:vertAlign w:val="baseline"/>
      </w:rPr>
    </w:lvl>
    <w:lvl w:ilvl="3">
      <w:start w:val="1"/>
      <w:numFmt w:val="bullet"/>
      <w:lvlText w:val=""/>
      <w:lvlJc w:val="left"/>
      <w:pPr>
        <w:ind w:left="3448" w:hanging="360"/>
      </w:pPr>
      <w:rPr>
        <w:rFonts w:ascii="Symbol" w:hAnsi="Symbol" w:hint="default"/>
      </w:rPr>
    </w:lvl>
    <w:lvl w:ilvl="4">
      <w:start w:val="1"/>
      <w:numFmt w:val="bullet"/>
      <w:lvlText w:val="o"/>
      <w:lvlJc w:val="left"/>
      <w:pPr>
        <w:ind w:left="4168" w:hanging="360"/>
      </w:pPr>
      <w:rPr>
        <w:rFonts w:ascii="Courier New" w:hAnsi="Courier New" w:hint="default"/>
      </w:rPr>
    </w:lvl>
    <w:lvl w:ilvl="5">
      <w:start w:val="1"/>
      <w:numFmt w:val="bullet"/>
      <w:lvlText w:val=""/>
      <w:lvlJc w:val="left"/>
      <w:pPr>
        <w:ind w:left="4888" w:hanging="360"/>
      </w:pPr>
      <w:rPr>
        <w:rFonts w:ascii="Wingdings" w:hAnsi="Wingdings" w:hint="default"/>
      </w:rPr>
    </w:lvl>
    <w:lvl w:ilvl="6">
      <w:start w:val="1"/>
      <w:numFmt w:val="bullet"/>
      <w:lvlText w:val=""/>
      <w:lvlJc w:val="left"/>
      <w:pPr>
        <w:ind w:left="5608" w:hanging="360"/>
      </w:pPr>
      <w:rPr>
        <w:rFonts w:ascii="Symbol" w:hAnsi="Symbol" w:hint="default"/>
      </w:rPr>
    </w:lvl>
    <w:lvl w:ilvl="7">
      <w:start w:val="1"/>
      <w:numFmt w:val="bullet"/>
      <w:lvlText w:val="o"/>
      <w:lvlJc w:val="left"/>
      <w:pPr>
        <w:ind w:left="6328" w:hanging="360"/>
      </w:pPr>
      <w:rPr>
        <w:rFonts w:ascii="Courier New" w:hAnsi="Courier New" w:hint="default"/>
      </w:rPr>
    </w:lvl>
    <w:lvl w:ilvl="8">
      <w:start w:val="1"/>
      <w:numFmt w:val="bullet"/>
      <w:lvlText w:val=""/>
      <w:lvlJc w:val="left"/>
      <w:pPr>
        <w:ind w:left="7048" w:hanging="360"/>
      </w:pPr>
      <w:rPr>
        <w:rFonts w:ascii="Wingdings" w:hAnsi="Wingdings" w:hint="default"/>
      </w:rPr>
    </w:lvl>
  </w:abstractNum>
  <w:abstractNum w:abstractNumId="39" w15:restartNumberingAfterBreak="0">
    <w:nsid w:val="78F362BB"/>
    <w:multiLevelType w:val="hybridMultilevel"/>
    <w:tmpl w:val="9D7AEAE0"/>
    <w:lvl w:ilvl="0" w:tplc="C346E628">
      <w:start w:val="1"/>
      <w:numFmt w:val="bullet"/>
      <w:pStyle w:val="tablebullets"/>
      <w:lvlText w:val=""/>
      <w:lvlJc w:val="left"/>
      <w:pPr>
        <w:ind w:left="720" w:hanging="360"/>
      </w:pPr>
      <w:rPr>
        <w:rFonts w:ascii="Symbol" w:hAnsi="Symbol" w:hint="default"/>
      </w:rPr>
    </w:lvl>
    <w:lvl w:ilvl="1" w:tplc="223849F2" w:tentative="1">
      <w:start w:val="1"/>
      <w:numFmt w:val="bullet"/>
      <w:lvlText w:val="o"/>
      <w:lvlJc w:val="left"/>
      <w:pPr>
        <w:ind w:left="1440" w:hanging="360"/>
      </w:pPr>
      <w:rPr>
        <w:rFonts w:ascii="Courier New" w:hAnsi="Courier New" w:hint="default"/>
      </w:rPr>
    </w:lvl>
    <w:lvl w:ilvl="2" w:tplc="1CB6C710" w:tentative="1">
      <w:start w:val="1"/>
      <w:numFmt w:val="bullet"/>
      <w:lvlText w:val=""/>
      <w:lvlJc w:val="left"/>
      <w:pPr>
        <w:ind w:left="2160" w:hanging="360"/>
      </w:pPr>
      <w:rPr>
        <w:rFonts w:ascii="Wingdings" w:hAnsi="Wingdings" w:hint="default"/>
      </w:rPr>
    </w:lvl>
    <w:lvl w:ilvl="3" w:tplc="233293B6" w:tentative="1">
      <w:start w:val="1"/>
      <w:numFmt w:val="bullet"/>
      <w:lvlText w:val=""/>
      <w:lvlJc w:val="left"/>
      <w:pPr>
        <w:ind w:left="2880" w:hanging="360"/>
      </w:pPr>
      <w:rPr>
        <w:rFonts w:ascii="Symbol" w:hAnsi="Symbol" w:hint="default"/>
      </w:rPr>
    </w:lvl>
    <w:lvl w:ilvl="4" w:tplc="33A0E36E" w:tentative="1">
      <w:start w:val="1"/>
      <w:numFmt w:val="bullet"/>
      <w:lvlText w:val="o"/>
      <w:lvlJc w:val="left"/>
      <w:pPr>
        <w:ind w:left="3600" w:hanging="360"/>
      </w:pPr>
      <w:rPr>
        <w:rFonts w:ascii="Courier New" w:hAnsi="Courier New" w:hint="default"/>
      </w:rPr>
    </w:lvl>
    <w:lvl w:ilvl="5" w:tplc="9FF050BC" w:tentative="1">
      <w:start w:val="1"/>
      <w:numFmt w:val="bullet"/>
      <w:lvlText w:val=""/>
      <w:lvlJc w:val="left"/>
      <w:pPr>
        <w:ind w:left="4320" w:hanging="360"/>
      </w:pPr>
      <w:rPr>
        <w:rFonts w:ascii="Wingdings" w:hAnsi="Wingdings" w:hint="default"/>
      </w:rPr>
    </w:lvl>
    <w:lvl w:ilvl="6" w:tplc="8B42F0A2" w:tentative="1">
      <w:start w:val="1"/>
      <w:numFmt w:val="bullet"/>
      <w:lvlText w:val=""/>
      <w:lvlJc w:val="left"/>
      <w:pPr>
        <w:ind w:left="5040" w:hanging="360"/>
      </w:pPr>
      <w:rPr>
        <w:rFonts w:ascii="Symbol" w:hAnsi="Symbol" w:hint="default"/>
      </w:rPr>
    </w:lvl>
    <w:lvl w:ilvl="7" w:tplc="2B9EBEA2" w:tentative="1">
      <w:start w:val="1"/>
      <w:numFmt w:val="bullet"/>
      <w:lvlText w:val="o"/>
      <w:lvlJc w:val="left"/>
      <w:pPr>
        <w:ind w:left="5760" w:hanging="360"/>
      </w:pPr>
      <w:rPr>
        <w:rFonts w:ascii="Courier New" w:hAnsi="Courier New" w:hint="default"/>
      </w:rPr>
    </w:lvl>
    <w:lvl w:ilvl="8" w:tplc="FB9EA536" w:tentative="1">
      <w:start w:val="1"/>
      <w:numFmt w:val="bullet"/>
      <w:lvlText w:val=""/>
      <w:lvlJc w:val="left"/>
      <w:pPr>
        <w:ind w:left="6480" w:hanging="360"/>
      </w:pPr>
      <w:rPr>
        <w:rFonts w:ascii="Wingdings" w:hAnsi="Wingdings" w:hint="default"/>
      </w:rPr>
    </w:lvl>
  </w:abstractNum>
  <w:abstractNum w:abstractNumId="40" w15:restartNumberingAfterBreak="0">
    <w:nsid w:val="7C471F09"/>
    <w:multiLevelType w:val="hybridMultilevel"/>
    <w:tmpl w:val="FFFFFFFF"/>
    <w:styleLink w:val="LlantrisatHP"/>
    <w:lvl w:ilvl="0" w:tplc="908273DC">
      <w:start w:val="1"/>
      <w:numFmt w:val="bullet"/>
      <w:lvlText w:val=""/>
      <w:lvlJc w:val="left"/>
      <w:pPr>
        <w:ind w:left="720" w:hanging="360"/>
      </w:pPr>
      <w:rPr>
        <w:rFonts w:ascii="Symbol" w:hAnsi="Symbol" w:hint="default"/>
      </w:rPr>
    </w:lvl>
    <w:lvl w:ilvl="1" w:tplc="574EA2DA">
      <w:start w:val="1"/>
      <w:numFmt w:val="bullet"/>
      <w:lvlText w:val="o"/>
      <w:lvlJc w:val="left"/>
      <w:pPr>
        <w:ind w:left="1440" w:hanging="360"/>
      </w:pPr>
      <w:rPr>
        <w:rFonts w:ascii="Courier New" w:hAnsi="Courier New" w:hint="default"/>
      </w:rPr>
    </w:lvl>
    <w:lvl w:ilvl="2" w:tplc="0EECD214">
      <w:start w:val="1"/>
      <w:numFmt w:val="bullet"/>
      <w:lvlText w:val=""/>
      <w:lvlJc w:val="left"/>
      <w:pPr>
        <w:ind w:left="2160" w:hanging="360"/>
      </w:pPr>
      <w:rPr>
        <w:rFonts w:ascii="Wingdings" w:hAnsi="Wingdings" w:hint="default"/>
      </w:rPr>
    </w:lvl>
    <w:lvl w:ilvl="3" w:tplc="FE38692C">
      <w:start w:val="1"/>
      <w:numFmt w:val="bullet"/>
      <w:lvlText w:val=""/>
      <w:lvlJc w:val="left"/>
      <w:pPr>
        <w:ind w:left="2880" w:hanging="360"/>
      </w:pPr>
      <w:rPr>
        <w:rFonts w:ascii="Symbol" w:hAnsi="Symbol" w:hint="default"/>
      </w:rPr>
    </w:lvl>
    <w:lvl w:ilvl="4" w:tplc="56E63FEC">
      <w:start w:val="1"/>
      <w:numFmt w:val="bullet"/>
      <w:lvlText w:val="o"/>
      <w:lvlJc w:val="left"/>
      <w:pPr>
        <w:ind w:left="3600" w:hanging="360"/>
      </w:pPr>
      <w:rPr>
        <w:rFonts w:ascii="Courier New" w:hAnsi="Courier New" w:hint="default"/>
      </w:rPr>
    </w:lvl>
    <w:lvl w:ilvl="5" w:tplc="BBF4304C">
      <w:start w:val="1"/>
      <w:numFmt w:val="bullet"/>
      <w:lvlText w:val=""/>
      <w:lvlJc w:val="left"/>
      <w:pPr>
        <w:ind w:left="4320" w:hanging="360"/>
      </w:pPr>
      <w:rPr>
        <w:rFonts w:ascii="Wingdings" w:hAnsi="Wingdings" w:hint="default"/>
      </w:rPr>
    </w:lvl>
    <w:lvl w:ilvl="6" w:tplc="1B002496">
      <w:start w:val="1"/>
      <w:numFmt w:val="bullet"/>
      <w:lvlText w:val=""/>
      <w:lvlJc w:val="left"/>
      <w:pPr>
        <w:ind w:left="5040" w:hanging="360"/>
      </w:pPr>
      <w:rPr>
        <w:rFonts w:ascii="Symbol" w:hAnsi="Symbol" w:hint="default"/>
      </w:rPr>
    </w:lvl>
    <w:lvl w:ilvl="7" w:tplc="D9D66978">
      <w:start w:val="1"/>
      <w:numFmt w:val="bullet"/>
      <w:lvlText w:val="o"/>
      <w:lvlJc w:val="left"/>
      <w:pPr>
        <w:ind w:left="5760" w:hanging="360"/>
      </w:pPr>
      <w:rPr>
        <w:rFonts w:ascii="Courier New" w:hAnsi="Courier New" w:hint="default"/>
      </w:rPr>
    </w:lvl>
    <w:lvl w:ilvl="8" w:tplc="89285CA4">
      <w:start w:val="1"/>
      <w:numFmt w:val="bullet"/>
      <w:lvlText w:val=""/>
      <w:lvlJc w:val="left"/>
      <w:pPr>
        <w:ind w:left="6480" w:hanging="360"/>
      </w:pPr>
      <w:rPr>
        <w:rFonts w:ascii="Wingdings" w:hAnsi="Wingdings" w:hint="default"/>
      </w:rPr>
    </w:lvl>
  </w:abstractNum>
  <w:abstractNum w:abstractNumId="41" w15:restartNumberingAfterBreak="0">
    <w:nsid w:val="7C547D62"/>
    <w:multiLevelType w:val="hybridMultilevel"/>
    <w:tmpl w:val="5FC2F528"/>
    <w:styleLink w:val="WWOutlineListStyle3"/>
    <w:lvl w:ilvl="0" w:tplc="7562C442">
      <w:start w:val="1"/>
      <w:numFmt w:val="bullet"/>
      <w:lvlText w:val=""/>
      <w:lvlJc w:val="left"/>
      <w:pPr>
        <w:ind w:left="1146" w:hanging="360"/>
      </w:pPr>
      <w:rPr>
        <w:rFonts w:ascii="Symbol" w:hAnsi="Symbol" w:hint="default"/>
      </w:rPr>
    </w:lvl>
    <w:lvl w:ilvl="1" w:tplc="9698D66C">
      <w:start w:val="1"/>
      <w:numFmt w:val="bullet"/>
      <w:lvlText w:val="o"/>
      <w:lvlJc w:val="left"/>
      <w:pPr>
        <w:ind w:left="1866" w:hanging="360"/>
      </w:pPr>
      <w:rPr>
        <w:rFonts w:ascii="Courier New" w:hAnsi="Courier New" w:hint="default"/>
      </w:rPr>
    </w:lvl>
    <w:lvl w:ilvl="2" w:tplc="96664580">
      <w:start w:val="1"/>
      <w:numFmt w:val="bullet"/>
      <w:lvlText w:val=""/>
      <w:lvlJc w:val="left"/>
      <w:pPr>
        <w:ind w:left="2586" w:hanging="360"/>
      </w:pPr>
      <w:rPr>
        <w:rFonts w:ascii="Wingdings" w:hAnsi="Wingdings" w:hint="default"/>
      </w:rPr>
    </w:lvl>
    <w:lvl w:ilvl="3" w:tplc="BAC0CE56">
      <w:start w:val="1"/>
      <w:numFmt w:val="bullet"/>
      <w:lvlText w:val=""/>
      <w:lvlJc w:val="left"/>
      <w:pPr>
        <w:ind w:left="3306" w:hanging="360"/>
      </w:pPr>
      <w:rPr>
        <w:rFonts w:ascii="Symbol" w:hAnsi="Symbol" w:hint="default"/>
      </w:rPr>
    </w:lvl>
    <w:lvl w:ilvl="4" w:tplc="629EC2E0">
      <w:start w:val="1"/>
      <w:numFmt w:val="bullet"/>
      <w:lvlText w:val="o"/>
      <w:lvlJc w:val="left"/>
      <w:pPr>
        <w:ind w:left="4026" w:hanging="360"/>
      </w:pPr>
      <w:rPr>
        <w:rFonts w:ascii="Courier New" w:hAnsi="Courier New" w:hint="default"/>
      </w:rPr>
    </w:lvl>
    <w:lvl w:ilvl="5" w:tplc="83EED9B6">
      <w:start w:val="1"/>
      <w:numFmt w:val="bullet"/>
      <w:lvlText w:val=""/>
      <w:lvlJc w:val="left"/>
      <w:pPr>
        <w:ind w:left="4746" w:hanging="360"/>
      </w:pPr>
      <w:rPr>
        <w:rFonts w:ascii="Wingdings" w:hAnsi="Wingdings" w:hint="default"/>
      </w:rPr>
    </w:lvl>
    <w:lvl w:ilvl="6" w:tplc="D4AED1BE">
      <w:start w:val="1"/>
      <w:numFmt w:val="bullet"/>
      <w:lvlText w:val=""/>
      <w:lvlJc w:val="left"/>
      <w:pPr>
        <w:ind w:left="5466" w:hanging="360"/>
      </w:pPr>
      <w:rPr>
        <w:rFonts w:ascii="Symbol" w:hAnsi="Symbol" w:hint="default"/>
      </w:rPr>
    </w:lvl>
    <w:lvl w:ilvl="7" w:tplc="1D6E7CD6">
      <w:start w:val="1"/>
      <w:numFmt w:val="bullet"/>
      <w:lvlText w:val="o"/>
      <w:lvlJc w:val="left"/>
      <w:pPr>
        <w:ind w:left="6186" w:hanging="360"/>
      </w:pPr>
      <w:rPr>
        <w:rFonts w:ascii="Courier New" w:hAnsi="Courier New" w:hint="default"/>
      </w:rPr>
    </w:lvl>
    <w:lvl w:ilvl="8" w:tplc="B8507A42">
      <w:start w:val="1"/>
      <w:numFmt w:val="bullet"/>
      <w:lvlText w:val=""/>
      <w:lvlJc w:val="left"/>
      <w:pPr>
        <w:ind w:left="6906" w:hanging="360"/>
      </w:pPr>
      <w:rPr>
        <w:rFonts w:ascii="Wingdings" w:hAnsi="Wingdings" w:hint="default"/>
      </w:rPr>
    </w:lvl>
  </w:abstractNum>
  <w:abstractNum w:abstractNumId="42" w15:restartNumberingAfterBreak="0">
    <w:nsid w:val="7E7351FF"/>
    <w:multiLevelType w:val="hybridMultilevel"/>
    <w:tmpl w:val="E850DFB2"/>
    <w:styleLink w:val="HUEVbullets"/>
    <w:lvl w:ilvl="0" w:tplc="0250F2A2">
      <w:start w:val="1"/>
      <w:numFmt w:val="bullet"/>
      <w:lvlText w:val=""/>
      <w:lvlJc w:val="left"/>
      <w:pPr>
        <w:ind w:left="360" w:hanging="360"/>
      </w:pPr>
      <w:rPr>
        <w:rFonts w:ascii="Symbol" w:hAnsi="Symbol" w:hint="default"/>
      </w:rPr>
    </w:lvl>
    <w:lvl w:ilvl="1" w:tplc="C07E137A" w:tentative="1">
      <w:start w:val="1"/>
      <w:numFmt w:val="bullet"/>
      <w:lvlText w:val="o"/>
      <w:lvlJc w:val="left"/>
      <w:pPr>
        <w:ind w:left="1080" w:hanging="360"/>
      </w:pPr>
      <w:rPr>
        <w:rFonts w:ascii="Courier New" w:hAnsi="Courier New" w:hint="default"/>
      </w:rPr>
    </w:lvl>
    <w:lvl w:ilvl="2" w:tplc="739E17D6" w:tentative="1">
      <w:start w:val="1"/>
      <w:numFmt w:val="bullet"/>
      <w:lvlText w:val=""/>
      <w:lvlJc w:val="left"/>
      <w:pPr>
        <w:ind w:left="1800" w:hanging="360"/>
      </w:pPr>
      <w:rPr>
        <w:rFonts w:ascii="Wingdings" w:hAnsi="Wingdings" w:hint="default"/>
      </w:rPr>
    </w:lvl>
    <w:lvl w:ilvl="3" w:tplc="C1207532" w:tentative="1">
      <w:start w:val="1"/>
      <w:numFmt w:val="bullet"/>
      <w:lvlText w:val=""/>
      <w:lvlJc w:val="left"/>
      <w:pPr>
        <w:ind w:left="2520" w:hanging="360"/>
      </w:pPr>
      <w:rPr>
        <w:rFonts w:ascii="Symbol" w:hAnsi="Symbol" w:hint="default"/>
      </w:rPr>
    </w:lvl>
    <w:lvl w:ilvl="4" w:tplc="754EBC48" w:tentative="1">
      <w:start w:val="1"/>
      <w:numFmt w:val="bullet"/>
      <w:lvlText w:val="o"/>
      <w:lvlJc w:val="left"/>
      <w:pPr>
        <w:ind w:left="3240" w:hanging="360"/>
      </w:pPr>
      <w:rPr>
        <w:rFonts w:ascii="Courier New" w:hAnsi="Courier New" w:hint="default"/>
      </w:rPr>
    </w:lvl>
    <w:lvl w:ilvl="5" w:tplc="C6A8C80E" w:tentative="1">
      <w:start w:val="1"/>
      <w:numFmt w:val="bullet"/>
      <w:lvlText w:val=""/>
      <w:lvlJc w:val="left"/>
      <w:pPr>
        <w:ind w:left="3960" w:hanging="360"/>
      </w:pPr>
      <w:rPr>
        <w:rFonts w:ascii="Wingdings" w:hAnsi="Wingdings" w:hint="default"/>
      </w:rPr>
    </w:lvl>
    <w:lvl w:ilvl="6" w:tplc="6220DD6E" w:tentative="1">
      <w:start w:val="1"/>
      <w:numFmt w:val="bullet"/>
      <w:lvlText w:val=""/>
      <w:lvlJc w:val="left"/>
      <w:pPr>
        <w:ind w:left="4680" w:hanging="360"/>
      </w:pPr>
      <w:rPr>
        <w:rFonts w:ascii="Symbol" w:hAnsi="Symbol" w:hint="default"/>
      </w:rPr>
    </w:lvl>
    <w:lvl w:ilvl="7" w:tplc="4E5ED1AC" w:tentative="1">
      <w:start w:val="1"/>
      <w:numFmt w:val="bullet"/>
      <w:lvlText w:val="o"/>
      <w:lvlJc w:val="left"/>
      <w:pPr>
        <w:ind w:left="5400" w:hanging="360"/>
      </w:pPr>
      <w:rPr>
        <w:rFonts w:ascii="Courier New" w:hAnsi="Courier New" w:hint="default"/>
      </w:rPr>
    </w:lvl>
    <w:lvl w:ilvl="8" w:tplc="53BA5DEE" w:tentative="1">
      <w:start w:val="1"/>
      <w:numFmt w:val="bullet"/>
      <w:lvlText w:val=""/>
      <w:lvlJc w:val="left"/>
      <w:pPr>
        <w:ind w:left="6120" w:hanging="360"/>
      </w:pPr>
      <w:rPr>
        <w:rFonts w:ascii="Wingdings" w:hAnsi="Wingdings" w:hint="default"/>
      </w:rPr>
    </w:lvl>
  </w:abstractNum>
  <w:abstractNum w:abstractNumId="43" w15:restartNumberingAfterBreak="0">
    <w:nsid w:val="7ED2220B"/>
    <w:multiLevelType w:val="hybridMultilevel"/>
    <w:tmpl w:val="00FE66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3"/>
  </w:num>
  <w:num w:numId="2">
    <w:abstractNumId w:val="17"/>
  </w:num>
  <w:num w:numId="3">
    <w:abstractNumId w:val="0"/>
  </w:num>
  <w:num w:numId="4">
    <w:abstractNumId w:val="39"/>
  </w:num>
  <w:num w:numId="5">
    <w:abstractNumId w:val="11"/>
  </w:num>
  <w:num w:numId="6">
    <w:abstractNumId w:val="30"/>
  </w:num>
  <w:num w:numId="7">
    <w:abstractNumId w:val="2"/>
  </w:num>
  <w:num w:numId="8">
    <w:abstractNumId w:val="16"/>
  </w:num>
  <w:num w:numId="9">
    <w:abstractNumId w:val="31"/>
  </w:num>
  <w:num w:numId="10">
    <w:abstractNumId w:val="41"/>
  </w:num>
  <w:num w:numId="11">
    <w:abstractNumId w:val="34"/>
  </w:num>
  <w:num w:numId="12">
    <w:abstractNumId w:val="32"/>
  </w:num>
  <w:num w:numId="13">
    <w:abstractNumId w:val="9"/>
  </w:num>
  <w:num w:numId="14">
    <w:abstractNumId w:val="42"/>
  </w:num>
  <w:num w:numId="15">
    <w:abstractNumId w:val="13"/>
  </w:num>
  <w:num w:numId="16">
    <w:abstractNumId w:val="40"/>
  </w:num>
  <w:num w:numId="17">
    <w:abstractNumId w:val="3"/>
  </w:num>
  <w:num w:numId="18">
    <w:abstractNumId w:val="25"/>
  </w:num>
  <w:num w:numId="19">
    <w:abstractNumId w:val="22"/>
  </w:num>
  <w:num w:numId="20">
    <w:abstractNumId w:val="24"/>
  </w:num>
  <w:num w:numId="21">
    <w:abstractNumId w:val="38"/>
  </w:num>
  <w:num w:numId="22">
    <w:abstractNumId w:val="15"/>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 w:numId="25">
    <w:abstractNumId w:val="14"/>
  </w:num>
  <w:num w:numId="26">
    <w:abstractNumId w:val="29"/>
  </w:num>
  <w:num w:numId="27">
    <w:abstractNumId w:val="4"/>
  </w:num>
  <w:num w:numId="28">
    <w:abstractNumId w:val="23"/>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num>
  <w:num w:numId="31">
    <w:abstractNumId w:val="7"/>
  </w:num>
  <w:num w:numId="32">
    <w:abstractNumId w:val="38"/>
    <w:lvlOverride w:ilvl="0">
      <w:lvl w:ilvl="0">
        <w:start w:val="1"/>
        <w:numFmt w:val="bullet"/>
        <w:pStyle w:val="bullets1"/>
        <w:lvlText w:val=""/>
        <w:lvlJc w:val="left"/>
        <w:pPr>
          <w:ind w:left="284" w:hanging="284"/>
        </w:pPr>
        <w:rPr>
          <w:rFonts w:ascii="Symbol" w:hAnsi="Symbol" w:hint="default"/>
          <w:b w:val="0"/>
          <w:i w:val="0"/>
          <w:caps w:val="0"/>
          <w:strike w:val="0"/>
          <w:dstrike w:val="0"/>
          <w:vanish w:val="0"/>
          <w:webHidden w:val="0"/>
          <w:color w:val="auto"/>
          <w:sz w:val="22"/>
          <w:u w:val="none"/>
          <w:effect w:val="none"/>
          <w:vertAlign w:val="baseline"/>
          <w:specVanish w:val="0"/>
        </w:rPr>
      </w:lvl>
    </w:lvlOverride>
  </w:num>
  <w:num w:numId="33">
    <w:abstractNumId w:val="5"/>
  </w:num>
  <w:num w:numId="34">
    <w:abstractNumId w:val="28"/>
  </w:num>
  <w:num w:numId="35">
    <w:abstractNumId w:val="8"/>
  </w:num>
  <w:num w:numId="36">
    <w:abstractNumId w:val="21"/>
  </w:num>
  <w:num w:numId="37">
    <w:abstractNumId w:val="26"/>
  </w:num>
  <w:num w:numId="38">
    <w:abstractNumId w:val="1"/>
  </w:num>
  <w:num w:numId="39">
    <w:abstractNumId w:val="20"/>
  </w:num>
  <w:num w:numId="40">
    <w:abstractNumId w:val="19"/>
  </w:num>
  <w:num w:numId="41">
    <w:abstractNumId w:val="37"/>
  </w:num>
  <w:num w:numId="42">
    <w:abstractNumId w:val="27"/>
  </w:num>
  <w:num w:numId="43">
    <w:abstractNumId w:val="36"/>
  </w:num>
  <w:num w:numId="44">
    <w:abstractNumId w:val="18"/>
  </w:num>
  <w:num w:numId="45">
    <w:abstractNumId w:val="43"/>
  </w:num>
  <w:num w:numId="46">
    <w:abstractNumId w:val="35"/>
  </w:num>
  <w:num w:numId="47">
    <w:abstractNumId w:val="12"/>
  </w:num>
  <w:num w:numId="4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7229"/>
    <w:rsid w:val="00000142"/>
    <w:rsid w:val="00000298"/>
    <w:rsid w:val="00000454"/>
    <w:rsid w:val="000005A4"/>
    <w:rsid w:val="000009C7"/>
    <w:rsid w:val="00000ABD"/>
    <w:rsid w:val="00000CE5"/>
    <w:rsid w:val="00000DA4"/>
    <w:rsid w:val="000011C7"/>
    <w:rsid w:val="000012C8"/>
    <w:rsid w:val="00001353"/>
    <w:rsid w:val="00001639"/>
    <w:rsid w:val="0000173F"/>
    <w:rsid w:val="0000193E"/>
    <w:rsid w:val="000019AC"/>
    <w:rsid w:val="00001A10"/>
    <w:rsid w:val="00002057"/>
    <w:rsid w:val="00002132"/>
    <w:rsid w:val="0000224F"/>
    <w:rsid w:val="0000225C"/>
    <w:rsid w:val="000025E1"/>
    <w:rsid w:val="00002661"/>
    <w:rsid w:val="00002720"/>
    <w:rsid w:val="000027DE"/>
    <w:rsid w:val="00002D0C"/>
    <w:rsid w:val="00003672"/>
    <w:rsid w:val="00003DF7"/>
    <w:rsid w:val="00004014"/>
    <w:rsid w:val="000044AD"/>
    <w:rsid w:val="000049D4"/>
    <w:rsid w:val="00004B7C"/>
    <w:rsid w:val="00004E3A"/>
    <w:rsid w:val="00004EE6"/>
    <w:rsid w:val="00004F09"/>
    <w:rsid w:val="00004F81"/>
    <w:rsid w:val="00005689"/>
    <w:rsid w:val="00005B55"/>
    <w:rsid w:val="00005DFD"/>
    <w:rsid w:val="00005F42"/>
    <w:rsid w:val="00006035"/>
    <w:rsid w:val="0000656F"/>
    <w:rsid w:val="00006C5D"/>
    <w:rsid w:val="00006D62"/>
    <w:rsid w:val="00006E2B"/>
    <w:rsid w:val="00006EAB"/>
    <w:rsid w:val="0000714A"/>
    <w:rsid w:val="00010101"/>
    <w:rsid w:val="000104A2"/>
    <w:rsid w:val="000108CA"/>
    <w:rsid w:val="00010C29"/>
    <w:rsid w:val="0001108C"/>
    <w:rsid w:val="0001113E"/>
    <w:rsid w:val="000111A3"/>
    <w:rsid w:val="00011CAF"/>
    <w:rsid w:val="00011EB8"/>
    <w:rsid w:val="00012035"/>
    <w:rsid w:val="00012226"/>
    <w:rsid w:val="000123D3"/>
    <w:rsid w:val="00012415"/>
    <w:rsid w:val="00012480"/>
    <w:rsid w:val="0001267B"/>
    <w:rsid w:val="00012B39"/>
    <w:rsid w:val="00012C16"/>
    <w:rsid w:val="00012C67"/>
    <w:rsid w:val="00012E39"/>
    <w:rsid w:val="00013062"/>
    <w:rsid w:val="000136F8"/>
    <w:rsid w:val="00013A21"/>
    <w:rsid w:val="00013A23"/>
    <w:rsid w:val="00013B1B"/>
    <w:rsid w:val="00013DC6"/>
    <w:rsid w:val="00013EAE"/>
    <w:rsid w:val="000143C1"/>
    <w:rsid w:val="0001465D"/>
    <w:rsid w:val="00014753"/>
    <w:rsid w:val="00014B2D"/>
    <w:rsid w:val="00014C78"/>
    <w:rsid w:val="00015073"/>
    <w:rsid w:val="0001541B"/>
    <w:rsid w:val="000155A1"/>
    <w:rsid w:val="00015ECB"/>
    <w:rsid w:val="00015EFE"/>
    <w:rsid w:val="00015EFF"/>
    <w:rsid w:val="000169B6"/>
    <w:rsid w:val="00016A4F"/>
    <w:rsid w:val="00016B9D"/>
    <w:rsid w:val="00016EDD"/>
    <w:rsid w:val="00017079"/>
    <w:rsid w:val="0001709E"/>
    <w:rsid w:val="000171ED"/>
    <w:rsid w:val="00017274"/>
    <w:rsid w:val="000176BA"/>
    <w:rsid w:val="000176E2"/>
    <w:rsid w:val="0002063F"/>
    <w:rsid w:val="0002083B"/>
    <w:rsid w:val="00020B09"/>
    <w:rsid w:val="00020E2D"/>
    <w:rsid w:val="00020E57"/>
    <w:rsid w:val="00021716"/>
    <w:rsid w:val="00021895"/>
    <w:rsid w:val="0002197E"/>
    <w:rsid w:val="00021D87"/>
    <w:rsid w:val="00021F5E"/>
    <w:rsid w:val="00022268"/>
    <w:rsid w:val="000223E6"/>
    <w:rsid w:val="00022589"/>
    <w:rsid w:val="0002284C"/>
    <w:rsid w:val="000228E7"/>
    <w:rsid w:val="00022900"/>
    <w:rsid w:val="000229C4"/>
    <w:rsid w:val="00022BDF"/>
    <w:rsid w:val="000231F4"/>
    <w:rsid w:val="00023989"/>
    <w:rsid w:val="00023A22"/>
    <w:rsid w:val="00023C15"/>
    <w:rsid w:val="00023C36"/>
    <w:rsid w:val="00024242"/>
    <w:rsid w:val="00024409"/>
    <w:rsid w:val="0002471E"/>
    <w:rsid w:val="00024918"/>
    <w:rsid w:val="00024A03"/>
    <w:rsid w:val="00025548"/>
    <w:rsid w:val="00025C17"/>
    <w:rsid w:val="00025CC1"/>
    <w:rsid w:val="00025CEC"/>
    <w:rsid w:val="00025ECF"/>
    <w:rsid w:val="00025EDD"/>
    <w:rsid w:val="000260CA"/>
    <w:rsid w:val="00026183"/>
    <w:rsid w:val="00026292"/>
    <w:rsid w:val="000264F1"/>
    <w:rsid w:val="000265B3"/>
    <w:rsid w:val="0002671D"/>
    <w:rsid w:val="00026AB5"/>
    <w:rsid w:val="00026B26"/>
    <w:rsid w:val="000275A2"/>
    <w:rsid w:val="0002782A"/>
    <w:rsid w:val="00027A80"/>
    <w:rsid w:val="00027D12"/>
    <w:rsid w:val="00027DAC"/>
    <w:rsid w:val="00027F15"/>
    <w:rsid w:val="000300CF"/>
    <w:rsid w:val="00030260"/>
    <w:rsid w:val="000304E2"/>
    <w:rsid w:val="0003059E"/>
    <w:rsid w:val="0003062B"/>
    <w:rsid w:val="000306B1"/>
    <w:rsid w:val="00030B7A"/>
    <w:rsid w:val="00031510"/>
    <w:rsid w:val="000315DE"/>
    <w:rsid w:val="0003202F"/>
    <w:rsid w:val="0003238D"/>
    <w:rsid w:val="00032607"/>
    <w:rsid w:val="000326CB"/>
    <w:rsid w:val="0003287D"/>
    <w:rsid w:val="00032A83"/>
    <w:rsid w:val="00032C87"/>
    <w:rsid w:val="00032D74"/>
    <w:rsid w:val="00033069"/>
    <w:rsid w:val="0003381B"/>
    <w:rsid w:val="00033895"/>
    <w:rsid w:val="00033C21"/>
    <w:rsid w:val="0003408C"/>
    <w:rsid w:val="0003414D"/>
    <w:rsid w:val="00034566"/>
    <w:rsid w:val="00034709"/>
    <w:rsid w:val="000348F7"/>
    <w:rsid w:val="0003492C"/>
    <w:rsid w:val="00034A85"/>
    <w:rsid w:val="00034AC3"/>
    <w:rsid w:val="00034ADE"/>
    <w:rsid w:val="00035489"/>
    <w:rsid w:val="000358E1"/>
    <w:rsid w:val="00035C21"/>
    <w:rsid w:val="00035E5A"/>
    <w:rsid w:val="00036006"/>
    <w:rsid w:val="00036061"/>
    <w:rsid w:val="00036107"/>
    <w:rsid w:val="00036110"/>
    <w:rsid w:val="00036288"/>
    <w:rsid w:val="000362A2"/>
    <w:rsid w:val="000364F0"/>
    <w:rsid w:val="00036931"/>
    <w:rsid w:val="00037173"/>
    <w:rsid w:val="0003766C"/>
    <w:rsid w:val="00037856"/>
    <w:rsid w:val="0003787D"/>
    <w:rsid w:val="00037A0E"/>
    <w:rsid w:val="00037A10"/>
    <w:rsid w:val="00037A51"/>
    <w:rsid w:val="00037AD5"/>
    <w:rsid w:val="00037C2D"/>
    <w:rsid w:val="00037D50"/>
    <w:rsid w:val="00037D9F"/>
    <w:rsid w:val="00037EB6"/>
    <w:rsid w:val="000401C7"/>
    <w:rsid w:val="0004026F"/>
    <w:rsid w:val="0004057F"/>
    <w:rsid w:val="00040B34"/>
    <w:rsid w:val="00040D87"/>
    <w:rsid w:val="00040F46"/>
    <w:rsid w:val="000419C8"/>
    <w:rsid w:val="00041D74"/>
    <w:rsid w:val="00041EE4"/>
    <w:rsid w:val="00042537"/>
    <w:rsid w:val="00042696"/>
    <w:rsid w:val="00042B5D"/>
    <w:rsid w:val="00042DBD"/>
    <w:rsid w:val="000433D7"/>
    <w:rsid w:val="000433FF"/>
    <w:rsid w:val="0004355D"/>
    <w:rsid w:val="000439D9"/>
    <w:rsid w:val="00043ACA"/>
    <w:rsid w:val="00043CED"/>
    <w:rsid w:val="00043F1F"/>
    <w:rsid w:val="00043FC9"/>
    <w:rsid w:val="0004407C"/>
    <w:rsid w:val="00044347"/>
    <w:rsid w:val="000449B6"/>
    <w:rsid w:val="00044B5A"/>
    <w:rsid w:val="00044BEC"/>
    <w:rsid w:val="00044C18"/>
    <w:rsid w:val="00044C7C"/>
    <w:rsid w:val="0004518C"/>
    <w:rsid w:val="00045B6F"/>
    <w:rsid w:val="00045BF0"/>
    <w:rsid w:val="00046869"/>
    <w:rsid w:val="000469C7"/>
    <w:rsid w:val="00046C96"/>
    <w:rsid w:val="0004739F"/>
    <w:rsid w:val="00047C24"/>
    <w:rsid w:val="00047FE0"/>
    <w:rsid w:val="000500C3"/>
    <w:rsid w:val="0005037F"/>
    <w:rsid w:val="00050427"/>
    <w:rsid w:val="0005043A"/>
    <w:rsid w:val="000505CC"/>
    <w:rsid w:val="000505FF"/>
    <w:rsid w:val="0005064B"/>
    <w:rsid w:val="00050DF0"/>
    <w:rsid w:val="000516D5"/>
    <w:rsid w:val="0005194D"/>
    <w:rsid w:val="0005197B"/>
    <w:rsid w:val="00051BFA"/>
    <w:rsid w:val="00051D4D"/>
    <w:rsid w:val="000523CB"/>
    <w:rsid w:val="0005282C"/>
    <w:rsid w:val="00052895"/>
    <w:rsid w:val="00052B54"/>
    <w:rsid w:val="00052EBF"/>
    <w:rsid w:val="00053386"/>
    <w:rsid w:val="00053399"/>
    <w:rsid w:val="00053CB8"/>
    <w:rsid w:val="00053EB4"/>
    <w:rsid w:val="0005441C"/>
    <w:rsid w:val="000549AE"/>
    <w:rsid w:val="00054A3D"/>
    <w:rsid w:val="00054A82"/>
    <w:rsid w:val="00054BF0"/>
    <w:rsid w:val="00054D86"/>
    <w:rsid w:val="000552B5"/>
    <w:rsid w:val="00055719"/>
    <w:rsid w:val="00055775"/>
    <w:rsid w:val="000557A7"/>
    <w:rsid w:val="0005599C"/>
    <w:rsid w:val="00055A6B"/>
    <w:rsid w:val="00055DC2"/>
    <w:rsid w:val="00055EFA"/>
    <w:rsid w:val="00055FEE"/>
    <w:rsid w:val="000567BE"/>
    <w:rsid w:val="00056CDA"/>
    <w:rsid w:val="00056E17"/>
    <w:rsid w:val="00056FAB"/>
    <w:rsid w:val="000571AC"/>
    <w:rsid w:val="00057316"/>
    <w:rsid w:val="00057399"/>
    <w:rsid w:val="00057668"/>
    <w:rsid w:val="00057D9D"/>
    <w:rsid w:val="00057FB1"/>
    <w:rsid w:val="00060908"/>
    <w:rsid w:val="00060A4B"/>
    <w:rsid w:val="000610DC"/>
    <w:rsid w:val="000613DC"/>
    <w:rsid w:val="00061575"/>
    <w:rsid w:val="00061C02"/>
    <w:rsid w:val="00061E8A"/>
    <w:rsid w:val="00062005"/>
    <w:rsid w:val="00062218"/>
    <w:rsid w:val="0006225A"/>
    <w:rsid w:val="0006260C"/>
    <w:rsid w:val="00062D5C"/>
    <w:rsid w:val="00062DA7"/>
    <w:rsid w:val="00062F94"/>
    <w:rsid w:val="00062FEB"/>
    <w:rsid w:val="00063104"/>
    <w:rsid w:val="000631A9"/>
    <w:rsid w:val="000633E5"/>
    <w:rsid w:val="00063A38"/>
    <w:rsid w:val="00063BD7"/>
    <w:rsid w:val="00063D3A"/>
    <w:rsid w:val="00063E32"/>
    <w:rsid w:val="00063F25"/>
    <w:rsid w:val="00064064"/>
    <w:rsid w:val="00064286"/>
    <w:rsid w:val="000642C7"/>
    <w:rsid w:val="00064515"/>
    <w:rsid w:val="00064802"/>
    <w:rsid w:val="00064A3B"/>
    <w:rsid w:val="00064ADD"/>
    <w:rsid w:val="00064B1C"/>
    <w:rsid w:val="000656CC"/>
    <w:rsid w:val="000659D3"/>
    <w:rsid w:val="00065E5B"/>
    <w:rsid w:val="00065F67"/>
    <w:rsid w:val="00065F72"/>
    <w:rsid w:val="0006639F"/>
    <w:rsid w:val="000663DA"/>
    <w:rsid w:val="00066551"/>
    <w:rsid w:val="0006683B"/>
    <w:rsid w:val="00066F18"/>
    <w:rsid w:val="00066F31"/>
    <w:rsid w:val="000671A0"/>
    <w:rsid w:val="00067810"/>
    <w:rsid w:val="00067847"/>
    <w:rsid w:val="00067944"/>
    <w:rsid w:val="00067BA1"/>
    <w:rsid w:val="00067BF9"/>
    <w:rsid w:val="00067D75"/>
    <w:rsid w:val="00067F2E"/>
    <w:rsid w:val="000700A4"/>
    <w:rsid w:val="00070526"/>
    <w:rsid w:val="000709DF"/>
    <w:rsid w:val="000709F7"/>
    <w:rsid w:val="00070E32"/>
    <w:rsid w:val="00070E95"/>
    <w:rsid w:val="000710B6"/>
    <w:rsid w:val="00071188"/>
    <w:rsid w:val="000712DC"/>
    <w:rsid w:val="0007184C"/>
    <w:rsid w:val="00071A7C"/>
    <w:rsid w:val="00071D00"/>
    <w:rsid w:val="00071E86"/>
    <w:rsid w:val="0007226B"/>
    <w:rsid w:val="0007239B"/>
    <w:rsid w:val="00072784"/>
    <w:rsid w:val="000729C8"/>
    <w:rsid w:val="000730DA"/>
    <w:rsid w:val="0007320E"/>
    <w:rsid w:val="00073256"/>
    <w:rsid w:val="000732E0"/>
    <w:rsid w:val="00073339"/>
    <w:rsid w:val="00073577"/>
    <w:rsid w:val="00073A64"/>
    <w:rsid w:val="00073AA7"/>
    <w:rsid w:val="00073AF3"/>
    <w:rsid w:val="00074048"/>
    <w:rsid w:val="0007448F"/>
    <w:rsid w:val="00074AD5"/>
    <w:rsid w:val="00074B19"/>
    <w:rsid w:val="00074F2F"/>
    <w:rsid w:val="0007517E"/>
    <w:rsid w:val="000751F6"/>
    <w:rsid w:val="00075508"/>
    <w:rsid w:val="000755DB"/>
    <w:rsid w:val="00075740"/>
    <w:rsid w:val="00075DCA"/>
    <w:rsid w:val="00075F25"/>
    <w:rsid w:val="00076230"/>
    <w:rsid w:val="00076457"/>
    <w:rsid w:val="00076607"/>
    <w:rsid w:val="00076CA1"/>
    <w:rsid w:val="000770F0"/>
    <w:rsid w:val="00077956"/>
    <w:rsid w:val="00077C0E"/>
    <w:rsid w:val="00077DBF"/>
    <w:rsid w:val="00080469"/>
    <w:rsid w:val="00080BA6"/>
    <w:rsid w:val="00080DA6"/>
    <w:rsid w:val="00080FF8"/>
    <w:rsid w:val="000810AB"/>
    <w:rsid w:val="000816D0"/>
    <w:rsid w:val="0008199A"/>
    <w:rsid w:val="000819A4"/>
    <w:rsid w:val="000819C5"/>
    <w:rsid w:val="00082596"/>
    <w:rsid w:val="000825C4"/>
    <w:rsid w:val="000826B9"/>
    <w:rsid w:val="000826BB"/>
    <w:rsid w:val="000829C3"/>
    <w:rsid w:val="00082A2A"/>
    <w:rsid w:val="00082B4D"/>
    <w:rsid w:val="00082C36"/>
    <w:rsid w:val="00082D81"/>
    <w:rsid w:val="00082F3B"/>
    <w:rsid w:val="000832C8"/>
    <w:rsid w:val="000837D2"/>
    <w:rsid w:val="00083A9A"/>
    <w:rsid w:val="00083D41"/>
    <w:rsid w:val="0008413A"/>
    <w:rsid w:val="0008454F"/>
    <w:rsid w:val="00084599"/>
    <w:rsid w:val="000846AD"/>
    <w:rsid w:val="00084713"/>
    <w:rsid w:val="000847A2"/>
    <w:rsid w:val="000848A4"/>
    <w:rsid w:val="00084C9A"/>
    <w:rsid w:val="00084E90"/>
    <w:rsid w:val="00085245"/>
    <w:rsid w:val="000853DA"/>
    <w:rsid w:val="0008579F"/>
    <w:rsid w:val="000859EB"/>
    <w:rsid w:val="00085C34"/>
    <w:rsid w:val="00085FF2"/>
    <w:rsid w:val="000860D3"/>
    <w:rsid w:val="00086144"/>
    <w:rsid w:val="000861C4"/>
    <w:rsid w:val="000861E3"/>
    <w:rsid w:val="000861E6"/>
    <w:rsid w:val="00086B1F"/>
    <w:rsid w:val="00086C53"/>
    <w:rsid w:val="00086D61"/>
    <w:rsid w:val="00087082"/>
    <w:rsid w:val="0008709F"/>
    <w:rsid w:val="000874BF"/>
    <w:rsid w:val="000876D2"/>
    <w:rsid w:val="00087A92"/>
    <w:rsid w:val="00087B59"/>
    <w:rsid w:val="00087B71"/>
    <w:rsid w:val="00087F11"/>
    <w:rsid w:val="00087FDA"/>
    <w:rsid w:val="0009028A"/>
    <w:rsid w:val="00090797"/>
    <w:rsid w:val="0009104A"/>
    <w:rsid w:val="00091383"/>
    <w:rsid w:val="00091579"/>
    <w:rsid w:val="000919CC"/>
    <w:rsid w:val="00091A4D"/>
    <w:rsid w:val="00091A83"/>
    <w:rsid w:val="00091D97"/>
    <w:rsid w:val="0009207B"/>
    <w:rsid w:val="00092C60"/>
    <w:rsid w:val="00092CEC"/>
    <w:rsid w:val="00092E4F"/>
    <w:rsid w:val="00092F00"/>
    <w:rsid w:val="0009323C"/>
    <w:rsid w:val="000935BB"/>
    <w:rsid w:val="000936A6"/>
    <w:rsid w:val="00093947"/>
    <w:rsid w:val="00093FC8"/>
    <w:rsid w:val="000940C3"/>
    <w:rsid w:val="000941DA"/>
    <w:rsid w:val="0009433A"/>
    <w:rsid w:val="000943C8"/>
    <w:rsid w:val="0009446C"/>
    <w:rsid w:val="0009477C"/>
    <w:rsid w:val="000948EA"/>
    <w:rsid w:val="00094AED"/>
    <w:rsid w:val="00094DEE"/>
    <w:rsid w:val="0009552B"/>
    <w:rsid w:val="000955C2"/>
    <w:rsid w:val="000955D5"/>
    <w:rsid w:val="00095609"/>
    <w:rsid w:val="00095EA8"/>
    <w:rsid w:val="00096450"/>
    <w:rsid w:val="00096D14"/>
    <w:rsid w:val="00096D7D"/>
    <w:rsid w:val="00097320"/>
    <w:rsid w:val="00097379"/>
    <w:rsid w:val="000976E6"/>
    <w:rsid w:val="0009795B"/>
    <w:rsid w:val="00097BD3"/>
    <w:rsid w:val="00097D4F"/>
    <w:rsid w:val="000A031E"/>
    <w:rsid w:val="000A0322"/>
    <w:rsid w:val="000A05B9"/>
    <w:rsid w:val="000A06A3"/>
    <w:rsid w:val="000A07E6"/>
    <w:rsid w:val="000A0F3A"/>
    <w:rsid w:val="000A0FC7"/>
    <w:rsid w:val="000A132E"/>
    <w:rsid w:val="000A13C4"/>
    <w:rsid w:val="000A14E0"/>
    <w:rsid w:val="000A170E"/>
    <w:rsid w:val="000A1969"/>
    <w:rsid w:val="000A1CA5"/>
    <w:rsid w:val="000A22BD"/>
    <w:rsid w:val="000A2512"/>
    <w:rsid w:val="000A266C"/>
    <w:rsid w:val="000A275B"/>
    <w:rsid w:val="000A2805"/>
    <w:rsid w:val="000A2996"/>
    <w:rsid w:val="000A2B0A"/>
    <w:rsid w:val="000A2C9A"/>
    <w:rsid w:val="000A2D34"/>
    <w:rsid w:val="000A2DD1"/>
    <w:rsid w:val="000A30EE"/>
    <w:rsid w:val="000A3387"/>
    <w:rsid w:val="000A3569"/>
    <w:rsid w:val="000A35F9"/>
    <w:rsid w:val="000A3941"/>
    <w:rsid w:val="000A3B57"/>
    <w:rsid w:val="000A3DEE"/>
    <w:rsid w:val="000A3E37"/>
    <w:rsid w:val="000A3FFC"/>
    <w:rsid w:val="000A40D3"/>
    <w:rsid w:val="000A4203"/>
    <w:rsid w:val="000A4288"/>
    <w:rsid w:val="000A4610"/>
    <w:rsid w:val="000A473B"/>
    <w:rsid w:val="000A48C2"/>
    <w:rsid w:val="000A4D8F"/>
    <w:rsid w:val="000A4F7F"/>
    <w:rsid w:val="000A51A5"/>
    <w:rsid w:val="000A51D0"/>
    <w:rsid w:val="000A524E"/>
    <w:rsid w:val="000A55DE"/>
    <w:rsid w:val="000A598B"/>
    <w:rsid w:val="000A5B29"/>
    <w:rsid w:val="000A5CFF"/>
    <w:rsid w:val="000A5E7B"/>
    <w:rsid w:val="000A6116"/>
    <w:rsid w:val="000A6256"/>
    <w:rsid w:val="000A638C"/>
    <w:rsid w:val="000A66E6"/>
    <w:rsid w:val="000A6BBA"/>
    <w:rsid w:val="000A6C8A"/>
    <w:rsid w:val="000A6FAA"/>
    <w:rsid w:val="000A7059"/>
    <w:rsid w:val="000A70A4"/>
    <w:rsid w:val="000A732E"/>
    <w:rsid w:val="000A735C"/>
    <w:rsid w:val="000A74F4"/>
    <w:rsid w:val="000A77F7"/>
    <w:rsid w:val="000A782D"/>
    <w:rsid w:val="000A78B3"/>
    <w:rsid w:val="000A78CC"/>
    <w:rsid w:val="000A7D3D"/>
    <w:rsid w:val="000A7D87"/>
    <w:rsid w:val="000A7DED"/>
    <w:rsid w:val="000B00FA"/>
    <w:rsid w:val="000B02B0"/>
    <w:rsid w:val="000B02C5"/>
    <w:rsid w:val="000B02E0"/>
    <w:rsid w:val="000B06CB"/>
    <w:rsid w:val="000B0996"/>
    <w:rsid w:val="000B1097"/>
    <w:rsid w:val="000B1559"/>
    <w:rsid w:val="000B169D"/>
    <w:rsid w:val="000B176A"/>
    <w:rsid w:val="000B1794"/>
    <w:rsid w:val="000B17F9"/>
    <w:rsid w:val="000B18F5"/>
    <w:rsid w:val="000B18F6"/>
    <w:rsid w:val="000B1B17"/>
    <w:rsid w:val="000B1C99"/>
    <w:rsid w:val="000B2028"/>
    <w:rsid w:val="000B2135"/>
    <w:rsid w:val="000B23E9"/>
    <w:rsid w:val="000B2487"/>
    <w:rsid w:val="000B27D9"/>
    <w:rsid w:val="000B29A5"/>
    <w:rsid w:val="000B2A5F"/>
    <w:rsid w:val="000B2F12"/>
    <w:rsid w:val="000B301F"/>
    <w:rsid w:val="000B3031"/>
    <w:rsid w:val="000B318F"/>
    <w:rsid w:val="000B33B3"/>
    <w:rsid w:val="000B352E"/>
    <w:rsid w:val="000B35CC"/>
    <w:rsid w:val="000B38AE"/>
    <w:rsid w:val="000B4038"/>
    <w:rsid w:val="000B4053"/>
    <w:rsid w:val="000B438F"/>
    <w:rsid w:val="000B43A0"/>
    <w:rsid w:val="000B4401"/>
    <w:rsid w:val="000B46A7"/>
    <w:rsid w:val="000B4A4A"/>
    <w:rsid w:val="000B4EAC"/>
    <w:rsid w:val="000B4F95"/>
    <w:rsid w:val="000B5158"/>
    <w:rsid w:val="000B5227"/>
    <w:rsid w:val="000B52DD"/>
    <w:rsid w:val="000B5328"/>
    <w:rsid w:val="000B532B"/>
    <w:rsid w:val="000B533B"/>
    <w:rsid w:val="000B5543"/>
    <w:rsid w:val="000B583F"/>
    <w:rsid w:val="000B5BEF"/>
    <w:rsid w:val="000B640A"/>
    <w:rsid w:val="000B6A98"/>
    <w:rsid w:val="000B6E86"/>
    <w:rsid w:val="000B6F55"/>
    <w:rsid w:val="000B73AC"/>
    <w:rsid w:val="000B73B0"/>
    <w:rsid w:val="000B7756"/>
    <w:rsid w:val="000B7792"/>
    <w:rsid w:val="000B7A68"/>
    <w:rsid w:val="000B7E36"/>
    <w:rsid w:val="000C00FE"/>
    <w:rsid w:val="000C028F"/>
    <w:rsid w:val="000C02DD"/>
    <w:rsid w:val="000C06F4"/>
    <w:rsid w:val="000C078D"/>
    <w:rsid w:val="000C080D"/>
    <w:rsid w:val="000C08F5"/>
    <w:rsid w:val="000C0F5B"/>
    <w:rsid w:val="000C1086"/>
    <w:rsid w:val="000C115E"/>
    <w:rsid w:val="000C118F"/>
    <w:rsid w:val="000C1710"/>
    <w:rsid w:val="000C1724"/>
    <w:rsid w:val="000C1B4E"/>
    <w:rsid w:val="000C1E7F"/>
    <w:rsid w:val="000C1EF3"/>
    <w:rsid w:val="000C1FD7"/>
    <w:rsid w:val="000C22B3"/>
    <w:rsid w:val="000C2B16"/>
    <w:rsid w:val="000C2B76"/>
    <w:rsid w:val="000C3144"/>
    <w:rsid w:val="000C3472"/>
    <w:rsid w:val="000C36F1"/>
    <w:rsid w:val="000C3B6C"/>
    <w:rsid w:val="000C3C1A"/>
    <w:rsid w:val="000C3FA9"/>
    <w:rsid w:val="000C451F"/>
    <w:rsid w:val="000C4687"/>
    <w:rsid w:val="000C4737"/>
    <w:rsid w:val="000C4906"/>
    <w:rsid w:val="000C4CE7"/>
    <w:rsid w:val="000C4E46"/>
    <w:rsid w:val="000C4EA4"/>
    <w:rsid w:val="000C507C"/>
    <w:rsid w:val="000C50C1"/>
    <w:rsid w:val="000C546A"/>
    <w:rsid w:val="000C560D"/>
    <w:rsid w:val="000C5C1B"/>
    <w:rsid w:val="000C5DA1"/>
    <w:rsid w:val="000C62A1"/>
    <w:rsid w:val="000C62D5"/>
    <w:rsid w:val="000C64DE"/>
    <w:rsid w:val="000C6600"/>
    <w:rsid w:val="000C7049"/>
    <w:rsid w:val="000C7399"/>
    <w:rsid w:val="000C7AB0"/>
    <w:rsid w:val="000C7AB7"/>
    <w:rsid w:val="000C7B77"/>
    <w:rsid w:val="000D051A"/>
    <w:rsid w:val="000D0977"/>
    <w:rsid w:val="000D0B13"/>
    <w:rsid w:val="000D10C3"/>
    <w:rsid w:val="000D1118"/>
    <w:rsid w:val="000D119B"/>
    <w:rsid w:val="000D126F"/>
    <w:rsid w:val="000D129D"/>
    <w:rsid w:val="000D1302"/>
    <w:rsid w:val="000D138E"/>
    <w:rsid w:val="000D1631"/>
    <w:rsid w:val="000D1892"/>
    <w:rsid w:val="000D18A2"/>
    <w:rsid w:val="000D19DB"/>
    <w:rsid w:val="000D1B7B"/>
    <w:rsid w:val="000D1D1F"/>
    <w:rsid w:val="000D1DE3"/>
    <w:rsid w:val="000D1F0D"/>
    <w:rsid w:val="000D2421"/>
    <w:rsid w:val="000D2563"/>
    <w:rsid w:val="000D26A1"/>
    <w:rsid w:val="000D29AB"/>
    <w:rsid w:val="000D29AE"/>
    <w:rsid w:val="000D2AA9"/>
    <w:rsid w:val="000D2E23"/>
    <w:rsid w:val="000D2FB2"/>
    <w:rsid w:val="000D3319"/>
    <w:rsid w:val="000D3368"/>
    <w:rsid w:val="000D33C1"/>
    <w:rsid w:val="000D356B"/>
    <w:rsid w:val="000D3815"/>
    <w:rsid w:val="000D3C97"/>
    <w:rsid w:val="000D3E97"/>
    <w:rsid w:val="000D4660"/>
    <w:rsid w:val="000D46F9"/>
    <w:rsid w:val="000D4A0C"/>
    <w:rsid w:val="000D4C48"/>
    <w:rsid w:val="000D4E73"/>
    <w:rsid w:val="000D4EB1"/>
    <w:rsid w:val="000D4FD7"/>
    <w:rsid w:val="000D4FF7"/>
    <w:rsid w:val="000D536D"/>
    <w:rsid w:val="000D5465"/>
    <w:rsid w:val="000D57F3"/>
    <w:rsid w:val="000D58EE"/>
    <w:rsid w:val="000D5CB6"/>
    <w:rsid w:val="000D5E42"/>
    <w:rsid w:val="000D612B"/>
    <w:rsid w:val="000D6186"/>
    <w:rsid w:val="000D66B5"/>
    <w:rsid w:val="000D6A6E"/>
    <w:rsid w:val="000D6A81"/>
    <w:rsid w:val="000D6B91"/>
    <w:rsid w:val="000D6EA3"/>
    <w:rsid w:val="000D7277"/>
    <w:rsid w:val="000D7A82"/>
    <w:rsid w:val="000D7EE9"/>
    <w:rsid w:val="000E00C6"/>
    <w:rsid w:val="000E0479"/>
    <w:rsid w:val="000E06BA"/>
    <w:rsid w:val="000E0795"/>
    <w:rsid w:val="000E0EFB"/>
    <w:rsid w:val="000E0F2B"/>
    <w:rsid w:val="000E1691"/>
    <w:rsid w:val="000E20AB"/>
    <w:rsid w:val="000E229A"/>
    <w:rsid w:val="000E2857"/>
    <w:rsid w:val="000E2866"/>
    <w:rsid w:val="000E2886"/>
    <w:rsid w:val="000E3369"/>
    <w:rsid w:val="000E36A6"/>
    <w:rsid w:val="000E3703"/>
    <w:rsid w:val="000E38A7"/>
    <w:rsid w:val="000E3AA7"/>
    <w:rsid w:val="000E3BE5"/>
    <w:rsid w:val="000E3D46"/>
    <w:rsid w:val="000E4025"/>
    <w:rsid w:val="000E499C"/>
    <w:rsid w:val="000E4EE2"/>
    <w:rsid w:val="000E4FA1"/>
    <w:rsid w:val="000E513E"/>
    <w:rsid w:val="000E517C"/>
    <w:rsid w:val="000E566B"/>
    <w:rsid w:val="000E57A4"/>
    <w:rsid w:val="000E5C40"/>
    <w:rsid w:val="000E5E35"/>
    <w:rsid w:val="000E601D"/>
    <w:rsid w:val="000E625C"/>
    <w:rsid w:val="000E653D"/>
    <w:rsid w:val="000E66B4"/>
    <w:rsid w:val="000E6B1D"/>
    <w:rsid w:val="000E6FCD"/>
    <w:rsid w:val="000E7137"/>
    <w:rsid w:val="000E721F"/>
    <w:rsid w:val="000E73F9"/>
    <w:rsid w:val="000E742B"/>
    <w:rsid w:val="000E7435"/>
    <w:rsid w:val="000E7603"/>
    <w:rsid w:val="000E769F"/>
    <w:rsid w:val="000E76A7"/>
    <w:rsid w:val="000F0085"/>
    <w:rsid w:val="000F00E5"/>
    <w:rsid w:val="000F0243"/>
    <w:rsid w:val="000F096C"/>
    <w:rsid w:val="000F0C0B"/>
    <w:rsid w:val="000F0CB1"/>
    <w:rsid w:val="000F0D1D"/>
    <w:rsid w:val="000F140A"/>
    <w:rsid w:val="000F1516"/>
    <w:rsid w:val="000F179F"/>
    <w:rsid w:val="000F1811"/>
    <w:rsid w:val="000F1955"/>
    <w:rsid w:val="000F1AB3"/>
    <w:rsid w:val="000F1ADC"/>
    <w:rsid w:val="000F1B37"/>
    <w:rsid w:val="000F1D22"/>
    <w:rsid w:val="000F1D30"/>
    <w:rsid w:val="000F1E5F"/>
    <w:rsid w:val="000F2097"/>
    <w:rsid w:val="000F22D2"/>
    <w:rsid w:val="000F266E"/>
    <w:rsid w:val="000F270C"/>
    <w:rsid w:val="000F28A2"/>
    <w:rsid w:val="000F2A3E"/>
    <w:rsid w:val="000F2AB7"/>
    <w:rsid w:val="000F2D8E"/>
    <w:rsid w:val="000F3284"/>
    <w:rsid w:val="000F3291"/>
    <w:rsid w:val="000F338E"/>
    <w:rsid w:val="000F341F"/>
    <w:rsid w:val="000F3444"/>
    <w:rsid w:val="000F37E2"/>
    <w:rsid w:val="000F37EF"/>
    <w:rsid w:val="000F3B88"/>
    <w:rsid w:val="000F3B9E"/>
    <w:rsid w:val="000F41F3"/>
    <w:rsid w:val="000F4244"/>
    <w:rsid w:val="000F44F5"/>
    <w:rsid w:val="000F484A"/>
    <w:rsid w:val="000F49CD"/>
    <w:rsid w:val="000F4AC5"/>
    <w:rsid w:val="000F4ACC"/>
    <w:rsid w:val="000F4C6C"/>
    <w:rsid w:val="000F4CCE"/>
    <w:rsid w:val="000F4F3B"/>
    <w:rsid w:val="000F5651"/>
    <w:rsid w:val="000F5714"/>
    <w:rsid w:val="000F5A43"/>
    <w:rsid w:val="000F5B18"/>
    <w:rsid w:val="000F5C7A"/>
    <w:rsid w:val="000F6077"/>
    <w:rsid w:val="000F63FE"/>
    <w:rsid w:val="000F6658"/>
    <w:rsid w:val="000F684A"/>
    <w:rsid w:val="000F6D5B"/>
    <w:rsid w:val="000F6DAD"/>
    <w:rsid w:val="000F6DBC"/>
    <w:rsid w:val="000F6E88"/>
    <w:rsid w:val="000F781F"/>
    <w:rsid w:val="000F785E"/>
    <w:rsid w:val="000F787D"/>
    <w:rsid w:val="000F7A3F"/>
    <w:rsid w:val="000F7B3D"/>
    <w:rsid w:val="001003CF"/>
    <w:rsid w:val="00100407"/>
    <w:rsid w:val="00100619"/>
    <w:rsid w:val="0010069B"/>
    <w:rsid w:val="001007BB"/>
    <w:rsid w:val="001009FB"/>
    <w:rsid w:val="00100A13"/>
    <w:rsid w:val="00100B24"/>
    <w:rsid w:val="00100CB7"/>
    <w:rsid w:val="00100E53"/>
    <w:rsid w:val="00101358"/>
    <w:rsid w:val="00101509"/>
    <w:rsid w:val="001017AF"/>
    <w:rsid w:val="00101AF8"/>
    <w:rsid w:val="00102022"/>
    <w:rsid w:val="001020B2"/>
    <w:rsid w:val="0010210C"/>
    <w:rsid w:val="001022E1"/>
    <w:rsid w:val="0010272F"/>
    <w:rsid w:val="001029D4"/>
    <w:rsid w:val="00102C0F"/>
    <w:rsid w:val="00102F28"/>
    <w:rsid w:val="0010304A"/>
    <w:rsid w:val="0010310D"/>
    <w:rsid w:val="001031BB"/>
    <w:rsid w:val="001035E6"/>
    <w:rsid w:val="001035F4"/>
    <w:rsid w:val="00103ADD"/>
    <w:rsid w:val="00104391"/>
    <w:rsid w:val="00104715"/>
    <w:rsid w:val="001049BE"/>
    <w:rsid w:val="00104B6E"/>
    <w:rsid w:val="00104ECD"/>
    <w:rsid w:val="0010526A"/>
    <w:rsid w:val="001053C8"/>
    <w:rsid w:val="00105523"/>
    <w:rsid w:val="001057EE"/>
    <w:rsid w:val="0010588C"/>
    <w:rsid w:val="00105A0C"/>
    <w:rsid w:val="00105A46"/>
    <w:rsid w:val="00105AC0"/>
    <w:rsid w:val="00105C0D"/>
    <w:rsid w:val="00105F04"/>
    <w:rsid w:val="00106330"/>
    <w:rsid w:val="0010685A"/>
    <w:rsid w:val="001069BF"/>
    <w:rsid w:val="001069F7"/>
    <w:rsid w:val="00106A4B"/>
    <w:rsid w:val="00106E18"/>
    <w:rsid w:val="00106E1A"/>
    <w:rsid w:val="0010706F"/>
    <w:rsid w:val="00107715"/>
    <w:rsid w:val="0010795D"/>
    <w:rsid w:val="00107971"/>
    <w:rsid w:val="00107A9B"/>
    <w:rsid w:val="00107BEE"/>
    <w:rsid w:val="00107C2D"/>
    <w:rsid w:val="001105E3"/>
    <w:rsid w:val="00110CD4"/>
    <w:rsid w:val="00110D8E"/>
    <w:rsid w:val="00110DBD"/>
    <w:rsid w:val="00110E3F"/>
    <w:rsid w:val="0011107E"/>
    <w:rsid w:val="001111D6"/>
    <w:rsid w:val="00111854"/>
    <w:rsid w:val="00111B10"/>
    <w:rsid w:val="00111C37"/>
    <w:rsid w:val="0011207C"/>
    <w:rsid w:val="0011215F"/>
    <w:rsid w:val="00112229"/>
    <w:rsid w:val="0011222A"/>
    <w:rsid w:val="00112259"/>
    <w:rsid w:val="001123F7"/>
    <w:rsid w:val="0011242C"/>
    <w:rsid w:val="001124DC"/>
    <w:rsid w:val="0011258B"/>
    <w:rsid w:val="00112802"/>
    <w:rsid w:val="00112D58"/>
    <w:rsid w:val="001132F5"/>
    <w:rsid w:val="00113596"/>
    <w:rsid w:val="00113C33"/>
    <w:rsid w:val="00113FB1"/>
    <w:rsid w:val="00114193"/>
    <w:rsid w:val="001141A3"/>
    <w:rsid w:val="001143D1"/>
    <w:rsid w:val="00114521"/>
    <w:rsid w:val="001145D9"/>
    <w:rsid w:val="00114749"/>
    <w:rsid w:val="001147AA"/>
    <w:rsid w:val="00114872"/>
    <w:rsid w:val="00114ACE"/>
    <w:rsid w:val="00114E1C"/>
    <w:rsid w:val="001153EC"/>
    <w:rsid w:val="00115508"/>
    <w:rsid w:val="00115FCA"/>
    <w:rsid w:val="00115FE9"/>
    <w:rsid w:val="00116032"/>
    <w:rsid w:val="00116990"/>
    <w:rsid w:val="00116BB5"/>
    <w:rsid w:val="00116C56"/>
    <w:rsid w:val="00116D4E"/>
    <w:rsid w:val="00117649"/>
    <w:rsid w:val="00117E1E"/>
    <w:rsid w:val="00117EBD"/>
    <w:rsid w:val="00117F45"/>
    <w:rsid w:val="001202C8"/>
    <w:rsid w:val="00120302"/>
    <w:rsid w:val="0012037D"/>
    <w:rsid w:val="001207DB"/>
    <w:rsid w:val="0012092B"/>
    <w:rsid w:val="00120A58"/>
    <w:rsid w:val="00120BC6"/>
    <w:rsid w:val="00120D93"/>
    <w:rsid w:val="00120EC7"/>
    <w:rsid w:val="00121415"/>
    <w:rsid w:val="0012181B"/>
    <w:rsid w:val="00121920"/>
    <w:rsid w:val="00121AFA"/>
    <w:rsid w:val="00121FF1"/>
    <w:rsid w:val="001224E9"/>
    <w:rsid w:val="00122516"/>
    <w:rsid w:val="001225F6"/>
    <w:rsid w:val="00122BAF"/>
    <w:rsid w:val="00122C81"/>
    <w:rsid w:val="00123407"/>
    <w:rsid w:val="00123A7F"/>
    <w:rsid w:val="00123EE5"/>
    <w:rsid w:val="0012411C"/>
    <w:rsid w:val="00124227"/>
    <w:rsid w:val="00124312"/>
    <w:rsid w:val="00124737"/>
    <w:rsid w:val="00124886"/>
    <w:rsid w:val="00124CFE"/>
    <w:rsid w:val="00124E38"/>
    <w:rsid w:val="00124EAC"/>
    <w:rsid w:val="00124F3F"/>
    <w:rsid w:val="0012502D"/>
    <w:rsid w:val="00125474"/>
    <w:rsid w:val="001257FA"/>
    <w:rsid w:val="00125903"/>
    <w:rsid w:val="00125970"/>
    <w:rsid w:val="00125E37"/>
    <w:rsid w:val="00125F65"/>
    <w:rsid w:val="00126041"/>
    <w:rsid w:val="001260D3"/>
    <w:rsid w:val="0012610C"/>
    <w:rsid w:val="00126354"/>
    <w:rsid w:val="001266C3"/>
    <w:rsid w:val="001269A0"/>
    <w:rsid w:val="00126CF1"/>
    <w:rsid w:val="001272D4"/>
    <w:rsid w:val="00127315"/>
    <w:rsid w:val="0012773A"/>
    <w:rsid w:val="0012780C"/>
    <w:rsid w:val="001279B7"/>
    <w:rsid w:val="00127AC5"/>
    <w:rsid w:val="00127C91"/>
    <w:rsid w:val="00127D9A"/>
    <w:rsid w:val="00127E71"/>
    <w:rsid w:val="00127F12"/>
    <w:rsid w:val="0013002A"/>
    <w:rsid w:val="001302E5"/>
    <w:rsid w:val="00130586"/>
    <w:rsid w:val="00130620"/>
    <w:rsid w:val="0013074E"/>
    <w:rsid w:val="00130934"/>
    <w:rsid w:val="0013093D"/>
    <w:rsid w:val="001309DC"/>
    <w:rsid w:val="00130C5C"/>
    <w:rsid w:val="00130CFB"/>
    <w:rsid w:val="00130D01"/>
    <w:rsid w:val="00131568"/>
    <w:rsid w:val="001315AB"/>
    <w:rsid w:val="001315E6"/>
    <w:rsid w:val="00131817"/>
    <w:rsid w:val="00131B64"/>
    <w:rsid w:val="00131D60"/>
    <w:rsid w:val="00131DEA"/>
    <w:rsid w:val="00132412"/>
    <w:rsid w:val="001326ED"/>
    <w:rsid w:val="001329FF"/>
    <w:rsid w:val="00132AD4"/>
    <w:rsid w:val="00132F60"/>
    <w:rsid w:val="00133151"/>
    <w:rsid w:val="0013317C"/>
    <w:rsid w:val="00133287"/>
    <w:rsid w:val="00133293"/>
    <w:rsid w:val="001332B6"/>
    <w:rsid w:val="0013351F"/>
    <w:rsid w:val="001337DB"/>
    <w:rsid w:val="00133B3F"/>
    <w:rsid w:val="001344E3"/>
    <w:rsid w:val="00134861"/>
    <w:rsid w:val="00134D19"/>
    <w:rsid w:val="00134E81"/>
    <w:rsid w:val="00135332"/>
    <w:rsid w:val="00135440"/>
    <w:rsid w:val="001355A6"/>
    <w:rsid w:val="001358D5"/>
    <w:rsid w:val="00135C31"/>
    <w:rsid w:val="00135C7A"/>
    <w:rsid w:val="00135DA4"/>
    <w:rsid w:val="00135F01"/>
    <w:rsid w:val="001363AB"/>
    <w:rsid w:val="001363FE"/>
    <w:rsid w:val="00136447"/>
    <w:rsid w:val="001366CB"/>
    <w:rsid w:val="00136A63"/>
    <w:rsid w:val="00136FAC"/>
    <w:rsid w:val="00137105"/>
    <w:rsid w:val="00137127"/>
    <w:rsid w:val="001371C2"/>
    <w:rsid w:val="0013733D"/>
    <w:rsid w:val="00137362"/>
    <w:rsid w:val="00137649"/>
    <w:rsid w:val="00137660"/>
    <w:rsid w:val="001377AA"/>
    <w:rsid w:val="00140137"/>
    <w:rsid w:val="001401B7"/>
    <w:rsid w:val="00140247"/>
    <w:rsid w:val="00140295"/>
    <w:rsid w:val="00140447"/>
    <w:rsid w:val="00140A5C"/>
    <w:rsid w:val="00140C50"/>
    <w:rsid w:val="001415CB"/>
    <w:rsid w:val="00141754"/>
    <w:rsid w:val="001418BB"/>
    <w:rsid w:val="001418EF"/>
    <w:rsid w:val="00141959"/>
    <w:rsid w:val="00141A77"/>
    <w:rsid w:val="00141ABF"/>
    <w:rsid w:val="00141D34"/>
    <w:rsid w:val="00141D62"/>
    <w:rsid w:val="0014207E"/>
    <w:rsid w:val="0014208A"/>
    <w:rsid w:val="0014224A"/>
    <w:rsid w:val="00142332"/>
    <w:rsid w:val="00142379"/>
    <w:rsid w:val="00143D87"/>
    <w:rsid w:val="0014436E"/>
    <w:rsid w:val="0014449E"/>
    <w:rsid w:val="00144AFC"/>
    <w:rsid w:val="00144BAF"/>
    <w:rsid w:val="00145092"/>
    <w:rsid w:val="001450DB"/>
    <w:rsid w:val="001450E0"/>
    <w:rsid w:val="001454FE"/>
    <w:rsid w:val="001459C2"/>
    <w:rsid w:val="00145BA9"/>
    <w:rsid w:val="00145BDD"/>
    <w:rsid w:val="00145CA6"/>
    <w:rsid w:val="00145E8C"/>
    <w:rsid w:val="0014608E"/>
    <w:rsid w:val="00146106"/>
    <w:rsid w:val="00146487"/>
    <w:rsid w:val="001465C7"/>
    <w:rsid w:val="00146621"/>
    <w:rsid w:val="00146858"/>
    <w:rsid w:val="00146989"/>
    <w:rsid w:val="00146BD0"/>
    <w:rsid w:val="00146BDB"/>
    <w:rsid w:val="00146CC0"/>
    <w:rsid w:val="00146E6F"/>
    <w:rsid w:val="00146EEB"/>
    <w:rsid w:val="00146F69"/>
    <w:rsid w:val="001477F5"/>
    <w:rsid w:val="001479C1"/>
    <w:rsid w:val="00147BC6"/>
    <w:rsid w:val="00147F7C"/>
    <w:rsid w:val="00150097"/>
    <w:rsid w:val="001503CB"/>
    <w:rsid w:val="00150674"/>
    <w:rsid w:val="0015078F"/>
    <w:rsid w:val="001508D0"/>
    <w:rsid w:val="00150BB9"/>
    <w:rsid w:val="00150FF8"/>
    <w:rsid w:val="0015105E"/>
    <w:rsid w:val="001510CE"/>
    <w:rsid w:val="00151712"/>
    <w:rsid w:val="00151A54"/>
    <w:rsid w:val="00151C5A"/>
    <w:rsid w:val="00151CB3"/>
    <w:rsid w:val="00151CE1"/>
    <w:rsid w:val="00151E2A"/>
    <w:rsid w:val="001521F8"/>
    <w:rsid w:val="0015274C"/>
    <w:rsid w:val="00152B3F"/>
    <w:rsid w:val="00152FF0"/>
    <w:rsid w:val="0015315A"/>
    <w:rsid w:val="0015329D"/>
    <w:rsid w:val="00153873"/>
    <w:rsid w:val="001539AF"/>
    <w:rsid w:val="0015402B"/>
    <w:rsid w:val="001540D6"/>
    <w:rsid w:val="00154169"/>
    <w:rsid w:val="001549DA"/>
    <w:rsid w:val="00154A76"/>
    <w:rsid w:val="00154B1D"/>
    <w:rsid w:val="00154BC3"/>
    <w:rsid w:val="001557AB"/>
    <w:rsid w:val="001558A5"/>
    <w:rsid w:val="00155A59"/>
    <w:rsid w:val="00155C74"/>
    <w:rsid w:val="00155DC6"/>
    <w:rsid w:val="00155E83"/>
    <w:rsid w:val="00156245"/>
    <w:rsid w:val="00156593"/>
    <w:rsid w:val="0015668B"/>
    <w:rsid w:val="0015683D"/>
    <w:rsid w:val="001571FF"/>
    <w:rsid w:val="00157917"/>
    <w:rsid w:val="00157B3A"/>
    <w:rsid w:val="00157D7D"/>
    <w:rsid w:val="00157F60"/>
    <w:rsid w:val="00160117"/>
    <w:rsid w:val="001601DD"/>
    <w:rsid w:val="001604C7"/>
    <w:rsid w:val="00160637"/>
    <w:rsid w:val="001606F0"/>
    <w:rsid w:val="00160A56"/>
    <w:rsid w:val="00160A6A"/>
    <w:rsid w:val="00160C9D"/>
    <w:rsid w:val="00160D07"/>
    <w:rsid w:val="001612AC"/>
    <w:rsid w:val="00161414"/>
    <w:rsid w:val="00161647"/>
    <w:rsid w:val="001616D3"/>
    <w:rsid w:val="00161BAA"/>
    <w:rsid w:val="0016202F"/>
    <w:rsid w:val="0016209C"/>
    <w:rsid w:val="00162172"/>
    <w:rsid w:val="001624CD"/>
    <w:rsid w:val="001624E7"/>
    <w:rsid w:val="001625AC"/>
    <w:rsid w:val="00162A5B"/>
    <w:rsid w:val="00162C13"/>
    <w:rsid w:val="00162E7C"/>
    <w:rsid w:val="00163110"/>
    <w:rsid w:val="0016311A"/>
    <w:rsid w:val="00163361"/>
    <w:rsid w:val="001638AA"/>
    <w:rsid w:val="00163CD6"/>
    <w:rsid w:val="00163DB6"/>
    <w:rsid w:val="001640ED"/>
    <w:rsid w:val="00164191"/>
    <w:rsid w:val="001641AF"/>
    <w:rsid w:val="00164435"/>
    <w:rsid w:val="001645D8"/>
    <w:rsid w:val="001645E1"/>
    <w:rsid w:val="001645F6"/>
    <w:rsid w:val="00164672"/>
    <w:rsid w:val="001648F6"/>
    <w:rsid w:val="00164BD3"/>
    <w:rsid w:val="00164BE4"/>
    <w:rsid w:val="001650E9"/>
    <w:rsid w:val="001654A4"/>
    <w:rsid w:val="00165586"/>
    <w:rsid w:val="0016565F"/>
    <w:rsid w:val="00165698"/>
    <w:rsid w:val="00165D5C"/>
    <w:rsid w:val="00165D5D"/>
    <w:rsid w:val="00165F4D"/>
    <w:rsid w:val="001660A4"/>
    <w:rsid w:val="001662C7"/>
    <w:rsid w:val="001665A4"/>
    <w:rsid w:val="00166637"/>
    <w:rsid w:val="00166661"/>
    <w:rsid w:val="001667F5"/>
    <w:rsid w:val="0016696F"/>
    <w:rsid w:val="00166FA7"/>
    <w:rsid w:val="00167041"/>
    <w:rsid w:val="00167059"/>
    <w:rsid w:val="00167251"/>
    <w:rsid w:val="001672E3"/>
    <w:rsid w:val="00167521"/>
    <w:rsid w:val="001675C0"/>
    <w:rsid w:val="00167726"/>
    <w:rsid w:val="00167882"/>
    <w:rsid w:val="0016797D"/>
    <w:rsid w:val="00167A3B"/>
    <w:rsid w:val="00167AFA"/>
    <w:rsid w:val="00167BC3"/>
    <w:rsid w:val="00170024"/>
    <w:rsid w:val="00170060"/>
    <w:rsid w:val="001701CB"/>
    <w:rsid w:val="001704B9"/>
    <w:rsid w:val="00170B2F"/>
    <w:rsid w:val="00170DEA"/>
    <w:rsid w:val="00170F54"/>
    <w:rsid w:val="0017146B"/>
    <w:rsid w:val="00171879"/>
    <w:rsid w:val="00171A7A"/>
    <w:rsid w:val="00171B37"/>
    <w:rsid w:val="00171ED1"/>
    <w:rsid w:val="00171FFB"/>
    <w:rsid w:val="00172112"/>
    <w:rsid w:val="00172176"/>
    <w:rsid w:val="00172A20"/>
    <w:rsid w:val="00172A2D"/>
    <w:rsid w:val="00172C31"/>
    <w:rsid w:val="00172EFD"/>
    <w:rsid w:val="001730FC"/>
    <w:rsid w:val="00173266"/>
    <w:rsid w:val="0017328C"/>
    <w:rsid w:val="00173432"/>
    <w:rsid w:val="001734E1"/>
    <w:rsid w:val="00173CF3"/>
    <w:rsid w:val="00173DFA"/>
    <w:rsid w:val="0017409C"/>
    <w:rsid w:val="001742E3"/>
    <w:rsid w:val="001743F2"/>
    <w:rsid w:val="00174463"/>
    <w:rsid w:val="001745AD"/>
    <w:rsid w:val="00174B88"/>
    <w:rsid w:val="00174CA0"/>
    <w:rsid w:val="00174CC7"/>
    <w:rsid w:val="001750AE"/>
    <w:rsid w:val="001750D4"/>
    <w:rsid w:val="00175106"/>
    <w:rsid w:val="00175195"/>
    <w:rsid w:val="0017526E"/>
    <w:rsid w:val="001752EE"/>
    <w:rsid w:val="001759C8"/>
    <w:rsid w:val="0017616F"/>
    <w:rsid w:val="00176485"/>
    <w:rsid w:val="0017664D"/>
    <w:rsid w:val="0017685F"/>
    <w:rsid w:val="00176A2A"/>
    <w:rsid w:val="00176C41"/>
    <w:rsid w:val="001772BB"/>
    <w:rsid w:val="00177317"/>
    <w:rsid w:val="001775DA"/>
    <w:rsid w:val="00177710"/>
    <w:rsid w:val="00177908"/>
    <w:rsid w:val="00177B67"/>
    <w:rsid w:val="00177DEB"/>
    <w:rsid w:val="00180228"/>
    <w:rsid w:val="0018047D"/>
    <w:rsid w:val="00180699"/>
    <w:rsid w:val="00180860"/>
    <w:rsid w:val="00180BF4"/>
    <w:rsid w:val="00180C36"/>
    <w:rsid w:val="001815E2"/>
    <w:rsid w:val="00181AD9"/>
    <w:rsid w:val="00181B47"/>
    <w:rsid w:val="00181D4E"/>
    <w:rsid w:val="00181EC3"/>
    <w:rsid w:val="00181EEA"/>
    <w:rsid w:val="001821B4"/>
    <w:rsid w:val="00182383"/>
    <w:rsid w:val="001825F9"/>
    <w:rsid w:val="00182824"/>
    <w:rsid w:val="00182A19"/>
    <w:rsid w:val="00182EFB"/>
    <w:rsid w:val="00183189"/>
    <w:rsid w:val="00183775"/>
    <w:rsid w:val="00183BD9"/>
    <w:rsid w:val="00184309"/>
    <w:rsid w:val="0018433F"/>
    <w:rsid w:val="001843E6"/>
    <w:rsid w:val="0018469E"/>
    <w:rsid w:val="001849FC"/>
    <w:rsid w:val="0018540F"/>
    <w:rsid w:val="00185664"/>
    <w:rsid w:val="0018589D"/>
    <w:rsid w:val="0018592C"/>
    <w:rsid w:val="00185AE4"/>
    <w:rsid w:val="00185B12"/>
    <w:rsid w:val="00185B33"/>
    <w:rsid w:val="00185C36"/>
    <w:rsid w:val="001862AD"/>
    <w:rsid w:val="001862DE"/>
    <w:rsid w:val="00186575"/>
    <w:rsid w:val="0018660F"/>
    <w:rsid w:val="00186BA3"/>
    <w:rsid w:val="00186D45"/>
    <w:rsid w:val="001870EE"/>
    <w:rsid w:val="0018727C"/>
    <w:rsid w:val="001877FA"/>
    <w:rsid w:val="001879D4"/>
    <w:rsid w:val="00187CE1"/>
    <w:rsid w:val="00187CF1"/>
    <w:rsid w:val="00187DE5"/>
    <w:rsid w:val="00187DF8"/>
    <w:rsid w:val="00187F64"/>
    <w:rsid w:val="001909DD"/>
    <w:rsid w:val="001909F2"/>
    <w:rsid w:val="00190AD6"/>
    <w:rsid w:val="00190BFE"/>
    <w:rsid w:val="00191395"/>
    <w:rsid w:val="0019174A"/>
    <w:rsid w:val="001917D3"/>
    <w:rsid w:val="00191DA5"/>
    <w:rsid w:val="00191F5A"/>
    <w:rsid w:val="0019219E"/>
    <w:rsid w:val="00192212"/>
    <w:rsid w:val="001924F0"/>
    <w:rsid w:val="0019253E"/>
    <w:rsid w:val="00192C1F"/>
    <w:rsid w:val="00192C40"/>
    <w:rsid w:val="00192CB9"/>
    <w:rsid w:val="00192DCC"/>
    <w:rsid w:val="0019338A"/>
    <w:rsid w:val="00193507"/>
    <w:rsid w:val="00193571"/>
    <w:rsid w:val="0019387B"/>
    <w:rsid w:val="00193C61"/>
    <w:rsid w:val="00193CC8"/>
    <w:rsid w:val="00193DD5"/>
    <w:rsid w:val="00193E65"/>
    <w:rsid w:val="00193F92"/>
    <w:rsid w:val="00193F94"/>
    <w:rsid w:val="00194163"/>
    <w:rsid w:val="001948B0"/>
    <w:rsid w:val="00194A6D"/>
    <w:rsid w:val="00194B3C"/>
    <w:rsid w:val="00194BB3"/>
    <w:rsid w:val="00194DFF"/>
    <w:rsid w:val="00194E5A"/>
    <w:rsid w:val="00195134"/>
    <w:rsid w:val="001951FA"/>
    <w:rsid w:val="001952EF"/>
    <w:rsid w:val="001953BE"/>
    <w:rsid w:val="0019553E"/>
    <w:rsid w:val="00195608"/>
    <w:rsid w:val="001956CF"/>
    <w:rsid w:val="00195BD1"/>
    <w:rsid w:val="00195C08"/>
    <w:rsid w:val="00195CEA"/>
    <w:rsid w:val="00195F84"/>
    <w:rsid w:val="0019604E"/>
    <w:rsid w:val="00196265"/>
    <w:rsid w:val="001963EE"/>
    <w:rsid w:val="00196675"/>
    <w:rsid w:val="00196719"/>
    <w:rsid w:val="0019686B"/>
    <w:rsid w:val="00196D74"/>
    <w:rsid w:val="00197655"/>
    <w:rsid w:val="00197966"/>
    <w:rsid w:val="00197B95"/>
    <w:rsid w:val="00197C4E"/>
    <w:rsid w:val="00197E1E"/>
    <w:rsid w:val="00197F93"/>
    <w:rsid w:val="001A0005"/>
    <w:rsid w:val="001A01CD"/>
    <w:rsid w:val="001A02EE"/>
    <w:rsid w:val="001A06B2"/>
    <w:rsid w:val="001A0871"/>
    <w:rsid w:val="001A08A8"/>
    <w:rsid w:val="001A0E9C"/>
    <w:rsid w:val="001A1217"/>
    <w:rsid w:val="001A1471"/>
    <w:rsid w:val="001A15A6"/>
    <w:rsid w:val="001A1AC9"/>
    <w:rsid w:val="001A1BD8"/>
    <w:rsid w:val="001A1D3A"/>
    <w:rsid w:val="001A1DDB"/>
    <w:rsid w:val="001A1FF4"/>
    <w:rsid w:val="001A2481"/>
    <w:rsid w:val="001A258B"/>
    <w:rsid w:val="001A2A2D"/>
    <w:rsid w:val="001A2B26"/>
    <w:rsid w:val="001A2D30"/>
    <w:rsid w:val="001A2E8A"/>
    <w:rsid w:val="001A30E3"/>
    <w:rsid w:val="001A31D8"/>
    <w:rsid w:val="001A32A2"/>
    <w:rsid w:val="001A355A"/>
    <w:rsid w:val="001A35F0"/>
    <w:rsid w:val="001A387C"/>
    <w:rsid w:val="001A3CC4"/>
    <w:rsid w:val="001A3E69"/>
    <w:rsid w:val="001A42C9"/>
    <w:rsid w:val="001A446B"/>
    <w:rsid w:val="001A4503"/>
    <w:rsid w:val="001A46D5"/>
    <w:rsid w:val="001A4BDE"/>
    <w:rsid w:val="001A4F8C"/>
    <w:rsid w:val="001A573B"/>
    <w:rsid w:val="001A5948"/>
    <w:rsid w:val="001A60F6"/>
    <w:rsid w:val="001A6657"/>
    <w:rsid w:val="001A68F2"/>
    <w:rsid w:val="001A6AEF"/>
    <w:rsid w:val="001A6E1D"/>
    <w:rsid w:val="001A6E1F"/>
    <w:rsid w:val="001A6F42"/>
    <w:rsid w:val="001A704F"/>
    <w:rsid w:val="001A71DB"/>
    <w:rsid w:val="001A7925"/>
    <w:rsid w:val="001A7C99"/>
    <w:rsid w:val="001A7F11"/>
    <w:rsid w:val="001B007F"/>
    <w:rsid w:val="001B0085"/>
    <w:rsid w:val="001B01D8"/>
    <w:rsid w:val="001B0471"/>
    <w:rsid w:val="001B07F7"/>
    <w:rsid w:val="001B0E47"/>
    <w:rsid w:val="001B0EF1"/>
    <w:rsid w:val="001B1642"/>
    <w:rsid w:val="001B186D"/>
    <w:rsid w:val="001B1C6F"/>
    <w:rsid w:val="001B1CB9"/>
    <w:rsid w:val="001B1E0B"/>
    <w:rsid w:val="001B2087"/>
    <w:rsid w:val="001B2227"/>
    <w:rsid w:val="001B2749"/>
    <w:rsid w:val="001B288C"/>
    <w:rsid w:val="001B294D"/>
    <w:rsid w:val="001B2AA6"/>
    <w:rsid w:val="001B2FC9"/>
    <w:rsid w:val="001B3167"/>
    <w:rsid w:val="001B31EB"/>
    <w:rsid w:val="001B333E"/>
    <w:rsid w:val="001B33E0"/>
    <w:rsid w:val="001B344B"/>
    <w:rsid w:val="001B3595"/>
    <w:rsid w:val="001B35F8"/>
    <w:rsid w:val="001B35FA"/>
    <w:rsid w:val="001B3A31"/>
    <w:rsid w:val="001B43EE"/>
    <w:rsid w:val="001B480F"/>
    <w:rsid w:val="001B4AFE"/>
    <w:rsid w:val="001B54C7"/>
    <w:rsid w:val="001B55CB"/>
    <w:rsid w:val="001B5849"/>
    <w:rsid w:val="001B590D"/>
    <w:rsid w:val="001B5ADD"/>
    <w:rsid w:val="001B5B1E"/>
    <w:rsid w:val="001B5C3C"/>
    <w:rsid w:val="001B5D6D"/>
    <w:rsid w:val="001B636E"/>
    <w:rsid w:val="001B663C"/>
    <w:rsid w:val="001B6C3A"/>
    <w:rsid w:val="001B6D4E"/>
    <w:rsid w:val="001B7670"/>
    <w:rsid w:val="001B7817"/>
    <w:rsid w:val="001B7BDF"/>
    <w:rsid w:val="001B7D83"/>
    <w:rsid w:val="001B7DB1"/>
    <w:rsid w:val="001B7EBD"/>
    <w:rsid w:val="001B7EEF"/>
    <w:rsid w:val="001B7FEA"/>
    <w:rsid w:val="001C004A"/>
    <w:rsid w:val="001C0237"/>
    <w:rsid w:val="001C02CC"/>
    <w:rsid w:val="001C0372"/>
    <w:rsid w:val="001C052A"/>
    <w:rsid w:val="001C05FF"/>
    <w:rsid w:val="001C07DF"/>
    <w:rsid w:val="001C0AAF"/>
    <w:rsid w:val="001C0DA8"/>
    <w:rsid w:val="001C0DDC"/>
    <w:rsid w:val="001C0E03"/>
    <w:rsid w:val="001C0E78"/>
    <w:rsid w:val="001C134C"/>
    <w:rsid w:val="001C1366"/>
    <w:rsid w:val="001C13BC"/>
    <w:rsid w:val="001C1612"/>
    <w:rsid w:val="001C1C41"/>
    <w:rsid w:val="001C1FD9"/>
    <w:rsid w:val="001C277E"/>
    <w:rsid w:val="001C290D"/>
    <w:rsid w:val="001C2DBC"/>
    <w:rsid w:val="001C3223"/>
    <w:rsid w:val="001C3387"/>
    <w:rsid w:val="001C34D1"/>
    <w:rsid w:val="001C34EA"/>
    <w:rsid w:val="001C3736"/>
    <w:rsid w:val="001C38AD"/>
    <w:rsid w:val="001C3975"/>
    <w:rsid w:val="001C3A52"/>
    <w:rsid w:val="001C3AF8"/>
    <w:rsid w:val="001C3CE2"/>
    <w:rsid w:val="001C4087"/>
    <w:rsid w:val="001C41D2"/>
    <w:rsid w:val="001C441F"/>
    <w:rsid w:val="001C4AAF"/>
    <w:rsid w:val="001C4B87"/>
    <w:rsid w:val="001C4ED6"/>
    <w:rsid w:val="001C53D5"/>
    <w:rsid w:val="001C5477"/>
    <w:rsid w:val="001C5AE6"/>
    <w:rsid w:val="001C5F7E"/>
    <w:rsid w:val="001C5FF3"/>
    <w:rsid w:val="001C617B"/>
    <w:rsid w:val="001C638E"/>
    <w:rsid w:val="001C6511"/>
    <w:rsid w:val="001C65B0"/>
    <w:rsid w:val="001C66C7"/>
    <w:rsid w:val="001C6D5F"/>
    <w:rsid w:val="001C6E31"/>
    <w:rsid w:val="001C6ECE"/>
    <w:rsid w:val="001C7179"/>
    <w:rsid w:val="001C726F"/>
    <w:rsid w:val="001C75BF"/>
    <w:rsid w:val="001C775C"/>
    <w:rsid w:val="001C77E3"/>
    <w:rsid w:val="001C7999"/>
    <w:rsid w:val="001C7B70"/>
    <w:rsid w:val="001C7EE9"/>
    <w:rsid w:val="001C7F36"/>
    <w:rsid w:val="001D0151"/>
    <w:rsid w:val="001D0181"/>
    <w:rsid w:val="001D0374"/>
    <w:rsid w:val="001D03DF"/>
    <w:rsid w:val="001D0742"/>
    <w:rsid w:val="001D0A65"/>
    <w:rsid w:val="001D0C53"/>
    <w:rsid w:val="001D0CCE"/>
    <w:rsid w:val="001D0DBD"/>
    <w:rsid w:val="001D122B"/>
    <w:rsid w:val="001D124B"/>
    <w:rsid w:val="001D12F6"/>
    <w:rsid w:val="001D1814"/>
    <w:rsid w:val="001D19F7"/>
    <w:rsid w:val="001D1B43"/>
    <w:rsid w:val="001D1F04"/>
    <w:rsid w:val="001D1F91"/>
    <w:rsid w:val="001D2209"/>
    <w:rsid w:val="001D2442"/>
    <w:rsid w:val="001D2547"/>
    <w:rsid w:val="001D262C"/>
    <w:rsid w:val="001D262E"/>
    <w:rsid w:val="001D2AE7"/>
    <w:rsid w:val="001D2E14"/>
    <w:rsid w:val="001D31D3"/>
    <w:rsid w:val="001D32C3"/>
    <w:rsid w:val="001D32CB"/>
    <w:rsid w:val="001D365C"/>
    <w:rsid w:val="001D37C9"/>
    <w:rsid w:val="001D388B"/>
    <w:rsid w:val="001D38E8"/>
    <w:rsid w:val="001D39F4"/>
    <w:rsid w:val="001D3CC7"/>
    <w:rsid w:val="001D3E37"/>
    <w:rsid w:val="001D3F33"/>
    <w:rsid w:val="001D4000"/>
    <w:rsid w:val="001D4035"/>
    <w:rsid w:val="001D4145"/>
    <w:rsid w:val="001D43E4"/>
    <w:rsid w:val="001D456B"/>
    <w:rsid w:val="001D47EF"/>
    <w:rsid w:val="001D4C58"/>
    <w:rsid w:val="001D4D1B"/>
    <w:rsid w:val="001D523D"/>
    <w:rsid w:val="001D5292"/>
    <w:rsid w:val="001D52CB"/>
    <w:rsid w:val="001D538C"/>
    <w:rsid w:val="001D55FE"/>
    <w:rsid w:val="001D560E"/>
    <w:rsid w:val="001D5BFF"/>
    <w:rsid w:val="001D5D49"/>
    <w:rsid w:val="001D5E76"/>
    <w:rsid w:val="001D5ED1"/>
    <w:rsid w:val="001D63E6"/>
    <w:rsid w:val="001D6547"/>
    <w:rsid w:val="001D69AB"/>
    <w:rsid w:val="001D6C84"/>
    <w:rsid w:val="001D6C8F"/>
    <w:rsid w:val="001D6D1B"/>
    <w:rsid w:val="001D7489"/>
    <w:rsid w:val="001D75D3"/>
    <w:rsid w:val="001D7638"/>
    <w:rsid w:val="001D783B"/>
    <w:rsid w:val="001D7971"/>
    <w:rsid w:val="001D7F8D"/>
    <w:rsid w:val="001D7FE6"/>
    <w:rsid w:val="001E0099"/>
    <w:rsid w:val="001E0180"/>
    <w:rsid w:val="001E0417"/>
    <w:rsid w:val="001E052B"/>
    <w:rsid w:val="001E052E"/>
    <w:rsid w:val="001E0584"/>
    <w:rsid w:val="001E0DA0"/>
    <w:rsid w:val="001E0E3D"/>
    <w:rsid w:val="001E0EA2"/>
    <w:rsid w:val="001E113C"/>
    <w:rsid w:val="001E1157"/>
    <w:rsid w:val="001E1263"/>
    <w:rsid w:val="001E137A"/>
    <w:rsid w:val="001E19D7"/>
    <w:rsid w:val="001E1CBD"/>
    <w:rsid w:val="001E2328"/>
    <w:rsid w:val="001E2629"/>
    <w:rsid w:val="001E2675"/>
    <w:rsid w:val="001E28E2"/>
    <w:rsid w:val="001E2EE0"/>
    <w:rsid w:val="001E2F94"/>
    <w:rsid w:val="001E3253"/>
    <w:rsid w:val="001E344E"/>
    <w:rsid w:val="001E36F6"/>
    <w:rsid w:val="001E3A84"/>
    <w:rsid w:val="001E3ACA"/>
    <w:rsid w:val="001E3E6B"/>
    <w:rsid w:val="001E4597"/>
    <w:rsid w:val="001E48FD"/>
    <w:rsid w:val="001E497E"/>
    <w:rsid w:val="001E4D83"/>
    <w:rsid w:val="001E4E48"/>
    <w:rsid w:val="001E4ECD"/>
    <w:rsid w:val="001E53BB"/>
    <w:rsid w:val="001E545F"/>
    <w:rsid w:val="001E56B4"/>
    <w:rsid w:val="001E56F3"/>
    <w:rsid w:val="001E57C7"/>
    <w:rsid w:val="001E57CA"/>
    <w:rsid w:val="001E57D1"/>
    <w:rsid w:val="001E580B"/>
    <w:rsid w:val="001E5B71"/>
    <w:rsid w:val="001E5DFB"/>
    <w:rsid w:val="001E5FB9"/>
    <w:rsid w:val="001E5FEF"/>
    <w:rsid w:val="001E6079"/>
    <w:rsid w:val="001E61B3"/>
    <w:rsid w:val="001E61EA"/>
    <w:rsid w:val="001E624B"/>
    <w:rsid w:val="001E6400"/>
    <w:rsid w:val="001E65DA"/>
    <w:rsid w:val="001E685E"/>
    <w:rsid w:val="001E6D38"/>
    <w:rsid w:val="001E6D41"/>
    <w:rsid w:val="001E6E84"/>
    <w:rsid w:val="001E724F"/>
    <w:rsid w:val="001E73B3"/>
    <w:rsid w:val="001E776A"/>
    <w:rsid w:val="001E7CC6"/>
    <w:rsid w:val="001F00E0"/>
    <w:rsid w:val="001F0192"/>
    <w:rsid w:val="001F03AD"/>
    <w:rsid w:val="001F0732"/>
    <w:rsid w:val="001F0765"/>
    <w:rsid w:val="001F0785"/>
    <w:rsid w:val="001F09C2"/>
    <w:rsid w:val="001F09C9"/>
    <w:rsid w:val="001F0ADC"/>
    <w:rsid w:val="001F0C61"/>
    <w:rsid w:val="001F0F1A"/>
    <w:rsid w:val="001F151A"/>
    <w:rsid w:val="001F16D9"/>
    <w:rsid w:val="001F1980"/>
    <w:rsid w:val="001F1BA0"/>
    <w:rsid w:val="001F1FED"/>
    <w:rsid w:val="001F22C4"/>
    <w:rsid w:val="001F254E"/>
    <w:rsid w:val="001F25D6"/>
    <w:rsid w:val="001F26E6"/>
    <w:rsid w:val="001F2E95"/>
    <w:rsid w:val="001F3028"/>
    <w:rsid w:val="001F30BE"/>
    <w:rsid w:val="001F30D4"/>
    <w:rsid w:val="001F3245"/>
    <w:rsid w:val="001F3282"/>
    <w:rsid w:val="001F3333"/>
    <w:rsid w:val="001F3352"/>
    <w:rsid w:val="001F3719"/>
    <w:rsid w:val="001F3B7A"/>
    <w:rsid w:val="001F3C51"/>
    <w:rsid w:val="001F3C75"/>
    <w:rsid w:val="001F4E7F"/>
    <w:rsid w:val="001F5084"/>
    <w:rsid w:val="001F508A"/>
    <w:rsid w:val="001F517D"/>
    <w:rsid w:val="001F51D3"/>
    <w:rsid w:val="001F56DE"/>
    <w:rsid w:val="001F5AFF"/>
    <w:rsid w:val="001F5DCD"/>
    <w:rsid w:val="001F5FBC"/>
    <w:rsid w:val="001F63AD"/>
    <w:rsid w:val="001F6708"/>
    <w:rsid w:val="001F6793"/>
    <w:rsid w:val="001F6D03"/>
    <w:rsid w:val="001F6EAD"/>
    <w:rsid w:val="001F7189"/>
    <w:rsid w:val="001F7216"/>
    <w:rsid w:val="001F761B"/>
    <w:rsid w:val="001F78BC"/>
    <w:rsid w:val="001F7EB0"/>
    <w:rsid w:val="001F7EFB"/>
    <w:rsid w:val="001F7F4D"/>
    <w:rsid w:val="00200138"/>
    <w:rsid w:val="0020032D"/>
    <w:rsid w:val="00200726"/>
    <w:rsid w:val="00200D05"/>
    <w:rsid w:val="00200F5D"/>
    <w:rsid w:val="00201038"/>
    <w:rsid w:val="0020105F"/>
    <w:rsid w:val="002010D2"/>
    <w:rsid w:val="00201944"/>
    <w:rsid w:val="00201BA9"/>
    <w:rsid w:val="00201BFE"/>
    <w:rsid w:val="00201C08"/>
    <w:rsid w:val="002020E0"/>
    <w:rsid w:val="00202565"/>
    <w:rsid w:val="00202A73"/>
    <w:rsid w:val="00202BF2"/>
    <w:rsid w:val="00203170"/>
    <w:rsid w:val="002033B8"/>
    <w:rsid w:val="00203473"/>
    <w:rsid w:val="00203559"/>
    <w:rsid w:val="002035FF"/>
    <w:rsid w:val="00203666"/>
    <w:rsid w:val="0020383C"/>
    <w:rsid w:val="00203B0E"/>
    <w:rsid w:val="00203B84"/>
    <w:rsid w:val="00203DE6"/>
    <w:rsid w:val="00204044"/>
    <w:rsid w:val="002040A7"/>
    <w:rsid w:val="002041F1"/>
    <w:rsid w:val="002046AE"/>
    <w:rsid w:val="002049FE"/>
    <w:rsid w:val="00205425"/>
    <w:rsid w:val="00205477"/>
    <w:rsid w:val="00205BFB"/>
    <w:rsid w:val="00205BFC"/>
    <w:rsid w:val="00205DC5"/>
    <w:rsid w:val="00205E13"/>
    <w:rsid w:val="00205EA4"/>
    <w:rsid w:val="00206340"/>
    <w:rsid w:val="002069F7"/>
    <w:rsid w:val="00206B78"/>
    <w:rsid w:val="00207068"/>
    <w:rsid w:val="00207105"/>
    <w:rsid w:val="00207119"/>
    <w:rsid w:val="00207168"/>
    <w:rsid w:val="00207229"/>
    <w:rsid w:val="00207378"/>
    <w:rsid w:val="002078A3"/>
    <w:rsid w:val="00207C40"/>
    <w:rsid w:val="00207D6A"/>
    <w:rsid w:val="00207F06"/>
    <w:rsid w:val="00210387"/>
    <w:rsid w:val="002103FB"/>
    <w:rsid w:val="0021047F"/>
    <w:rsid w:val="002106CA"/>
    <w:rsid w:val="00210BFA"/>
    <w:rsid w:val="00210DB9"/>
    <w:rsid w:val="0021147B"/>
    <w:rsid w:val="00211584"/>
    <w:rsid w:val="00211687"/>
    <w:rsid w:val="002117E2"/>
    <w:rsid w:val="002119AA"/>
    <w:rsid w:val="00211BDD"/>
    <w:rsid w:val="00212400"/>
    <w:rsid w:val="0021273C"/>
    <w:rsid w:val="0021285D"/>
    <w:rsid w:val="00212866"/>
    <w:rsid w:val="002129F3"/>
    <w:rsid w:val="00212A12"/>
    <w:rsid w:val="00212B38"/>
    <w:rsid w:val="00212E53"/>
    <w:rsid w:val="00212E5F"/>
    <w:rsid w:val="00212E87"/>
    <w:rsid w:val="002134F6"/>
    <w:rsid w:val="002135EF"/>
    <w:rsid w:val="00213751"/>
    <w:rsid w:val="0021385F"/>
    <w:rsid w:val="00213AF9"/>
    <w:rsid w:val="00213C32"/>
    <w:rsid w:val="00213C7D"/>
    <w:rsid w:val="00213EAE"/>
    <w:rsid w:val="00214033"/>
    <w:rsid w:val="00214102"/>
    <w:rsid w:val="00214106"/>
    <w:rsid w:val="002143A7"/>
    <w:rsid w:val="002149D5"/>
    <w:rsid w:val="00214F12"/>
    <w:rsid w:val="0021587A"/>
    <w:rsid w:val="00215B5B"/>
    <w:rsid w:val="00215E2A"/>
    <w:rsid w:val="00216123"/>
    <w:rsid w:val="0021619B"/>
    <w:rsid w:val="0021628B"/>
    <w:rsid w:val="002166D7"/>
    <w:rsid w:val="002167D4"/>
    <w:rsid w:val="002167EE"/>
    <w:rsid w:val="00216A0A"/>
    <w:rsid w:val="00216B87"/>
    <w:rsid w:val="00216F25"/>
    <w:rsid w:val="00217138"/>
    <w:rsid w:val="0021734B"/>
    <w:rsid w:val="002173FF"/>
    <w:rsid w:val="00217539"/>
    <w:rsid w:val="002177A5"/>
    <w:rsid w:val="00217833"/>
    <w:rsid w:val="00217D69"/>
    <w:rsid w:val="00217DE9"/>
    <w:rsid w:val="00217E0C"/>
    <w:rsid w:val="00217E67"/>
    <w:rsid w:val="00217E9F"/>
    <w:rsid w:val="00220068"/>
    <w:rsid w:val="00220604"/>
    <w:rsid w:val="00220B1C"/>
    <w:rsid w:val="00220BC4"/>
    <w:rsid w:val="00220FF7"/>
    <w:rsid w:val="00221158"/>
    <w:rsid w:val="002212F8"/>
    <w:rsid w:val="002213D2"/>
    <w:rsid w:val="00221593"/>
    <w:rsid w:val="00221655"/>
    <w:rsid w:val="002216CD"/>
    <w:rsid w:val="00221AB2"/>
    <w:rsid w:val="00221B6D"/>
    <w:rsid w:val="00221C16"/>
    <w:rsid w:val="00221E03"/>
    <w:rsid w:val="00222059"/>
    <w:rsid w:val="00222066"/>
    <w:rsid w:val="00222079"/>
    <w:rsid w:val="00222257"/>
    <w:rsid w:val="00222336"/>
    <w:rsid w:val="002223AB"/>
    <w:rsid w:val="0022251E"/>
    <w:rsid w:val="002227F1"/>
    <w:rsid w:val="00222E5C"/>
    <w:rsid w:val="0022305B"/>
    <w:rsid w:val="002231AD"/>
    <w:rsid w:val="00223734"/>
    <w:rsid w:val="00223751"/>
    <w:rsid w:val="002237AC"/>
    <w:rsid w:val="00223918"/>
    <w:rsid w:val="002240B5"/>
    <w:rsid w:val="002240D2"/>
    <w:rsid w:val="00224132"/>
    <w:rsid w:val="00224296"/>
    <w:rsid w:val="00224316"/>
    <w:rsid w:val="00224502"/>
    <w:rsid w:val="00224522"/>
    <w:rsid w:val="00224542"/>
    <w:rsid w:val="00224579"/>
    <w:rsid w:val="00224774"/>
    <w:rsid w:val="002248A6"/>
    <w:rsid w:val="00224E18"/>
    <w:rsid w:val="00224FD4"/>
    <w:rsid w:val="0022506B"/>
    <w:rsid w:val="00225119"/>
    <w:rsid w:val="00225127"/>
    <w:rsid w:val="00225535"/>
    <w:rsid w:val="002256F2"/>
    <w:rsid w:val="00225BFD"/>
    <w:rsid w:val="00226EAE"/>
    <w:rsid w:val="00227028"/>
    <w:rsid w:val="0022712F"/>
    <w:rsid w:val="0022757C"/>
    <w:rsid w:val="0022763A"/>
    <w:rsid w:val="002276AF"/>
    <w:rsid w:val="002276F5"/>
    <w:rsid w:val="0022780C"/>
    <w:rsid w:val="00227A29"/>
    <w:rsid w:val="00227C79"/>
    <w:rsid w:val="00227D2C"/>
    <w:rsid w:val="00227E61"/>
    <w:rsid w:val="00227E70"/>
    <w:rsid w:val="00227F05"/>
    <w:rsid w:val="002301DB"/>
    <w:rsid w:val="002303DF"/>
    <w:rsid w:val="0023060A"/>
    <w:rsid w:val="002306AA"/>
    <w:rsid w:val="002307F6"/>
    <w:rsid w:val="00230B9C"/>
    <w:rsid w:val="00230D72"/>
    <w:rsid w:val="00230EA9"/>
    <w:rsid w:val="0023101C"/>
    <w:rsid w:val="00231037"/>
    <w:rsid w:val="0023103D"/>
    <w:rsid w:val="002310A8"/>
    <w:rsid w:val="002310B6"/>
    <w:rsid w:val="0023115D"/>
    <w:rsid w:val="002311E3"/>
    <w:rsid w:val="002312E3"/>
    <w:rsid w:val="00231540"/>
    <w:rsid w:val="00231A27"/>
    <w:rsid w:val="00231B2C"/>
    <w:rsid w:val="002323A2"/>
    <w:rsid w:val="00232686"/>
    <w:rsid w:val="00232714"/>
    <w:rsid w:val="00232AB9"/>
    <w:rsid w:val="00232B5D"/>
    <w:rsid w:val="00232D57"/>
    <w:rsid w:val="00232DCB"/>
    <w:rsid w:val="00233229"/>
    <w:rsid w:val="002335B9"/>
    <w:rsid w:val="002336B6"/>
    <w:rsid w:val="00233796"/>
    <w:rsid w:val="0023385E"/>
    <w:rsid w:val="002338FC"/>
    <w:rsid w:val="00233ACF"/>
    <w:rsid w:val="00233C35"/>
    <w:rsid w:val="0023417F"/>
    <w:rsid w:val="00234240"/>
    <w:rsid w:val="00234278"/>
    <w:rsid w:val="00234591"/>
    <w:rsid w:val="00234795"/>
    <w:rsid w:val="002348D8"/>
    <w:rsid w:val="00234DA2"/>
    <w:rsid w:val="00235008"/>
    <w:rsid w:val="0023504E"/>
    <w:rsid w:val="0023539D"/>
    <w:rsid w:val="002355BB"/>
    <w:rsid w:val="0023566D"/>
    <w:rsid w:val="00235707"/>
    <w:rsid w:val="0023576A"/>
    <w:rsid w:val="00235AAF"/>
    <w:rsid w:val="00235B82"/>
    <w:rsid w:val="00235D40"/>
    <w:rsid w:val="00236051"/>
    <w:rsid w:val="002361DB"/>
    <w:rsid w:val="002362A5"/>
    <w:rsid w:val="002366AF"/>
    <w:rsid w:val="002366D2"/>
    <w:rsid w:val="00236800"/>
    <w:rsid w:val="002368D6"/>
    <w:rsid w:val="002369C8"/>
    <w:rsid w:val="00236F44"/>
    <w:rsid w:val="00237453"/>
    <w:rsid w:val="0023749C"/>
    <w:rsid w:val="0023766A"/>
    <w:rsid w:val="002376E6"/>
    <w:rsid w:val="00237895"/>
    <w:rsid w:val="002378D5"/>
    <w:rsid w:val="00237B18"/>
    <w:rsid w:val="00240090"/>
    <w:rsid w:val="002404D5"/>
    <w:rsid w:val="002404ED"/>
    <w:rsid w:val="00240603"/>
    <w:rsid w:val="002406EF"/>
    <w:rsid w:val="00240747"/>
    <w:rsid w:val="00240BC2"/>
    <w:rsid w:val="00240BF4"/>
    <w:rsid w:val="00240C53"/>
    <w:rsid w:val="00240DF9"/>
    <w:rsid w:val="0024120D"/>
    <w:rsid w:val="002415AC"/>
    <w:rsid w:val="002415B8"/>
    <w:rsid w:val="00241964"/>
    <w:rsid w:val="00241972"/>
    <w:rsid w:val="00241A12"/>
    <w:rsid w:val="002420F7"/>
    <w:rsid w:val="0024224A"/>
    <w:rsid w:val="00242394"/>
    <w:rsid w:val="0024257D"/>
    <w:rsid w:val="002426FC"/>
    <w:rsid w:val="00242A4E"/>
    <w:rsid w:val="00243290"/>
    <w:rsid w:val="0024396B"/>
    <w:rsid w:val="00243B23"/>
    <w:rsid w:val="00243CE0"/>
    <w:rsid w:val="00243D4A"/>
    <w:rsid w:val="00243E48"/>
    <w:rsid w:val="00243F12"/>
    <w:rsid w:val="00243F2C"/>
    <w:rsid w:val="00243FBF"/>
    <w:rsid w:val="0024429A"/>
    <w:rsid w:val="00244343"/>
    <w:rsid w:val="00244867"/>
    <w:rsid w:val="0024488B"/>
    <w:rsid w:val="0024497C"/>
    <w:rsid w:val="00244A02"/>
    <w:rsid w:val="00244B72"/>
    <w:rsid w:val="00244D77"/>
    <w:rsid w:val="00244ED3"/>
    <w:rsid w:val="00244FB8"/>
    <w:rsid w:val="0024507E"/>
    <w:rsid w:val="0024518A"/>
    <w:rsid w:val="00245374"/>
    <w:rsid w:val="0024544D"/>
    <w:rsid w:val="002457FF"/>
    <w:rsid w:val="00246022"/>
    <w:rsid w:val="0024612C"/>
    <w:rsid w:val="00246173"/>
    <w:rsid w:val="002462BF"/>
    <w:rsid w:val="0024670D"/>
    <w:rsid w:val="0024681F"/>
    <w:rsid w:val="00246D2B"/>
    <w:rsid w:val="00246F3F"/>
    <w:rsid w:val="00247520"/>
    <w:rsid w:val="00247587"/>
    <w:rsid w:val="00247733"/>
    <w:rsid w:val="0024775B"/>
    <w:rsid w:val="00247A18"/>
    <w:rsid w:val="00247A73"/>
    <w:rsid w:val="00247D36"/>
    <w:rsid w:val="00247DE0"/>
    <w:rsid w:val="0025024C"/>
    <w:rsid w:val="00250364"/>
    <w:rsid w:val="002507E9"/>
    <w:rsid w:val="00250E9D"/>
    <w:rsid w:val="00250EBD"/>
    <w:rsid w:val="0025153E"/>
    <w:rsid w:val="002517DD"/>
    <w:rsid w:val="00251950"/>
    <w:rsid w:val="002524B3"/>
    <w:rsid w:val="00252534"/>
    <w:rsid w:val="00252709"/>
    <w:rsid w:val="00252720"/>
    <w:rsid w:val="002528D2"/>
    <w:rsid w:val="00252B15"/>
    <w:rsid w:val="00252C49"/>
    <w:rsid w:val="00252D80"/>
    <w:rsid w:val="00252EEA"/>
    <w:rsid w:val="00253170"/>
    <w:rsid w:val="002535BA"/>
    <w:rsid w:val="002535CA"/>
    <w:rsid w:val="00253A2F"/>
    <w:rsid w:val="00253C71"/>
    <w:rsid w:val="00254074"/>
    <w:rsid w:val="0025412D"/>
    <w:rsid w:val="002545E5"/>
    <w:rsid w:val="00254812"/>
    <w:rsid w:val="00254890"/>
    <w:rsid w:val="002548F7"/>
    <w:rsid w:val="00254E86"/>
    <w:rsid w:val="00255211"/>
    <w:rsid w:val="00255422"/>
    <w:rsid w:val="00255520"/>
    <w:rsid w:val="00255AC3"/>
    <w:rsid w:val="00255D9F"/>
    <w:rsid w:val="00256082"/>
    <w:rsid w:val="002560EB"/>
    <w:rsid w:val="002562DA"/>
    <w:rsid w:val="00256349"/>
    <w:rsid w:val="00256450"/>
    <w:rsid w:val="00256523"/>
    <w:rsid w:val="00256A41"/>
    <w:rsid w:val="00256B29"/>
    <w:rsid w:val="00256BA4"/>
    <w:rsid w:val="00256DE8"/>
    <w:rsid w:val="00256E6B"/>
    <w:rsid w:val="00256F5C"/>
    <w:rsid w:val="00257082"/>
    <w:rsid w:val="00257344"/>
    <w:rsid w:val="0025752E"/>
    <w:rsid w:val="00257F55"/>
    <w:rsid w:val="00260B4A"/>
    <w:rsid w:val="00260B64"/>
    <w:rsid w:val="00260B84"/>
    <w:rsid w:val="00260C12"/>
    <w:rsid w:val="00260D3A"/>
    <w:rsid w:val="00261319"/>
    <w:rsid w:val="0026148B"/>
    <w:rsid w:val="00261B0F"/>
    <w:rsid w:val="00261B39"/>
    <w:rsid w:val="00261C02"/>
    <w:rsid w:val="00261D20"/>
    <w:rsid w:val="00262098"/>
    <w:rsid w:val="002622A9"/>
    <w:rsid w:val="00262E31"/>
    <w:rsid w:val="0026327C"/>
    <w:rsid w:val="00263801"/>
    <w:rsid w:val="00263923"/>
    <w:rsid w:val="00263A08"/>
    <w:rsid w:val="00263D47"/>
    <w:rsid w:val="00263F6F"/>
    <w:rsid w:val="0026427A"/>
    <w:rsid w:val="002645B9"/>
    <w:rsid w:val="0026461E"/>
    <w:rsid w:val="00264666"/>
    <w:rsid w:val="00264829"/>
    <w:rsid w:val="00264CF0"/>
    <w:rsid w:val="00264F41"/>
    <w:rsid w:val="0026591F"/>
    <w:rsid w:val="00265BBD"/>
    <w:rsid w:val="00266001"/>
    <w:rsid w:val="00266024"/>
    <w:rsid w:val="00266528"/>
    <w:rsid w:val="00266613"/>
    <w:rsid w:val="00266916"/>
    <w:rsid w:val="00266BA8"/>
    <w:rsid w:val="00266C32"/>
    <w:rsid w:val="00266CF3"/>
    <w:rsid w:val="00266D8E"/>
    <w:rsid w:val="00266EF4"/>
    <w:rsid w:val="00266F7C"/>
    <w:rsid w:val="00266F82"/>
    <w:rsid w:val="00267107"/>
    <w:rsid w:val="0026739D"/>
    <w:rsid w:val="00267445"/>
    <w:rsid w:val="00267805"/>
    <w:rsid w:val="00267CCB"/>
    <w:rsid w:val="002701BB"/>
    <w:rsid w:val="002701C7"/>
    <w:rsid w:val="0027025E"/>
    <w:rsid w:val="002702EF"/>
    <w:rsid w:val="0027033D"/>
    <w:rsid w:val="002703CE"/>
    <w:rsid w:val="00270626"/>
    <w:rsid w:val="0027068E"/>
    <w:rsid w:val="00270997"/>
    <w:rsid w:val="00270B68"/>
    <w:rsid w:val="00270D82"/>
    <w:rsid w:val="00270DB2"/>
    <w:rsid w:val="00271590"/>
    <w:rsid w:val="00271678"/>
    <w:rsid w:val="0027184A"/>
    <w:rsid w:val="002718AE"/>
    <w:rsid w:val="00271B45"/>
    <w:rsid w:val="00272766"/>
    <w:rsid w:val="00272DC2"/>
    <w:rsid w:val="00273238"/>
    <w:rsid w:val="00273789"/>
    <w:rsid w:val="00273953"/>
    <w:rsid w:val="00274658"/>
    <w:rsid w:val="002746EC"/>
    <w:rsid w:val="00274C28"/>
    <w:rsid w:val="00275209"/>
    <w:rsid w:val="00275471"/>
    <w:rsid w:val="0027581F"/>
    <w:rsid w:val="0027592C"/>
    <w:rsid w:val="00275A94"/>
    <w:rsid w:val="00275DD1"/>
    <w:rsid w:val="00275E13"/>
    <w:rsid w:val="00275E21"/>
    <w:rsid w:val="00275FE0"/>
    <w:rsid w:val="00276284"/>
    <w:rsid w:val="002763F8"/>
    <w:rsid w:val="0027643C"/>
    <w:rsid w:val="00276534"/>
    <w:rsid w:val="002769B6"/>
    <w:rsid w:val="00276A69"/>
    <w:rsid w:val="00276B32"/>
    <w:rsid w:val="00276D77"/>
    <w:rsid w:val="00276FD7"/>
    <w:rsid w:val="0027707E"/>
    <w:rsid w:val="00277155"/>
    <w:rsid w:val="00277728"/>
    <w:rsid w:val="0027773E"/>
    <w:rsid w:val="00277B3C"/>
    <w:rsid w:val="002802A6"/>
    <w:rsid w:val="00280385"/>
    <w:rsid w:val="002805F0"/>
    <w:rsid w:val="0028060B"/>
    <w:rsid w:val="00280665"/>
    <w:rsid w:val="002808A5"/>
    <w:rsid w:val="00280996"/>
    <w:rsid w:val="00280CF1"/>
    <w:rsid w:val="00280D78"/>
    <w:rsid w:val="00280F3C"/>
    <w:rsid w:val="00281378"/>
    <w:rsid w:val="00281473"/>
    <w:rsid w:val="002817B1"/>
    <w:rsid w:val="002819D3"/>
    <w:rsid w:val="00281DCB"/>
    <w:rsid w:val="00281E02"/>
    <w:rsid w:val="00282438"/>
    <w:rsid w:val="002824AE"/>
    <w:rsid w:val="002828A9"/>
    <w:rsid w:val="002829B6"/>
    <w:rsid w:val="00282DFA"/>
    <w:rsid w:val="00282E9E"/>
    <w:rsid w:val="0028326E"/>
    <w:rsid w:val="00283761"/>
    <w:rsid w:val="00283EA8"/>
    <w:rsid w:val="00283FDA"/>
    <w:rsid w:val="002840BE"/>
    <w:rsid w:val="002843A5"/>
    <w:rsid w:val="00284848"/>
    <w:rsid w:val="002848AD"/>
    <w:rsid w:val="00284B9E"/>
    <w:rsid w:val="00284D82"/>
    <w:rsid w:val="00284E2C"/>
    <w:rsid w:val="0028517E"/>
    <w:rsid w:val="00285799"/>
    <w:rsid w:val="00285D62"/>
    <w:rsid w:val="00285E7D"/>
    <w:rsid w:val="00285F8E"/>
    <w:rsid w:val="0028601C"/>
    <w:rsid w:val="00286026"/>
    <w:rsid w:val="002860AD"/>
    <w:rsid w:val="00286189"/>
    <w:rsid w:val="002863D1"/>
    <w:rsid w:val="002863EB"/>
    <w:rsid w:val="00286B3C"/>
    <w:rsid w:val="00286EA1"/>
    <w:rsid w:val="0028704E"/>
    <w:rsid w:val="00287368"/>
    <w:rsid w:val="00287465"/>
    <w:rsid w:val="0028767A"/>
    <w:rsid w:val="002876D4"/>
    <w:rsid w:val="00287813"/>
    <w:rsid w:val="002878FD"/>
    <w:rsid w:val="00287976"/>
    <w:rsid w:val="0029010D"/>
    <w:rsid w:val="0029063A"/>
    <w:rsid w:val="0029069B"/>
    <w:rsid w:val="002912E7"/>
    <w:rsid w:val="0029132F"/>
    <w:rsid w:val="00291469"/>
    <w:rsid w:val="0029147D"/>
    <w:rsid w:val="00291578"/>
    <w:rsid w:val="0029184E"/>
    <w:rsid w:val="00291900"/>
    <w:rsid w:val="002919A6"/>
    <w:rsid w:val="00291A48"/>
    <w:rsid w:val="00291B2E"/>
    <w:rsid w:val="00292152"/>
    <w:rsid w:val="002923FB"/>
    <w:rsid w:val="0029256B"/>
    <w:rsid w:val="00292615"/>
    <w:rsid w:val="00292926"/>
    <w:rsid w:val="00292B80"/>
    <w:rsid w:val="00292CCB"/>
    <w:rsid w:val="00292DC3"/>
    <w:rsid w:val="00292F9C"/>
    <w:rsid w:val="00293183"/>
    <w:rsid w:val="002931C9"/>
    <w:rsid w:val="00293722"/>
    <w:rsid w:val="002937AB"/>
    <w:rsid w:val="00293EE7"/>
    <w:rsid w:val="00293F49"/>
    <w:rsid w:val="002940A0"/>
    <w:rsid w:val="0029414E"/>
    <w:rsid w:val="0029418C"/>
    <w:rsid w:val="00294608"/>
    <w:rsid w:val="0029465A"/>
    <w:rsid w:val="002946AB"/>
    <w:rsid w:val="002947CC"/>
    <w:rsid w:val="00294A97"/>
    <w:rsid w:val="00295127"/>
    <w:rsid w:val="00295284"/>
    <w:rsid w:val="00295434"/>
    <w:rsid w:val="00295596"/>
    <w:rsid w:val="00295679"/>
    <w:rsid w:val="00295941"/>
    <w:rsid w:val="00295A4F"/>
    <w:rsid w:val="00295D04"/>
    <w:rsid w:val="002960BE"/>
    <w:rsid w:val="002960C7"/>
    <w:rsid w:val="0029677D"/>
    <w:rsid w:val="0029684B"/>
    <w:rsid w:val="00296921"/>
    <w:rsid w:val="00296923"/>
    <w:rsid w:val="00296A9F"/>
    <w:rsid w:val="00296D4F"/>
    <w:rsid w:val="00296DA8"/>
    <w:rsid w:val="00296F2B"/>
    <w:rsid w:val="002971CF"/>
    <w:rsid w:val="0029753A"/>
    <w:rsid w:val="00297570"/>
    <w:rsid w:val="002A0141"/>
    <w:rsid w:val="002A041E"/>
    <w:rsid w:val="002A0605"/>
    <w:rsid w:val="002A07DA"/>
    <w:rsid w:val="002A0C34"/>
    <w:rsid w:val="002A0F1D"/>
    <w:rsid w:val="002A0F62"/>
    <w:rsid w:val="002A10D3"/>
    <w:rsid w:val="002A151F"/>
    <w:rsid w:val="002A1E9D"/>
    <w:rsid w:val="002A2241"/>
    <w:rsid w:val="002A23E8"/>
    <w:rsid w:val="002A2494"/>
    <w:rsid w:val="002A26E2"/>
    <w:rsid w:val="002A2CE6"/>
    <w:rsid w:val="002A3355"/>
    <w:rsid w:val="002A3C03"/>
    <w:rsid w:val="002A3F6A"/>
    <w:rsid w:val="002A3F81"/>
    <w:rsid w:val="002A3F91"/>
    <w:rsid w:val="002A404C"/>
    <w:rsid w:val="002A432B"/>
    <w:rsid w:val="002A4467"/>
    <w:rsid w:val="002A4A4A"/>
    <w:rsid w:val="002A4D0B"/>
    <w:rsid w:val="002A4D92"/>
    <w:rsid w:val="002A508E"/>
    <w:rsid w:val="002A50FD"/>
    <w:rsid w:val="002A5259"/>
    <w:rsid w:val="002A5672"/>
    <w:rsid w:val="002A5700"/>
    <w:rsid w:val="002A5C84"/>
    <w:rsid w:val="002A5F53"/>
    <w:rsid w:val="002A6081"/>
    <w:rsid w:val="002A6129"/>
    <w:rsid w:val="002A61EF"/>
    <w:rsid w:val="002A6601"/>
    <w:rsid w:val="002A6719"/>
    <w:rsid w:val="002A6738"/>
    <w:rsid w:val="002A687A"/>
    <w:rsid w:val="002A6A6E"/>
    <w:rsid w:val="002A6BE2"/>
    <w:rsid w:val="002A7212"/>
    <w:rsid w:val="002A7387"/>
    <w:rsid w:val="002B032B"/>
    <w:rsid w:val="002B0720"/>
    <w:rsid w:val="002B0D89"/>
    <w:rsid w:val="002B0DC7"/>
    <w:rsid w:val="002B0EE4"/>
    <w:rsid w:val="002B0F03"/>
    <w:rsid w:val="002B127A"/>
    <w:rsid w:val="002B12C9"/>
    <w:rsid w:val="002B13D7"/>
    <w:rsid w:val="002B1433"/>
    <w:rsid w:val="002B14D2"/>
    <w:rsid w:val="002B163A"/>
    <w:rsid w:val="002B168D"/>
    <w:rsid w:val="002B1711"/>
    <w:rsid w:val="002B19AE"/>
    <w:rsid w:val="002B1C47"/>
    <w:rsid w:val="002B1EE5"/>
    <w:rsid w:val="002B1F39"/>
    <w:rsid w:val="002B202E"/>
    <w:rsid w:val="002B207F"/>
    <w:rsid w:val="002B216B"/>
    <w:rsid w:val="002B2405"/>
    <w:rsid w:val="002B253D"/>
    <w:rsid w:val="002B256C"/>
    <w:rsid w:val="002B2741"/>
    <w:rsid w:val="002B2830"/>
    <w:rsid w:val="002B28E2"/>
    <w:rsid w:val="002B2A33"/>
    <w:rsid w:val="002B2A54"/>
    <w:rsid w:val="002B3101"/>
    <w:rsid w:val="002B3235"/>
    <w:rsid w:val="002B333E"/>
    <w:rsid w:val="002B3414"/>
    <w:rsid w:val="002B346D"/>
    <w:rsid w:val="002B3B8B"/>
    <w:rsid w:val="002B3C86"/>
    <w:rsid w:val="002B3EB6"/>
    <w:rsid w:val="002B3F09"/>
    <w:rsid w:val="002B4603"/>
    <w:rsid w:val="002B48F3"/>
    <w:rsid w:val="002B4EE6"/>
    <w:rsid w:val="002B52B8"/>
    <w:rsid w:val="002B5AE8"/>
    <w:rsid w:val="002B5B2D"/>
    <w:rsid w:val="002B6475"/>
    <w:rsid w:val="002B6733"/>
    <w:rsid w:val="002B6767"/>
    <w:rsid w:val="002B68AE"/>
    <w:rsid w:val="002B6CA1"/>
    <w:rsid w:val="002B6F88"/>
    <w:rsid w:val="002B7441"/>
    <w:rsid w:val="002B7624"/>
    <w:rsid w:val="002B79EE"/>
    <w:rsid w:val="002B7ACA"/>
    <w:rsid w:val="002B7C43"/>
    <w:rsid w:val="002B7C8A"/>
    <w:rsid w:val="002B7DC4"/>
    <w:rsid w:val="002B7E78"/>
    <w:rsid w:val="002B7EF8"/>
    <w:rsid w:val="002C0039"/>
    <w:rsid w:val="002C0483"/>
    <w:rsid w:val="002C0716"/>
    <w:rsid w:val="002C0872"/>
    <w:rsid w:val="002C098A"/>
    <w:rsid w:val="002C0DA2"/>
    <w:rsid w:val="002C1072"/>
    <w:rsid w:val="002C1122"/>
    <w:rsid w:val="002C1451"/>
    <w:rsid w:val="002C19F6"/>
    <w:rsid w:val="002C1CBE"/>
    <w:rsid w:val="002C1CF0"/>
    <w:rsid w:val="002C1E6A"/>
    <w:rsid w:val="002C1E81"/>
    <w:rsid w:val="002C248C"/>
    <w:rsid w:val="002C27BB"/>
    <w:rsid w:val="002C290A"/>
    <w:rsid w:val="002C2BE0"/>
    <w:rsid w:val="002C2C56"/>
    <w:rsid w:val="002C2DCF"/>
    <w:rsid w:val="002C2F3C"/>
    <w:rsid w:val="002C30CB"/>
    <w:rsid w:val="002C31A8"/>
    <w:rsid w:val="002C3442"/>
    <w:rsid w:val="002C3534"/>
    <w:rsid w:val="002C35D4"/>
    <w:rsid w:val="002C38F9"/>
    <w:rsid w:val="002C3B64"/>
    <w:rsid w:val="002C3B86"/>
    <w:rsid w:val="002C3F4E"/>
    <w:rsid w:val="002C432C"/>
    <w:rsid w:val="002C4524"/>
    <w:rsid w:val="002C479C"/>
    <w:rsid w:val="002C4AA2"/>
    <w:rsid w:val="002C4B6D"/>
    <w:rsid w:val="002C4C4B"/>
    <w:rsid w:val="002C4DE3"/>
    <w:rsid w:val="002C4EBB"/>
    <w:rsid w:val="002C5348"/>
    <w:rsid w:val="002C5474"/>
    <w:rsid w:val="002C5620"/>
    <w:rsid w:val="002C57D5"/>
    <w:rsid w:val="002C59C2"/>
    <w:rsid w:val="002C5A71"/>
    <w:rsid w:val="002C5B5E"/>
    <w:rsid w:val="002C5C7F"/>
    <w:rsid w:val="002C5D8E"/>
    <w:rsid w:val="002C5E91"/>
    <w:rsid w:val="002C60DE"/>
    <w:rsid w:val="002C642F"/>
    <w:rsid w:val="002C6611"/>
    <w:rsid w:val="002C6AB4"/>
    <w:rsid w:val="002C6D35"/>
    <w:rsid w:val="002C6FBE"/>
    <w:rsid w:val="002C740E"/>
    <w:rsid w:val="002C765D"/>
    <w:rsid w:val="002C79C1"/>
    <w:rsid w:val="002C7B3B"/>
    <w:rsid w:val="002C7F1A"/>
    <w:rsid w:val="002C7FC3"/>
    <w:rsid w:val="002D0013"/>
    <w:rsid w:val="002D0044"/>
    <w:rsid w:val="002D04CC"/>
    <w:rsid w:val="002D0529"/>
    <w:rsid w:val="002D0754"/>
    <w:rsid w:val="002D0CD6"/>
    <w:rsid w:val="002D0CDE"/>
    <w:rsid w:val="002D0FD9"/>
    <w:rsid w:val="002D123F"/>
    <w:rsid w:val="002D1258"/>
    <w:rsid w:val="002D13E0"/>
    <w:rsid w:val="002D1765"/>
    <w:rsid w:val="002D178A"/>
    <w:rsid w:val="002D1BA3"/>
    <w:rsid w:val="002D1C98"/>
    <w:rsid w:val="002D1D8D"/>
    <w:rsid w:val="002D2086"/>
    <w:rsid w:val="002D2513"/>
    <w:rsid w:val="002D253D"/>
    <w:rsid w:val="002D27EF"/>
    <w:rsid w:val="002D2811"/>
    <w:rsid w:val="002D2828"/>
    <w:rsid w:val="002D294D"/>
    <w:rsid w:val="002D294F"/>
    <w:rsid w:val="002D29FB"/>
    <w:rsid w:val="002D2AF7"/>
    <w:rsid w:val="002D2F49"/>
    <w:rsid w:val="002D2F88"/>
    <w:rsid w:val="002D3197"/>
    <w:rsid w:val="002D325C"/>
    <w:rsid w:val="002D3522"/>
    <w:rsid w:val="002D38F3"/>
    <w:rsid w:val="002D39ED"/>
    <w:rsid w:val="002D402B"/>
    <w:rsid w:val="002D40F8"/>
    <w:rsid w:val="002D411B"/>
    <w:rsid w:val="002D43E8"/>
    <w:rsid w:val="002D45CD"/>
    <w:rsid w:val="002D4830"/>
    <w:rsid w:val="002D4925"/>
    <w:rsid w:val="002D4926"/>
    <w:rsid w:val="002D49B1"/>
    <w:rsid w:val="002D4A70"/>
    <w:rsid w:val="002D4A87"/>
    <w:rsid w:val="002D4B80"/>
    <w:rsid w:val="002D4F2E"/>
    <w:rsid w:val="002D4F84"/>
    <w:rsid w:val="002D51B9"/>
    <w:rsid w:val="002D5256"/>
    <w:rsid w:val="002D5413"/>
    <w:rsid w:val="002D55E5"/>
    <w:rsid w:val="002D5627"/>
    <w:rsid w:val="002D566A"/>
    <w:rsid w:val="002D5696"/>
    <w:rsid w:val="002D56A8"/>
    <w:rsid w:val="002D58CB"/>
    <w:rsid w:val="002D591E"/>
    <w:rsid w:val="002D592C"/>
    <w:rsid w:val="002D5964"/>
    <w:rsid w:val="002D59AE"/>
    <w:rsid w:val="002D5ADE"/>
    <w:rsid w:val="002D5B3D"/>
    <w:rsid w:val="002D5C69"/>
    <w:rsid w:val="002D5E5A"/>
    <w:rsid w:val="002D5E79"/>
    <w:rsid w:val="002D605E"/>
    <w:rsid w:val="002D675C"/>
    <w:rsid w:val="002D6D49"/>
    <w:rsid w:val="002D6DB7"/>
    <w:rsid w:val="002D6E69"/>
    <w:rsid w:val="002D7AC9"/>
    <w:rsid w:val="002D7E7B"/>
    <w:rsid w:val="002D7EA8"/>
    <w:rsid w:val="002E0122"/>
    <w:rsid w:val="002E080B"/>
    <w:rsid w:val="002E08D0"/>
    <w:rsid w:val="002E09A7"/>
    <w:rsid w:val="002E0D6E"/>
    <w:rsid w:val="002E12FF"/>
    <w:rsid w:val="002E1359"/>
    <w:rsid w:val="002E17C3"/>
    <w:rsid w:val="002E183E"/>
    <w:rsid w:val="002E1A2B"/>
    <w:rsid w:val="002E1AA3"/>
    <w:rsid w:val="002E1D78"/>
    <w:rsid w:val="002E2742"/>
    <w:rsid w:val="002E2A8C"/>
    <w:rsid w:val="002E2C00"/>
    <w:rsid w:val="002E2D1B"/>
    <w:rsid w:val="002E3375"/>
    <w:rsid w:val="002E33ED"/>
    <w:rsid w:val="002E3652"/>
    <w:rsid w:val="002E3A7B"/>
    <w:rsid w:val="002E3F1F"/>
    <w:rsid w:val="002E4057"/>
    <w:rsid w:val="002E422F"/>
    <w:rsid w:val="002E45CE"/>
    <w:rsid w:val="002E4650"/>
    <w:rsid w:val="002E46AE"/>
    <w:rsid w:val="002E4A2B"/>
    <w:rsid w:val="002E4C6E"/>
    <w:rsid w:val="002E50F5"/>
    <w:rsid w:val="002E56B0"/>
    <w:rsid w:val="002E56C5"/>
    <w:rsid w:val="002E590C"/>
    <w:rsid w:val="002E5917"/>
    <w:rsid w:val="002E5B23"/>
    <w:rsid w:val="002E5D02"/>
    <w:rsid w:val="002E6310"/>
    <w:rsid w:val="002E6961"/>
    <w:rsid w:val="002E71B2"/>
    <w:rsid w:val="002E7236"/>
    <w:rsid w:val="002E7B08"/>
    <w:rsid w:val="002E7FF8"/>
    <w:rsid w:val="002F019E"/>
    <w:rsid w:val="002F0788"/>
    <w:rsid w:val="002F07D0"/>
    <w:rsid w:val="002F0BCF"/>
    <w:rsid w:val="002F1229"/>
    <w:rsid w:val="002F130F"/>
    <w:rsid w:val="002F15A0"/>
    <w:rsid w:val="002F166A"/>
    <w:rsid w:val="002F173B"/>
    <w:rsid w:val="002F1997"/>
    <w:rsid w:val="002F1A62"/>
    <w:rsid w:val="002F1B17"/>
    <w:rsid w:val="002F2029"/>
    <w:rsid w:val="002F2102"/>
    <w:rsid w:val="002F218F"/>
    <w:rsid w:val="002F2254"/>
    <w:rsid w:val="002F291F"/>
    <w:rsid w:val="002F2950"/>
    <w:rsid w:val="002F29D7"/>
    <w:rsid w:val="002F2A01"/>
    <w:rsid w:val="002F2C93"/>
    <w:rsid w:val="002F312F"/>
    <w:rsid w:val="002F3343"/>
    <w:rsid w:val="002F3417"/>
    <w:rsid w:val="002F35B9"/>
    <w:rsid w:val="002F35DF"/>
    <w:rsid w:val="002F37F3"/>
    <w:rsid w:val="002F3A8D"/>
    <w:rsid w:val="002F3CF8"/>
    <w:rsid w:val="002F45B5"/>
    <w:rsid w:val="002F4998"/>
    <w:rsid w:val="002F4C50"/>
    <w:rsid w:val="002F4D3C"/>
    <w:rsid w:val="002F52E8"/>
    <w:rsid w:val="002F5402"/>
    <w:rsid w:val="002F55F6"/>
    <w:rsid w:val="002F5F98"/>
    <w:rsid w:val="002F60E8"/>
    <w:rsid w:val="002F62C8"/>
    <w:rsid w:val="002F642C"/>
    <w:rsid w:val="002F652E"/>
    <w:rsid w:val="002F6BEF"/>
    <w:rsid w:val="002F75C0"/>
    <w:rsid w:val="002F771E"/>
    <w:rsid w:val="002F7844"/>
    <w:rsid w:val="002F79BD"/>
    <w:rsid w:val="002F7A05"/>
    <w:rsid w:val="0030021C"/>
    <w:rsid w:val="00300382"/>
    <w:rsid w:val="0030053A"/>
    <w:rsid w:val="00300788"/>
    <w:rsid w:val="003009B8"/>
    <w:rsid w:val="00300BEE"/>
    <w:rsid w:val="00300F2D"/>
    <w:rsid w:val="00301328"/>
    <w:rsid w:val="003014DC"/>
    <w:rsid w:val="00302176"/>
    <w:rsid w:val="00302483"/>
    <w:rsid w:val="0030260C"/>
    <w:rsid w:val="003029C3"/>
    <w:rsid w:val="00302A3C"/>
    <w:rsid w:val="00302DC7"/>
    <w:rsid w:val="00302E71"/>
    <w:rsid w:val="00302F2E"/>
    <w:rsid w:val="00303354"/>
    <w:rsid w:val="003035DC"/>
    <w:rsid w:val="00303AE4"/>
    <w:rsid w:val="00303E7B"/>
    <w:rsid w:val="00303F0B"/>
    <w:rsid w:val="00304125"/>
    <w:rsid w:val="003044A0"/>
    <w:rsid w:val="0030467B"/>
    <w:rsid w:val="00304827"/>
    <w:rsid w:val="0030521F"/>
    <w:rsid w:val="0030549C"/>
    <w:rsid w:val="003056FA"/>
    <w:rsid w:val="003057F5"/>
    <w:rsid w:val="00305889"/>
    <w:rsid w:val="00305A7C"/>
    <w:rsid w:val="00305B3B"/>
    <w:rsid w:val="00305D27"/>
    <w:rsid w:val="00305D9B"/>
    <w:rsid w:val="003061DA"/>
    <w:rsid w:val="00306269"/>
    <w:rsid w:val="003064CF"/>
    <w:rsid w:val="003065B1"/>
    <w:rsid w:val="00306805"/>
    <w:rsid w:val="00306B24"/>
    <w:rsid w:val="00306DF0"/>
    <w:rsid w:val="00306F16"/>
    <w:rsid w:val="00306FD2"/>
    <w:rsid w:val="00307521"/>
    <w:rsid w:val="003079C8"/>
    <w:rsid w:val="00307E72"/>
    <w:rsid w:val="00307EC8"/>
    <w:rsid w:val="00307FA5"/>
    <w:rsid w:val="00310054"/>
    <w:rsid w:val="0031026A"/>
    <w:rsid w:val="0031041A"/>
    <w:rsid w:val="003104C6"/>
    <w:rsid w:val="00310826"/>
    <w:rsid w:val="00310C9E"/>
    <w:rsid w:val="003111E9"/>
    <w:rsid w:val="00311321"/>
    <w:rsid w:val="0031132C"/>
    <w:rsid w:val="003118DA"/>
    <w:rsid w:val="00311FE1"/>
    <w:rsid w:val="0031206B"/>
    <w:rsid w:val="0031213D"/>
    <w:rsid w:val="0031258C"/>
    <w:rsid w:val="00312599"/>
    <w:rsid w:val="003126AB"/>
    <w:rsid w:val="00312BC0"/>
    <w:rsid w:val="0031306B"/>
    <w:rsid w:val="003131C4"/>
    <w:rsid w:val="0031330A"/>
    <w:rsid w:val="00313405"/>
    <w:rsid w:val="00313553"/>
    <w:rsid w:val="00313599"/>
    <w:rsid w:val="00313649"/>
    <w:rsid w:val="003136FA"/>
    <w:rsid w:val="0031378C"/>
    <w:rsid w:val="00313806"/>
    <w:rsid w:val="00313A7D"/>
    <w:rsid w:val="00313B86"/>
    <w:rsid w:val="00313BB7"/>
    <w:rsid w:val="00313BBB"/>
    <w:rsid w:val="00313FCE"/>
    <w:rsid w:val="00314034"/>
    <w:rsid w:val="00314334"/>
    <w:rsid w:val="00314965"/>
    <w:rsid w:val="00315351"/>
    <w:rsid w:val="0031546F"/>
    <w:rsid w:val="00315530"/>
    <w:rsid w:val="00315611"/>
    <w:rsid w:val="00315CC7"/>
    <w:rsid w:val="0031650E"/>
    <w:rsid w:val="00316879"/>
    <w:rsid w:val="00316A9E"/>
    <w:rsid w:val="00316AB7"/>
    <w:rsid w:val="00316C56"/>
    <w:rsid w:val="00316E5D"/>
    <w:rsid w:val="00316EEB"/>
    <w:rsid w:val="00316F11"/>
    <w:rsid w:val="00316F77"/>
    <w:rsid w:val="0031757F"/>
    <w:rsid w:val="0031767F"/>
    <w:rsid w:val="0031769A"/>
    <w:rsid w:val="003178A8"/>
    <w:rsid w:val="003179AC"/>
    <w:rsid w:val="00317B26"/>
    <w:rsid w:val="00317D6E"/>
    <w:rsid w:val="0031969C"/>
    <w:rsid w:val="0031B202"/>
    <w:rsid w:val="00320085"/>
    <w:rsid w:val="003205E6"/>
    <w:rsid w:val="00320B3E"/>
    <w:rsid w:val="00320D51"/>
    <w:rsid w:val="00320F74"/>
    <w:rsid w:val="003211E1"/>
    <w:rsid w:val="00321250"/>
    <w:rsid w:val="003219C4"/>
    <w:rsid w:val="00321A6D"/>
    <w:rsid w:val="00321C70"/>
    <w:rsid w:val="00321CC8"/>
    <w:rsid w:val="00321F7B"/>
    <w:rsid w:val="003220F7"/>
    <w:rsid w:val="00322141"/>
    <w:rsid w:val="00322B7E"/>
    <w:rsid w:val="00322C33"/>
    <w:rsid w:val="00322F31"/>
    <w:rsid w:val="00322FDF"/>
    <w:rsid w:val="003232AA"/>
    <w:rsid w:val="003233A6"/>
    <w:rsid w:val="00323AF8"/>
    <w:rsid w:val="00323CE4"/>
    <w:rsid w:val="00323DF8"/>
    <w:rsid w:val="00324076"/>
    <w:rsid w:val="0032415E"/>
    <w:rsid w:val="003242D3"/>
    <w:rsid w:val="00324674"/>
    <w:rsid w:val="00324675"/>
    <w:rsid w:val="00324792"/>
    <w:rsid w:val="00325361"/>
    <w:rsid w:val="00325558"/>
    <w:rsid w:val="00325849"/>
    <w:rsid w:val="00325B45"/>
    <w:rsid w:val="00325E7D"/>
    <w:rsid w:val="0032603C"/>
    <w:rsid w:val="00326149"/>
    <w:rsid w:val="00326268"/>
    <w:rsid w:val="0032644A"/>
    <w:rsid w:val="00326482"/>
    <w:rsid w:val="003264F9"/>
    <w:rsid w:val="00326753"/>
    <w:rsid w:val="00326A14"/>
    <w:rsid w:val="00326AC2"/>
    <w:rsid w:val="00326D88"/>
    <w:rsid w:val="00326E08"/>
    <w:rsid w:val="00326EAA"/>
    <w:rsid w:val="00326F34"/>
    <w:rsid w:val="00326FCD"/>
    <w:rsid w:val="0032701A"/>
    <w:rsid w:val="003270D1"/>
    <w:rsid w:val="0032755D"/>
    <w:rsid w:val="0032778C"/>
    <w:rsid w:val="00327A36"/>
    <w:rsid w:val="00327A39"/>
    <w:rsid w:val="00327E16"/>
    <w:rsid w:val="00327E97"/>
    <w:rsid w:val="00327FBE"/>
    <w:rsid w:val="00327FE9"/>
    <w:rsid w:val="0033026A"/>
    <w:rsid w:val="0033037D"/>
    <w:rsid w:val="00330404"/>
    <w:rsid w:val="003306A1"/>
    <w:rsid w:val="0033080B"/>
    <w:rsid w:val="00330A55"/>
    <w:rsid w:val="003310EE"/>
    <w:rsid w:val="003315D7"/>
    <w:rsid w:val="003317FB"/>
    <w:rsid w:val="00331B0A"/>
    <w:rsid w:val="00331BBD"/>
    <w:rsid w:val="00332087"/>
    <w:rsid w:val="0033227E"/>
    <w:rsid w:val="00332960"/>
    <w:rsid w:val="00332A97"/>
    <w:rsid w:val="00332DF8"/>
    <w:rsid w:val="00332E47"/>
    <w:rsid w:val="003330ED"/>
    <w:rsid w:val="00333420"/>
    <w:rsid w:val="0033359B"/>
    <w:rsid w:val="003339F8"/>
    <w:rsid w:val="00333A02"/>
    <w:rsid w:val="00333AB0"/>
    <w:rsid w:val="00333AE7"/>
    <w:rsid w:val="00333CC7"/>
    <w:rsid w:val="00333E3F"/>
    <w:rsid w:val="00333EDC"/>
    <w:rsid w:val="00333FE7"/>
    <w:rsid w:val="00334453"/>
    <w:rsid w:val="00334935"/>
    <w:rsid w:val="00334A07"/>
    <w:rsid w:val="00334F25"/>
    <w:rsid w:val="00334F2B"/>
    <w:rsid w:val="003351B8"/>
    <w:rsid w:val="0033549D"/>
    <w:rsid w:val="0033580B"/>
    <w:rsid w:val="00335D66"/>
    <w:rsid w:val="00335F63"/>
    <w:rsid w:val="00336485"/>
    <w:rsid w:val="00336804"/>
    <w:rsid w:val="003368CC"/>
    <w:rsid w:val="003369FA"/>
    <w:rsid w:val="00337094"/>
    <w:rsid w:val="0033718A"/>
    <w:rsid w:val="0033720B"/>
    <w:rsid w:val="0033754B"/>
    <w:rsid w:val="003375C9"/>
    <w:rsid w:val="003379C6"/>
    <w:rsid w:val="003379D1"/>
    <w:rsid w:val="00337A0A"/>
    <w:rsid w:val="00337B01"/>
    <w:rsid w:val="0034007D"/>
    <w:rsid w:val="00340121"/>
    <w:rsid w:val="00340141"/>
    <w:rsid w:val="00340552"/>
    <w:rsid w:val="003405BA"/>
    <w:rsid w:val="00340B67"/>
    <w:rsid w:val="00340BB4"/>
    <w:rsid w:val="00340DFB"/>
    <w:rsid w:val="0034108A"/>
    <w:rsid w:val="003411BC"/>
    <w:rsid w:val="00341324"/>
    <w:rsid w:val="0034168E"/>
    <w:rsid w:val="00341758"/>
    <w:rsid w:val="003417F6"/>
    <w:rsid w:val="003418F3"/>
    <w:rsid w:val="00341996"/>
    <w:rsid w:val="00341F47"/>
    <w:rsid w:val="00342115"/>
    <w:rsid w:val="00342315"/>
    <w:rsid w:val="0034255A"/>
    <w:rsid w:val="0034263F"/>
    <w:rsid w:val="003428C3"/>
    <w:rsid w:val="00342A5F"/>
    <w:rsid w:val="00342B34"/>
    <w:rsid w:val="0034324B"/>
    <w:rsid w:val="003433E2"/>
    <w:rsid w:val="0034374A"/>
    <w:rsid w:val="00343795"/>
    <w:rsid w:val="00343813"/>
    <w:rsid w:val="00343951"/>
    <w:rsid w:val="00343A75"/>
    <w:rsid w:val="00343BC3"/>
    <w:rsid w:val="00343C6D"/>
    <w:rsid w:val="00343F65"/>
    <w:rsid w:val="00344120"/>
    <w:rsid w:val="003441C7"/>
    <w:rsid w:val="00344431"/>
    <w:rsid w:val="003445D7"/>
    <w:rsid w:val="00344AD6"/>
    <w:rsid w:val="00344C42"/>
    <w:rsid w:val="00344E38"/>
    <w:rsid w:val="003456C1"/>
    <w:rsid w:val="0034576E"/>
    <w:rsid w:val="00345860"/>
    <w:rsid w:val="003458D3"/>
    <w:rsid w:val="00345A8F"/>
    <w:rsid w:val="00345E82"/>
    <w:rsid w:val="00345EA6"/>
    <w:rsid w:val="00345F66"/>
    <w:rsid w:val="00346166"/>
    <w:rsid w:val="003461B1"/>
    <w:rsid w:val="00346200"/>
    <w:rsid w:val="003464AE"/>
    <w:rsid w:val="003465E0"/>
    <w:rsid w:val="003466BA"/>
    <w:rsid w:val="0034697B"/>
    <w:rsid w:val="00346B40"/>
    <w:rsid w:val="00346DA9"/>
    <w:rsid w:val="00346E13"/>
    <w:rsid w:val="003471C2"/>
    <w:rsid w:val="003474BE"/>
    <w:rsid w:val="003475D2"/>
    <w:rsid w:val="00347706"/>
    <w:rsid w:val="0034789B"/>
    <w:rsid w:val="00347967"/>
    <w:rsid w:val="00347A46"/>
    <w:rsid w:val="00347B06"/>
    <w:rsid w:val="00347D3F"/>
    <w:rsid w:val="00347E51"/>
    <w:rsid w:val="00347FC3"/>
    <w:rsid w:val="003504F0"/>
    <w:rsid w:val="003504F6"/>
    <w:rsid w:val="00350577"/>
    <w:rsid w:val="00350718"/>
    <w:rsid w:val="00350AC1"/>
    <w:rsid w:val="00350FAF"/>
    <w:rsid w:val="0035122D"/>
    <w:rsid w:val="0035124D"/>
    <w:rsid w:val="00351AEB"/>
    <w:rsid w:val="00351B17"/>
    <w:rsid w:val="00351CE7"/>
    <w:rsid w:val="00351D5C"/>
    <w:rsid w:val="00351E6D"/>
    <w:rsid w:val="00352127"/>
    <w:rsid w:val="003523FC"/>
    <w:rsid w:val="0035246F"/>
    <w:rsid w:val="003527AA"/>
    <w:rsid w:val="003528E0"/>
    <w:rsid w:val="00352C64"/>
    <w:rsid w:val="00352EFF"/>
    <w:rsid w:val="00353230"/>
    <w:rsid w:val="00353645"/>
    <w:rsid w:val="00353716"/>
    <w:rsid w:val="003537B9"/>
    <w:rsid w:val="003538F9"/>
    <w:rsid w:val="00353A2D"/>
    <w:rsid w:val="003545A3"/>
    <w:rsid w:val="00354DA9"/>
    <w:rsid w:val="003554E7"/>
    <w:rsid w:val="00355548"/>
    <w:rsid w:val="003555A9"/>
    <w:rsid w:val="003555D9"/>
    <w:rsid w:val="00355A1D"/>
    <w:rsid w:val="00355B6A"/>
    <w:rsid w:val="00355C8B"/>
    <w:rsid w:val="00355E0E"/>
    <w:rsid w:val="00355F7E"/>
    <w:rsid w:val="003561EE"/>
    <w:rsid w:val="00356402"/>
    <w:rsid w:val="003569C4"/>
    <w:rsid w:val="003569E9"/>
    <w:rsid w:val="00356BE7"/>
    <w:rsid w:val="00356C8E"/>
    <w:rsid w:val="00356CAB"/>
    <w:rsid w:val="00356E5E"/>
    <w:rsid w:val="00356E85"/>
    <w:rsid w:val="00357008"/>
    <w:rsid w:val="0035775F"/>
    <w:rsid w:val="00357CDD"/>
    <w:rsid w:val="00357E0F"/>
    <w:rsid w:val="0036030E"/>
    <w:rsid w:val="0036041F"/>
    <w:rsid w:val="003608EC"/>
    <w:rsid w:val="00360992"/>
    <w:rsid w:val="00360C09"/>
    <w:rsid w:val="00361028"/>
    <w:rsid w:val="003612D8"/>
    <w:rsid w:val="00361956"/>
    <w:rsid w:val="00361BB6"/>
    <w:rsid w:val="00361F84"/>
    <w:rsid w:val="00361F85"/>
    <w:rsid w:val="0036225B"/>
    <w:rsid w:val="00362974"/>
    <w:rsid w:val="00362A74"/>
    <w:rsid w:val="00362CAF"/>
    <w:rsid w:val="00362D3B"/>
    <w:rsid w:val="00362D7B"/>
    <w:rsid w:val="00362DC6"/>
    <w:rsid w:val="00363199"/>
    <w:rsid w:val="003635F5"/>
    <w:rsid w:val="00363AAB"/>
    <w:rsid w:val="003640BB"/>
    <w:rsid w:val="00364183"/>
    <w:rsid w:val="003641A4"/>
    <w:rsid w:val="003644BC"/>
    <w:rsid w:val="003644E9"/>
    <w:rsid w:val="0036457C"/>
    <w:rsid w:val="00364A21"/>
    <w:rsid w:val="00364A53"/>
    <w:rsid w:val="00364A9A"/>
    <w:rsid w:val="00364DC5"/>
    <w:rsid w:val="00364E44"/>
    <w:rsid w:val="003650B1"/>
    <w:rsid w:val="003651EC"/>
    <w:rsid w:val="00365211"/>
    <w:rsid w:val="00365212"/>
    <w:rsid w:val="00365240"/>
    <w:rsid w:val="0036559C"/>
    <w:rsid w:val="00365626"/>
    <w:rsid w:val="00365806"/>
    <w:rsid w:val="00365893"/>
    <w:rsid w:val="0036598E"/>
    <w:rsid w:val="00365DEA"/>
    <w:rsid w:val="00365F3D"/>
    <w:rsid w:val="00366102"/>
    <w:rsid w:val="00366877"/>
    <w:rsid w:val="00366917"/>
    <w:rsid w:val="0036693A"/>
    <w:rsid w:val="003669EA"/>
    <w:rsid w:val="00366B81"/>
    <w:rsid w:val="00366B97"/>
    <w:rsid w:val="00366BE6"/>
    <w:rsid w:val="003672AD"/>
    <w:rsid w:val="00367306"/>
    <w:rsid w:val="003674D9"/>
    <w:rsid w:val="003675E0"/>
    <w:rsid w:val="003677E2"/>
    <w:rsid w:val="0036793B"/>
    <w:rsid w:val="00367B37"/>
    <w:rsid w:val="00367D9C"/>
    <w:rsid w:val="00367EF9"/>
    <w:rsid w:val="00367F03"/>
    <w:rsid w:val="003700F7"/>
    <w:rsid w:val="0037035A"/>
    <w:rsid w:val="003704D2"/>
    <w:rsid w:val="00370531"/>
    <w:rsid w:val="00370740"/>
    <w:rsid w:val="003708DF"/>
    <w:rsid w:val="00370E70"/>
    <w:rsid w:val="00371092"/>
    <w:rsid w:val="00371243"/>
    <w:rsid w:val="003713FA"/>
    <w:rsid w:val="0037152E"/>
    <w:rsid w:val="0037162A"/>
    <w:rsid w:val="003717A2"/>
    <w:rsid w:val="003718F6"/>
    <w:rsid w:val="00371A17"/>
    <w:rsid w:val="00371C6F"/>
    <w:rsid w:val="00371D51"/>
    <w:rsid w:val="0037202B"/>
    <w:rsid w:val="0037211B"/>
    <w:rsid w:val="0037226E"/>
    <w:rsid w:val="003724D3"/>
    <w:rsid w:val="00372A0D"/>
    <w:rsid w:val="00372ACD"/>
    <w:rsid w:val="00372F00"/>
    <w:rsid w:val="00373203"/>
    <w:rsid w:val="003732F4"/>
    <w:rsid w:val="003734EC"/>
    <w:rsid w:val="003735BF"/>
    <w:rsid w:val="0037394D"/>
    <w:rsid w:val="00373A0B"/>
    <w:rsid w:val="00373BB5"/>
    <w:rsid w:val="00373BB7"/>
    <w:rsid w:val="00373EE0"/>
    <w:rsid w:val="003740D7"/>
    <w:rsid w:val="003741B1"/>
    <w:rsid w:val="00374300"/>
    <w:rsid w:val="00374356"/>
    <w:rsid w:val="00374412"/>
    <w:rsid w:val="00374482"/>
    <w:rsid w:val="00374500"/>
    <w:rsid w:val="003746EA"/>
    <w:rsid w:val="00374733"/>
    <w:rsid w:val="003747CE"/>
    <w:rsid w:val="00374C29"/>
    <w:rsid w:val="00374E1D"/>
    <w:rsid w:val="00375027"/>
    <w:rsid w:val="00375061"/>
    <w:rsid w:val="003751CA"/>
    <w:rsid w:val="003755E4"/>
    <w:rsid w:val="00375C1A"/>
    <w:rsid w:val="003764DE"/>
    <w:rsid w:val="00376786"/>
    <w:rsid w:val="00376958"/>
    <w:rsid w:val="00376CB3"/>
    <w:rsid w:val="0037712D"/>
    <w:rsid w:val="00377C69"/>
    <w:rsid w:val="00377D52"/>
    <w:rsid w:val="00377E76"/>
    <w:rsid w:val="00377EA9"/>
    <w:rsid w:val="00377F53"/>
    <w:rsid w:val="003804F3"/>
    <w:rsid w:val="0038062A"/>
    <w:rsid w:val="0038066A"/>
    <w:rsid w:val="003807C2"/>
    <w:rsid w:val="0038093A"/>
    <w:rsid w:val="00380C26"/>
    <w:rsid w:val="00381100"/>
    <w:rsid w:val="00381641"/>
    <w:rsid w:val="003816CD"/>
    <w:rsid w:val="00381B30"/>
    <w:rsid w:val="0038209C"/>
    <w:rsid w:val="0038275A"/>
    <w:rsid w:val="00382CA2"/>
    <w:rsid w:val="00382D00"/>
    <w:rsid w:val="003831EA"/>
    <w:rsid w:val="003834C7"/>
    <w:rsid w:val="00383973"/>
    <w:rsid w:val="003839D9"/>
    <w:rsid w:val="00383B27"/>
    <w:rsid w:val="00383C62"/>
    <w:rsid w:val="00383CC1"/>
    <w:rsid w:val="00383E2D"/>
    <w:rsid w:val="003842EA"/>
    <w:rsid w:val="003843A8"/>
    <w:rsid w:val="0038492F"/>
    <w:rsid w:val="00384D21"/>
    <w:rsid w:val="00384D4A"/>
    <w:rsid w:val="00384D67"/>
    <w:rsid w:val="003853E1"/>
    <w:rsid w:val="00385515"/>
    <w:rsid w:val="003855E7"/>
    <w:rsid w:val="00385701"/>
    <w:rsid w:val="00385708"/>
    <w:rsid w:val="00385A97"/>
    <w:rsid w:val="00385AC6"/>
    <w:rsid w:val="00385FCB"/>
    <w:rsid w:val="00386182"/>
    <w:rsid w:val="0038664A"/>
    <w:rsid w:val="003866BD"/>
    <w:rsid w:val="0038686B"/>
    <w:rsid w:val="00386CC3"/>
    <w:rsid w:val="00386FA4"/>
    <w:rsid w:val="0038744E"/>
    <w:rsid w:val="00387766"/>
    <w:rsid w:val="00387899"/>
    <w:rsid w:val="00387B36"/>
    <w:rsid w:val="00387BA1"/>
    <w:rsid w:val="00387F8E"/>
    <w:rsid w:val="00390067"/>
    <w:rsid w:val="003900E3"/>
    <w:rsid w:val="003903BB"/>
    <w:rsid w:val="003908E1"/>
    <w:rsid w:val="00390B4B"/>
    <w:rsid w:val="00390D0C"/>
    <w:rsid w:val="00390D38"/>
    <w:rsid w:val="00391231"/>
    <w:rsid w:val="00391285"/>
    <w:rsid w:val="0039149E"/>
    <w:rsid w:val="0039158A"/>
    <w:rsid w:val="00391792"/>
    <w:rsid w:val="00391ABB"/>
    <w:rsid w:val="0039200A"/>
    <w:rsid w:val="003920FB"/>
    <w:rsid w:val="0039219D"/>
    <w:rsid w:val="003921FE"/>
    <w:rsid w:val="0039243F"/>
    <w:rsid w:val="003924AF"/>
    <w:rsid w:val="00392ABA"/>
    <w:rsid w:val="00392B13"/>
    <w:rsid w:val="00392CC8"/>
    <w:rsid w:val="00392F9B"/>
    <w:rsid w:val="0039305F"/>
    <w:rsid w:val="003932FC"/>
    <w:rsid w:val="0039344B"/>
    <w:rsid w:val="003935C0"/>
    <w:rsid w:val="003939EE"/>
    <w:rsid w:val="00393AFE"/>
    <w:rsid w:val="00393D4D"/>
    <w:rsid w:val="00393E99"/>
    <w:rsid w:val="00393F14"/>
    <w:rsid w:val="003942C3"/>
    <w:rsid w:val="00394603"/>
    <w:rsid w:val="003946AE"/>
    <w:rsid w:val="003947CE"/>
    <w:rsid w:val="00394B02"/>
    <w:rsid w:val="00394F90"/>
    <w:rsid w:val="0039515D"/>
    <w:rsid w:val="003952F1"/>
    <w:rsid w:val="00395389"/>
    <w:rsid w:val="0039547C"/>
    <w:rsid w:val="003954D9"/>
    <w:rsid w:val="00395682"/>
    <w:rsid w:val="00395748"/>
    <w:rsid w:val="0039577B"/>
    <w:rsid w:val="0039582A"/>
    <w:rsid w:val="0039591A"/>
    <w:rsid w:val="00395DFF"/>
    <w:rsid w:val="00395F84"/>
    <w:rsid w:val="003962D8"/>
    <w:rsid w:val="0039699D"/>
    <w:rsid w:val="00396B63"/>
    <w:rsid w:val="00396CAF"/>
    <w:rsid w:val="00396CD8"/>
    <w:rsid w:val="003971B2"/>
    <w:rsid w:val="00397337"/>
    <w:rsid w:val="0039743C"/>
    <w:rsid w:val="00397C1E"/>
    <w:rsid w:val="00397CFC"/>
    <w:rsid w:val="00397DFA"/>
    <w:rsid w:val="00397F43"/>
    <w:rsid w:val="00397F95"/>
    <w:rsid w:val="003A03B1"/>
    <w:rsid w:val="003A058A"/>
    <w:rsid w:val="003A07F0"/>
    <w:rsid w:val="003A0DF3"/>
    <w:rsid w:val="003A0F43"/>
    <w:rsid w:val="003A11C0"/>
    <w:rsid w:val="003A139D"/>
    <w:rsid w:val="003A142E"/>
    <w:rsid w:val="003A147C"/>
    <w:rsid w:val="003A1563"/>
    <w:rsid w:val="003A173C"/>
    <w:rsid w:val="003A1C51"/>
    <w:rsid w:val="003A1DCF"/>
    <w:rsid w:val="003A2335"/>
    <w:rsid w:val="003A2469"/>
    <w:rsid w:val="003A252B"/>
    <w:rsid w:val="003A283D"/>
    <w:rsid w:val="003A29D4"/>
    <w:rsid w:val="003A2ED2"/>
    <w:rsid w:val="003A2F1D"/>
    <w:rsid w:val="003A3068"/>
    <w:rsid w:val="003A3110"/>
    <w:rsid w:val="003A32B4"/>
    <w:rsid w:val="003A3449"/>
    <w:rsid w:val="003A357D"/>
    <w:rsid w:val="003A35C8"/>
    <w:rsid w:val="003A3719"/>
    <w:rsid w:val="003A3B47"/>
    <w:rsid w:val="003A3B77"/>
    <w:rsid w:val="003A3F2B"/>
    <w:rsid w:val="003A4007"/>
    <w:rsid w:val="003A40DD"/>
    <w:rsid w:val="003A444F"/>
    <w:rsid w:val="003A453D"/>
    <w:rsid w:val="003A4AC1"/>
    <w:rsid w:val="003A4BBE"/>
    <w:rsid w:val="003A4D98"/>
    <w:rsid w:val="003A4E04"/>
    <w:rsid w:val="003A5649"/>
    <w:rsid w:val="003A5880"/>
    <w:rsid w:val="003A5912"/>
    <w:rsid w:val="003A5B5C"/>
    <w:rsid w:val="003A5C66"/>
    <w:rsid w:val="003A5C6D"/>
    <w:rsid w:val="003A5D4A"/>
    <w:rsid w:val="003A6090"/>
    <w:rsid w:val="003A6188"/>
    <w:rsid w:val="003A66D9"/>
    <w:rsid w:val="003A676F"/>
    <w:rsid w:val="003A67AB"/>
    <w:rsid w:val="003A6871"/>
    <w:rsid w:val="003A6F25"/>
    <w:rsid w:val="003A7284"/>
    <w:rsid w:val="003A74F2"/>
    <w:rsid w:val="003A7D4F"/>
    <w:rsid w:val="003A7ED0"/>
    <w:rsid w:val="003B0805"/>
    <w:rsid w:val="003B09E6"/>
    <w:rsid w:val="003B0CDB"/>
    <w:rsid w:val="003B0FA9"/>
    <w:rsid w:val="003B15D2"/>
    <w:rsid w:val="003B1D0F"/>
    <w:rsid w:val="003B1EE0"/>
    <w:rsid w:val="003B215D"/>
    <w:rsid w:val="003B2175"/>
    <w:rsid w:val="003B2295"/>
    <w:rsid w:val="003B26C3"/>
    <w:rsid w:val="003B2876"/>
    <w:rsid w:val="003B2D67"/>
    <w:rsid w:val="003B2E6D"/>
    <w:rsid w:val="003B2ECB"/>
    <w:rsid w:val="003B2FB3"/>
    <w:rsid w:val="003B3039"/>
    <w:rsid w:val="003B304C"/>
    <w:rsid w:val="003B338B"/>
    <w:rsid w:val="003B34BE"/>
    <w:rsid w:val="003B34F6"/>
    <w:rsid w:val="003B3A96"/>
    <w:rsid w:val="003B3BED"/>
    <w:rsid w:val="003B3DAC"/>
    <w:rsid w:val="003B41FE"/>
    <w:rsid w:val="003B44D6"/>
    <w:rsid w:val="003B4530"/>
    <w:rsid w:val="003B4E8B"/>
    <w:rsid w:val="003B5294"/>
    <w:rsid w:val="003B5377"/>
    <w:rsid w:val="003B5388"/>
    <w:rsid w:val="003B5667"/>
    <w:rsid w:val="003B58E1"/>
    <w:rsid w:val="003B5C4B"/>
    <w:rsid w:val="003B5D96"/>
    <w:rsid w:val="003B61F0"/>
    <w:rsid w:val="003B6419"/>
    <w:rsid w:val="003B670A"/>
    <w:rsid w:val="003B6926"/>
    <w:rsid w:val="003B6D4F"/>
    <w:rsid w:val="003B70A8"/>
    <w:rsid w:val="003B711A"/>
    <w:rsid w:val="003B7671"/>
    <w:rsid w:val="003B786D"/>
    <w:rsid w:val="003C011D"/>
    <w:rsid w:val="003C02B1"/>
    <w:rsid w:val="003C037B"/>
    <w:rsid w:val="003C098A"/>
    <w:rsid w:val="003C0EA2"/>
    <w:rsid w:val="003C1004"/>
    <w:rsid w:val="003C1041"/>
    <w:rsid w:val="003C164A"/>
    <w:rsid w:val="003C19E7"/>
    <w:rsid w:val="003C1C83"/>
    <w:rsid w:val="003C20CB"/>
    <w:rsid w:val="003C226E"/>
    <w:rsid w:val="003C246C"/>
    <w:rsid w:val="003C2539"/>
    <w:rsid w:val="003C2898"/>
    <w:rsid w:val="003C28D5"/>
    <w:rsid w:val="003C29D2"/>
    <w:rsid w:val="003C2A70"/>
    <w:rsid w:val="003C2F31"/>
    <w:rsid w:val="003C3122"/>
    <w:rsid w:val="003C31FD"/>
    <w:rsid w:val="003C3864"/>
    <w:rsid w:val="003C3EB1"/>
    <w:rsid w:val="003C4145"/>
    <w:rsid w:val="003C4316"/>
    <w:rsid w:val="003C4474"/>
    <w:rsid w:val="003C457A"/>
    <w:rsid w:val="003C462A"/>
    <w:rsid w:val="003C47E1"/>
    <w:rsid w:val="003C4A8C"/>
    <w:rsid w:val="003C4B1F"/>
    <w:rsid w:val="003C4D04"/>
    <w:rsid w:val="003C4E09"/>
    <w:rsid w:val="003C4FFE"/>
    <w:rsid w:val="003C5013"/>
    <w:rsid w:val="003C502A"/>
    <w:rsid w:val="003C50F1"/>
    <w:rsid w:val="003C52B2"/>
    <w:rsid w:val="003C54D0"/>
    <w:rsid w:val="003C54DB"/>
    <w:rsid w:val="003C570B"/>
    <w:rsid w:val="003C5879"/>
    <w:rsid w:val="003C592C"/>
    <w:rsid w:val="003C60C8"/>
    <w:rsid w:val="003C6421"/>
    <w:rsid w:val="003C6648"/>
    <w:rsid w:val="003C664A"/>
    <w:rsid w:val="003C66AB"/>
    <w:rsid w:val="003C6A03"/>
    <w:rsid w:val="003C6B58"/>
    <w:rsid w:val="003C6DD3"/>
    <w:rsid w:val="003C6E18"/>
    <w:rsid w:val="003C78C6"/>
    <w:rsid w:val="003D0007"/>
    <w:rsid w:val="003D0068"/>
    <w:rsid w:val="003D0475"/>
    <w:rsid w:val="003D065C"/>
    <w:rsid w:val="003D0751"/>
    <w:rsid w:val="003D0A81"/>
    <w:rsid w:val="003D0B92"/>
    <w:rsid w:val="003D0E4E"/>
    <w:rsid w:val="003D15BF"/>
    <w:rsid w:val="003D15E1"/>
    <w:rsid w:val="003D185C"/>
    <w:rsid w:val="003D19C8"/>
    <w:rsid w:val="003D1BE5"/>
    <w:rsid w:val="003D2236"/>
    <w:rsid w:val="003D2CEC"/>
    <w:rsid w:val="003D2DE4"/>
    <w:rsid w:val="003D2ED0"/>
    <w:rsid w:val="003D30C8"/>
    <w:rsid w:val="003D315D"/>
    <w:rsid w:val="003D3198"/>
    <w:rsid w:val="003D34C1"/>
    <w:rsid w:val="003D3971"/>
    <w:rsid w:val="003D3A59"/>
    <w:rsid w:val="003D3C97"/>
    <w:rsid w:val="003D3D00"/>
    <w:rsid w:val="003D3EAB"/>
    <w:rsid w:val="003D428D"/>
    <w:rsid w:val="003D43D1"/>
    <w:rsid w:val="003D4829"/>
    <w:rsid w:val="003D4B93"/>
    <w:rsid w:val="003D4D68"/>
    <w:rsid w:val="003D4DA0"/>
    <w:rsid w:val="003D4E4C"/>
    <w:rsid w:val="003D5137"/>
    <w:rsid w:val="003D53A7"/>
    <w:rsid w:val="003D53C7"/>
    <w:rsid w:val="003D55FF"/>
    <w:rsid w:val="003D58B7"/>
    <w:rsid w:val="003D5A11"/>
    <w:rsid w:val="003D5D90"/>
    <w:rsid w:val="003D5F61"/>
    <w:rsid w:val="003D6263"/>
    <w:rsid w:val="003D6494"/>
    <w:rsid w:val="003D66A6"/>
    <w:rsid w:val="003D6788"/>
    <w:rsid w:val="003D69C1"/>
    <w:rsid w:val="003D6A9A"/>
    <w:rsid w:val="003D6BC0"/>
    <w:rsid w:val="003D6ED5"/>
    <w:rsid w:val="003D6FA4"/>
    <w:rsid w:val="003D716F"/>
    <w:rsid w:val="003D76E8"/>
    <w:rsid w:val="003D7955"/>
    <w:rsid w:val="003D7985"/>
    <w:rsid w:val="003D79BD"/>
    <w:rsid w:val="003E00C8"/>
    <w:rsid w:val="003E0232"/>
    <w:rsid w:val="003E0470"/>
    <w:rsid w:val="003E061F"/>
    <w:rsid w:val="003E0654"/>
    <w:rsid w:val="003E07DB"/>
    <w:rsid w:val="003E0A3D"/>
    <w:rsid w:val="003E0AD3"/>
    <w:rsid w:val="003E1211"/>
    <w:rsid w:val="003E14F1"/>
    <w:rsid w:val="003E175B"/>
    <w:rsid w:val="003E19BC"/>
    <w:rsid w:val="003E1A13"/>
    <w:rsid w:val="003E1DAE"/>
    <w:rsid w:val="003E1F58"/>
    <w:rsid w:val="003E20F7"/>
    <w:rsid w:val="003E2C07"/>
    <w:rsid w:val="003E2D8B"/>
    <w:rsid w:val="003E3727"/>
    <w:rsid w:val="003E380D"/>
    <w:rsid w:val="003E39C8"/>
    <w:rsid w:val="003E3CA2"/>
    <w:rsid w:val="003E3D80"/>
    <w:rsid w:val="003E442F"/>
    <w:rsid w:val="003E44EC"/>
    <w:rsid w:val="003E48FF"/>
    <w:rsid w:val="003E4A3B"/>
    <w:rsid w:val="003E4D40"/>
    <w:rsid w:val="003E4E14"/>
    <w:rsid w:val="003E4FD8"/>
    <w:rsid w:val="003E51C3"/>
    <w:rsid w:val="003E5328"/>
    <w:rsid w:val="003E5356"/>
    <w:rsid w:val="003E5651"/>
    <w:rsid w:val="003E580F"/>
    <w:rsid w:val="003E5816"/>
    <w:rsid w:val="003E599D"/>
    <w:rsid w:val="003E5A84"/>
    <w:rsid w:val="003E5B28"/>
    <w:rsid w:val="003E5C14"/>
    <w:rsid w:val="003E5D19"/>
    <w:rsid w:val="003E5DFA"/>
    <w:rsid w:val="003E5F3E"/>
    <w:rsid w:val="003E61C0"/>
    <w:rsid w:val="003E6669"/>
    <w:rsid w:val="003E6AFC"/>
    <w:rsid w:val="003E6BDF"/>
    <w:rsid w:val="003E6D9A"/>
    <w:rsid w:val="003E6F43"/>
    <w:rsid w:val="003E76C2"/>
    <w:rsid w:val="003E784A"/>
    <w:rsid w:val="003E7B18"/>
    <w:rsid w:val="003E7B64"/>
    <w:rsid w:val="003E7D49"/>
    <w:rsid w:val="003F025D"/>
    <w:rsid w:val="003F039C"/>
    <w:rsid w:val="003F0493"/>
    <w:rsid w:val="003F0767"/>
    <w:rsid w:val="003F07EC"/>
    <w:rsid w:val="003F08D8"/>
    <w:rsid w:val="003F0A0A"/>
    <w:rsid w:val="003F0B56"/>
    <w:rsid w:val="003F0C42"/>
    <w:rsid w:val="003F0D35"/>
    <w:rsid w:val="003F0E63"/>
    <w:rsid w:val="003F0E7F"/>
    <w:rsid w:val="003F0EDA"/>
    <w:rsid w:val="003F0F0E"/>
    <w:rsid w:val="003F1162"/>
    <w:rsid w:val="003F1487"/>
    <w:rsid w:val="003F15F1"/>
    <w:rsid w:val="003F1928"/>
    <w:rsid w:val="003F1ACA"/>
    <w:rsid w:val="003F1BEB"/>
    <w:rsid w:val="003F1E3B"/>
    <w:rsid w:val="003F1F33"/>
    <w:rsid w:val="003F23CD"/>
    <w:rsid w:val="003F29E3"/>
    <w:rsid w:val="003F2A7D"/>
    <w:rsid w:val="003F2C9F"/>
    <w:rsid w:val="003F36F1"/>
    <w:rsid w:val="003F3D6A"/>
    <w:rsid w:val="003F455B"/>
    <w:rsid w:val="003F4636"/>
    <w:rsid w:val="003F4A91"/>
    <w:rsid w:val="003F4E53"/>
    <w:rsid w:val="003F51D6"/>
    <w:rsid w:val="003F5344"/>
    <w:rsid w:val="003F57E8"/>
    <w:rsid w:val="003F5923"/>
    <w:rsid w:val="003F5959"/>
    <w:rsid w:val="003F5C0A"/>
    <w:rsid w:val="003F5F0C"/>
    <w:rsid w:val="003F6046"/>
    <w:rsid w:val="003F608A"/>
    <w:rsid w:val="003F61D3"/>
    <w:rsid w:val="003F6476"/>
    <w:rsid w:val="003F6950"/>
    <w:rsid w:val="003F69FF"/>
    <w:rsid w:val="003F6A93"/>
    <w:rsid w:val="003F6ABF"/>
    <w:rsid w:val="003F6BB7"/>
    <w:rsid w:val="003F6D36"/>
    <w:rsid w:val="003F6E42"/>
    <w:rsid w:val="003F6E6B"/>
    <w:rsid w:val="003F70CD"/>
    <w:rsid w:val="003F7570"/>
    <w:rsid w:val="003F7800"/>
    <w:rsid w:val="003F786E"/>
    <w:rsid w:val="003F7924"/>
    <w:rsid w:val="003F7D7D"/>
    <w:rsid w:val="003F7E8C"/>
    <w:rsid w:val="003F7E99"/>
    <w:rsid w:val="00400057"/>
    <w:rsid w:val="0040020D"/>
    <w:rsid w:val="004004E5"/>
    <w:rsid w:val="00400614"/>
    <w:rsid w:val="00400782"/>
    <w:rsid w:val="00400875"/>
    <w:rsid w:val="00400C8A"/>
    <w:rsid w:val="00401152"/>
    <w:rsid w:val="00401354"/>
    <w:rsid w:val="004013B1"/>
    <w:rsid w:val="004016F4"/>
    <w:rsid w:val="00401856"/>
    <w:rsid w:val="004018D4"/>
    <w:rsid w:val="00401AD7"/>
    <w:rsid w:val="00401D2B"/>
    <w:rsid w:val="004024E0"/>
    <w:rsid w:val="00402A81"/>
    <w:rsid w:val="00402BEF"/>
    <w:rsid w:val="00402DC0"/>
    <w:rsid w:val="00402E0C"/>
    <w:rsid w:val="004030C6"/>
    <w:rsid w:val="0040322F"/>
    <w:rsid w:val="0040323E"/>
    <w:rsid w:val="00403253"/>
    <w:rsid w:val="00403AB8"/>
    <w:rsid w:val="00403F8A"/>
    <w:rsid w:val="00404332"/>
    <w:rsid w:val="004045FC"/>
    <w:rsid w:val="0040495C"/>
    <w:rsid w:val="00404BF9"/>
    <w:rsid w:val="00404FB9"/>
    <w:rsid w:val="00404FE6"/>
    <w:rsid w:val="00405EDA"/>
    <w:rsid w:val="0040600A"/>
    <w:rsid w:val="0040650F"/>
    <w:rsid w:val="00406B3F"/>
    <w:rsid w:val="00406D8E"/>
    <w:rsid w:val="00406DDA"/>
    <w:rsid w:val="00406E1D"/>
    <w:rsid w:val="00406E75"/>
    <w:rsid w:val="00406EAA"/>
    <w:rsid w:val="00406F17"/>
    <w:rsid w:val="0040731B"/>
    <w:rsid w:val="00407350"/>
    <w:rsid w:val="004077FF"/>
    <w:rsid w:val="00407879"/>
    <w:rsid w:val="004079CB"/>
    <w:rsid w:val="00407B2E"/>
    <w:rsid w:val="00407C3E"/>
    <w:rsid w:val="00407F0B"/>
    <w:rsid w:val="004108CE"/>
    <w:rsid w:val="00410F75"/>
    <w:rsid w:val="00411405"/>
    <w:rsid w:val="00411681"/>
    <w:rsid w:val="00411F1B"/>
    <w:rsid w:val="00412020"/>
    <w:rsid w:val="00412033"/>
    <w:rsid w:val="004120A3"/>
    <w:rsid w:val="00412623"/>
    <w:rsid w:val="004126F0"/>
    <w:rsid w:val="00412774"/>
    <w:rsid w:val="00413C8E"/>
    <w:rsid w:val="00413DF2"/>
    <w:rsid w:val="00413FE5"/>
    <w:rsid w:val="00414470"/>
    <w:rsid w:val="00414473"/>
    <w:rsid w:val="00414477"/>
    <w:rsid w:val="004144C7"/>
    <w:rsid w:val="0041476C"/>
    <w:rsid w:val="00414BA3"/>
    <w:rsid w:val="00414C5D"/>
    <w:rsid w:val="00414F75"/>
    <w:rsid w:val="004150C9"/>
    <w:rsid w:val="00415123"/>
    <w:rsid w:val="004153D3"/>
    <w:rsid w:val="00415825"/>
    <w:rsid w:val="00415AB3"/>
    <w:rsid w:val="0041609C"/>
    <w:rsid w:val="0041618B"/>
    <w:rsid w:val="004161FE"/>
    <w:rsid w:val="0041630D"/>
    <w:rsid w:val="0041633C"/>
    <w:rsid w:val="0041670A"/>
    <w:rsid w:val="004169B5"/>
    <w:rsid w:val="00416D67"/>
    <w:rsid w:val="00416E24"/>
    <w:rsid w:val="00416E55"/>
    <w:rsid w:val="004171CE"/>
    <w:rsid w:val="00417282"/>
    <w:rsid w:val="00417299"/>
    <w:rsid w:val="004175A5"/>
    <w:rsid w:val="00417968"/>
    <w:rsid w:val="00417CC4"/>
    <w:rsid w:val="00417D6B"/>
    <w:rsid w:val="00417F31"/>
    <w:rsid w:val="00417F9E"/>
    <w:rsid w:val="00417FA5"/>
    <w:rsid w:val="0042003A"/>
    <w:rsid w:val="004201C3"/>
    <w:rsid w:val="00420302"/>
    <w:rsid w:val="00420393"/>
    <w:rsid w:val="004203DA"/>
    <w:rsid w:val="00420D07"/>
    <w:rsid w:val="00420F2F"/>
    <w:rsid w:val="004210D5"/>
    <w:rsid w:val="004213BC"/>
    <w:rsid w:val="004216A2"/>
    <w:rsid w:val="00421AD7"/>
    <w:rsid w:val="00421C9E"/>
    <w:rsid w:val="00421D2A"/>
    <w:rsid w:val="00421E8C"/>
    <w:rsid w:val="00421EA0"/>
    <w:rsid w:val="00421FB4"/>
    <w:rsid w:val="004222B3"/>
    <w:rsid w:val="00422414"/>
    <w:rsid w:val="0042264F"/>
    <w:rsid w:val="004227A8"/>
    <w:rsid w:val="004228AF"/>
    <w:rsid w:val="004229DE"/>
    <w:rsid w:val="00422D0C"/>
    <w:rsid w:val="004231CF"/>
    <w:rsid w:val="00423255"/>
    <w:rsid w:val="00423546"/>
    <w:rsid w:val="0042363E"/>
    <w:rsid w:val="004236C7"/>
    <w:rsid w:val="004237D8"/>
    <w:rsid w:val="00423E76"/>
    <w:rsid w:val="00423FC8"/>
    <w:rsid w:val="0042409B"/>
    <w:rsid w:val="0042425B"/>
    <w:rsid w:val="0042453F"/>
    <w:rsid w:val="00424B22"/>
    <w:rsid w:val="00424CF1"/>
    <w:rsid w:val="004250E5"/>
    <w:rsid w:val="00425166"/>
    <w:rsid w:val="00425488"/>
    <w:rsid w:val="0042549F"/>
    <w:rsid w:val="004255E3"/>
    <w:rsid w:val="00425AF6"/>
    <w:rsid w:val="00425D30"/>
    <w:rsid w:val="004261D4"/>
    <w:rsid w:val="00426926"/>
    <w:rsid w:val="00426AB1"/>
    <w:rsid w:val="00426C71"/>
    <w:rsid w:val="00426D21"/>
    <w:rsid w:val="00426DA0"/>
    <w:rsid w:val="00426F8F"/>
    <w:rsid w:val="00426FB9"/>
    <w:rsid w:val="0042708D"/>
    <w:rsid w:val="004270D7"/>
    <w:rsid w:val="00427153"/>
    <w:rsid w:val="00427529"/>
    <w:rsid w:val="00427737"/>
    <w:rsid w:val="00427BF0"/>
    <w:rsid w:val="00427DA7"/>
    <w:rsid w:val="00430077"/>
    <w:rsid w:val="00430457"/>
    <w:rsid w:val="00430849"/>
    <w:rsid w:val="004309B2"/>
    <w:rsid w:val="00430D0C"/>
    <w:rsid w:val="00431308"/>
    <w:rsid w:val="004314F7"/>
    <w:rsid w:val="00431B48"/>
    <w:rsid w:val="004322D1"/>
    <w:rsid w:val="00432488"/>
    <w:rsid w:val="0043287B"/>
    <w:rsid w:val="00433063"/>
    <w:rsid w:val="0043309A"/>
    <w:rsid w:val="004330DE"/>
    <w:rsid w:val="004334BE"/>
    <w:rsid w:val="00433537"/>
    <w:rsid w:val="00433745"/>
    <w:rsid w:val="00433839"/>
    <w:rsid w:val="004338D1"/>
    <w:rsid w:val="00433B0A"/>
    <w:rsid w:val="00433B1C"/>
    <w:rsid w:val="00433D93"/>
    <w:rsid w:val="00433DDD"/>
    <w:rsid w:val="00434005"/>
    <w:rsid w:val="00434409"/>
    <w:rsid w:val="004348E7"/>
    <w:rsid w:val="00434F7E"/>
    <w:rsid w:val="00434FEA"/>
    <w:rsid w:val="00435029"/>
    <w:rsid w:val="00435722"/>
    <w:rsid w:val="00435860"/>
    <w:rsid w:val="004358D9"/>
    <w:rsid w:val="00435A1C"/>
    <w:rsid w:val="00435AFC"/>
    <w:rsid w:val="00435D39"/>
    <w:rsid w:val="00436813"/>
    <w:rsid w:val="0043684B"/>
    <w:rsid w:val="00436970"/>
    <w:rsid w:val="00436A60"/>
    <w:rsid w:val="00436BD0"/>
    <w:rsid w:val="00436BE4"/>
    <w:rsid w:val="00436CD8"/>
    <w:rsid w:val="004370F0"/>
    <w:rsid w:val="0043721E"/>
    <w:rsid w:val="004372C9"/>
    <w:rsid w:val="004373BD"/>
    <w:rsid w:val="004376D3"/>
    <w:rsid w:val="004378A1"/>
    <w:rsid w:val="00437A98"/>
    <w:rsid w:val="00437BC4"/>
    <w:rsid w:val="00437DAC"/>
    <w:rsid w:val="00437DC9"/>
    <w:rsid w:val="00440065"/>
    <w:rsid w:val="004401C3"/>
    <w:rsid w:val="00440435"/>
    <w:rsid w:val="00440446"/>
    <w:rsid w:val="004407D1"/>
    <w:rsid w:val="00440E4E"/>
    <w:rsid w:val="00441327"/>
    <w:rsid w:val="004416B5"/>
    <w:rsid w:val="004416DB"/>
    <w:rsid w:val="0044173A"/>
    <w:rsid w:val="00441C95"/>
    <w:rsid w:val="00441E9C"/>
    <w:rsid w:val="00441EDB"/>
    <w:rsid w:val="0044204D"/>
    <w:rsid w:val="00442478"/>
    <w:rsid w:val="00442540"/>
    <w:rsid w:val="00442560"/>
    <w:rsid w:val="004426FF"/>
    <w:rsid w:val="0044270E"/>
    <w:rsid w:val="004427C7"/>
    <w:rsid w:val="00442895"/>
    <w:rsid w:val="00442951"/>
    <w:rsid w:val="004429B8"/>
    <w:rsid w:val="00442B6E"/>
    <w:rsid w:val="00442EB7"/>
    <w:rsid w:val="00442ECC"/>
    <w:rsid w:val="00442F74"/>
    <w:rsid w:val="00443128"/>
    <w:rsid w:val="00443409"/>
    <w:rsid w:val="00443870"/>
    <w:rsid w:val="00443CC3"/>
    <w:rsid w:val="00443DE6"/>
    <w:rsid w:val="00444389"/>
    <w:rsid w:val="004443D0"/>
    <w:rsid w:val="004445F7"/>
    <w:rsid w:val="00444633"/>
    <w:rsid w:val="004447E4"/>
    <w:rsid w:val="00444CEA"/>
    <w:rsid w:val="00444D08"/>
    <w:rsid w:val="00444DE7"/>
    <w:rsid w:val="004453BD"/>
    <w:rsid w:val="004453FE"/>
    <w:rsid w:val="00445727"/>
    <w:rsid w:val="004457B1"/>
    <w:rsid w:val="00445829"/>
    <w:rsid w:val="00445F65"/>
    <w:rsid w:val="0044614C"/>
    <w:rsid w:val="0044620B"/>
    <w:rsid w:val="00446246"/>
    <w:rsid w:val="0044632F"/>
    <w:rsid w:val="0044641F"/>
    <w:rsid w:val="0044646F"/>
    <w:rsid w:val="00446974"/>
    <w:rsid w:val="00446A10"/>
    <w:rsid w:val="00446CBD"/>
    <w:rsid w:val="004470EC"/>
    <w:rsid w:val="0044789D"/>
    <w:rsid w:val="004478EF"/>
    <w:rsid w:val="00447ABF"/>
    <w:rsid w:val="00447B3F"/>
    <w:rsid w:val="00447BF0"/>
    <w:rsid w:val="00447D66"/>
    <w:rsid w:val="00447E2A"/>
    <w:rsid w:val="00450441"/>
    <w:rsid w:val="0045050B"/>
    <w:rsid w:val="004507BE"/>
    <w:rsid w:val="00450CAA"/>
    <w:rsid w:val="00450CFF"/>
    <w:rsid w:val="00450E2F"/>
    <w:rsid w:val="00451025"/>
    <w:rsid w:val="004514FD"/>
    <w:rsid w:val="00451507"/>
    <w:rsid w:val="0045166C"/>
    <w:rsid w:val="00451816"/>
    <w:rsid w:val="004519B8"/>
    <w:rsid w:val="00451B89"/>
    <w:rsid w:val="00451C94"/>
    <w:rsid w:val="00452598"/>
    <w:rsid w:val="0045263C"/>
    <w:rsid w:val="00452C3B"/>
    <w:rsid w:val="00452DFB"/>
    <w:rsid w:val="00452E31"/>
    <w:rsid w:val="0045301C"/>
    <w:rsid w:val="0045322F"/>
    <w:rsid w:val="00453317"/>
    <w:rsid w:val="00453389"/>
    <w:rsid w:val="0045350A"/>
    <w:rsid w:val="004535AE"/>
    <w:rsid w:val="004535DE"/>
    <w:rsid w:val="00453650"/>
    <w:rsid w:val="00453AF4"/>
    <w:rsid w:val="00453D40"/>
    <w:rsid w:val="0045407C"/>
    <w:rsid w:val="0045407D"/>
    <w:rsid w:val="004542C4"/>
    <w:rsid w:val="00454639"/>
    <w:rsid w:val="004547E3"/>
    <w:rsid w:val="004548A2"/>
    <w:rsid w:val="00454952"/>
    <w:rsid w:val="00454A17"/>
    <w:rsid w:val="00454B12"/>
    <w:rsid w:val="00454C7E"/>
    <w:rsid w:val="004550DE"/>
    <w:rsid w:val="0045532F"/>
    <w:rsid w:val="0045577C"/>
    <w:rsid w:val="00455E5C"/>
    <w:rsid w:val="00456298"/>
    <w:rsid w:val="004562A4"/>
    <w:rsid w:val="00456303"/>
    <w:rsid w:val="00456A9D"/>
    <w:rsid w:val="00456BFF"/>
    <w:rsid w:val="00456C48"/>
    <w:rsid w:val="00456E89"/>
    <w:rsid w:val="00456EA4"/>
    <w:rsid w:val="004570CF"/>
    <w:rsid w:val="0045710A"/>
    <w:rsid w:val="004572DD"/>
    <w:rsid w:val="0045736F"/>
    <w:rsid w:val="00457B37"/>
    <w:rsid w:val="00457D77"/>
    <w:rsid w:val="004600F4"/>
    <w:rsid w:val="00460435"/>
    <w:rsid w:val="00460609"/>
    <w:rsid w:val="00460BB7"/>
    <w:rsid w:val="00460E25"/>
    <w:rsid w:val="00460FA0"/>
    <w:rsid w:val="00461588"/>
    <w:rsid w:val="0046163C"/>
    <w:rsid w:val="00461671"/>
    <w:rsid w:val="004618AD"/>
    <w:rsid w:val="00461C92"/>
    <w:rsid w:val="00461D19"/>
    <w:rsid w:val="00462048"/>
    <w:rsid w:val="00462350"/>
    <w:rsid w:val="004624DE"/>
    <w:rsid w:val="00462A01"/>
    <w:rsid w:val="00462BC7"/>
    <w:rsid w:val="00462F87"/>
    <w:rsid w:val="00463341"/>
    <w:rsid w:val="004637C9"/>
    <w:rsid w:val="00463AC0"/>
    <w:rsid w:val="00463E4F"/>
    <w:rsid w:val="0046417C"/>
    <w:rsid w:val="004641AB"/>
    <w:rsid w:val="004644C6"/>
    <w:rsid w:val="00464666"/>
    <w:rsid w:val="00464850"/>
    <w:rsid w:val="00464939"/>
    <w:rsid w:val="00464BC8"/>
    <w:rsid w:val="00464C46"/>
    <w:rsid w:val="00464E11"/>
    <w:rsid w:val="00464E44"/>
    <w:rsid w:val="004650C1"/>
    <w:rsid w:val="00465933"/>
    <w:rsid w:val="00465AC2"/>
    <w:rsid w:val="00465BA4"/>
    <w:rsid w:val="00465D58"/>
    <w:rsid w:val="00466014"/>
    <w:rsid w:val="004661B9"/>
    <w:rsid w:val="004662E3"/>
    <w:rsid w:val="0046692A"/>
    <w:rsid w:val="00466A19"/>
    <w:rsid w:val="004675DF"/>
    <w:rsid w:val="00467644"/>
    <w:rsid w:val="004677D0"/>
    <w:rsid w:val="004678EB"/>
    <w:rsid w:val="00467D9C"/>
    <w:rsid w:val="00467F2D"/>
    <w:rsid w:val="00467F8A"/>
    <w:rsid w:val="004700F2"/>
    <w:rsid w:val="0047011C"/>
    <w:rsid w:val="00470435"/>
    <w:rsid w:val="0047046A"/>
    <w:rsid w:val="0047089E"/>
    <w:rsid w:val="0047095B"/>
    <w:rsid w:val="00470C1D"/>
    <w:rsid w:val="0047137F"/>
    <w:rsid w:val="0047138A"/>
    <w:rsid w:val="00471498"/>
    <w:rsid w:val="00471581"/>
    <w:rsid w:val="004716A3"/>
    <w:rsid w:val="004716F2"/>
    <w:rsid w:val="00471B0B"/>
    <w:rsid w:val="00471C1D"/>
    <w:rsid w:val="00472127"/>
    <w:rsid w:val="00472154"/>
    <w:rsid w:val="00472175"/>
    <w:rsid w:val="00472522"/>
    <w:rsid w:val="004728D2"/>
    <w:rsid w:val="004729A1"/>
    <w:rsid w:val="00472A99"/>
    <w:rsid w:val="00472BF4"/>
    <w:rsid w:val="00472C5A"/>
    <w:rsid w:val="00473512"/>
    <w:rsid w:val="00473BE0"/>
    <w:rsid w:val="00473F30"/>
    <w:rsid w:val="00474877"/>
    <w:rsid w:val="0047491F"/>
    <w:rsid w:val="00474E8D"/>
    <w:rsid w:val="0047520C"/>
    <w:rsid w:val="0047529B"/>
    <w:rsid w:val="0047536A"/>
    <w:rsid w:val="00475563"/>
    <w:rsid w:val="004755E0"/>
    <w:rsid w:val="004755EC"/>
    <w:rsid w:val="00475A40"/>
    <w:rsid w:val="00475C6A"/>
    <w:rsid w:val="00476035"/>
    <w:rsid w:val="0047609E"/>
    <w:rsid w:val="004762FA"/>
    <w:rsid w:val="00476869"/>
    <w:rsid w:val="004768C5"/>
    <w:rsid w:val="00476C91"/>
    <w:rsid w:val="00476CC9"/>
    <w:rsid w:val="00476DEB"/>
    <w:rsid w:val="00476ECA"/>
    <w:rsid w:val="00477217"/>
    <w:rsid w:val="00477517"/>
    <w:rsid w:val="00477DF0"/>
    <w:rsid w:val="004801F3"/>
    <w:rsid w:val="004802D8"/>
    <w:rsid w:val="00480329"/>
    <w:rsid w:val="004803A2"/>
    <w:rsid w:val="00480432"/>
    <w:rsid w:val="00480686"/>
    <w:rsid w:val="00480815"/>
    <w:rsid w:val="00480AC1"/>
    <w:rsid w:val="00480DA0"/>
    <w:rsid w:val="00480EA0"/>
    <w:rsid w:val="004810D4"/>
    <w:rsid w:val="004810DD"/>
    <w:rsid w:val="00481301"/>
    <w:rsid w:val="004813AB"/>
    <w:rsid w:val="00481717"/>
    <w:rsid w:val="00481AFE"/>
    <w:rsid w:val="00481E88"/>
    <w:rsid w:val="00481E8C"/>
    <w:rsid w:val="00481EAA"/>
    <w:rsid w:val="0048222C"/>
    <w:rsid w:val="004822B4"/>
    <w:rsid w:val="004822EC"/>
    <w:rsid w:val="00482328"/>
    <w:rsid w:val="004827B5"/>
    <w:rsid w:val="0048282E"/>
    <w:rsid w:val="0048294E"/>
    <w:rsid w:val="00482B26"/>
    <w:rsid w:val="00482F2D"/>
    <w:rsid w:val="004831DA"/>
    <w:rsid w:val="004834BC"/>
    <w:rsid w:val="0048350B"/>
    <w:rsid w:val="0048365A"/>
    <w:rsid w:val="0048374E"/>
    <w:rsid w:val="004837EB"/>
    <w:rsid w:val="00483A76"/>
    <w:rsid w:val="00483B29"/>
    <w:rsid w:val="00483D5E"/>
    <w:rsid w:val="00483E79"/>
    <w:rsid w:val="00484026"/>
    <w:rsid w:val="0048416C"/>
    <w:rsid w:val="00484322"/>
    <w:rsid w:val="0048458D"/>
    <w:rsid w:val="004845A7"/>
    <w:rsid w:val="00484749"/>
    <w:rsid w:val="00484A44"/>
    <w:rsid w:val="00484F29"/>
    <w:rsid w:val="00484FEF"/>
    <w:rsid w:val="0048534A"/>
    <w:rsid w:val="004853AA"/>
    <w:rsid w:val="004853DA"/>
    <w:rsid w:val="00485694"/>
    <w:rsid w:val="00485A63"/>
    <w:rsid w:val="00485A7B"/>
    <w:rsid w:val="00485E79"/>
    <w:rsid w:val="00486037"/>
    <w:rsid w:val="0048653A"/>
    <w:rsid w:val="00486E0D"/>
    <w:rsid w:val="00486FF1"/>
    <w:rsid w:val="004872FC"/>
    <w:rsid w:val="00487355"/>
    <w:rsid w:val="004873AE"/>
    <w:rsid w:val="0048742D"/>
    <w:rsid w:val="00487529"/>
    <w:rsid w:val="00487743"/>
    <w:rsid w:val="00487925"/>
    <w:rsid w:val="004879AE"/>
    <w:rsid w:val="00487B05"/>
    <w:rsid w:val="00487B54"/>
    <w:rsid w:val="00487DB8"/>
    <w:rsid w:val="00487DFD"/>
    <w:rsid w:val="00487EF1"/>
    <w:rsid w:val="00490101"/>
    <w:rsid w:val="0049013E"/>
    <w:rsid w:val="00490340"/>
    <w:rsid w:val="0049063F"/>
    <w:rsid w:val="004908E3"/>
    <w:rsid w:val="004908E8"/>
    <w:rsid w:val="00490BB2"/>
    <w:rsid w:val="00490F77"/>
    <w:rsid w:val="0049113B"/>
    <w:rsid w:val="004911EE"/>
    <w:rsid w:val="00491254"/>
    <w:rsid w:val="0049149D"/>
    <w:rsid w:val="0049188B"/>
    <w:rsid w:val="00491ACD"/>
    <w:rsid w:val="00491E2C"/>
    <w:rsid w:val="0049200A"/>
    <w:rsid w:val="00492172"/>
    <w:rsid w:val="004921B9"/>
    <w:rsid w:val="0049240E"/>
    <w:rsid w:val="0049285B"/>
    <w:rsid w:val="0049336E"/>
    <w:rsid w:val="00493447"/>
    <w:rsid w:val="004937D9"/>
    <w:rsid w:val="00494234"/>
    <w:rsid w:val="0049427E"/>
    <w:rsid w:val="00494C07"/>
    <w:rsid w:val="00494D36"/>
    <w:rsid w:val="00494D96"/>
    <w:rsid w:val="0049502E"/>
    <w:rsid w:val="004951FC"/>
    <w:rsid w:val="00495253"/>
    <w:rsid w:val="0049585F"/>
    <w:rsid w:val="004959AA"/>
    <w:rsid w:val="004959EA"/>
    <w:rsid w:val="00495B07"/>
    <w:rsid w:val="00495DCE"/>
    <w:rsid w:val="00495E5E"/>
    <w:rsid w:val="00496591"/>
    <w:rsid w:val="0049698B"/>
    <w:rsid w:val="004969AF"/>
    <w:rsid w:val="00496C6B"/>
    <w:rsid w:val="00496EAF"/>
    <w:rsid w:val="0049717D"/>
    <w:rsid w:val="0049722F"/>
    <w:rsid w:val="0049725A"/>
    <w:rsid w:val="004974D9"/>
    <w:rsid w:val="0049780A"/>
    <w:rsid w:val="00497839"/>
    <w:rsid w:val="00497B41"/>
    <w:rsid w:val="00497BB1"/>
    <w:rsid w:val="00497CC2"/>
    <w:rsid w:val="004A01F7"/>
    <w:rsid w:val="004A0270"/>
    <w:rsid w:val="004A0649"/>
    <w:rsid w:val="004A0B14"/>
    <w:rsid w:val="004A0B54"/>
    <w:rsid w:val="004A13EE"/>
    <w:rsid w:val="004A158F"/>
    <w:rsid w:val="004A1645"/>
    <w:rsid w:val="004A174F"/>
    <w:rsid w:val="004A17AE"/>
    <w:rsid w:val="004A188F"/>
    <w:rsid w:val="004A19A3"/>
    <w:rsid w:val="004A1B15"/>
    <w:rsid w:val="004A1B7E"/>
    <w:rsid w:val="004A1BFE"/>
    <w:rsid w:val="004A1C56"/>
    <w:rsid w:val="004A1CB3"/>
    <w:rsid w:val="004A1EAC"/>
    <w:rsid w:val="004A20D4"/>
    <w:rsid w:val="004A2806"/>
    <w:rsid w:val="004A2E25"/>
    <w:rsid w:val="004A3051"/>
    <w:rsid w:val="004A31AF"/>
    <w:rsid w:val="004A333A"/>
    <w:rsid w:val="004A33ED"/>
    <w:rsid w:val="004A3849"/>
    <w:rsid w:val="004A38F6"/>
    <w:rsid w:val="004A3914"/>
    <w:rsid w:val="004A3C2B"/>
    <w:rsid w:val="004A3F14"/>
    <w:rsid w:val="004A41E6"/>
    <w:rsid w:val="004A4206"/>
    <w:rsid w:val="004A4495"/>
    <w:rsid w:val="004A4D4B"/>
    <w:rsid w:val="004A4DBA"/>
    <w:rsid w:val="004A4F83"/>
    <w:rsid w:val="004A53FD"/>
    <w:rsid w:val="004A5609"/>
    <w:rsid w:val="004A5893"/>
    <w:rsid w:val="004A59D7"/>
    <w:rsid w:val="004A5AAB"/>
    <w:rsid w:val="004A5AFE"/>
    <w:rsid w:val="004A5B06"/>
    <w:rsid w:val="004A5CB6"/>
    <w:rsid w:val="004A601C"/>
    <w:rsid w:val="004A6024"/>
    <w:rsid w:val="004A6065"/>
    <w:rsid w:val="004A606D"/>
    <w:rsid w:val="004A6265"/>
    <w:rsid w:val="004A638B"/>
    <w:rsid w:val="004A66DF"/>
    <w:rsid w:val="004A725D"/>
    <w:rsid w:val="004A778F"/>
    <w:rsid w:val="004A799D"/>
    <w:rsid w:val="004A7A9B"/>
    <w:rsid w:val="004A7FE3"/>
    <w:rsid w:val="004B0272"/>
    <w:rsid w:val="004B07EA"/>
    <w:rsid w:val="004B0AF9"/>
    <w:rsid w:val="004B0C90"/>
    <w:rsid w:val="004B0CAE"/>
    <w:rsid w:val="004B0E68"/>
    <w:rsid w:val="004B0EB8"/>
    <w:rsid w:val="004B10E0"/>
    <w:rsid w:val="004B1C91"/>
    <w:rsid w:val="004B1D21"/>
    <w:rsid w:val="004B2571"/>
    <w:rsid w:val="004B2707"/>
    <w:rsid w:val="004B2719"/>
    <w:rsid w:val="004B2AA0"/>
    <w:rsid w:val="004B2DBA"/>
    <w:rsid w:val="004B3176"/>
    <w:rsid w:val="004B3326"/>
    <w:rsid w:val="004B33E0"/>
    <w:rsid w:val="004B3906"/>
    <w:rsid w:val="004B399A"/>
    <w:rsid w:val="004B3BB1"/>
    <w:rsid w:val="004B3C6E"/>
    <w:rsid w:val="004B3CF6"/>
    <w:rsid w:val="004B3DD9"/>
    <w:rsid w:val="004B3F11"/>
    <w:rsid w:val="004B4328"/>
    <w:rsid w:val="004B494D"/>
    <w:rsid w:val="004B4A98"/>
    <w:rsid w:val="004B4B67"/>
    <w:rsid w:val="004B4C7A"/>
    <w:rsid w:val="004B4E1B"/>
    <w:rsid w:val="004B4E5B"/>
    <w:rsid w:val="004B4F1D"/>
    <w:rsid w:val="004B5724"/>
    <w:rsid w:val="004B580D"/>
    <w:rsid w:val="004B5EB5"/>
    <w:rsid w:val="004B601F"/>
    <w:rsid w:val="004B605A"/>
    <w:rsid w:val="004B6149"/>
    <w:rsid w:val="004B6365"/>
    <w:rsid w:val="004B64B9"/>
    <w:rsid w:val="004B676F"/>
    <w:rsid w:val="004B6B36"/>
    <w:rsid w:val="004B6E6E"/>
    <w:rsid w:val="004B77DF"/>
    <w:rsid w:val="004B7930"/>
    <w:rsid w:val="004B7DDB"/>
    <w:rsid w:val="004C0015"/>
    <w:rsid w:val="004C091D"/>
    <w:rsid w:val="004C0C54"/>
    <w:rsid w:val="004C0F0E"/>
    <w:rsid w:val="004C1055"/>
    <w:rsid w:val="004C12D0"/>
    <w:rsid w:val="004C1360"/>
    <w:rsid w:val="004C1976"/>
    <w:rsid w:val="004C1CE3"/>
    <w:rsid w:val="004C243B"/>
    <w:rsid w:val="004C2C17"/>
    <w:rsid w:val="004C2E9D"/>
    <w:rsid w:val="004C2FC8"/>
    <w:rsid w:val="004C37A5"/>
    <w:rsid w:val="004C393F"/>
    <w:rsid w:val="004C39A4"/>
    <w:rsid w:val="004C3AF2"/>
    <w:rsid w:val="004C4195"/>
    <w:rsid w:val="004C449C"/>
    <w:rsid w:val="004C47D7"/>
    <w:rsid w:val="004C4A60"/>
    <w:rsid w:val="004C4F64"/>
    <w:rsid w:val="004C542D"/>
    <w:rsid w:val="004C5536"/>
    <w:rsid w:val="004C562B"/>
    <w:rsid w:val="004C5AB6"/>
    <w:rsid w:val="004C62B0"/>
    <w:rsid w:val="004C6582"/>
    <w:rsid w:val="004C6653"/>
    <w:rsid w:val="004C6AC7"/>
    <w:rsid w:val="004C6AC9"/>
    <w:rsid w:val="004C6E24"/>
    <w:rsid w:val="004C7037"/>
    <w:rsid w:val="004C7178"/>
    <w:rsid w:val="004C71F3"/>
    <w:rsid w:val="004C7879"/>
    <w:rsid w:val="004C789F"/>
    <w:rsid w:val="004C78DA"/>
    <w:rsid w:val="004C7AD6"/>
    <w:rsid w:val="004C7BBC"/>
    <w:rsid w:val="004C7CE9"/>
    <w:rsid w:val="004D0423"/>
    <w:rsid w:val="004D0646"/>
    <w:rsid w:val="004D10CF"/>
    <w:rsid w:val="004D14DE"/>
    <w:rsid w:val="004D16E1"/>
    <w:rsid w:val="004D17AF"/>
    <w:rsid w:val="004D1833"/>
    <w:rsid w:val="004D185F"/>
    <w:rsid w:val="004D1A73"/>
    <w:rsid w:val="004D25E7"/>
    <w:rsid w:val="004D2688"/>
    <w:rsid w:val="004D26AB"/>
    <w:rsid w:val="004D2FA7"/>
    <w:rsid w:val="004D338F"/>
    <w:rsid w:val="004D35A2"/>
    <w:rsid w:val="004D37C2"/>
    <w:rsid w:val="004D39B1"/>
    <w:rsid w:val="004D39B2"/>
    <w:rsid w:val="004D39E7"/>
    <w:rsid w:val="004D3B4E"/>
    <w:rsid w:val="004D3BC1"/>
    <w:rsid w:val="004D3DD8"/>
    <w:rsid w:val="004D3EB1"/>
    <w:rsid w:val="004D40C3"/>
    <w:rsid w:val="004D4255"/>
    <w:rsid w:val="004D436E"/>
    <w:rsid w:val="004D43FF"/>
    <w:rsid w:val="004D467F"/>
    <w:rsid w:val="004D47D7"/>
    <w:rsid w:val="004D4A2F"/>
    <w:rsid w:val="004D4BB6"/>
    <w:rsid w:val="004D4F72"/>
    <w:rsid w:val="004D5138"/>
    <w:rsid w:val="004D55DC"/>
    <w:rsid w:val="004D56DC"/>
    <w:rsid w:val="004D5B44"/>
    <w:rsid w:val="004D5B5F"/>
    <w:rsid w:val="004D5F96"/>
    <w:rsid w:val="004D605C"/>
    <w:rsid w:val="004D6071"/>
    <w:rsid w:val="004D657D"/>
    <w:rsid w:val="004D66CC"/>
    <w:rsid w:val="004D67C7"/>
    <w:rsid w:val="004D6938"/>
    <w:rsid w:val="004D6A6C"/>
    <w:rsid w:val="004D6AF9"/>
    <w:rsid w:val="004D6B28"/>
    <w:rsid w:val="004D6BC1"/>
    <w:rsid w:val="004D6EFF"/>
    <w:rsid w:val="004D70A0"/>
    <w:rsid w:val="004D7221"/>
    <w:rsid w:val="004D7315"/>
    <w:rsid w:val="004D734A"/>
    <w:rsid w:val="004D79B9"/>
    <w:rsid w:val="004D7AA7"/>
    <w:rsid w:val="004D7B32"/>
    <w:rsid w:val="004D7B53"/>
    <w:rsid w:val="004E036E"/>
    <w:rsid w:val="004E03F4"/>
    <w:rsid w:val="004E0732"/>
    <w:rsid w:val="004E0992"/>
    <w:rsid w:val="004E0B62"/>
    <w:rsid w:val="004E0CBB"/>
    <w:rsid w:val="004E0DC1"/>
    <w:rsid w:val="004E0EF5"/>
    <w:rsid w:val="004E0F56"/>
    <w:rsid w:val="004E0FD9"/>
    <w:rsid w:val="004E1204"/>
    <w:rsid w:val="004E1428"/>
    <w:rsid w:val="004E1558"/>
    <w:rsid w:val="004E15E4"/>
    <w:rsid w:val="004E1B83"/>
    <w:rsid w:val="004E1C93"/>
    <w:rsid w:val="004E1CE5"/>
    <w:rsid w:val="004E1CF4"/>
    <w:rsid w:val="004E1EB2"/>
    <w:rsid w:val="004E20A3"/>
    <w:rsid w:val="004E246C"/>
    <w:rsid w:val="004E29CD"/>
    <w:rsid w:val="004E2A4B"/>
    <w:rsid w:val="004E2B5D"/>
    <w:rsid w:val="004E2BA0"/>
    <w:rsid w:val="004E2CDD"/>
    <w:rsid w:val="004E2DB3"/>
    <w:rsid w:val="004E3091"/>
    <w:rsid w:val="004E348E"/>
    <w:rsid w:val="004E349F"/>
    <w:rsid w:val="004E368F"/>
    <w:rsid w:val="004E3B4D"/>
    <w:rsid w:val="004E3C4E"/>
    <w:rsid w:val="004E3F20"/>
    <w:rsid w:val="004E4015"/>
    <w:rsid w:val="004E43AC"/>
    <w:rsid w:val="004E4707"/>
    <w:rsid w:val="004E4781"/>
    <w:rsid w:val="004E4AF3"/>
    <w:rsid w:val="004E4DF8"/>
    <w:rsid w:val="004E4E6E"/>
    <w:rsid w:val="004E5271"/>
    <w:rsid w:val="004E57C1"/>
    <w:rsid w:val="004E58FF"/>
    <w:rsid w:val="004E5B69"/>
    <w:rsid w:val="004E5CE9"/>
    <w:rsid w:val="004E632E"/>
    <w:rsid w:val="004E6565"/>
    <w:rsid w:val="004E6645"/>
    <w:rsid w:val="004E699A"/>
    <w:rsid w:val="004E6AC8"/>
    <w:rsid w:val="004E6DDB"/>
    <w:rsid w:val="004E6DFC"/>
    <w:rsid w:val="004E6EB7"/>
    <w:rsid w:val="004E6ED8"/>
    <w:rsid w:val="004E6FC2"/>
    <w:rsid w:val="004E7019"/>
    <w:rsid w:val="004E7021"/>
    <w:rsid w:val="004E70C5"/>
    <w:rsid w:val="004E717A"/>
    <w:rsid w:val="004E741C"/>
    <w:rsid w:val="004E761C"/>
    <w:rsid w:val="004E7F61"/>
    <w:rsid w:val="004F03DF"/>
    <w:rsid w:val="004F05FA"/>
    <w:rsid w:val="004F061A"/>
    <w:rsid w:val="004F0979"/>
    <w:rsid w:val="004F0BAB"/>
    <w:rsid w:val="004F0D0C"/>
    <w:rsid w:val="004F1013"/>
    <w:rsid w:val="004F1139"/>
    <w:rsid w:val="004F161E"/>
    <w:rsid w:val="004F17FB"/>
    <w:rsid w:val="004F19F8"/>
    <w:rsid w:val="004F1A79"/>
    <w:rsid w:val="004F1B8B"/>
    <w:rsid w:val="004F1DF3"/>
    <w:rsid w:val="004F212E"/>
    <w:rsid w:val="004F223E"/>
    <w:rsid w:val="004F24B1"/>
    <w:rsid w:val="004F265B"/>
    <w:rsid w:val="004F28A3"/>
    <w:rsid w:val="004F29B0"/>
    <w:rsid w:val="004F2E24"/>
    <w:rsid w:val="004F2E61"/>
    <w:rsid w:val="004F3237"/>
    <w:rsid w:val="004F3489"/>
    <w:rsid w:val="004F351B"/>
    <w:rsid w:val="004F35A7"/>
    <w:rsid w:val="004F36FB"/>
    <w:rsid w:val="004F37FE"/>
    <w:rsid w:val="004F3E90"/>
    <w:rsid w:val="004F40CC"/>
    <w:rsid w:val="004F438D"/>
    <w:rsid w:val="004F43E2"/>
    <w:rsid w:val="004F45A6"/>
    <w:rsid w:val="004F4873"/>
    <w:rsid w:val="004F492E"/>
    <w:rsid w:val="004F495F"/>
    <w:rsid w:val="004F49E4"/>
    <w:rsid w:val="004F4D74"/>
    <w:rsid w:val="004F507C"/>
    <w:rsid w:val="004F522D"/>
    <w:rsid w:val="004F5342"/>
    <w:rsid w:val="004F5D61"/>
    <w:rsid w:val="004F6118"/>
    <w:rsid w:val="004F6599"/>
    <w:rsid w:val="004F6865"/>
    <w:rsid w:val="004F68C4"/>
    <w:rsid w:val="004F6932"/>
    <w:rsid w:val="004F6A5E"/>
    <w:rsid w:val="004F6B13"/>
    <w:rsid w:val="004F6D7F"/>
    <w:rsid w:val="004F6D99"/>
    <w:rsid w:val="004F6F85"/>
    <w:rsid w:val="004F7081"/>
    <w:rsid w:val="004F70BD"/>
    <w:rsid w:val="004F711F"/>
    <w:rsid w:val="004F749F"/>
    <w:rsid w:val="004F76F3"/>
    <w:rsid w:val="004F78E9"/>
    <w:rsid w:val="004F7D65"/>
    <w:rsid w:val="005000E3"/>
    <w:rsid w:val="00500613"/>
    <w:rsid w:val="005008B7"/>
    <w:rsid w:val="0050110C"/>
    <w:rsid w:val="0050147D"/>
    <w:rsid w:val="005019BA"/>
    <w:rsid w:val="005019BE"/>
    <w:rsid w:val="00501A7F"/>
    <w:rsid w:val="00501DC4"/>
    <w:rsid w:val="00501DD3"/>
    <w:rsid w:val="00502083"/>
    <w:rsid w:val="005021CF"/>
    <w:rsid w:val="0050222C"/>
    <w:rsid w:val="005022A4"/>
    <w:rsid w:val="005026BE"/>
    <w:rsid w:val="00502825"/>
    <w:rsid w:val="00502839"/>
    <w:rsid w:val="005028C9"/>
    <w:rsid w:val="00502912"/>
    <w:rsid w:val="005029C8"/>
    <w:rsid w:val="00502A26"/>
    <w:rsid w:val="0050333B"/>
    <w:rsid w:val="0050349D"/>
    <w:rsid w:val="005035F9"/>
    <w:rsid w:val="0050360A"/>
    <w:rsid w:val="00503751"/>
    <w:rsid w:val="00503AA8"/>
    <w:rsid w:val="00503AF1"/>
    <w:rsid w:val="00503E4B"/>
    <w:rsid w:val="00503FD8"/>
    <w:rsid w:val="005049FA"/>
    <w:rsid w:val="0050522F"/>
    <w:rsid w:val="0050529D"/>
    <w:rsid w:val="005056CB"/>
    <w:rsid w:val="00505F5C"/>
    <w:rsid w:val="00506007"/>
    <w:rsid w:val="0050602D"/>
    <w:rsid w:val="00506060"/>
    <w:rsid w:val="0050608F"/>
    <w:rsid w:val="005061C5"/>
    <w:rsid w:val="005061CC"/>
    <w:rsid w:val="005064D7"/>
    <w:rsid w:val="005065FC"/>
    <w:rsid w:val="00506780"/>
    <w:rsid w:val="005069B6"/>
    <w:rsid w:val="00506E1B"/>
    <w:rsid w:val="00506F9E"/>
    <w:rsid w:val="00507262"/>
    <w:rsid w:val="00507528"/>
    <w:rsid w:val="005075DD"/>
    <w:rsid w:val="00507949"/>
    <w:rsid w:val="00507BE6"/>
    <w:rsid w:val="00507CAF"/>
    <w:rsid w:val="00510667"/>
    <w:rsid w:val="00510D6B"/>
    <w:rsid w:val="005110BD"/>
    <w:rsid w:val="005113BE"/>
    <w:rsid w:val="005114AF"/>
    <w:rsid w:val="005117F4"/>
    <w:rsid w:val="005118D8"/>
    <w:rsid w:val="00511AFB"/>
    <w:rsid w:val="00511B84"/>
    <w:rsid w:val="00511BDA"/>
    <w:rsid w:val="00511E1D"/>
    <w:rsid w:val="00512130"/>
    <w:rsid w:val="005126A2"/>
    <w:rsid w:val="005126EF"/>
    <w:rsid w:val="00512AC2"/>
    <w:rsid w:val="00512D53"/>
    <w:rsid w:val="00512F27"/>
    <w:rsid w:val="00513A8A"/>
    <w:rsid w:val="0051407F"/>
    <w:rsid w:val="00514662"/>
    <w:rsid w:val="00514846"/>
    <w:rsid w:val="00514886"/>
    <w:rsid w:val="00514AD5"/>
    <w:rsid w:val="00514E51"/>
    <w:rsid w:val="005151EF"/>
    <w:rsid w:val="005153BB"/>
    <w:rsid w:val="005154B8"/>
    <w:rsid w:val="00515C5C"/>
    <w:rsid w:val="00515E3C"/>
    <w:rsid w:val="00515FCE"/>
    <w:rsid w:val="00515FE8"/>
    <w:rsid w:val="005160ED"/>
    <w:rsid w:val="00516634"/>
    <w:rsid w:val="005166EC"/>
    <w:rsid w:val="00517275"/>
    <w:rsid w:val="00517285"/>
    <w:rsid w:val="00517680"/>
    <w:rsid w:val="005178D2"/>
    <w:rsid w:val="00517B99"/>
    <w:rsid w:val="00517E57"/>
    <w:rsid w:val="00517F7B"/>
    <w:rsid w:val="00517FA7"/>
    <w:rsid w:val="005204C7"/>
    <w:rsid w:val="00520505"/>
    <w:rsid w:val="00520715"/>
    <w:rsid w:val="0052078E"/>
    <w:rsid w:val="005209FF"/>
    <w:rsid w:val="00520C46"/>
    <w:rsid w:val="00521657"/>
    <w:rsid w:val="005216B5"/>
    <w:rsid w:val="005217C6"/>
    <w:rsid w:val="00521890"/>
    <w:rsid w:val="00521A81"/>
    <w:rsid w:val="00521BA6"/>
    <w:rsid w:val="00521C09"/>
    <w:rsid w:val="00521D89"/>
    <w:rsid w:val="0052237F"/>
    <w:rsid w:val="0052257B"/>
    <w:rsid w:val="005226FA"/>
    <w:rsid w:val="005229CB"/>
    <w:rsid w:val="00522BEC"/>
    <w:rsid w:val="00522E3B"/>
    <w:rsid w:val="00522EFB"/>
    <w:rsid w:val="005230B4"/>
    <w:rsid w:val="0052313B"/>
    <w:rsid w:val="0052397D"/>
    <w:rsid w:val="0052398D"/>
    <w:rsid w:val="00523DA9"/>
    <w:rsid w:val="00523EB5"/>
    <w:rsid w:val="005240DF"/>
    <w:rsid w:val="0052438A"/>
    <w:rsid w:val="005244C9"/>
    <w:rsid w:val="00525143"/>
    <w:rsid w:val="005256B1"/>
    <w:rsid w:val="005256E8"/>
    <w:rsid w:val="00525B08"/>
    <w:rsid w:val="00525F25"/>
    <w:rsid w:val="005260E3"/>
    <w:rsid w:val="005262B1"/>
    <w:rsid w:val="00526431"/>
    <w:rsid w:val="00526635"/>
    <w:rsid w:val="00527B14"/>
    <w:rsid w:val="00527B4F"/>
    <w:rsid w:val="00527DD9"/>
    <w:rsid w:val="00527F65"/>
    <w:rsid w:val="0053025D"/>
    <w:rsid w:val="005306FD"/>
    <w:rsid w:val="0053070A"/>
    <w:rsid w:val="00530B1D"/>
    <w:rsid w:val="00530DB7"/>
    <w:rsid w:val="00530F69"/>
    <w:rsid w:val="0053114B"/>
    <w:rsid w:val="005311FC"/>
    <w:rsid w:val="005312A5"/>
    <w:rsid w:val="00531342"/>
    <w:rsid w:val="005316D4"/>
    <w:rsid w:val="005317D2"/>
    <w:rsid w:val="00531810"/>
    <w:rsid w:val="00531D46"/>
    <w:rsid w:val="00532016"/>
    <w:rsid w:val="00532091"/>
    <w:rsid w:val="00532974"/>
    <w:rsid w:val="00532ACE"/>
    <w:rsid w:val="00532D83"/>
    <w:rsid w:val="00532DE0"/>
    <w:rsid w:val="0053378C"/>
    <w:rsid w:val="00533847"/>
    <w:rsid w:val="00533966"/>
    <w:rsid w:val="00533C34"/>
    <w:rsid w:val="00534138"/>
    <w:rsid w:val="0053451C"/>
    <w:rsid w:val="00534799"/>
    <w:rsid w:val="00534806"/>
    <w:rsid w:val="00534C61"/>
    <w:rsid w:val="00534E08"/>
    <w:rsid w:val="005354E3"/>
    <w:rsid w:val="00535601"/>
    <w:rsid w:val="005356A1"/>
    <w:rsid w:val="005358A2"/>
    <w:rsid w:val="00535B37"/>
    <w:rsid w:val="00535C9F"/>
    <w:rsid w:val="00535DF9"/>
    <w:rsid w:val="00535EEF"/>
    <w:rsid w:val="00536773"/>
    <w:rsid w:val="005368F0"/>
    <w:rsid w:val="00537183"/>
    <w:rsid w:val="0053776D"/>
    <w:rsid w:val="005377CE"/>
    <w:rsid w:val="00537825"/>
    <w:rsid w:val="00537861"/>
    <w:rsid w:val="005378CE"/>
    <w:rsid w:val="00537CA2"/>
    <w:rsid w:val="00537D0F"/>
    <w:rsid w:val="00537F02"/>
    <w:rsid w:val="0053BBB6"/>
    <w:rsid w:val="005402C3"/>
    <w:rsid w:val="005403D8"/>
    <w:rsid w:val="00540607"/>
    <w:rsid w:val="00540632"/>
    <w:rsid w:val="0054089A"/>
    <w:rsid w:val="0054094D"/>
    <w:rsid w:val="005414CA"/>
    <w:rsid w:val="00541756"/>
    <w:rsid w:val="00541794"/>
    <w:rsid w:val="00541B09"/>
    <w:rsid w:val="00541CE0"/>
    <w:rsid w:val="00541E76"/>
    <w:rsid w:val="00541FF3"/>
    <w:rsid w:val="00542266"/>
    <w:rsid w:val="00542533"/>
    <w:rsid w:val="005426E3"/>
    <w:rsid w:val="0054285E"/>
    <w:rsid w:val="00542A39"/>
    <w:rsid w:val="00542D22"/>
    <w:rsid w:val="00542E96"/>
    <w:rsid w:val="00543006"/>
    <w:rsid w:val="0054303F"/>
    <w:rsid w:val="005431F9"/>
    <w:rsid w:val="00543468"/>
    <w:rsid w:val="00543CCB"/>
    <w:rsid w:val="00544013"/>
    <w:rsid w:val="00544203"/>
    <w:rsid w:val="005447AC"/>
    <w:rsid w:val="00544840"/>
    <w:rsid w:val="00544BBA"/>
    <w:rsid w:val="00544DE1"/>
    <w:rsid w:val="00544F49"/>
    <w:rsid w:val="00544FFF"/>
    <w:rsid w:val="005451F7"/>
    <w:rsid w:val="005459F5"/>
    <w:rsid w:val="00545BE1"/>
    <w:rsid w:val="00545C24"/>
    <w:rsid w:val="00545D59"/>
    <w:rsid w:val="00545F74"/>
    <w:rsid w:val="00546010"/>
    <w:rsid w:val="00546026"/>
    <w:rsid w:val="0054607E"/>
    <w:rsid w:val="005461E7"/>
    <w:rsid w:val="005466D9"/>
    <w:rsid w:val="00546D1C"/>
    <w:rsid w:val="005473C5"/>
    <w:rsid w:val="00547559"/>
    <w:rsid w:val="0054770E"/>
    <w:rsid w:val="00547804"/>
    <w:rsid w:val="00547E6C"/>
    <w:rsid w:val="00547F1C"/>
    <w:rsid w:val="005502CF"/>
    <w:rsid w:val="005506AA"/>
    <w:rsid w:val="00550729"/>
    <w:rsid w:val="0055089A"/>
    <w:rsid w:val="00550A0D"/>
    <w:rsid w:val="00550A39"/>
    <w:rsid w:val="00550B84"/>
    <w:rsid w:val="00550ED8"/>
    <w:rsid w:val="00551610"/>
    <w:rsid w:val="0055174E"/>
    <w:rsid w:val="00551997"/>
    <w:rsid w:val="00551BF5"/>
    <w:rsid w:val="00551F01"/>
    <w:rsid w:val="00551F12"/>
    <w:rsid w:val="00551FFC"/>
    <w:rsid w:val="0055226C"/>
    <w:rsid w:val="00552284"/>
    <w:rsid w:val="00552AC4"/>
    <w:rsid w:val="00552BFC"/>
    <w:rsid w:val="00552D44"/>
    <w:rsid w:val="00552D8A"/>
    <w:rsid w:val="00553298"/>
    <w:rsid w:val="00553411"/>
    <w:rsid w:val="00553458"/>
    <w:rsid w:val="00553494"/>
    <w:rsid w:val="005537F0"/>
    <w:rsid w:val="005538E3"/>
    <w:rsid w:val="00553B3C"/>
    <w:rsid w:val="00553BBB"/>
    <w:rsid w:val="00553C34"/>
    <w:rsid w:val="005540F4"/>
    <w:rsid w:val="00554241"/>
    <w:rsid w:val="005543E5"/>
    <w:rsid w:val="00554D77"/>
    <w:rsid w:val="00554F6E"/>
    <w:rsid w:val="0055516F"/>
    <w:rsid w:val="00555358"/>
    <w:rsid w:val="0055535C"/>
    <w:rsid w:val="0055557C"/>
    <w:rsid w:val="0055588F"/>
    <w:rsid w:val="005558DB"/>
    <w:rsid w:val="00555B0B"/>
    <w:rsid w:val="00555B71"/>
    <w:rsid w:val="00556156"/>
    <w:rsid w:val="00556365"/>
    <w:rsid w:val="00556521"/>
    <w:rsid w:val="0055655E"/>
    <w:rsid w:val="00556D31"/>
    <w:rsid w:val="00556D89"/>
    <w:rsid w:val="00556FFB"/>
    <w:rsid w:val="005573CA"/>
    <w:rsid w:val="00557B0F"/>
    <w:rsid w:val="00557B5D"/>
    <w:rsid w:val="00557C7D"/>
    <w:rsid w:val="00557ED1"/>
    <w:rsid w:val="00557FF5"/>
    <w:rsid w:val="005603F4"/>
    <w:rsid w:val="0056068C"/>
    <w:rsid w:val="0056096E"/>
    <w:rsid w:val="00560A17"/>
    <w:rsid w:val="00560CB0"/>
    <w:rsid w:val="00560DD1"/>
    <w:rsid w:val="005611F8"/>
    <w:rsid w:val="0056126B"/>
    <w:rsid w:val="005613B7"/>
    <w:rsid w:val="005614D9"/>
    <w:rsid w:val="005615E8"/>
    <w:rsid w:val="005616F2"/>
    <w:rsid w:val="005619A1"/>
    <w:rsid w:val="00561B37"/>
    <w:rsid w:val="00561D66"/>
    <w:rsid w:val="00561FEC"/>
    <w:rsid w:val="00562648"/>
    <w:rsid w:val="005626A1"/>
    <w:rsid w:val="005631C4"/>
    <w:rsid w:val="005631DC"/>
    <w:rsid w:val="005638E9"/>
    <w:rsid w:val="00563B64"/>
    <w:rsid w:val="00563B6F"/>
    <w:rsid w:val="00563BC1"/>
    <w:rsid w:val="00563BD4"/>
    <w:rsid w:val="00563D84"/>
    <w:rsid w:val="00563DFE"/>
    <w:rsid w:val="0056420F"/>
    <w:rsid w:val="00564328"/>
    <w:rsid w:val="005644EE"/>
    <w:rsid w:val="00564923"/>
    <w:rsid w:val="0056492B"/>
    <w:rsid w:val="00564BB7"/>
    <w:rsid w:val="0056501E"/>
    <w:rsid w:val="00565105"/>
    <w:rsid w:val="005657DC"/>
    <w:rsid w:val="00565C5A"/>
    <w:rsid w:val="00566129"/>
    <w:rsid w:val="0056614B"/>
    <w:rsid w:val="00566287"/>
    <w:rsid w:val="00566AC2"/>
    <w:rsid w:val="00566DD3"/>
    <w:rsid w:val="00566DF3"/>
    <w:rsid w:val="00566DF5"/>
    <w:rsid w:val="00566F08"/>
    <w:rsid w:val="0056701D"/>
    <w:rsid w:val="00567413"/>
    <w:rsid w:val="0056746B"/>
    <w:rsid w:val="005677F6"/>
    <w:rsid w:val="00567A9C"/>
    <w:rsid w:val="00567C49"/>
    <w:rsid w:val="00567E75"/>
    <w:rsid w:val="00570184"/>
    <w:rsid w:val="005701C0"/>
    <w:rsid w:val="0057072B"/>
    <w:rsid w:val="00570A55"/>
    <w:rsid w:val="00570BCD"/>
    <w:rsid w:val="005710E8"/>
    <w:rsid w:val="005713BD"/>
    <w:rsid w:val="00571766"/>
    <w:rsid w:val="00571908"/>
    <w:rsid w:val="00571BBC"/>
    <w:rsid w:val="00571C8D"/>
    <w:rsid w:val="00571D5A"/>
    <w:rsid w:val="00572290"/>
    <w:rsid w:val="005723DB"/>
    <w:rsid w:val="00572433"/>
    <w:rsid w:val="005724AE"/>
    <w:rsid w:val="005728A2"/>
    <w:rsid w:val="00572901"/>
    <w:rsid w:val="00572A9D"/>
    <w:rsid w:val="00572AC3"/>
    <w:rsid w:val="00572C6B"/>
    <w:rsid w:val="00573019"/>
    <w:rsid w:val="005731EF"/>
    <w:rsid w:val="0057322A"/>
    <w:rsid w:val="00573906"/>
    <w:rsid w:val="00573974"/>
    <w:rsid w:val="005739B5"/>
    <w:rsid w:val="00573BA8"/>
    <w:rsid w:val="005745DE"/>
    <w:rsid w:val="00574A6E"/>
    <w:rsid w:val="00574C30"/>
    <w:rsid w:val="00574CDB"/>
    <w:rsid w:val="005755BE"/>
    <w:rsid w:val="00575C7A"/>
    <w:rsid w:val="00575D81"/>
    <w:rsid w:val="00575FAA"/>
    <w:rsid w:val="00576101"/>
    <w:rsid w:val="00576470"/>
    <w:rsid w:val="0057665C"/>
    <w:rsid w:val="00576BF5"/>
    <w:rsid w:val="00576E43"/>
    <w:rsid w:val="005771EF"/>
    <w:rsid w:val="00577507"/>
    <w:rsid w:val="0057766C"/>
    <w:rsid w:val="00577874"/>
    <w:rsid w:val="005779EF"/>
    <w:rsid w:val="0058024A"/>
    <w:rsid w:val="0058028D"/>
    <w:rsid w:val="005802F7"/>
    <w:rsid w:val="005807E6"/>
    <w:rsid w:val="00580D67"/>
    <w:rsid w:val="00580FD6"/>
    <w:rsid w:val="00581B59"/>
    <w:rsid w:val="00581B69"/>
    <w:rsid w:val="00581EC8"/>
    <w:rsid w:val="00581FAF"/>
    <w:rsid w:val="00581FBB"/>
    <w:rsid w:val="005822CD"/>
    <w:rsid w:val="005828C8"/>
    <w:rsid w:val="00582AB9"/>
    <w:rsid w:val="00582C3C"/>
    <w:rsid w:val="00582E6D"/>
    <w:rsid w:val="0058328D"/>
    <w:rsid w:val="00583560"/>
    <w:rsid w:val="00583756"/>
    <w:rsid w:val="005838A8"/>
    <w:rsid w:val="005838E2"/>
    <w:rsid w:val="00583954"/>
    <w:rsid w:val="0058395D"/>
    <w:rsid w:val="00583A30"/>
    <w:rsid w:val="00583A65"/>
    <w:rsid w:val="00583CF9"/>
    <w:rsid w:val="00584455"/>
    <w:rsid w:val="005845D6"/>
    <w:rsid w:val="0058468D"/>
    <w:rsid w:val="005846D1"/>
    <w:rsid w:val="00584742"/>
    <w:rsid w:val="0058480D"/>
    <w:rsid w:val="00584D61"/>
    <w:rsid w:val="0058518F"/>
    <w:rsid w:val="0058546D"/>
    <w:rsid w:val="005855C1"/>
    <w:rsid w:val="005856E3"/>
    <w:rsid w:val="00585779"/>
    <w:rsid w:val="005859CE"/>
    <w:rsid w:val="00585B27"/>
    <w:rsid w:val="005861CC"/>
    <w:rsid w:val="00586504"/>
    <w:rsid w:val="005865D6"/>
    <w:rsid w:val="005868A7"/>
    <w:rsid w:val="0058733A"/>
    <w:rsid w:val="00587487"/>
    <w:rsid w:val="0058776F"/>
    <w:rsid w:val="00587AD0"/>
    <w:rsid w:val="00590093"/>
    <w:rsid w:val="00590216"/>
    <w:rsid w:val="00590481"/>
    <w:rsid w:val="005905CA"/>
    <w:rsid w:val="00590E55"/>
    <w:rsid w:val="005910FF"/>
    <w:rsid w:val="005917BA"/>
    <w:rsid w:val="005918B1"/>
    <w:rsid w:val="00591915"/>
    <w:rsid w:val="00591C23"/>
    <w:rsid w:val="00591E58"/>
    <w:rsid w:val="00591EF0"/>
    <w:rsid w:val="00591EF3"/>
    <w:rsid w:val="00591F30"/>
    <w:rsid w:val="00591F46"/>
    <w:rsid w:val="005921EB"/>
    <w:rsid w:val="0059220C"/>
    <w:rsid w:val="00592553"/>
    <w:rsid w:val="00592B19"/>
    <w:rsid w:val="00592E16"/>
    <w:rsid w:val="0059309A"/>
    <w:rsid w:val="00593191"/>
    <w:rsid w:val="00593672"/>
    <w:rsid w:val="005937A6"/>
    <w:rsid w:val="00593B21"/>
    <w:rsid w:val="005945E9"/>
    <w:rsid w:val="00594923"/>
    <w:rsid w:val="00594C4D"/>
    <w:rsid w:val="00594F32"/>
    <w:rsid w:val="00595566"/>
    <w:rsid w:val="005955DA"/>
    <w:rsid w:val="0059562C"/>
    <w:rsid w:val="0059565A"/>
    <w:rsid w:val="005959C7"/>
    <w:rsid w:val="00595A30"/>
    <w:rsid w:val="00595B03"/>
    <w:rsid w:val="00595CBD"/>
    <w:rsid w:val="0059610B"/>
    <w:rsid w:val="00596759"/>
    <w:rsid w:val="00596B57"/>
    <w:rsid w:val="00596EB2"/>
    <w:rsid w:val="00597083"/>
    <w:rsid w:val="005971E0"/>
    <w:rsid w:val="0059721F"/>
    <w:rsid w:val="005978BC"/>
    <w:rsid w:val="005979C9"/>
    <w:rsid w:val="00597E4D"/>
    <w:rsid w:val="005A043F"/>
    <w:rsid w:val="005A0465"/>
    <w:rsid w:val="005A04D1"/>
    <w:rsid w:val="005A08C6"/>
    <w:rsid w:val="005A0DDE"/>
    <w:rsid w:val="005A0EE5"/>
    <w:rsid w:val="005A127F"/>
    <w:rsid w:val="005A1509"/>
    <w:rsid w:val="005A163C"/>
    <w:rsid w:val="005A167E"/>
    <w:rsid w:val="005A17AE"/>
    <w:rsid w:val="005A188D"/>
    <w:rsid w:val="005A194D"/>
    <w:rsid w:val="005A1C8C"/>
    <w:rsid w:val="005A1D0F"/>
    <w:rsid w:val="005A1EB4"/>
    <w:rsid w:val="005A1FF8"/>
    <w:rsid w:val="005A210D"/>
    <w:rsid w:val="005A245D"/>
    <w:rsid w:val="005A2590"/>
    <w:rsid w:val="005A26B9"/>
    <w:rsid w:val="005A26F4"/>
    <w:rsid w:val="005A2B5D"/>
    <w:rsid w:val="005A305E"/>
    <w:rsid w:val="005A3924"/>
    <w:rsid w:val="005A3D03"/>
    <w:rsid w:val="005A3D75"/>
    <w:rsid w:val="005A40F4"/>
    <w:rsid w:val="005A44BD"/>
    <w:rsid w:val="005A482F"/>
    <w:rsid w:val="005A488C"/>
    <w:rsid w:val="005A4BF0"/>
    <w:rsid w:val="005A4D00"/>
    <w:rsid w:val="005A4D7B"/>
    <w:rsid w:val="005A513A"/>
    <w:rsid w:val="005A51BA"/>
    <w:rsid w:val="005A52E5"/>
    <w:rsid w:val="005A533E"/>
    <w:rsid w:val="005A5368"/>
    <w:rsid w:val="005A5AB0"/>
    <w:rsid w:val="005A5EA8"/>
    <w:rsid w:val="005A6160"/>
    <w:rsid w:val="005A63C5"/>
    <w:rsid w:val="005A6686"/>
    <w:rsid w:val="005A6850"/>
    <w:rsid w:val="005A6910"/>
    <w:rsid w:val="005A6C71"/>
    <w:rsid w:val="005A6CA6"/>
    <w:rsid w:val="005A6CE0"/>
    <w:rsid w:val="005A6DC6"/>
    <w:rsid w:val="005A7234"/>
    <w:rsid w:val="005A79A1"/>
    <w:rsid w:val="005A7F40"/>
    <w:rsid w:val="005B02A3"/>
    <w:rsid w:val="005B03DE"/>
    <w:rsid w:val="005B082C"/>
    <w:rsid w:val="005B083F"/>
    <w:rsid w:val="005B0902"/>
    <w:rsid w:val="005B0F54"/>
    <w:rsid w:val="005B14C6"/>
    <w:rsid w:val="005B169B"/>
    <w:rsid w:val="005B1AB3"/>
    <w:rsid w:val="005B1B56"/>
    <w:rsid w:val="005B1D2E"/>
    <w:rsid w:val="005B20D4"/>
    <w:rsid w:val="005B24BF"/>
    <w:rsid w:val="005B2838"/>
    <w:rsid w:val="005B2885"/>
    <w:rsid w:val="005B28DD"/>
    <w:rsid w:val="005B2D78"/>
    <w:rsid w:val="005B30C9"/>
    <w:rsid w:val="005B3334"/>
    <w:rsid w:val="005B3365"/>
    <w:rsid w:val="005B3604"/>
    <w:rsid w:val="005B3658"/>
    <w:rsid w:val="005B3948"/>
    <w:rsid w:val="005B3BBD"/>
    <w:rsid w:val="005B4328"/>
    <w:rsid w:val="005B4427"/>
    <w:rsid w:val="005B45AF"/>
    <w:rsid w:val="005B45DE"/>
    <w:rsid w:val="005B4A97"/>
    <w:rsid w:val="005B4BFB"/>
    <w:rsid w:val="005B5068"/>
    <w:rsid w:val="005B574E"/>
    <w:rsid w:val="005B5838"/>
    <w:rsid w:val="005B5D79"/>
    <w:rsid w:val="005B5DC9"/>
    <w:rsid w:val="005B6698"/>
    <w:rsid w:val="005B69A3"/>
    <w:rsid w:val="005B6A53"/>
    <w:rsid w:val="005B76D5"/>
    <w:rsid w:val="005B784B"/>
    <w:rsid w:val="005C0054"/>
    <w:rsid w:val="005C00FC"/>
    <w:rsid w:val="005C03DC"/>
    <w:rsid w:val="005C05E0"/>
    <w:rsid w:val="005C0772"/>
    <w:rsid w:val="005C0B3D"/>
    <w:rsid w:val="005C0BF3"/>
    <w:rsid w:val="005C0D69"/>
    <w:rsid w:val="005C12AA"/>
    <w:rsid w:val="005C1662"/>
    <w:rsid w:val="005C16D6"/>
    <w:rsid w:val="005C16F1"/>
    <w:rsid w:val="005C1C37"/>
    <w:rsid w:val="005C1F53"/>
    <w:rsid w:val="005C2057"/>
    <w:rsid w:val="005C25ED"/>
    <w:rsid w:val="005C2A68"/>
    <w:rsid w:val="005C2DA8"/>
    <w:rsid w:val="005C2DB6"/>
    <w:rsid w:val="005C2DE6"/>
    <w:rsid w:val="005C2DF4"/>
    <w:rsid w:val="005C319D"/>
    <w:rsid w:val="005C327A"/>
    <w:rsid w:val="005C36E2"/>
    <w:rsid w:val="005C37BB"/>
    <w:rsid w:val="005C38AF"/>
    <w:rsid w:val="005C3905"/>
    <w:rsid w:val="005C3DA8"/>
    <w:rsid w:val="005C3F19"/>
    <w:rsid w:val="005C4316"/>
    <w:rsid w:val="005C4922"/>
    <w:rsid w:val="005C49E3"/>
    <w:rsid w:val="005C4AA5"/>
    <w:rsid w:val="005C4BB3"/>
    <w:rsid w:val="005C5872"/>
    <w:rsid w:val="005C5B08"/>
    <w:rsid w:val="005C5BD9"/>
    <w:rsid w:val="005C5FE8"/>
    <w:rsid w:val="005C65FF"/>
    <w:rsid w:val="005C6667"/>
    <w:rsid w:val="005C6797"/>
    <w:rsid w:val="005C6AE4"/>
    <w:rsid w:val="005C6D08"/>
    <w:rsid w:val="005C6DEE"/>
    <w:rsid w:val="005C6E94"/>
    <w:rsid w:val="005C73C7"/>
    <w:rsid w:val="005C73CF"/>
    <w:rsid w:val="005C7593"/>
    <w:rsid w:val="005C7695"/>
    <w:rsid w:val="005C76CC"/>
    <w:rsid w:val="005C7EB1"/>
    <w:rsid w:val="005D000D"/>
    <w:rsid w:val="005D02FB"/>
    <w:rsid w:val="005D0332"/>
    <w:rsid w:val="005D0500"/>
    <w:rsid w:val="005D0569"/>
    <w:rsid w:val="005D05C7"/>
    <w:rsid w:val="005D06EA"/>
    <w:rsid w:val="005D0768"/>
    <w:rsid w:val="005D0923"/>
    <w:rsid w:val="005D0A56"/>
    <w:rsid w:val="005D0DD4"/>
    <w:rsid w:val="005D0E8E"/>
    <w:rsid w:val="005D0F52"/>
    <w:rsid w:val="005D0FE0"/>
    <w:rsid w:val="005D12E3"/>
    <w:rsid w:val="005D13A5"/>
    <w:rsid w:val="005D1785"/>
    <w:rsid w:val="005D193C"/>
    <w:rsid w:val="005D1AA7"/>
    <w:rsid w:val="005D1EF5"/>
    <w:rsid w:val="005D212B"/>
    <w:rsid w:val="005D2230"/>
    <w:rsid w:val="005D2312"/>
    <w:rsid w:val="005D28CB"/>
    <w:rsid w:val="005D2B88"/>
    <w:rsid w:val="005D2C11"/>
    <w:rsid w:val="005D2D32"/>
    <w:rsid w:val="005D2E3D"/>
    <w:rsid w:val="005D2E8A"/>
    <w:rsid w:val="005D3055"/>
    <w:rsid w:val="005D3102"/>
    <w:rsid w:val="005D3153"/>
    <w:rsid w:val="005D31BE"/>
    <w:rsid w:val="005D375C"/>
    <w:rsid w:val="005D38E8"/>
    <w:rsid w:val="005D3A36"/>
    <w:rsid w:val="005D3B17"/>
    <w:rsid w:val="005D3D30"/>
    <w:rsid w:val="005D45C5"/>
    <w:rsid w:val="005D4D00"/>
    <w:rsid w:val="005D4D03"/>
    <w:rsid w:val="005D4F2A"/>
    <w:rsid w:val="005D51BE"/>
    <w:rsid w:val="005D5672"/>
    <w:rsid w:val="005D58FA"/>
    <w:rsid w:val="005D59BA"/>
    <w:rsid w:val="005D5A49"/>
    <w:rsid w:val="005D5BDB"/>
    <w:rsid w:val="005D5BF8"/>
    <w:rsid w:val="005D5D0E"/>
    <w:rsid w:val="005D5F24"/>
    <w:rsid w:val="005D6019"/>
    <w:rsid w:val="005D602C"/>
    <w:rsid w:val="005D60F3"/>
    <w:rsid w:val="005D6103"/>
    <w:rsid w:val="005D61CF"/>
    <w:rsid w:val="005D670B"/>
    <w:rsid w:val="005D6C58"/>
    <w:rsid w:val="005D6CCC"/>
    <w:rsid w:val="005D6D5F"/>
    <w:rsid w:val="005D6F4C"/>
    <w:rsid w:val="005D731D"/>
    <w:rsid w:val="005D76A2"/>
    <w:rsid w:val="005D779A"/>
    <w:rsid w:val="005D788F"/>
    <w:rsid w:val="005D7891"/>
    <w:rsid w:val="005D791B"/>
    <w:rsid w:val="005D7E0B"/>
    <w:rsid w:val="005E0081"/>
    <w:rsid w:val="005E0241"/>
    <w:rsid w:val="005E0585"/>
    <w:rsid w:val="005E073E"/>
    <w:rsid w:val="005E08D1"/>
    <w:rsid w:val="005E0D21"/>
    <w:rsid w:val="005E0DD4"/>
    <w:rsid w:val="005E0F38"/>
    <w:rsid w:val="005E114E"/>
    <w:rsid w:val="005E1320"/>
    <w:rsid w:val="005E14FC"/>
    <w:rsid w:val="005E1ADA"/>
    <w:rsid w:val="005E1CA4"/>
    <w:rsid w:val="005E22F3"/>
    <w:rsid w:val="005E26A5"/>
    <w:rsid w:val="005E2822"/>
    <w:rsid w:val="005E2984"/>
    <w:rsid w:val="005E2AB0"/>
    <w:rsid w:val="005E2DF4"/>
    <w:rsid w:val="005E2E60"/>
    <w:rsid w:val="005E3366"/>
    <w:rsid w:val="005E386D"/>
    <w:rsid w:val="005E3A11"/>
    <w:rsid w:val="005E3B41"/>
    <w:rsid w:val="005E3C82"/>
    <w:rsid w:val="005E3E81"/>
    <w:rsid w:val="005E4254"/>
    <w:rsid w:val="005E43FC"/>
    <w:rsid w:val="005E488E"/>
    <w:rsid w:val="005E4BFB"/>
    <w:rsid w:val="005E4DB6"/>
    <w:rsid w:val="005E4F27"/>
    <w:rsid w:val="005E545B"/>
    <w:rsid w:val="005E5498"/>
    <w:rsid w:val="005E5500"/>
    <w:rsid w:val="005E59A1"/>
    <w:rsid w:val="005E5DDD"/>
    <w:rsid w:val="005E5E46"/>
    <w:rsid w:val="005E6233"/>
    <w:rsid w:val="005E6434"/>
    <w:rsid w:val="005E6554"/>
    <w:rsid w:val="005E6779"/>
    <w:rsid w:val="005E690F"/>
    <w:rsid w:val="005E6BEE"/>
    <w:rsid w:val="005E6C2E"/>
    <w:rsid w:val="005E6EE5"/>
    <w:rsid w:val="005E7123"/>
    <w:rsid w:val="005E72EA"/>
    <w:rsid w:val="005E7326"/>
    <w:rsid w:val="005E74BF"/>
    <w:rsid w:val="005E7B73"/>
    <w:rsid w:val="005E7CCE"/>
    <w:rsid w:val="005F028E"/>
    <w:rsid w:val="005F0D8B"/>
    <w:rsid w:val="005F0E28"/>
    <w:rsid w:val="005F127E"/>
    <w:rsid w:val="005F141E"/>
    <w:rsid w:val="005F146A"/>
    <w:rsid w:val="005F14A6"/>
    <w:rsid w:val="005F16F1"/>
    <w:rsid w:val="005F173D"/>
    <w:rsid w:val="005F19F8"/>
    <w:rsid w:val="005F1B31"/>
    <w:rsid w:val="005F1CB9"/>
    <w:rsid w:val="005F1F65"/>
    <w:rsid w:val="005F1FEA"/>
    <w:rsid w:val="005F2282"/>
    <w:rsid w:val="005F275A"/>
    <w:rsid w:val="005F2789"/>
    <w:rsid w:val="005F2856"/>
    <w:rsid w:val="005F2B91"/>
    <w:rsid w:val="005F2BD9"/>
    <w:rsid w:val="005F2DF6"/>
    <w:rsid w:val="005F2EA3"/>
    <w:rsid w:val="005F2F3E"/>
    <w:rsid w:val="005F3136"/>
    <w:rsid w:val="005F31B2"/>
    <w:rsid w:val="005F3487"/>
    <w:rsid w:val="005F379A"/>
    <w:rsid w:val="005F392E"/>
    <w:rsid w:val="005F395C"/>
    <w:rsid w:val="005F422E"/>
    <w:rsid w:val="005F49CF"/>
    <w:rsid w:val="005F4C1D"/>
    <w:rsid w:val="005F4F7B"/>
    <w:rsid w:val="005F58B4"/>
    <w:rsid w:val="005F5B87"/>
    <w:rsid w:val="005F5D5E"/>
    <w:rsid w:val="005F633C"/>
    <w:rsid w:val="005F64D0"/>
    <w:rsid w:val="005F6539"/>
    <w:rsid w:val="005F654E"/>
    <w:rsid w:val="005F65AB"/>
    <w:rsid w:val="005F66E1"/>
    <w:rsid w:val="005F6FB5"/>
    <w:rsid w:val="005F70D7"/>
    <w:rsid w:val="005F70E9"/>
    <w:rsid w:val="005F7181"/>
    <w:rsid w:val="005F71A4"/>
    <w:rsid w:val="005F71BC"/>
    <w:rsid w:val="005F791F"/>
    <w:rsid w:val="005F79D1"/>
    <w:rsid w:val="006001C6"/>
    <w:rsid w:val="006003E5"/>
    <w:rsid w:val="00600A1F"/>
    <w:rsid w:val="00600A33"/>
    <w:rsid w:val="00600B67"/>
    <w:rsid w:val="00600DE0"/>
    <w:rsid w:val="00600E07"/>
    <w:rsid w:val="006013E9"/>
    <w:rsid w:val="006016D5"/>
    <w:rsid w:val="00601997"/>
    <w:rsid w:val="00601E9B"/>
    <w:rsid w:val="00601FA8"/>
    <w:rsid w:val="00602365"/>
    <w:rsid w:val="006026E3"/>
    <w:rsid w:val="006027BE"/>
    <w:rsid w:val="006033DF"/>
    <w:rsid w:val="0060349E"/>
    <w:rsid w:val="00603FBC"/>
    <w:rsid w:val="00604106"/>
    <w:rsid w:val="0060415D"/>
    <w:rsid w:val="00604728"/>
    <w:rsid w:val="0060478C"/>
    <w:rsid w:val="00604B02"/>
    <w:rsid w:val="00604BD7"/>
    <w:rsid w:val="00604C48"/>
    <w:rsid w:val="00604DAC"/>
    <w:rsid w:val="00604E53"/>
    <w:rsid w:val="0060500A"/>
    <w:rsid w:val="006050A7"/>
    <w:rsid w:val="006050EA"/>
    <w:rsid w:val="0060519D"/>
    <w:rsid w:val="0060542F"/>
    <w:rsid w:val="00605DBA"/>
    <w:rsid w:val="00605EBF"/>
    <w:rsid w:val="00605FBB"/>
    <w:rsid w:val="00606172"/>
    <w:rsid w:val="00606720"/>
    <w:rsid w:val="006067B1"/>
    <w:rsid w:val="00606A84"/>
    <w:rsid w:val="0060726D"/>
    <w:rsid w:val="00607351"/>
    <w:rsid w:val="006073E4"/>
    <w:rsid w:val="00607400"/>
    <w:rsid w:val="006074DE"/>
    <w:rsid w:val="006078D5"/>
    <w:rsid w:val="006079BD"/>
    <w:rsid w:val="00607A7E"/>
    <w:rsid w:val="00607AC6"/>
    <w:rsid w:val="00607B17"/>
    <w:rsid w:val="00607C85"/>
    <w:rsid w:val="0061006C"/>
    <w:rsid w:val="0061046F"/>
    <w:rsid w:val="00610655"/>
    <w:rsid w:val="00610816"/>
    <w:rsid w:val="0061082E"/>
    <w:rsid w:val="00611223"/>
    <w:rsid w:val="006117AD"/>
    <w:rsid w:val="00612145"/>
    <w:rsid w:val="0061275D"/>
    <w:rsid w:val="006127C5"/>
    <w:rsid w:val="00612BF7"/>
    <w:rsid w:val="00612D7D"/>
    <w:rsid w:val="00612F68"/>
    <w:rsid w:val="00613586"/>
    <w:rsid w:val="006136E4"/>
    <w:rsid w:val="00613788"/>
    <w:rsid w:val="006137E5"/>
    <w:rsid w:val="00613D0B"/>
    <w:rsid w:val="00614247"/>
    <w:rsid w:val="006142E9"/>
    <w:rsid w:val="006144F0"/>
    <w:rsid w:val="00614896"/>
    <w:rsid w:val="006150A4"/>
    <w:rsid w:val="00615184"/>
    <w:rsid w:val="006154D7"/>
    <w:rsid w:val="0061576B"/>
    <w:rsid w:val="00615846"/>
    <w:rsid w:val="00615A7F"/>
    <w:rsid w:val="00615BE5"/>
    <w:rsid w:val="00615C0F"/>
    <w:rsid w:val="00615C45"/>
    <w:rsid w:val="00615DBB"/>
    <w:rsid w:val="00615E59"/>
    <w:rsid w:val="006161DD"/>
    <w:rsid w:val="00616442"/>
    <w:rsid w:val="006164DF"/>
    <w:rsid w:val="00616618"/>
    <w:rsid w:val="0061667C"/>
    <w:rsid w:val="006166DE"/>
    <w:rsid w:val="00616B6F"/>
    <w:rsid w:val="00616DF6"/>
    <w:rsid w:val="00616F94"/>
    <w:rsid w:val="0061720C"/>
    <w:rsid w:val="00617503"/>
    <w:rsid w:val="006175E7"/>
    <w:rsid w:val="006179D8"/>
    <w:rsid w:val="00617F2F"/>
    <w:rsid w:val="006200A5"/>
    <w:rsid w:val="006204BE"/>
    <w:rsid w:val="006204C3"/>
    <w:rsid w:val="0062061B"/>
    <w:rsid w:val="006206D5"/>
    <w:rsid w:val="006207A1"/>
    <w:rsid w:val="006208CF"/>
    <w:rsid w:val="006208D8"/>
    <w:rsid w:val="0062097A"/>
    <w:rsid w:val="00620A18"/>
    <w:rsid w:val="00620AE2"/>
    <w:rsid w:val="00620BC8"/>
    <w:rsid w:val="00620BD6"/>
    <w:rsid w:val="00620CAD"/>
    <w:rsid w:val="00620D16"/>
    <w:rsid w:val="00620D7C"/>
    <w:rsid w:val="00620D82"/>
    <w:rsid w:val="00620DA9"/>
    <w:rsid w:val="00620E59"/>
    <w:rsid w:val="006210C4"/>
    <w:rsid w:val="0062128E"/>
    <w:rsid w:val="006213F7"/>
    <w:rsid w:val="006214A0"/>
    <w:rsid w:val="0062173D"/>
    <w:rsid w:val="0062184B"/>
    <w:rsid w:val="0062190A"/>
    <w:rsid w:val="00621964"/>
    <w:rsid w:val="00621B39"/>
    <w:rsid w:val="00621D38"/>
    <w:rsid w:val="00621F1C"/>
    <w:rsid w:val="006224FE"/>
    <w:rsid w:val="0062272C"/>
    <w:rsid w:val="006229F9"/>
    <w:rsid w:val="00622D93"/>
    <w:rsid w:val="00622E0B"/>
    <w:rsid w:val="00622EDB"/>
    <w:rsid w:val="00622EEE"/>
    <w:rsid w:val="00622FFB"/>
    <w:rsid w:val="0062309F"/>
    <w:rsid w:val="006230AF"/>
    <w:rsid w:val="006231E6"/>
    <w:rsid w:val="006232D7"/>
    <w:rsid w:val="0062337B"/>
    <w:rsid w:val="006235AB"/>
    <w:rsid w:val="006237D8"/>
    <w:rsid w:val="006239C7"/>
    <w:rsid w:val="00623B1E"/>
    <w:rsid w:val="00623E3F"/>
    <w:rsid w:val="0062409D"/>
    <w:rsid w:val="006242D2"/>
    <w:rsid w:val="00624811"/>
    <w:rsid w:val="0062482B"/>
    <w:rsid w:val="00624883"/>
    <w:rsid w:val="00624CC3"/>
    <w:rsid w:val="00624CD4"/>
    <w:rsid w:val="00624E24"/>
    <w:rsid w:val="00624F7E"/>
    <w:rsid w:val="006252AA"/>
    <w:rsid w:val="00625376"/>
    <w:rsid w:val="00625D01"/>
    <w:rsid w:val="00625E1F"/>
    <w:rsid w:val="00625E71"/>
    <w:rsid w:val="0062611F"/>
    <w:rsid w:val="006262B5"/>
    <w:rsid w:val="0062684C"/>
    <w:rsid w:val="00626A3E"/>
    <w:rsid w:val="00626AC4"/>
    <w:rsid w:val="00626AC8"/>
    <w:rsid w:val="00626B37"/>
    <w:rsid w:val="00626D86"/>
    <w:rsid w:val="0062707A"/>
    <w:rsid w:val="006270DE"/>
    <w:rsid w:val="006271EF"/>
    <w:rsid w:val="006277B6"/>
    <w:rsid w:val="006279C6"/>
    <w:rsid w:val="00627A7A"/>
    <w:rsid w:val="00627AB5"/>
    <w:rsid w:val="00627DD1"/>
    <w:rsid w:val="00627ED6"/>
    <w:rsid w:val="006300B0"/>
    <w:rsid w:val="006301E8"/>
    <w:rsid w:val="00630433"/>
    <w:rsid w:val="00630492"/>
    <w:rsid w:val="00630BB2"/>
    <w:rsid w:val="00630DF1"/>
    <w:rsid w:val="00630E05"/>
    <w:rsid w:val="00630EFE"/>
    <w:rsid w:val="00630F58"/>
    <w:rsid w:val="006310D5"/>
    <w:rsid w:val="00631C8D"/>
    <w:rsid w:val="00631CE0"/>
    <w:rsid w:val="00632508"/>
    <w:rsid w:val="00632E4E"/>
    <w:rsid w:val="00632F7D"/>
    <w:rsid w:val="0063300B"/>
    <w:rsid w:val="00633051"/>
    <w:rsid w:val="00633274"/>
    <w:rsid w:val="0063359A"/>
    <w:rsid w:val="00633606"/>
    <w:rsid w:val="0063366E"/>
    <w:rsid w:val="0063368C"/>
    <w:rsid w:val="00633A41"/>
    <w:rsid w:val="00633BF5"/>
    <w:rsid w:val="006340D8"/>
    <w:rsid w:val="006342A4"/>
    <w:rsid w:val="00634576"/>
    <w:rsid w:val="006346E1"/>
    <w:rsid w:val="00634D83"/>
    <w:rsid w:val="00634E62"/>
    <w:rsid w:val="00634FF4"/>
    <w:rsid w:val="006350D4"/>
    <w:rsid w:val="00635470"/>
    <w:rsid w:val="0063576E"/>
    <w:rsid w:val="00635BFC"/>
    <w:rsid w:val="006361C1"/>
    <w:rsid w:val="00636724"/>
    <w:rsid w:val="00636E10"/>
    <w:rsid w:val="00637002"/>
    <w:rsid w:val="006370BC"/>
    <w:rsid w:val="00637218"/>
    <w:rsid w:val="006372B1"/>
    <w:rsid w:val="006373D1"/>
    <w:rsid w:val="00637C71"/>
    <w:rsid w:val="00637CE5"/>
    <w:rsid w:val="00637D62"/>
    <w:rsid w:val="006400A5"/>
    <w:rsid w:val="00640252"/>
    <w:rsid w:val="00640346"/>
    <w:rsid w:val="0064064E"/>
    <w:rsid w:val="0064093B"/>
    <w:rsid w:val="00640955"/>
    <w:rsid w:val="00640DC9"/>
    <w:rsid w:val="00641055"/>
    <w:rsid w:val="006414AB"/>
    <w:rsid w:val="006414B1"/>
    <w:rsid w:val="0064179F"/>
    <w:rsid w:val="0064186A"/>
    <w:rsid w:val="0064192E"/>
    <w:rsid w:val="00641C4E"/>
    <w:rsid w:val="00641DCD"/>
    <w:rsid w:val="00641EE9"/>
    <w:rsid w:val="00642085"/>
    <w:rsid w:val="006421EB"/>
    <w:rsid w:val="006424CA"/>
    <w:rsid w:val="006426C4"/>
    <w:rsid w:val="00642B3C"/>
    <w:rsid w:val="00642C4D"/>
    <w:rsid w:val="00642E76"/>
    <w:rsid w:val="00642EB9"/>
    <w:rsid w:val="00643160"/>
    <w:rsid w:val="00643727"/>
    <w:rsid w:val="00643A19"/>
    <w:rsid w:val="00643BD2"/>
    <w:rsid w:val="00643CD0"/>
    <w:rsid w:val="00643CF2"/>
    <w:rsid w:val="00643FB8"/>
    <w:rsid w:val="00644AB7"/>
    <w:rsid w:val="00644B2A"/>
    <w:rsid w:val="00644E36"/>
    <w:rsid w:val="00645194"/>
    <w:rsid w:val="00645756"/>
    <w:rsid w:val="006457B8"/>
    <w:rsid w:val="006459DE"/>
    <w:rsid w:val="00645AA3"/>
    <w:rsid w:val="00645EB0"/>
    <w:rsid w:val="00646372"/>
    <w:rsid w:val="0064657C"/>
    <w:rsid w:val="00646729"/>
    <w:rsid w:val="00646DC0"/>
    <w:rsid w:val="00646ECB"/>
    <w:rsid w:val="00647393"/>
    <w:rsid w:val="006479AD"/>
    <w:rsid w:val="006479FF"/>
    <w:rsid w:val="00647E99"/>
    <w:rsid w:val="00650547"/>
    <w:rsid w:val="006505CC"/>
    <w:rsid w:val="006508BD"/>
    <w:rsid w:val="00650C46"/>
    <w:rsid w:val="00650FA0"/>
    <w:rsid w:val="006510CB"/>
    <w:rsid w:val="00651315"/>
    <w:rsid w:val="00651AB5"/>
    <w:rsid w:val="00651AD7"/>
    <w:rsid w:val="00651B2F"/>
    <w:rsid w:val="00651BFC"/>
    <w:rsid w:val="00652057"/>
    <w:rsid w:val="0065216A"/>
    <w:rsid w:val="00652210"/>
    <w:rsid w:val="006525C0"/>
    <w:rsid w:val="006528E5"/>
    <w:rsid w:val="00652A8B"/>
    <w:rsid w:val="00652C47"/>
    <w:rsid w:val="00652D6C"/>
    <w:rsid w:val="0065323E"/>
    <w:rsid w:val="0065329E"/>
    <w:rsid w:val="006532A7"/>
    <w:rsid w:val="006534B5"/>
    <w:rsid w:val="0065359D"/>
    <w:rsid w:val="006535CC"/>
    <w:rsid w:val="006535F3"/>
    <w:rsid w:val="006536A2"/>
    <w:rsid w:val="00653A57"/>
    <w:rsid w:val="00653AF8"/>
    <w:rsid w:val="00653C56"/>
    <w:rsid w:val="00653E99"/>
    <w:rsid w:val="006541CC"/>
    <w:rsid w:val="00654ADC"/>
    <w:rsid w:val="00654C7D"/>
    <w:rsid w:val="00654DBE"/>
    <w:rsid w:val="00654DDF"/>
    <w:rsid w:val="00654E3F"/>
    <w:rsid w:val="006552AA"/>
    <w:rsid w:val="00655808"/>
    <w:rsid w:val="00655866"/>
    <w:rsid w:val="006558C7"/>
    <w:rsid w:val="00655922"/>
    <w:rsid w:val="006559FA"/>
    <w:rsid w:val="006562E1"/>
    <w:rsid w:val="0065657A"/>
    <w:rsid w:val="0065661C"/>
    <w:rsid w:val="006568D0"/>
    <w:rsid w:val="00656AD4"/>
    <w:rsid w:val="00656C1A"/>
    <w:rsid w:val="00656CFD"/>
    <w:rsid w:val="00656E7F"/>
    <w:rsid w:val="0065726C"/>
    <w:rsid w:val="006574C8"/>
    <w:rsid w:val="00657B46"/>
    <w:rsid w:val="0066007A"/>
    <w:rsid w:val="0066014E"/>
    <w:rsid w:val="006601F8"/>
    <w:rsid w:val="0066024C"/>
    <w:rsid w:val="006602B1"/>
    <w:rsid w:val="00660761"/>
    <w:rsid w:val="00660BB0"/>
    <w:rsid w:val="00660EAE"/>
    <w:rsid w:val="00661202"/>
    <w:rsid w:val="00661223"/>
    <w:rsid w:val="0066143C"/>
    <w:rsid w:val="00661A9E"/>
    <w:rsid w:val="00661EDE"/>
    <w:rsid w:val="00662062"/>
    <w:rsid w:val="006620FA"/>
    <w:rsid w:val="006622BD"/>
    <w:rsid w:val="00662B40"/>
    <w:rsid w:val="00662BF3"/>
    <w:rsid w:val="00662CD8"/>
    <w:rsid w:val="006632D8"/>
    <w:rsid w:val="00663450"/>
    <w:rsid w:val="00663456"/>
    <w:rsid w:val="0066360B"/>
    <w:rsid w:val="006639B7"/>
    <w:rsid w:val="00663AD6"/>
    <w:rsid w:val="00663C07"/>
    <w:rsid w:val="00663E2E"/>
    <w:rsid w:val="00663FED"/>
    <w:rsid w:val="006641F3"/>
    <w:rsid w:val="0066484A"/>
    <w:rsid w:val="00664B87"/>
    <w:rsid w:val="00664F07"/>
    <w:rsid w:val="00664FAC"/>
    <w:rsid w:val="00665691"/>
    <w:rsid w:val="006657DF"/>
    <w:rsid w:val="00665CD3"/>
    <w:rsid w:val="00665EF6"/>
    <w:rsid w:val="0066604F"/>
    <w:rsid w:val="00666647"/>
    <w:rsid w:val="006666AA"/>
    <w:rsid w:val="00666732"/>
    <w:rsid w:val="00666EB7"/>
    <w:rsid w:val="00666FB2"/>
    <w:rsid w:val="00667020"/>
    <w:rsid w:val="0066708C"/>
    <w:rsid w:val="00667194"/>
    <w:rsid w:val="00667462"/>
    <w:rsid w:val="00667664"/>
    <w:rsid w:val="0066776A"/>
    <w:rsid w:val="00667EB1"/>
    <w:rsid w:val="006703DA"/>
    <w:rsid w:val="00670470"/>
    <w:rsid w:val="00670494"/>
    <w:rsid w:val="00670660"/>
    <w:rsid w:val="00670663"/>
    <w:rsid w:val="006706A0"/>
    <w:rsid w:val="006706B6"/>
    <w:rsid w:val="00670990"/>
    <w:rsid w:val="00670D71"/>
    <w:rsid w:val="00670F64"/>
    <w:rsid w:val="006711C8"/>
    <w:rsid w:val="00671562"/>
    <w:rsid w:val="0067160F"/>
    <w:rsid w:val="00671A21"/>
    <w:rsid w:val="00671ACE"/>
    <w:rsid w:val="00671CA1"/>
    <w:rsid w:val="00671E26"/>
    <w:rsid w:val="00671FB3"/>
    <w:rsid w:val="006722EB"/>
    <w:rsid w:val="0067291E"/>
    <w:rsid w:val="00672CB4"/>
    <w:rsid w:val="00672F78"/>
    <w:rsid w:val="00673056"/>
    <w:rsid w:val="0067342E"/>
    <w:rsid w:val="00673B73"/>
    <w:rsid w:val="00673FE4"/>
    <w:rsid w:val="006741A0"/>
    <w:rsid w:val="006742D3"/>
    <w:rsid w:val="006743AC"/>
    <w:rsid w:val="006743CB"/>
    <w:rsid w:val="0067442D"/>
    <w:rsid w:val="006744AF"/>
    <w:rsid w:val="006744F5"/>
    <w:rsid w:val="00674750"/>
    <w:rsid w:val="006749B8"/>
    <w:rsid w:val="00674E67"/>
    <w:rsid w:val="006750C2"/>
    <w:rsid w:val="0067595F"/>
    <w:rsid w:val="00675D55"/>
    <w:rsid w:val="00675D84"/>
    <w:rsid w:val="0067609C"/>
    <w:rsid w:val="00676104"/>
    <w:rsid w:val="006762E5"/>
    <w:rsid w:val="0067649E"/>
    <w:rsid w:val="006765D8"/>
    <w:rsid w:val="00676712"/>
    <w:rsid w:val="00676CF8"/>
    <w:rsid w:val="00676D2D"/>
    <w:rsid w:val="00676E06"/>
    <w:rsid w:val="00676F38"/>
    <w:rsid w:val="00677392"/>
    <w:rsid w:val="00677411"/>
    <w:rsid w:val="0067780B"/>
    <w:rsid w:val="00677959"/>
    <w:rsid w:val="00677A67"/>
    <w:rsid w:val="00677B5D"/>
    <w:rsid w:val="00677CAF"/>
    <w:rsid w:val="00677D7E"/>
    <w:rsid w:val="00677F4F"/>
    <w:rsid w:val="00677F55"/>
    <w:rsid w:val="0068030E"/>
    <w:rsid w:val="0068031D"/>
    <w:rsid w:val="00680579"/>
    <w:rsid w:val="006805CD"/>
    <w:rsid w:val="00680627"/>
    <w:rsid w:val="00680688"/>
    <w:rsid w:val="00680725"/>
    <w:rsid w:val="00680AE1"/>
    <w:rsid w:val="00680EAE"/>
    <w:rsid w:val="00680FB5"/>
    <w:rsid w:val="00680FF5"/>
    <w:rsid w:val="00681232"/>
    <w:rsid w:val="00681347"/>
    <w:rsid w:val="006814C5"/>
    <w:rsid w:val="0068197F"/>
    <w:rsid w:val="00681C70"/>
    <w:rsid w:val="00681E11"/>
    <w:rsid w:val="00682386"/>
    <w:rsid w:val="006827A9"/>
    <w:rsid w:val="006827FD"/>
    <w:rsid w:val="00682883"/>
    <w:rsid w:val="00682C52"/>
    <w:rsid w:val="00682C6C"/>
    <w:rsid w:val="00682D9F"/>
    <w:rsid w:val="00682FE6"/>
    <w:rsid w:val="0068320F"/>
    <w:rsid w:val="0068332D"/>
    <w:rsid w:val="00683602"/>
    <w:rsid w:val="006836BC"/>
    <w:rsid w:val="006838B1"/>
    <w:rsid w:val="00683953"/>
    <w:rsid w:val="00683A3A"/>
    <w:rsid w:val="00683A47"/>
    <w:rsid w:val="00683F40"/>
    <w:rsid w:val="00683FD2"/>
    <w:rsid w:val="0068418C"/>
    <w:rsid w:val="00684559"/>
    <w:rsid w:val="00684675"/>
    <w:rsid w:val="00684797"/>
    <w:rsid w:val="00684A97"/>
    <w:rsid w:val="00684C68"/>
    <w:rsid w:val="00685150"/>
    <w:rsid w:val="00685183"/>
    <w:rsid w:val="006852AD"/>
    <w:rsid w:val="00685375"/>
    <w:rsid w:val="006859AE"/>
    <w:rsid w:val="00685A49"/>
    <w:rsid w:val="0068604F"/>
    <w:rsid w:val="0068607E"/>
    <w:rsid w:val="0068616B"/>
    <w:rsid w:val="00686368"/>
    <w:rsid w:val="006863A4"/>
    <w:rsid w:val="00686707"/>
    <w:rsid w:val="00686C78"/>
    <w:rsid w:val="00686D94"/>
    <w:rsid w:val="006871FA"/>
    <w:rsid w:val="006872F2"/>
    <w:rsid w:val="006873FF"/>
    <w:rsid w:val="006875E7"/>
    <w:rsid w:val="0068762D"/>
    <w:rsid w:val="00687931"/>
    <w:rsid w:val="00687995"/>
    <w:rsid w:val="00687B27"/>
    <w:rsid w:val="00687BE2"/>
    <w:rsid w:val="00687CBF"/>
    <w:rsid w:val="00687F6C"/>
    <w:rsid w:val="0069019C"/>
    <w:rsid w:val="006907B7"/>
    <w:rsid w:val="00690860"/>
    <w:rsid w:val="0069092E"/>
    <w:rsid w:val="00691216"/>
    <w:rsid w:val="00691789"/>
    <w:rsid w:val="006917B3"/>
    <w:rsid w:val="0069189C"/>
    <w:rsid w:val="00691BED"/>
    <w:rsid w:val="00691C01"/>
    <w:rsid w:val="00692368"/>
    <w:rsid w:val="006923D6"/>
    <w:rsid w:val="006925E2"/>
    <w:rsid w:val="00692703"/>
    <w:rsid w:val="0069282C"/>
    <w:rsid w:val="006929D0"/>
    <w:rsid w:val="00692A44"/>
    <w:rsid w:val="00693075"/>
    <w:rsid w:val="00693A60"/>
    <w:rsid w:val="00693AC8"/>
    <w:rsid w:val="00693C0A"/>
    <w:rsid w:val="00694018"/>
    <w:rsid w:val="006940E4"/>
    <w:rsid w:val="0069429F"/>
    <w:rsid w:val="00694490"/>
    <w:rsid w:val="0069471B"/>
    <w:rsid w:val="006947EA"/>
    <w:rsid w:val="006949FA"/>
    <w:rsid w:val="00694C25"/>
    <w:rsid w:val="00694DCC"/>
    <w:rsid w:val="00694F8B"/>
    <w:rsid w:val="006952E3"/>
    <w:rsid w:val="0069549E"/>
    <w:rsid w:val="006955FC"/>
    <w:rsid w:val="0069575D"/>
    <w:rsid w:val="00695798"/>
    <w:rsid w:val="0069593E"/>
    <w:rsid w:val="00695B49"/>
    <w:rsid w:val="00695FB9"/>
    <w:rsid w:val="00696337"/>
    <w:rsid w:val="006963F9"/>
    <w:rsid w:val="006965E2"/>
    <w:rsid w:val="006965FD"/>
    <w:rsid w:val="00696658"/>
    <w:rsid w:val="00696F1A"/>
    <w:rsid w:val="00697674"/>
    <w:rsid w:val="006976A3"/>
    <w:rsid w:val="006978B8"/>
    <w:rsid w:val="006A002B"/>
    <w:rsid w:val="006A024F"/>
    <w:rsid w:val="006A02D2"/>
    <w:rsid w:val="006A08B4"/>
    <w:rsid w:val="006A1468"/>
    <w:rsid w:val="006A1510"/>
    <w:rsid w:val="006A1652"/>
    <w:rsid w:val="006A18F7"/>
    <w:rsid w:val="006A1A26"/>
    <w:rsid w:val="006A1BB8"/>
    <w:rsid w:val="006A1DA0"/>
    <w:rsid w:val="006A1E61"/>
    <w:rsid w:val="006A1FCF"/>
    <w:rsid w:val="006A1FD8"/>
    <w:rsid w:val="006A29CA"/>
    <w:rsid w:val="006A2A15"/>
    <w:rsid w:val="006A2B32"/>
    <w:rsid w:val="006A2C29"/>
    <w:rsid w:val="006A2F6F"/>
    <w:rsid w:val="006A2FDC"/>
    <w:rsid w:val="006A3001"/>
    <w:rsid w:val="006A32D8"/>
    <w:rsid w:val="006A39FC"/>
    <w:rsid w:val="006A3DC5"/>
    <w:rsid w:val="006A44A3"/>
    <w:rsid w:val="006A44CD"/>
    <w:rsid w:val="006A4682"/>
    <w:rsid w:val="006A49A1"/>
    <w:rsid w:val="006A49B8"/>
    <w:rsid w:val="006A4F6E"/>
    <w:rsid w:val="006A5092"/>
    <w:rsid w:val="006A5122"/>
    <w:rsid w:val="006A5275"/>
    <w:rsid w:val="006A54D7"/>
    <w:rsid w:val="006A54FE"/>
    <w:rsid w:val="006A57AB"/>
    <w:rsid w:val="006A588F"/>
    <w:rsid w:val="006A5894"/>
    <w:rsid w:val="006A5A20"/>
    <w:rsid w:val="006A5D72"/>
    <w:rsid w:val="006A6107"/>
    <w:rsid w:val="006A6651"/>
    <w:rsid w:val="006A6A89"/>
    <w:rsid w:val="006A6CBA"/>
    <w:rsid w:val="006A6D2B"/>
    <w:rsid w:val="006A6E15"/>
    <w:rsid w:val="006A6FF9"/>
    <w:rsid w:val="006A703F"/>
    <w:rsid w:val="006A7CFF"/>
    <w:rsid w:val="006A7DBE"/>
    <w:rsid w:val="006B0782"/>
    <w:rsid w:val="006B0AA4"/>
    <w:rsid w:val="006B0BBA"/>
    <w:rsid w:val="006B0F29"/>
    <w:rsid w:val="006B10EA"/>
    <w:rsid w:val="006B1125"/>
    <w:rsid w:val="006B14A3"/>
    <w:rsid w:val="006B1582"/>
    <w:rsid w:val="006B1644"/>
    <w:rsid w:val="006B17AE"/>
    <w:rsid w:val="006B1877"/>
    <w:rsid w:val="006B195A"/>
    <w:rsid w:val="006B1DDB"/>
    <w:rsid w:val="006B2001"/>
    <w:rsid w:val="006B209A"/>
    <w:rsid w:val="006B22E1"/>
    <w:rsid w:val="006B23DB"/>
    <w:rsid w:val="006B247B"/>
    <w:rsid w:val="006B2994"/>
    <w:rsid w:val="006B34E6"/>
    <w:rsid w:val="006B36E1"/>
    <w:rsid w:val="006B3868"/>
    <w:rsid w:val="006B391B"/>
    <w:rsid w:val="006B3A58"/>
    <w:rsid w:val="006B3D8F"/>
    <w:rsid w:val="006B40F8"/>
    <w:rsid w:val="006B4244"/>
    <w:rsid w:val="006B432E"/>
    <w:rsid w:val="006B44EB"/>
    <w:rsid w:val="006B47F7"/>
    <w:rsid w:val="006B485F"/>
    <w:rsid w:val="006B4878"/>
    <w:rsid w:val="006B4FE1"/>
    <w:rsid w:val="006B5205"/>
    <w:rsid w:val="006B5AE5"/>
    <w:rsid w:val="006B6094"/>
    <w:rsid w:val="006B6583"/>
    <w:rsid w:val="006B6806"/>
    <w:rsid w:val="006B6BBC"/>
    <w:rsid w:val="006B6F9E"/>
    <w:rsid w:val="006B712A"/>
    <w:rsid w:val="006B73AA"/>
    <w:rsid w:val="006B7B62"/>
    <w:rsid w:val="006B7B66"/>
    <w:rsid w:val="006B7B8F"/>
    <w:rsid w:val="006C0180"/>
    <w:rsid w:val="006C089A"/>
    <w:rsid w:val="006C0CC0"/>
    <w:rsid w:val="006C0CF8"/>
    <w:rsid w:val="006C0E45"/>
    <w:rsid w:val="006C129C"/>
    <w:rsid w:val="006C145A"/>
    <w:rsid w:val="006C15E6"/>
    <w:rsid w:val="006C18A0"/>
    <w:rsid w:val="006C1908"/>
    <w:rsid w:val="006C1933"/>
    <w:rsid w:val="006C1AC5"/>
    <w:rsid w:val="006C1CBD"/>
    <w:rsid w:val="006C1D48"/>
    <w:rsid w:val="006C1D5A"/>
    <w:rsid w:val="006C214C"/>
    <w:rsid w:val="006C24B2"/>
    <w:rsid w:val="006C26F4"/>
    <w:rsid w:val="006C2C1A"/>
    <w:rsid w:val="006C2EB1"/>
    <w:rsid w:val="006C2F97"/>
    <w:rsid w:val="006C3588"/>
    <w:rsid w:val="006C36BF"/>
    <w:rsid w:val="006C371A"/>
    <w:rsid w:val="006C3848"/>
    <w:rsid w:val="006C387A"/>
    <w:rsid w:val="006C3C7E"/>
    <w:rsid w:val="006C4122"/>
    <w:rsid w:val="006C4276"/>
    <w:rsid w:val="006C42C6"/>
    <w:rsid w:val="006C4320"/>
    <w:rsid w:val="006C43DE"/>
    <w:rsid w:val="006C4563"/>
    <w:rsid w:val="006C4ACF"/>
    <w:rsid w:val="006C4B96"/>
    <w:rsid w:val="006C4C4A"/>
    <w:rsid w:val="006C4C6C"/>
    <w:rsid w:val="006C4E7E"/>
    <w:rsid w:val="006C5661"/>
    <w:rsid w:val="006C5804"/>
    <w:rsid w:val="006C5C3E"/>
    <w:rsid w:val="006C5E2B"/>
    <w:rsid w:val="006C5ED1"/>
    <w:rsid w:val="006C6221"/>
    <w:rsid w:val="006C64F6"/>
    <w:rsid w:val="006C657C"/>
    <w:rsid w:val="006C6A69"/>
    <w:rsid w:val="006C6F4E"/>
    <w:rsid w:val="006C7060"/>
    <w:rsid w:val="006C7362"/>
    <w:rsid w:val="006C7558"/>
    <w:rsid w:val="006C7674"/>
    <w:rsid w:val="006C76C4"/>
    <w:rsid w:val="006C7C00"/>
    <w:rsid w:val="006C7E18"/>
    <w:rsid w:val="006D03D7"/>
    <w:rsid w:val="006D0597"/>
    <w:rsid w:val="006D0A01"/>
    <w:rsid w:val="006D0F0C"/>
    <w:rsid w:val="006D10A2"/>
    <w:rsid w:val="006D1428"/>
    <w:rsid w:val="006D15F8"/>
    <w:rsid w:val="006D1934"/>
    <w:rsid w:val="006D1BFA"/>
    <w:rsid w:val="006D1C16"/>
    <w:rsid w:val="006D1E0E"/>
    <w:rsid w:val="006D1F33"/>
    <w:rsid w:val="006D2A3B"/>
    <w:rsid w:val="006D2FE2"/>
    <w:rsid w:val="006D331E"/>
    <w:rsid w:val="006D374D"/>
    <w:rsid w:val="006D3843"/>
    <w:rsid w:val="006D3900"/>
    <w:rsid w:val="006D3940"/>
    <w:rsid w:val="006D3BE3"/>
    <w:rsid w:val="006D41C7"/>
    <w:rsid w:val="006D41C9"/>
    <w:rsid w:val="006D44B9"/>
    <w:rsid w:val="006D451B"/>
    <w:rsid w:val="006D4E05"/>
    <w:rsid w:val="006D50BC"/>
    <w:rsid w:val="006D52F3"/>
    <w:rsid w:val="006D5702"/>
    <w:rsid w:val="006D5ADE"/>
    <w:rsid w:val="006D5CB8"/>
    <w:rsid w:val="006D6A8D"/>
    <w:rsid w:val="006D6CD6"/>
    <w:rsid w:val="006D6FB7"/>
    <w:rsid w:val="006D7008"/>
    <w:rsid w:val="006D70B2"/>
    <w:rsid w:val="006D7529"/>
    <w:rsid w:val="006D78D5"/>
    <w:rsid w:val="006D7DFD"/>
    <w:rsid w:val="006E0089"/>
    <w:rsid w:val="006E0259"/>
    <w:rsid w:val="006E043D"/>
    <w:rsid w:val="006E0678"/>
    <w:rsid w:val="006E094B"/>
    <w:rsid w:val="006E0A42"/>
    <w:rsid w:val="006E0B80"/>
    <w:rsid w:val="006E0D97"/>
    <w:rsid w:val="006E0FD3"/>
    <w:rsid w:val="006E0FE0"/>
    <w:rsid w:val="006E1123"/>
    <w:rsid w:val="006E182F"/>
    <w:rsid w:val="006E1A73"/>
    <w:rsid w:val="006E1BDA"/>
    <w:rsid w:val="006E1D95"/>
    <w:rsid w:val="006E1D96"/>
    <w:rsid w:val="006E1F56"/>
    <w:rsid w:val="006E200E"/>
    <w:rsid w:val="006E21C7"/>
    <w:rsid w:val="006E2447"/>
    <w:rsid w:val="006E2457"/>
    <w:rsid w:val="006E2484"/>
    <w:rsid w:val="006E26DD"/>
    <w:rsid w:val="006E2E39"/>
    <w:rsid w:val="006E2EF2"/>
    <w:rsid w:val="006E2EF7"/>
    <w:rsid w:val="006E31D2"/>
    <w:rsid w:val="006E31DC"/>
    <w:rsid w:val="006E3340"/>
    <w:rsid w:val="006E3355"/>
    <w:rsid w:val="006E3763"/>
    <w:rsid w:val="006E4253"/>
    <w:rsid w:val="006E4281"/>
    <w:rsid w:val="006E42E3"/>
    <w:rsid w:val="006E4426"/>
    <w:rsid w:val="006E442E"/>
    <w:rsid w:val="006E45A6"/>
    <w:rsid w:val="006E4663"/>
    <w:rsid w:val="006E4664"/>
    <w:rsid w:val="006E47D2"/>
    <w:rsid w:val="006E4B78"/>
    <w:rsid w:val="006E5003"/>
    <w:rsid w:val="006E524F"/>
    <w:rsid w:val="006E5618"/>
    <w:rsid w:val="006E5AFE"/>
    <w:rsid w:val="006E5BD3"/>
    <w:rsid w:val="006E5CF9"/>
    <w:rsid w:val="006E623F"/>
    <w:rsid w:val="006E63FD"/>
    <w:rsid w:val="006E670C"/>
    <w:rsid w:val="006E6AD1"/>
    <w:rsid w:val="006E6CBD"/>
    <w:rsid w:val="006E6EEE"/>
    <w:rsid w:val="006E703E"/>
    <w:rsid w:val="006E7548"/>
    <w:rsid w:val="006E7566"/>
    <w:rsid w:val="006E77D6"/>
    <w:rsid w:val="006E7A63"/>
    <w:rsid w:val="006F0081"/>
    <w:rsid w:val="006F03F2"/>
    <w:rsid w:val="006F06A5"/>
    <w:rsid w:val="006F0AC7"/>
    <w:rsid w:val="006F0BFA"/>
    <w:rsid w:val="006F1144"/>
    <w:rsid w:val="006F11B0"/>
    <w:rsid w:val="006F17D8"/>
    <w:rsid w:val="006F187A"/>
    <w:rsid w:val="006F18DA"/>
    <w:rsid w:val="006F1BB5"/>
    <w:rsid w:val="006F1CBD"/>
    <w:rsid w:val="006F1D32"/>
    <w:rsid w:val="006F1F86"/>
    <w:rsid w:val="006F26FC"/>
    <w:rsid w:val="006F278E"/>
    <w:rsid w:val="006F2B16"/>
    <w:rsid w:val="006F2B23"/>
    <w:rsid w:val="006F3246"/>
    <w:rsid w:val="006F3554"/>
    <w:rsid w:val="006F3ABC"/>
    <w:rsid w:val="006F3B99"/>
    <w:rsid w:val="006F3DE9"/>
    <w:rsid w:val="006F3FA1"/>
    <w:rsid w:val="006F453D"/>
    <w:rsid w:val="006F4551"/>
    <w:rsid w:val="006F482E"/>
    <w:rsid w:val="006F4B65"/>
    <w:rsid w:val="006F4DBE"/>
    <w:rsid w:val="006F4DFC"/>
    <w:rsid w:val="006F5487"/>
    <w:rsid w:val="006F5AA5"/>
    <w:rsid w:val="006F5ACA"/>
    <w:rsid w:val="006F5ACD"/>
    <w:rsid w:val="006F603F"/>
    <w:rsid w:val="006F608F"/>
    <w:rsid w:val="006F63EB"/>
    <w:rsid w:val="006F6A03"/>
    <w:rsid w:val="006F6C9F"/>
    <w:rsid w:val="006F6E61"/>
    <w:rsid w:val="006F6FCF"/>
    <w:rsid w:val="006F6FF1"/>
    <w:rsid w:val="006F7CFD"/>
    <w:rsid w:val="006F7EE2"/>
    <w:rsid w:val="006F8644"/>
    <w:rsid w:val="007003B4"/>
    <w:rsid w:val="007003DE"/>
    <w:rsid w:val="0070045F"/>
    <w:rsid w:val="007006E4"/>
    <w:rsid w:val="0070091B"/>
    <w:rsid w:val="00700AB6"/>
    <w:rsid w:val="00700E95"/>
    <w:rsid w:val="00701075"/>
    <w:rsid w:val="00701233"/>
    <w:rsid w:val="0070169A"/>
    <w:rsid w:val="00701762"/>
    <w:rsid w:val="007019F6"/>
    <w:rsid w:val="00701E9A"/>
    <w:rsid w:val="00701F5C"/>
    <w:rsid w:val="00702303"/>
    <w:rsid w:val="00702500"/>
    <w:rsid w:val="0070253F"/>
    <w:rsid w:val="00702580"/>
    <w:rsid w:val="0070272E"/>
    <w:rsid w:val="00702B37"/>
    <w:rsid w:val="00702CBC"/>
    <w:rsid w:val="0070337F"/>
    <w:rsid w:val="00703C43"/>
    <w:rsid w:val="00703E70"/>
    <w:rsid w:val="0070401D"/>
    <w:rsid w:val="007040FC"/>
    <w:rsid w:val="0070491E"/>
    <w:rsid w:val="00704D2B"/>
    <w:rsid w:val="00705135"/>
    <w:rsid w:val="007054E7"/>
    <w:rsid w:val="00705BCD"/>
    <w:rsid w:val="00705BCF"/>
    <w:rsid w:val="007060B8"/>
    <w:rsid w:val="007061AB"/>
    <w:rsid w:val="00706744"/>
    <w:rsid w:val="0070697E"/>
    <w:rsid w:val="007069DE"/>
    <w:rsid w:val="00706C1A"/>
    <w:rsid w:val="00706D58"/>
    <w:rsid w:val="00706E54"/>
    <w:rsid w:val="00706EC5"/>
    <w:rsid w:val="00706EEB"/>
    <w:rsid w:val="00706FBF"/>
    <w:rsid w:val="00707009"/>
    <w:rsid w:val="0070710D"/>
    <w:rsid w:val="0070776F"/>
    <w:rsid w:val="007077BE"/>
    <w:rsid w:val="00707946"/>
    <w:rsid w:val="007079B2"/>
    <w:rsid w:val="00707BF0"/>
    <w:rsid w:val="007101B5"/>
    <w:rsid w:val="007105C7"/>
    <w:rsid w:val="007107D8"/>
    <w:rsid w:val="007109FF"/>
    <w:rsid w:val="00710ACA"/>
    <w:rsid w:val="00710B06"/>
    <w:rsid w:val="00710BEA"/>
    <w:rsid w:val="0071117B"/>
    <w:rsid w:val="00711360"/>
    <w:rsid w:val="007113A7"/>
    <w:rsid w:val="007115C9"/>
    <w:rsid w:val="007116E0"/>
    <w:rsid w:val="0071175D"/>
    <w:rsid w:val="00711940"/>
    <w:rsid w:val="00711AAB"/>
    <w:rsid w:val="00711C1C"/>
    <w:rsid w:val="00711DD2"/>
    <w:rsid w:val="0071233E"/>
    <w:rsid w:val="007123C5"/>
    <w:rsid w:val="00712501"/>
    <w:rsid w:val="0071251F"/>
    <w:rsid w:val="007126BE"/>
    <w:rsid w:val="007127E7"/>
    <w:rsid w:val="00712E2A"/>
    <w:rsid w:val="00712E52"/>
    <w:rsid w:val="00712F6C"/>
    <w:rsid w:val="00713292"/>
    <w:rsid w:val="007137CF"/>
    <w:rsid w:val="007139D5"/>
    <w:rsid w:val="00713B02"/>
    <w:rsid w:val="00713C69"/>
    <w:rsid w:val="007141B3"/>
    <w:rsid w:val="0071430B"/>
    <w:rsid w:val="0071457D"/>
    <w:rsid w:val="007151BD"/>
    <w:rsid w:val="0071554A"/>
    <w:rsid w:val="0071556C"/>
    <w:rsid w:val="00715BDD"/>
    <w:rsid w:val="00715C1D"/>
    <w:rsid w:val="00715FED"/>
    <w:rsid w:val="007160E8"/>
    <w:rsid w:val="00716226"/>
    <w:rsid w:val="00716856"/>
    <w:rsid w:val="00716B02"/>
    <w:rsid w:val="00716BC6"/>
    <w:rsid w:val="00716CB1"/>
    <w:rsid w:val="00716DA7"/>
    <w:rsid w:val="00716E73"/>
    <w:rsid w:val="00717116"/>
    <w:rsid w:val="0071741C"/>
    <w:rsid w:val="00717664"/>
    <w:rsid w:val="007179B3"/>
    <w:rsid w:val="00717CA6"/>
    <w:rsid w:val="00717DF0"/>
    <w:rsid w:val="00717E08"/>
    <w:rsid w:val="00717E2A"/>
    <w:rsid w:val="007203A4"/>
    <w:rsid w:val="00720597"/>
    <w:rsid w:val="007209D5"/>
    <w:rsid w:val="00720A3D"/>
    <w:rsid w:val="00720CA6"/>
    <w:rsid w:val="00720EF4"/>
    <w:rsid w:val="00721237"/>
    <w:rsid w:val="007212FA"/>
    <w:rsid w:val="00721C75"/>
    <w:rsid w:val="00721CDB"/>
    <w:rsid w:val="00721E7E"/>
    <w:rsid w:val="00722108"/>
    <w:rsid w:val="0072247C"/>
    <w:rsid w:val="007225E0"/>
    <w:rsid w:val="00722797"/>
    <w:rsid w:val="00722819"/>
    <w:rsid w:val="00722864"/>
    <w:rsid w:val="007228F9"/>
    <w:rsid w:val="00722BFD"/>
    <w:rsid w:val="00722CCC"/>
    <w:rsid w:val="00722E69"/>
    <w:rsid w:val="00722E72"/>
    <w:rsid w:val="00722F48"/>
    <w:rsid w:val="00723055"/>
    <w:rsid w:val="0072322B"/>
    <w:rsid w:val="007234EB"/>
    <w:rsid w:val="007235AA"/>
    <w:rsid w:val="0072382F"/>
    <w:rsid w:val="007238BE"/>
    <w:rsid w:val="00723B6A"/>
    <w:rsid w:val="00723B84"/>
    <w:rsid w:val="00723F0D"/>
    <w:rsid w:val="00723F69"/>
    <w:rsid w:val="00724052"/>
    <w:rsid w:val="0072409B"/>
    <w:rsid w:val="007241D6"/>
    <w:rsid w:val="00724350"/>
    <w:rsid w:val="00724508"/>
    <w:rsid w:val="007247CF"/>
    <w:rsid w:val="00724BD7"/>
    <w:rsid w:val="00724BEE"/>
    <w:rsid w:val="00724CF4"/>
    <w:rsid w:val="00724FF9"/>
    <w:rsid w:val="00725043"/>
    <w:rsid w:val="007254B9"/>
    <w:rsid w:val="00725AAA"/>
    <w:rsid w:val="00725CD6"/>
    <w:rsid w:val="007261A0"/>
    <w:rsid w:val="00726201"/>
    <w:rsid w:val="00726310"/>
    <w:rsid w:val="00726384"/>
    <w:rsid w:val="007266C0"/>
    <w:rsid w:val="00726955"/>
    <w:rsid w:val="00726C9B"/>
    <w:rsid w:val="00726EE6"/>
    <w:rsid w:val="007270CF"/>
    <w:rsid w:val="007273C8"/>
    <w:rsid w:val="007273F3"/>
    <w:rsid w:val="007301EB"/>
    <w:rsid w:val="0073054B"/>
    <w:rsid w:val="007305DB"/>
    <w:rsid w:val="007306B1"/>
    <w:rsid w:val="00730A44"/>
    <w:rsid w:val="00730BA6"/>
    <w:rsid w:val="00730DB2"/>
    <w:rsid w:val="00730E23"/>
    <w:rsid w:val="0073129A"/>
    <w:rsid w:val="00731324"/>
    <w:rsid w:val="00731462"/>
    <w:rsid w:val="007314AD"/>
    <w:rsid w:val="007316FC"/>
    <w:rsid w:val="00731888"/>
    <w:rsid w:val="00731CCA"/>
    <w:rsid w:val="0073204C"/>
    <w:rsid w:val="0073242C"/>
    <w:rsid w:val="0073253C"/>
    <w:rsid w:val="007327D8"/>
    <w:rsid w:val="00732D22"/>
    <w:rsid w:val="00732F49"/>
    <w:rsid w:val="00732F57"/>
    <w:rsid w:val="0073322A"/>
    <w:rsid w:val="00733318"/>
    <w:rsid w:val="00733379"/>
    <w:rsid w:val="007333F1"/>
    <w:rsid w:val="007334ED"/>
    <w:rsid w:val="00733760"/>
    <w:rsid w:val="007337CA"/>
    <w:rsid w:val="00733A55"/>
    <w:rsid w:val="00733C10"/>
    <w:rsid w:val="007340C5"/>
    <w:rsid w:val="007340F6"/>
    <w:rsid w:val="007341C0"/>
    <w:rsid w:val="007345BF"/>
    <w:rsid w:val="007348D2"/>
    <w:rsid w:val="00734DEB"/>
    <w:rsid w:val="0073540B"/>
    <w:rsid w:val="0073549F"/>
    <w:rsid w:val="0073558C"/>
    <w:rsid w:val="007357B1"/>
    <w:rsid w:val="00735B76"/>
    <w:rsid w:val="007360A1"/>
    <w:rsid w:val="00736334"/>
    <w:rsid w:val="007363B7"/>
    <w:rsid w:val="007365E8"/>
    <w:rsid w:val="00737028"/>
    <w:rsid w:val="007370E9"/>
    <w:rsid w:val="00737109"/>
    <w:rsid w:val="00737471"/>
    <w:rsid w:val="007374A8"/>
    <w:rsid w:val="00737646"/>
    <w:rsid w:val="0073768D"/>
    <w:rsid w:val="00737C48"/>
    <w:rsid w:val="00737CEC"/>
    <w:rsid w:val="00737F5C"/>
    <w:rsid w:val="0074042F"/>
    <w:rsid w:val="007405C8"/>
    <w:rsid w:val="007405E2"/>
    <w:rsid w:val="00740984"/>
    <w:rsid w:val="00740CBE"/>
    <w:rsid w:val="00741049"/>
    <w:rsid w:val="00741142"/>
    <w:rsid w:val="0074131B"/>
    <w:rsid w:val="007416D4"/>
    <w:rsid w:val="0074188D"/>
    <w:rsid w:val="007419FB"/>
    <w:rsid w:val="007421D6"/>
    <w:rsid w:val="00742349"/>
    <w:rsid w:val="0074245E"/>
    <w:rsid w:val="007428E0"/>
    <w:rsid w:val="0074294A"/>
    <w:rsid w:val="00742B28"/>
    <w:rsid w:val="00742FB1"/>
    <w:rsid w:val="00743191"/>
    <w:rsid w:val="007431C4"/>
    <w:rsid w:val="0074350C"/>
    <w:rsid w:val="007438A3"/>
    <w:rsid w:val="00743A14"/>
    <w:rsid w:val="00743DC0"/>
    <w:rsid w:val="007442AA"/>
    <w:rsid w:val="007445DB"/>
    <w:rsid w:val="00744745"/>
    <w:rsid w:val="00744926"/>
    <w:rsid w:val="00744A3D"/>
    <w:rsid w:val="00744B9F"/>
    <w:rsid w:val="00744CF4"/>
    <w:rsid w:val="00744F25"/>
    <w:rsid w:val="00744FC4"/>
    <w:rsid w:val="007450BA"/>
    <w:rsid w:val="00745260"/>
    <w:rsid w:val="007452EE"/>
    <w:rsid w:val="00745514"/>
    <w:rsid w:val="007457A7"/>
    <w:rsid w:val="00745C5B"/>
    <w:rsid w:val="00745CD1"/>
    <w:rsid w:val="0074659C"/>
    <w:rsid w:val="007466A2"/>
    <w:rsid w:val="007466F7"/>
    <w:rsid w:val="00746A29"/>
    <w:rsid w:val="00746D49"/>
    <w:rsid w:val="00746FF4"/>
    <w:rsid w:val="007473E9"/>
    <w:rsid w:val="00747551"/>
    <w:rsid w:val="00747810"/>
    <w:rsid w:val="007479B4"/>
    <w:rsid w:val="00747D95"/>
    <w:rsid w:val="0075002F"/>
    <w:rsid w:val="007503E3"/>
    <w:rsid w:val="007504D2"/>
    <w:rsid w:val="0075062C"/>
    <w:rsid w:val="0075066D"/>
    <w:rsid w:val="0075092B"/>
    <w:rsid w:val="00750972"/>
    <w:rsid w:val="00750CF2"/>
    <w:rsid w:val="00750D49"/>
    <w:rsid w:val="00750DEA"/>
    <w:rsid w:val="00750ED6"/>
    <w:rsid w:val="00750F5C"/>
    <w:rsid w:val="00750F85"/>
    <w:rsid w:val="00751417"/>
    <w:rsid w:val="00751488"/>
    <w:rsid w:val="00751512"/>
    <w:rsid w:val="0075159F"/>
    <w:rsid w:val="007515B8"/>
    <w:rsid w:val="00751A43"/>
    <w:rsid w:val="00751C3E"/>
    <w:rsid w:val="00751CF0"/>
    <w:rsid w:val="00751D1D"/>
    <w:rsid w:val="00751DBC"/>
    <w:rsid w:val="007520E8"/>
    <w:rsid w:val="007522A4"/>
    <w:rsid w:val="007524FF"/>
    <w:rsid w:val="0075271F"/>
    <w:rsid w:val="00752767"/>
    <w:rsid w:val="0075276D"/>
    <w:rsid w:val="0075282B"/>
    <w:rsid w:val="007528DE"/>
    <w:rsid w:val="00752E33"/>
    <w:rsid w:val="00752E34"/>
    <w:rsid w:val="007535F9"/>
    <w:rsid w:val="00753833"/>
    <w:rsid w:val="0075393E"/>
    <w:rsid w:val="00753A01"/>
    <w:rsid w:val="00753A6E"/>
    <w:rsid w:val="00753D46"/>
    <w:rsid w:val="00753E07"/>
    <w:rsid w:val="0075404D"/>
    <w:rsid w:val="00754482"/>
    <w:rsid w:val="0075481D"/>
    <w:rsid w:val="00754A4A"/>
    <w:rsid w:val="00754B3E"/>
    <w:rsid w:val="00754C54"/>
    <w:rsid w:val="00754F53"/>
    <w:rsid w:val="00755073"/>
    <w:rsid w:val="00755166"/>
    <w:rsid w:val="0075528E"/>
    <w:rsid w:val="00755338"/>
    <w:rsid w:val="007554DA"/>
    <w:rsid w:val="007556BC"/>
    <w:rsid w:val="007556FF"/>
    <w:rsid w:val="0075587C"/>
    <w:rsid w:val="007558F0"/>
    <w:rsid w:val="00755B4B"/>
    <w:rsid w:val="00755DF6"/>
    <w:rsid w:val="00755E17"/>
    <w:rsid w:val="00755E88"/>
    <w:rsid w:val="00755EAD"/>
    <w:rsid w:val="007561FF"/>
    <w:rsid w:val="00756500"/>
    <w:rsid w:val="00756AB6"/>
    <w:rsid w:val="0075700B"/>
    <w:rsid w:val="00757380"/>
    <w:rsid w:val="00757841"/>
    <w:rsid w:val="00757B4A"/>
    <w:rsid w:val="00757E81"/>
    <w:rsid w:val="007600A3"/>
    <w:rsid w:val="007604E1"/>
    <w:rsid w:val="00760733"/>
    <w:rsid w:val="00760A5C"/>
    <w:rsid w:val="00760CD5"/>
    <w:rsid w:val="00760F44"/>
    <w:rsid w:val="00761049"/>
    <w:rsid w:val="0076135F"/>
    <w:rsid w:val="007613CB"/>
    <w:rsid w:val="007619F4"/>
    <w:rsid w:val="00761A8E"/>
    <w:rsid w:val="00761B36"/>
    <w:rsid w:val="00761BA7"/>
    <w:rsid w:val="0076201E"/>
    <w:rsid w:val="007621DF"/>
    <w:rsid w:val="00762406"/>
    <w:rsid w:val="007628BD"/>
    <w:rsid w:val="007629A7"/>
    <w:rsid w:val="00762A4D"/>
    <w:rsid w:val="00762AA6"/>
    <w:rsid w:val="00762B25"/>
    <w:rsid w:val="00762D74"/>
    <w:rsid w:val="00762FB2"/>
    <w:rsid w:val="00763739"/>
    <w:rsid w:val="00763811"/>
    <w:rsid w:val="00763CF1"/>
    <w:rsid w:val="007641FB"/>
    <w:rsid w:val="0076421E"/>
    <w:rsid w:val="007644BB"/>
    <w:rsid w:val="00764729"/>
    <w:rsid w:val="00764782"/>
    <w:rsid w:val="007648F1"/>
    <w:rsid w:val="00764A49"/>
    <w:rsid w:val="00764A74"/>
    <w:rsid w:val="00764BBB"/>
    <w:rsid w:val="0076504D"/>
    <w:rsid w:val="00765053"/>
    <w:rsid w:val="007651D0"/>
    <w:rsid w:val="00765661"/>
    <w:rsid w:val="007657DA"/>
    <w:rsid w:val="007664D9"/>
    <w:rsid w:val="0076656F"/>
    <w:rsid w:val="00766629"/>
    <w:rsid w:val="007669C4"/>
    <w:rsid w:val="00766A81"/>
    <w:rsid w:val="00766B01"/>
    <w:rsid w:val="00766E4D"/>
    <w:rsid w:val="00766EE0"/>
    <w:rsid w:val="00767335"/>
    <w:rsid w:val="0076736A"/>
    <w:rsid w:val="00767700"/>
    <w:rsid w:val="00767E1F"/>
    <w:rsid w:val="00770679"/>
    <w:rsid w:val="007706BE"/>
    <w:rsid w:val="0077074D"/>
    <w:rsid w:val="00770D96"/>
    <w:rsid w:val="00770E30"/>
    <w:rsid w:val="00771393"/>
    <w:rsid w:val="00771628"/>
    <w:rsid w:val="00771715"/>
    <w:rsid w:val="0077173D"/>
    <w:rsid w:val="00771837"/>
    <w:rsid w:val="00771BD7"/>
    <w:rsid w:val="00771CE8"/>
    <w:rsid w:val="00772043"/>
    <w:rsid w:val="007720DC"/>
    <w:rsid w:val="0077253C"/>
    <w:rsid w:val="007725CB"/>
    <w:rsid w:val="00772777"/>
    <w:rsid w:val="00772D6C"/>
    <w:rsid w:val="0077304F"/>
    <w:rsid w:val="00773403"/>
    <w:rsid w:val="007735E6"/>
    <w:rsid w:val="00773D00"/>
    <w:rsid w:val="00773E42"/>
    <w:rsid w:val="00774270"/>
    <w:rsid w:val="00774393"/>
    <w:rsid w:val="007749AE"/>
    <w:rsid w:val="007749C5"/>
    <w:rsid w:val="00774C97"/>
    <w:rsid w:val="00774EB9"/>
    <w:rsid w:val="00775EF0"/>
    <w:rsid w:val="00775F37"/>
    <w:rsid w:val="0077622D"/>
    <w:rsid w:val="0077653E"/>
    <w:rsid w:val="00776822"/>
    <w:rsid w:val="00776B9A"/>
    <w:rsid w:val="00776B9B"/>
    <w:rsid w:val="00776BEF"/>
    <w:rsid w:val="00776C0E"/>
    <w:rsid w:val="00776F31"/>
    <w:rsid w:val="00776F48"/>
    <w:rsid w:val="007771DE"/>
    <w:rsid w:val="0077720F"/>
    <w:rsid w:val="007772B1"/>
    <w:rsid w:val="00777670"/>
    <w:rsid w:val="007776B3"/>
    <w:rsid w:val="00777D4E"/>
    <w:rsid w:val="00777DF1"/>
    <w:rsid w:val="00777EF7"/>
    <w:rsid w:val="0078047E"/>
    <w:rsid w:val="007805D2"/>
    <w:rsid w:val="007805DA"/>
    <w:rsid w:val="00780622"/>
    <w:rsid w:val="007806C2"/>
    <w:rsid w:val="007806DB"/>
    <w:rsid w:val="00780BDE"/>
    <w:rsid w:val="00780D38"/>
    <w:rsid w:val="00780F31"/>
    <w:rsid w:val="00780FAD"/>
    <w:rsid w:val="0078104D"/>
    <w:rsid w:val="0078179F"/>
    <w:rsid w:val="0078181D"/>
    <w:rsid w:val="00781C4A"/>
    <w:rsid w:val="00781F30"/>
    <w:rsid w:val="00782436"/>
    <w:rsid w:val="00782B83"/>
    <w:rsid w:val="00782C08"/>
    <w:rsid w:val="00782E20"/>
    <w:rsid w:val="007830DB"/>
    <w:rsid w:val="0078345D"/>
    <w:rsid w:val="00783761"/>
    <w:rsid w:val="00783900"/>
    <w:rsid w:val="00783B86"/>
    <w:rsid w:val="00783BFF"/>
    <w:rsid w:val="00783C43"/>
    <w:rsid w:val="00783E86"/>
    <w:rsid w:val="00783F37"/>
    <w:rsid w:val="00784185"/>
    <w:rsid w:val="00784360"/>
    <w:rsid w:val="007844C2"/>
    <w:rsid w:val="007845B6"/>
    <w:rsid w:val="00784851"/>
    <w:rsid w:val="00784946"/>
    <w:rsid w:val="00784A1D"/>
    <w:rsid w:val="00784A28"/>
    <w:rsid w:val="00784AE5"/>
    <w:rsid w:val="00784FA5"/>
    <w:rsid w:val="00785018"/>
    <w:rsid w:val="00785152"/>
    <w:rsid w:val="0078564B"/>
    <w:rsid w:val="00785761"/>
    <w:rsid w:val="00785B55"/>
    <w:rsid w:val="00785CC0"/>
    <w:rsid w:val="00785FCA"/>
    <w:rsid w:val="00786124"/>
    <w:rsid w:val="007867DC"/>
    <w:rsid w:val="00786966"/>
    <w:rsid w:val="0078704F"/>
    <w:rsid w:val="007871DA"/>
    <w:rsid w:val="007872B2"/>
    <w:rsid w:val="007872F0"/>
    <w:rsid w:val="00787341"/>
    <w:rsid w:val="007874C1"/>
    <w:rsid w:val="0078783B"/>
    <w:rsid w:val="00787999"/>
    <w:rsid w:val="00787BE3"/>
    <w:rsid w:val="00787D10"/>
    <w:rsid w:val="00787F32"/>
    <w:rsid w:val="0079052D"/>
    <w:rsid w:val="007905F5"/>
    <w:rsid w:val="00790816"/>
    <w:rsid w:val="0079082E"/>
    <w:rsid w:val="00790BB1"/>
    <w:rsid w:val="00790C4A"/>
    <w:rsid w:val="00790D24"/>
    <w:rsid w:val="00790EA5"/>
    <w:rsid w:val="00791501"/>
    <w:rsid w:val="007917CC"/>
    <w:rsid w:val="00791AC0"/>
    <w:rsid w:val="00791ADB"/>
    <w:rsid w:val="007921EB"/>
    <w:rsid w:val="007927D2"/>
    <w:rsid w:val="0079280F"/>
    <w:rsid w:val="00792B61"/>
    <w:rsid w:val="00792B91"/>
    <w:rsid w:val="00792C19"/>
    <w:rsid w:val="007931A3"/>
    <w:rsid w:val="00793726"/>
    <w:rsid w:val="00793879"/>
    <w:rsid w:val="00793BCB"/>
    <w:rsid w:val="00793D92"/>
    <w:rsid w:val="00793E46"/>
    <w:rsid w:val="007945F2"/>
    <w:rsid w:val="0079462A"/>
    <w:rsid w:val="00794A1E"/>
    <w:rsid w:val="00794C43"/>
    <w:rsid w:val="00794CE3"/>
    <w:rsid w:val="00794E4F"/>
    <w:rsid w:val="00795009"/>
    <w:rsid w:val="00795139"/>
    <w:rsid w:val="007955A0"/>
    <w:rsid w:val="00795805"/>
    <w:rsid w:val="00795CA2"/>
    <w:rsid w:val="00795DBB"/>
    <w:rsid w:val="00795EC1"/>
    <w:rsid w:val="00796122"/>
    <w:rsid w:val="0079628A"/>
    <w:rsid w:val="007966DF"/>
    <w:rsid w:val="00797400"/>
    <w:rsid w:val="007977AF"/>
    <w:rsid w:val="00797807"/>
    <w:rsid w:val="007979A1"/>
    <w:rsid w:val="00797A58"/>
    <w:rsid w:val="00797C27"/>
    <w:rsid w:val="00797F2B"/>
    <w:rsid w:val="007A02FB"/>
    <w:rsid w:val="007A05FF"/>
    <w:rsid w:val="007A08C1"/>
    <w:rsid w:val="007A0AA2"/>
    <w:rsid w:val="007A0BE7"/>
    <w:rsid w:val="007A0DEA"/>
    <w:rsid w:val="007A0F9F"/>
    <w:rsid w:val="007A10F4"/>
    <w:rsid w:val="007A1304"/>
    <w:rsid w:val="007A16F2"/>
    <w:rsid w:val="007A1B53"/>
    <w:rsid w:val="007A1C61"/>
    <w:rsid w:val="007A1E6A"/>
    <w:rsid w:val="007A1FA6"/>
    <w:rsid w:val="007A332A"/>
    <w:rsid w:val="007A356B"/>
    <w:rsid w:val="007A3735"/>
    <w:rsid w:val="007A38F3"/>
    <w:rsid w:val="007A3BA4"/>
    <w:rsid w:val="007A3C92"/>
    <w:rsid w:val="007A3E93"/>
    <w:rsid w:val="007A443E"/>
    <w:rsid w:val="007A4458"/>
    <w:rsid w:val="007A46A1"/>
    <w:rsid w:val="007A4E0E"/>
    <w:rsid w:val="007A4ECF"/>
    <w:rsid w:val="007A4FE1"/>
    <w:rsid w:val="007A517B"/>
    <w:rsid w:val="007A58F4"/>
    <w:rsid w:val="007A5A5B"/>
    <w:rsid w:val="007A5AF7"/>
    <w:rsid w:val="007A5D5C"/>
    <w:rsid w:val="007A5E0D"/>
    <w:rsid w:val="007A61F6"/>
    <w:rsid w:val="007A6695"/>
    <w:rsid w:val="007A67B8"/>
    <w:rsid w:val="007A67CB"/>
    <w:rsid w:val="007A680A"/>
    <w:rsid w:val="007A6DB0"/>
    <w:rsid w:val="007A6F47"/>
    <w:rsid w:val="007A70BC"/>
    <w:rsid w:val="007A72D3"/>
    <w:rsid w:val="007A7375"/>
    <w:rsid w:val="007A7402"/>
    <w:rsid w:val="007A772A"/>
    <w:rsid w:val="007A7A50"/>
    <w:rsid w:val="007A7B1A"/>
    <w:rsid w:val="007A7B68"/>
    <w:rsid w:val="007A7C38"/>
    <w:rsid w:val="007A7DA9"/>
    <w:rsid w:val="007A7ED8"/>
    <w:rsid w:val="007B0060"/>
    <w:rsid w:val="007B0B82"/>
    <w:rsid w:val="007B0EBB"/>
    <w:rsid w:val="007B1009"/>
    <w:rsid w:val="007B1081"/>
    <w:rsid w:val="007B12A6"/>
    <w:rsid w:val="007B18F4"/>
    <w:rsid w:val="007B1B32"/>
    <w:rsid w:val="007B20C4"/>
    <w:rsid w:val="007B2222"/>
    <w:rsid w:val="007B26DF"/>
    <w:rsid w:val="007B2711"/>
    <w:rsid w:val="007B285D"/>
    <w:rsid w:val="007B2985"/>
    <w:rsid w:val="007B2ADB"/>
    <w:rsid w:val="007B2B93"/>
    <w:rsid w:val="007B2C06"/>
    <w:rsid w:val="007B2F2E"/>
    <w:rsid w:val="007B3039"/>
    <w:rsid w:val="007B3055"/>
    <w:rsid w:val="007B31B6"/>
    <w:rsid w:val="007B3B7E"/>
    <w:rsid w:val="007B3BB1"/>
    <w:rsid w:val="007B3EC6"/>
    <w:rsid w:val="007B3F34"/>
    <w:rsid w:val="007B40B7"/>
    <w:rsid w:val="007B44F9"/>
    <w:rsid w:val="007B46A4"/>
    <w:rsid w:val="007B46C8"/>
    <w:rsid w:val="007B4833"/>
    <w:rsid w:val="007B4C11"/>
    <w:rsid w:val="007B4F91"/>
    <w:rsid w:val="007B50DE"/>
    <w:rsid w:val="007B52AB"/>
    <w:rsid w:val="007B55FC"/>
    <w:rsid w:val="007B5789"/>
    <w:rsid w:val="007B5FA0"/>
    <w:rsid w:val="007B5FCF"/>
    <w:rsid w:val="007B609D"/>
    <w:rsid w:val="007B620F"/>
    <w:rsid w:val="007B6228"/>
    <w:rsid w:val="007B68FD"/>
    <w:rsid w:val="007B698F"/>
    <w:rsid w:val="007B69A8"/>
    <w:rsid w:val="007B6B21"/>
    <w:rsid w:val="007B6D00"/>
    <w:rsid w:val="007B7284"/>
    <w:rsid w:val="007B72B2"/>
    <w:rsid w:val="007B7423"/>
    <w:rsid w:val="007B7CEE"/>
    <w:rsid w:val="007B7E2B"/>
    <w:rsid w:val="007B7E89"/>
    <w:rsid w:val="007B7E8B"/>
    <w:rsid w:val="007B7EFA"/>
    <w:rsid w:val="007C0000"/>
    <w:rsid w:val="007C0658"/>
    <w:rsid w:val="007C0927"/>
    <w:rsid w:val="007C099D"/>
    <w:rsid w:val="007C120F"/>
    <w:rsid w:val="007C12A4"/>
    <w:rsid w:val="007C147F"/>
    <w:rsid w:val="007C156B"/>
    <w:rsid w:val="007C1600"/>
    <w:rsid w:val="007C16A0"/>
    <w:rsid w:val="007C177F"/>
    <w:rsid w:val="007C192A"/>
    <w:rsid w:val="007C1933"/>
    <w:rsid w:val="007C1A96"/>
    <w:rsid w:val="007C1ACB"/>
    <w:rsid w:val="007C1B52"/>
    <w:rsid w:val="007C1F33"/>
    <w:rsid w:val="007C200D"/>
    <w:rsid w:val="007C2225"/>
    <w:rsid w:val="007C244A"/>
    <w:rsid w:val="007C2672"/>
    <w:rsid w:val="007C2746"/>
    <w:rsid w:val="007C27D8"/>
    <w:rsid w:val="007C2E28"/>
    <w:rsid w:val="007C3261"/>
    <w:rsid w:val="007C3293"/>
    <w:rsid w:val="007C3307"/>
    <w:rsid w:val="007C354B"/>
    <w:rsid w:val="007C3885"/>
    <w:rsid w:val="007C3E63"/>
    <w:rsid w:val="007C4124"/>
    <w:rsid w:val="007C4AFD"/>
    <w:rsid w:val="007C4BB4"/>
    <w:rsid w:val="007C4C78"/>
    <w:rsid w:val="007C4D3A"/>
    <w:rsid w:val="007C4FB5"/>
    <w:rsid w:val="007C500F"/>
    <w:rsid w:val="007C53AE"/>
    <w:rsid w:val="007C5426"/>
    <w:rsid w:val="007C548E"/>
    <w:rsid w:val="007C5C9B"/>
    <w:rsid w:val="007C5CCF"/>
    <w:rsid w:val="007C62C1"/>
    <w:rsid w:val="007C64F4"/>
    <w:rsid w:val="007C6596"/>
    <w:rsid w:val="007C66B8"/>
    <w:rsid w:val="007C6EDE"/>
    <w:rsid w:val="007C6F47"/>
    <w:rsid w:val="007C74B8"/>
    <w:rsid w:val="007C7526"/>
    <w:rsid w:val="007C7A83"/>
    <w:rsid w:val="007C7BB4"/>
    <w:rsid w:val="007C7D5F"/>
    <w:rsid w:val="007C7E2E"/>
    <w:rsid w:val="007C7E38"/>
    <w:rsid w:val="007C7E9B"/>
    <w:rsid w:val="007D071C"/>
    <w:rsid w:val="007D0D16"/>
    <w:rsid w:val="007D1431"/>
    <w:rsid w:val="007D14CC"/>
    <w:rsid w:val="007D15CA"/>
    <w:rsid w:val="007D1720"/>
    <w:rsid w:val="007D18A5"/>
    <w:rsid w:val="007D1AE1"/>
    <w:rsid w:val="007D1BA6"/>
    <w:rsid w:val="007D1C11"/>
    <w:rsid w:val="007D1D34"/>
    <w:rsid w:val="007D1F31"/>
    <w:rsid w:val="007D2932"/>
    <w:rsid w:val="007D2DF8"/>
    <w:rsid w:val="007D2E71"/>
    <w:rsid w:val="007D3014"/>
    <w:rsid w:val="007D304F"/>
    <w:rsid w:val="007D3100"/>
    <w:rsid w:val="007D337C"/>
    <w:rsid w:val="007D3483"/>
    <w:rsid w:val="007D35CF"/>
    <w:rsid w:val="007D3901"/>
    <w:rsid w:val="007D3A78"/>
    <w:rsid w:val="007D3F68"/>
    <w:rsid w:val="007D4259"/>
    <w:rsid w:val="007D435F"/>
    <w:rsid w:val="007D44BF"/>
    <w:rsid w:val="007D49A8"/>
    <w:rsid w:val="007D4A44"/>
    <w:rsid w:val="007D4C77"/>
    <w:rsid w:val="007D4FA4"/>
    <w:rsid w:val="007D504F"/>
    <w:rsid w:val="007D5130"/>
    <w:rsid w:val="007D525A"/>
    <w:rsid w:val="007D569D"/>
    <w:rsid w:val="007D58E6"/>
    <w:rsid w:val="007D6009"/>
    <w:rsid w:val="007D64D9"/>
    <w:rsid w:val="007D64E0"/>
    <w:rsid w:val="007D6605"/>
    <w:rsid w:val="007D6723"/>
    <w:rsid w:val="007D6AC6"/>
    <w:rsid w:val="007D6BDB"/>
    <w:rsid w:val="007D6EBB"/>
    <w:rsid w:val="007D7018"/>
    <w:rsid w:val="007D7030"/>
    <w:rsid w:val="007D70C8"/>
    <w:rsid w:val="007D75AE"/>
    <w:rsid w:val="007D79FC"/>
    <w:rsid w:val="007D7B40"/>
    <w:rsid w:val="007D7C72"/>
    <w:rsid w:val="007E07F2"/>
    <w:rsid w:val="007E1ACF"/>
    <w:rsid w:val="007E1B0C"/>
    <w:rsid w:val="007E1DC9"/>
    <w:rsid w:val="007E1EFC"/>
    <w:rsid w:val="007E20C3"/>
    <w:rsid w:val="007E23C8"/>
    <w:rsid w:val="007E2725"/>
    <w:rsid w:val="007E2748"/>
    <w:rsid w:val="007E2769"/>
    <w:rsid w:val="007E27D2"/>
    <w:rsid w:val="007E2814"/>
    <w:rsid w:val="007E2CFF"/>
    <w:rsid w:val="007E2EA4"/>
    <w:rsid w:val="007E37C3"/>
    <w:rsid w:val="007E3D01"/>
    <w:rsid w:val="007E3D45"/>
    <w:rsid w:val="007E3DC6"/>
    <w:rsid w:val="007E40B4"/>
    <w:rsid w:val="007E4160"/>
    <w:rsid w:val="007E45ED"/>
    <w:rsid w:val="007E47C2"/>
    <w:rsid w:val="007E47EF"/>
    <w:rsid w:val="007E498A"/>
    <w:rsid w:val="007E4BAB"/>
    <w:rsid w:val="007E4EEE"/>
    <w:rsid w:val="007E4F20"/>
    <w:rsid w:val="007E5219"/>
    <w:rsid w:val="007E549A"/>
    <w:rsid w:val="007E550E"/>
    <w:rsid w:val="007E5668"/>
    <w:rsid w:val="007E59BC"/>
    <w:rsid w:val="007E5CE0"/>
    <w:rsid w:val="007E5D07"/>
    <w:rsid w:val="007E5E11"/>
    <w:rsid w:val="007E6010"/>
    <w:rsid w:val="007E6158"/>
    <w:rsid w:val="007E637D"/>
    <w:rsid w:val="007E653A"/>
    <w:rsid w:val="007E654C"/>
    <w:rsid w:val="007E6A6A"/>
    <w:rsid w:val="007E6CA9"/>
    <w:rsid w:val="007E6E19"/>
    <w:rsid w:val="007E70C1"/>
    <w:rsid w:val="007E729F"/>
    <w:rsid w:val="007E747E"/>
    <w:rsid w:val="007E7631"/>
    <w:rsid w:val="007E7C7F"/>
    <w:rsid w:val="007F008D"/>
    <w:rsid w:val="007F055D"/>
    <w:rsid w:val="007F0A7D"/>
    <w:rsid w:val="007F0B15"/>
    <w:rsid w:val="007F0C94"/>
    <w:rsid w:val="007F0F83"/>
    <w:rsid w:val="007F1275"/>
    <w:rsid w:val="007F128F"/>
    <w:rsid w:val="007F177B"/>
    <w:rsid w:val="007F1976"/>
    <w:rsid w:val="007F1A1D"/>
    <w:rsid w:val="007F1A71"/>
    <w:rsid w:val="007F1B18"/>
    <w:rsid w:val="007F1B1D"/>
    <w:rsid w:val="007F1B92"/>
    <w:rsid w:val="007F1CE7"/>
    <w:rsid w:val="007F1E09"/>
    <w:rsid w:val="007F22F9"/>
    <w:rsid w:val="007F257C"/>
    <w:rsid w:val="007F2AD9"/>
    <w:rsid w:val="007F2CAF"/>
    <w:rsid w:val="007F344B"/>
    <w:rsid w:val="007F3703"/>
    <w:rsid w:val="007F3ABD"/>
    <w:rsid w:val="007F3F17"/>
    <w:rsid w:val="007F4207"/>
    <w:rsid w:val="007F48CC"/>
    <w:rsid w:val="007F49A9"/>
    <w:rsid w:val="007F4A28"/>
    <w:rsid w:val="007F4DB2"/>
    <w:rsid w:val="007F5343"/>
    <w:rsid w:val="007F5423"/>
    <w:rsid w:val="007F56F7"/>
    <w:rsid w:val="007F57B8"/>
    <w:rsid w:val="007F5A0D"/>
    <w:rsid w:val="007F5AFA"/>
    <w:rsid w:val="007F5B69"/>
    <w:rsid w:val="007F5BCC"/>
    <w:rsid w:val="007F5CB2"/>
    <w:rsid w:val="007F5CBD"/>
    <w:rsid w:val="007F6041"/>
    <w:rsid w:val="007F6053"/>
    <w:rsid w:val="007F6064"/>
    <w:rsid w:val="007F6358"/>
    <w:rsid w:val="007F6449"/>
    <w:rsid w:val="007F65CD"/>
    <w:rsid w:val="007F6652"/>
    <w:rsid w:val="007F6D75"/>
    <w:rsid w:val="007F7149"/>
    <w:rsid w:val="007F796F"/>
    <w:rsid w:val="007F7BF3"/>
    <w:rsid w:val="007F7D03"/>
    <w:rsid w:val="007F7DB4"/>
    <w:rsid w:val="007F7FF7"/>
    <w:rsid w:val="008004FF"/>
    <w:rsid w:val="008008C6"/>
    <w:rsid w:val="00800A04"/>
    <w:rsid w:val="00800A38"/>
    <w:rsid w:val="00800A39"/>
    <w:rsid w:val="00800C6E"/>
    <w:rsid w:val="00800E12"/>
    <w:rsid w:val="00800F5E"/>
    <w:rsid w:val="008013A4"/>
    <w:rsid w:val="008013CB"/>
    <w:rsid w:val="0080156C"/>
    <w:rsid w:val="008017C1"/>
    <w:rsid w:val="008018EA"/>
    <w:rsid w:val="00801B15"/>
    <w:rsid w:val="00801B80"/>
    <w:rsid w:val="00801CA5"/>
    <w:rsid w:val="00801F22"/>
    <w:rsid w:val="00801F6F"/>
    <w:rsid w:val="00802027"/>
    <w:rsid w:val="008020E7"/>
    <w:rsid w:val="008023D1"/>
    <w:rsid w:val="008023EE"/>
    <w:rsid w:val="0080289F"/>
    <w:rsid w:val="008029E5"/>
    <w:rsid w:val="0080327B"/>
    <w:rsid w:val="008032F1"/>
    <w:rsid w:val="0080331E"/>
    <w:rsid w:val="0080365C"/>
    <w:rsid w:val="0080372F"/>
    <w:rsid w:val="008037A2"/>
    <w:rsid w:val="00803B91"/>
    <w:rsid w:val="00803F4B"/>
    <w:rsid w:val="00804310"/>
    <w:rsid w:val="0080483A"/>
    <w:rsid w:val="00804860"/>
    <w:rsid w:val="0080498F"/>
    <w:rsid w:val="00804B97"/>
    <w:rsid w:val="008050A3"/>
    <w:rsid w:val="00805477"/>
    <w:rsid w:val="00805690"/>
    <w:rsid w:val="00805B50"/>
    <w:rsid w:val="00805BAE"/>
    <w:rsid w:val="00805CB1"/>
    <w:rsid w:val="0080608B"/>
    <w:rsid w:val="008060AD"/>
    <w:rsid w:val="00806327"/>
    <w:rsid w:val="00806B70"/>
    <w:rsid w:val="00806B72"/>
    <w:rsid w:val="00806CF3"/>
    <w:rsid w:val="00806D5B"/>
    <w:rsid w:val="00806DD4"/>
    <w:rsid w:val="00806EAF"/>
    <w:rsid w:val="00806F7A"/>
    <w:rsid w:val="008073C8"/>
    <w:rsid w:val="00807461"/>
    <w:rsid w:val="008074C6"/>
    <w:rsid w:val="00807794"/>
    <w:rsid w:val="0080779A"/>
    <w:rsid w:val="00807987"/>
    <w:rsid w:val="00807C34"/>
    <w:rsid w:val="0081031C"/>
    <w:rsid w:val="008109D5"/>
    <w:rsid w:val="00810FE6"/>
    <w:rsid w:val="00811C7F"/>
    <w:rsid w:val="00811EEA"/>
    <w:rsid w:val="00812337"/>
    <w:rsid w:val="00812493"/>
    <w:rsid w:val="00812B17"/>
    <w:rsid w:val="00812C41"/>
    <w:rsid w:val="00813312"/>
    <w:rsid w:val="0081337D"/>
    <w:rsid w:val="00813A8F"/>
    <w:rsid w:val="00813D28"/>
    <w:rsid w:val="00813EBC"/>
    <w:rsid w:val="00813FC4"/>
    <w:rsid w:val="00813FD6"/>
    <w:rsid w:val="0081403D"/>
    <w:rsid w:val="00814167"/>
    <w:rsid w:val="00814797"/>
    <w:rsid w:val="00814939"/>
    <w:rsid w:val="00814945"/>
    <w:rsid w:val="00814CD1"/>
    <w:rsid w:val="00814D1A"/>
    <w:rsid w:val="0081522E"/>
    <w:rsid w:val="00815435"/>
    <w:rsid w:val="008158BB"/>
    <w:rsid w:val="00815F3E"/>
    <w:rsid w:val="00816451"/>
    <w:rsid w:val="00816B10"/>
    <w:rsid w:val="0081704E"/>
    <w:rsid w:val="0081795D"/>
    <w:rsid w:val="00817C26"/>
    <w:rsid w:val="00817DCD"/>
    <w:rsid w:val="00817EB1"/>
    <w:rsid w:val="008200AC"/>
    <w:rsid w:val="0082013A"/>
    <w:rsid w:val="0082017F"/>
    <w:rsid w:val="00820367"/>
    <w:rsid w:val="00820469"/>
    <w:rsid w:val="008206AF"/>
    <w:rsid w:val="00820A89"/>
    <w:rsid w:val="00820ADB"/>
    <w:rsid w:val="00820DAF"/>
    <w:rsid w:val="00820F8C"/>
    <w:rsid w:val="00821019"/>
    <w:rsid w:val="00821E78"/>
    <w:rsid w:val="008223A4"/>
    <w:rsid w:val="00822692"/>
    <w:rsid w:val="00822758"/>
    <w:rsid w:val="008227A2"/>
    <w:rsid w:val="00822BA3"/>
    <w:rsid w:val="00822D61"/>
    <w:rsid w:val="00822E6E"/>
    <w:rsid w:val="00823283"/>
    <w:rsid w:val="00823773"/>
    <w:rsid w:val="008238CA"/>
    <w:rsid w:val="00823E76"/>
    <w:rsid w:val="0082450F"/>
    <w:rsid w:val="0082470E"/>
    <w:rsid w:val="00824A1A"/>
    <w:rsid w:val="00824F89"/>
    <w:rsid w:val="0082535B"/>
    <w:rsid w:val="0082542A"/>
    <w:rsid w:val="00825D7E"/>
    <w:rsid w:val="00825DBD"/>
    <w:rsid w:val="00826055"/>
    <w:rsid w:val="00826143"/>
    <w:rsid w:val="008262A8"/>
    <w:rsid w:val="00826392"/>
    <w:rsid w:val="0082643D"/>
    <w:rsid w:val="008264B5"/>
    <w:rsid w:val="00826529"/>
    <w:rsid w:val="0082658A"/>
    <w:rsid w:val="00826647"/>
    <w:rsid w:val="008269F7"/>
    <w:rsid w:val="00826CB0"/>
    <w:rsid w:val="008276FA"/>
    <w:rsid w:val="0082782D"/>
    <w:rsid w:val="00827978"/>
    <w:rsid w:val="00827A9D"/>
    <w:rsid w:val="0083004B"/>
    <w:rsid w:val="008301E5"/>
    <w:rsid w:val="00830542"/>
    <w:rsid w:val="00830940"/>
    <w:rsid w:val="00830B1A"/>
    <w:rsid w:val="00830BBA"/>
    <w:rsid w:val="00830E58"/>
    <w:rsid w:val="00830E90"/>
    <w:rsid w:val="00830EB5"/>
    <w:rsid w:val="00830ED1"/>
    <w:rsid w:val="00831651"/>
    <w:rsid w:val="00831950"/>
    <w:rsid w:val="00831C49"/>
    <w:rsid w:val="00831E30"/>
    <w:rsid w:val="00831E63"/>
    <w:rsid w:val="00831EDB"/>
    <w:rsid w:val="00831F0E"/>
    <w:rsid w:val="00832118"/>
    <w:rsid w:val="008322D7"/>
    <w:rsid w:val="0083234B"/>
    <w:rsid w:val="00832375"/>
    <w:rsid w:val="008327A1"/>
    <w:rsid w:val="00832D47"/>
    <w:rsid w:val="00832E3A"/>
    <w:rsid w:val="00832E9A"/>
    <w:rsid w:val="00833516"/>
    <w:rsid w:val="008335E9"/>
    <w:rsid w:val="00833868"/>
    <w:rsid w:val="008338BE"/>
    <w:rsid w:val="00833B0C"/>
    <w:rsid w:val="00833B18"/>
    <w:rsid w:val="00833B44"/>
    <w:rsid w:val="008342A6"/>
    <w:rsid w:val="008347F7"/>
    <w:rsid w:val="00834978"/>
    <w:rsid w:val="00834AB2"/>
    <w:rsid w:val="00834DB7"/>
    <w:rsid w:val="008354A0"/>
    <w:rsid w:val="008354EB"/>
    <w:rsid w:val="00835776"/>
    <w:rsid w:val="00835790"/>
    <w:rsid w:val="008357FE"/>
    <w:rsid w:val="008359A2"/>
    <w:rsid w:val="00835A66"/>
    <w:rsid w:val="00835BC1"/>
    <w:rsid w:val="00836007"/>
    <w:rsid w:val="008367A9"/>
    <w:rsid w:val="00836B61"/>
    <w:rsid w:val="00836EAD"/>
    <w:rsid w:val="008371FF"/>
    <w:rsid w:val="008378BD"/>
    <w:rsid w:val="008378ED"/>
    <w:rsid w:val="00837BE9"/>
    <w:rsid w:val="00837D83"/>
    <w:rsid w:val="00837D85"/>
    <w:rsid w:val="00837E99"/>
    <w:rsid w:val="00840161"/>
    <w:rsid w:val="00840330"/>
    <w:rsid w:val="008403A1"/>
    <w:rsid w:val="008405A0"/>
    <w:rsid w:val="00840695"/>
    <w:rsid w:val="008407BA"/>
    <w:rsid w:val="008407FF"/>
    <w:rsid w:val="008409AC"/>
    <w:rsid w:val="008409CA"/>
    <w:rsid w:val="008409D6"/>
    <w:rsid w:val="00840DDB"/>
    <w:rsid w:val="008411E6"/>
    <w:rsid w:val="00841219"/>
    <w:rsid w:val="008413E4"/>
    <w:rsid w:val="0084140C"/>
    <w:rsid w:val="00841614"/>
    <w:rsid w:val="00841626"/>
    <w:rsid w:val="008416B2"/>
    <w:rsid w:val="008417CE"/>
    <w:rsid w:val="00841837"/>
    <w:rsid w:val="00841CEB"/>
    <w:rsid w:val="00841CF1"/>
    <w:rsid w:val="00841F83"/>
    <w:rsid w:val="00842242"/>
    <w:rsid w:val="008423B3"/>
    <w:rsid w:val="00842EC2"/>
    <w:rsid w:val="0084325B"/>
    <w:rsid w:val="00843326"/>
    <w:rsid w:val="0084340D"/>
    <w:rsid w:val="00843433"/>
    <w:rsid w:val="008436EC"/>
    <w:rsid w:val="0084389D"/>
    <w:rsid w:val="008438DA"/>
    <w:rsid w:val="00843919"/>
    <w:rsid w:val="00843B1A"/>
    <w:rsid w:val="00843FF1"/>
    <w:rsid w:val="0084421B"/>
    <w:rsid w:val="00844350"/>
    <w:rsid w:val="008443B3"/>
    <w:rsid w:val="0084452A"/>
    <w:rsid w:val="0084469B"/>
    <w:rsid w:val="008447ED"/>
    <w:rsid w:val="008448D2"/>
    <w:rsid w:val="00844905"/>
    <w:rsid w:val="00844A1A"/>
    <w:rsid w:val="00844A9F"/>
    <w:rsid w:val="00844B05"/>
    <w:rsid w:val="00844E18"/>
    <w:rsid w:val="00845197"/>
    <w:rsid w:val="0084528D"/>
    <w:rsid w:val="0084534C"/>
    <w:rsid w:val="00845472"/>
    <w:rsid w:val="00845AE7"/>
    <w:rsid w:val="00845B30"/>
    <w:rsid w:val="00845B93"/>
    <w:rsid w:val="00845B9D"/>
    <w:rsid w:val="00845F4B"/>
    <w:rsid w:val="00846125"/>
    <w:rsid w:val="00846513"/>
    <w:rsid w:val="0084652C"/>
    <w:rsid w:val="0084653D"/>
    <w:rsid w:val="0084677F"/>
    <w:rsid w:val="00846C1D"/>
    <w:rsid w:val="00846CA8"/>
    <w:rsid w:val="00846F41"/>
    <w:rsid w:val="00846FD0"/>
    <w:rsid w:val="008479E9"/>
    <w:rsid w:val="00847B45"/>
    <w:rsid w:val="00847C39"/>
    <w:rsid w:val="00850030"/>
    <w:rsid w:val="008501C5"/>
    <w:rsid w:val="0085022C"/>
    <w:rsid w:val="0085030A"/>
    <w:rsid w:val="008506B4"/>
    <w:rsid w:val="0085090B"/>
    <w:rsid w:val="00850A6E"/>
    <w:rsid w:val="00850F70"/>
    <w:rsid w:val="008510C8"/>
    <w:rsid w:val="00851190"/>
    <w:rsid w:val="0085189E"/>
    <w:rsid w:val="00851A10"/>
    <w:rsid w:val="00851B29"/>
    <w:rsid w:val="00851B40"/>
    <w:rsid w:val="00851CCD"/>
    <w:rsid w:val="0085222A"/>
    <w:rsid w:val="008525BF"/>
    <w:rsid w:val="00852A63"/>
    <w:rsid w:val="00853027"/>
    <w:rsid w:val="00853121"/>
    <w:rsid w:val="008534E6"/>
    <w:rsid w:val="00853557"/>
    <w:rsid w:val="00853860"/>
    <w:rsid w:val="00853864"/>
    <w:rsid w:val="00853DD1"/>
    <w:rsid w:val="00853F7D"/>
    <w:rsid w:val="00854050"/>
    <w:rsid w:val="0085437D"/>
    <w:rsid w:val="00854497"/>
    <w:rsid w:val="0085450D"/>
    <w:rsid w:val="008546B2"/>
    <w:rsid w:val="0085473F"/>
    <w:rsid w:val="00854B0C"/>
    <w:rsid w:val="00854CA6"/>
    <w:rsid w:val="00854CD8"/>
    <w:rsid w:val="00854D73"/>
    <w:rsid w:val="00854EDB"/>
    <w:rsid w:val="008550D5"/>
    <w:rsid w:val="0085516C"/>
    <w:rsid w:val="008554C2"/>
    <w:rsid w:val="00855601"/>
    <w:rsid w:val="0085583B"/>
    <w:rsid w:val="008559BA"/>
    <w:rsid w:val="008559F5"/>
    <w:rsid w:val="00855A2A"/>
    <w:rsid w:val="00855BDF"/>
    <w:rsid w:val="00855BE6"/>
    <w:rsid w:val="00855CFD"/>
    <w:rsid w:val="00855D74"/>
    <w:rsid w:val="00855F41"/>
    <w:rsid w:val="0085655D"/>
    <w:rsid w:val="008565C5"/>
    <w:rsid w:val="008566F6"/>
    <w:rsid w:val="0085680B"/>
    <w:rsid w:val="00856ACE"/>
    <w:rsid w:val="00856B4A"/>
    <w:rsid w:val="00856B5F"/>
    <w:rsid w:val="00856C3F"/>
    <w:rsid w:val="00856DC0"/>
    <w:rsid w:val="00857131"/>
    <w:rsid w:val="0085788D"/>
    <w:rsid w:val="00857F2E"/>
    <w:rsid w:val="00860109"/>
    <w:rsid w:val="00860129"/>
    <w:rsid w:val="0086019F"/>
    <w:rsid w:val="0086026E"/>
    <w:rsid w:val="008606BF"/>
    <w:rsid w:val="0086073F"/>
    <w:rsid w:val="0086093D"/>
    <w:rsid w:val="00860BB9"/>
    <w:rsid w:val="00860BF1"/>
    <w:rsid w:val="00861170"/>
    <w:rsid w:val="008613A5"/>
    <w:rsid w:val="0086141C"/>
    <w:rsid w:val="00861A4A"/>
    <w:rsid w:val="00861E1C"/>
    <w:rsid w:val="00861FC6"/>
    <w:rsid w:val="0086228D"/>
    <w:rsid w:val="0086260A"/>
    <w:rsid w:val="00862682"/>
    <w:rsid w:val="00862713"/>
    <w:rsid w:val="008627AF"/>
    <w:rsid w:val="00862A34"/>
    <w:rsid w:val="00862BEA"/>
    <w:rsid w:val="00862F72"/>
    <w:rsid w:val="00863232"/>
    <w:rsid w:val="00863235"/>
    <w:rsid w:val="00863253"/>
    <w:rsid w:val="008632AA"/>
    <w:rsid w:val="008636E1"/>
    <w:rsid w:val="0086385E"/>
    <w:rsid w:val="00863B1B"/>
    <w:rsid w:val="00864486"/>
    <w:rsid w:val="00864732"/>
    <w:rsid w:val="00864D13"/>
    <w:rsid w:val="00864DF7"/>
    <w:rsid w:val="008650AE"/>
    <w:rsid w:val="00865344"/>
    <w:rsid w:val="0086535F"/>
    <w:rsid w:val="0086552D"/>
    <w:rsid w:val="00865740"/>
    <w:rsid w:val="008657F4"/>
    <w:rsid w:val="00865A75"/>
    <w:rsid w:val="00865EBA"/>
    <w:rsid w:val="00866092"/>
    <w:rsid w:val="00866470"/>
    <w:rsid w:val="00866471"/>
    <w:rsid w:val="008664BF"/>
    <w:rsid w:val="008667F0"/>
    <w:rsid w:val="008667FA"/>
    <w:rsid w:val="0086689E"/>
    <w:rsid w:val="008668DE"/>
    <w:rsid w:val="00866C36"/>
    <w:rsid w:val="00866C87"/>
    <w:rsid w:val="00866D0E"/>
    <w:rsid w:val="00866D19"/>
    <w:rsid w:val="008673EC"/>
    <w:rsid w:val="00867438"/>
    <w:rsid w:val="008675E8"/>
    <w:rsid w:val="00867A48"/>
    <w:rsid w:val="00867AC4"/>
    <w:rsid w:val="00867F81"/>
    <w:rsid w:val="008701A8"/>
    <w:rsid w:val="008707DD"/>
    <w:rsid w:val="00870815"/>
    <w:rsid w:val="00870A22"/>
    <w:rsid w:val="00870B1F"/>
    <w:rsid w:val="00870F85"/>
    <w:rsid w:val="00871031"/>
    <w:rsid w:val="008713BB"/>
    <w:rsid w:val="00871AFB"/>
    <w:rsid w:val="00871B2A"/>
    <w:rsid w:val="00871CBB"/>
    <w:rsid w:val="00871CF7"/>
    <w:rsid w:val="0087207F"/>
    <w:rsid w:val="008720F8"/>
    <w:rsid w:val="00872148"/>
    <w:rsid w:val="008726A8"/>
    <w:rsid w:val="00872E1F"/>
    <w:rsid w:val="00873181"/>
    <w:rsid w:val="008731F0"/>
    <w:rsid w:val="0087322A"/>
    <w:rsid w:val="00873319"/>
    <w:rsid w:val="00873508"/>
    <w:rsid w:val="00873970"/>
    <w:rsid w:val="00873B2F"/>
    <w:rsid w:val="00873D32"/>
    <w:rsid w:val="00873F2F"/>
    <w:rsid w:val="008740D5"/>
    <w:rsid w:val="008743C6"/>
    <w:rsid w:val="0087481F"/>
    <w:rsid w:val="008749AD"/>
    <w:rsid w:val="00874A21"/>
    <w:rsid w:val="00874DEF"/>
    <w:rsid w:val="00874DF0"/>
    <w:rsid w:val="008752FA"/>
    <w:rsid w:val="008754CF"/>
    <w:rsid w:val="0087566A"/>
    <w:rsid w:val="0087585A"/>
    <w:rsid w:val="00875963"/>
    <w:rsid w:val="00875B6F"/>
    <w:rsid w:val="00876079"/>
    <w:rsid w:val="00876241"/>
    <w:rsid w:val="00876243"/>
    <w:rsid w:val="00876273"/>
    <w:rsid w:val="008762E6"/>
    <w:rsid w:val="00876385"/>
    <w:rsid w:val="008763EC"/>
    <w:rsid w:val="008765B8"/>
    <w:rsid w:val="00876767"/>
    <w:rsid w:val="008769A3"/>
    <w:rsid w:val="00876A40"/>
    <w:rsid w:val="00876DB1"/>
    <w:rsid w:val="00876F8E"/>
    <w:rsid w:val="008777F9"/>
    <w:rsid w:val="00877832"/>
    <w:rsid w:val="00877A7B"/>
    <w:rsid w:val="00877ECF"/>
    <w:rsid w:val="00877F2F"/>
    <w:rsid w:val="008800C6"/>
    <w:rsid w:val="008800FA"/>
    <w:rsid w:val="008802EF"/>
    <w:rsid w:val="00880459"/>
    <w:rsid w:val="008806D5"/>
    <w:rsid w:val="0088084B"/>
    <w:rsid w:val="008808DC"/>
    <w:rsid w:val="00880A7D"/>
    <w:rsid w:val="00880B06"/>
    <w:rsid w:val="00880C07"/>
    <w:rsid w:val="00880C64"/>
    <w:rsid w:val="00880CAA"/>
    <w:rsid w:val="00880DCE"/>
    <w:rsid w:val="00880DD1"/>
    <w:rsid w:val="00881850"/>
    <w:rsid w:val="00881885"/>
    <w:rsid w:val="00881AE1"/>
    <w:rsid w:val="00881C14"/>
    <w:rsid w:val="00882401"/>
    <w:rsid w:val="008827EC"/>
    <w:rsid w:val="0088284B"/>
    <w:rsid w:val="00882A31"/>
    <w:rsid w:val="00882FCF"/>
    <w:rsid w:val="0088318C"/>
    <w:rsid w:val="008831F5"/>
    <w:rsid w:val="00883398"/>
    <w:rsid w:val="0088345D"/>
    <w:rsid w:val="0088378A"/>
    <w:rsid w:val="00883845"/>
    <w:rsid w:val="00884067"/>
    <w:rsid w:val="00884301"/>
    <w:rsid w:val="00884418"/>
    <w:rsid w:val="00884595"/>
    <w:rsid w:val="00884684"/>
    <w:rsid w:val="008846C3"/>
    <w:rsid w:val="00884723"/>
    <w:rsid w:val="0088479B"/>
    <w:rsid w:val="0088495C"/>
    <w:rsid w:val="00884D63"/>
    <w:rsid w:val="00884F5A"/>
    <w:rsid w:val="00884FAC"/>
    <w:rsid w:val="00885562"/>
    <w:rsid w:val="00885730"/>
    <w:rsid w:val="008858D7"/>
    <w:rsid w:val="00885DAA"/>
    <w:rsid w:val="00886008"/>
    <w:rsid w:val="008860C0"/>
    <w:rsid w:val="008861D5"/>
    <w:rsid w:val="008862E1"/>
    <w:rsid w:val="00886DED"/>
    <w:rsid w:val="00886F15"/>
    <w:rsid w:val="008870DA"/>
    <w:rsid w:val="0088711F"/>
    <w:rsid w:val="008872AF"/>
    <w:rsid w:val="00887615"/>
    <w:rsid w:val="00887B62"/>
    <w:rsid w:val="00887BC4"/>
    <w:rsid w:val="00887BD8"/>
    <w:rsid w:val="00887C89"/>
    <w:rsid w:val="00887FF1"/>
    <w:rsid w:val="00890069"/>
    <w:rsid w:val="00890324"/>
    <w:rsid w:val="008903B9"/>
    <w:rsid w:val="0089076C"/>
    <w:rsid w:val="00890CA0"/>
    <w:rsid w:val="00890D6F"/>
    <w:rsid w:val="00890E00"/>
    <w:rsid w:val="0089116F"/>
    <w:rsid w:val="00891879"/>
    <w:rsid w:val="0089192A"/>
    <w:rsid w:val="00891D07"/>
    <w:rsid w:val="00891E64"/>
    <w:rsid w:val="0089216A"/>
    <w:rsid w:val="00892337"/>
    <w:rsid w:val="0089264C"/>
    <w:rsid w:val="0089266E"/>
    <w:rsid w:val="00893352"/>
    <w:rsid w:val="00893822"/>
    <w:rsid w:val="008939CB"/>
    <w:rsid w:val="008939F0"/>
    <w:rsid w:val="00893AA1"/>
    <w:rsid w:val="00893B74"/>
    <w:rsid w:val="008944A6"/>
    <w:rsid w:val="00894724"/>
    <w:rsid w:val="00894896"/>
    <w:rsid w:val="00894A66"/>
    <w:rsid w:val="00894ABB"/>
    <w:rsid w:val="00894BAB"/>
    <w:rsid w:val="00894E2D"/>
    <w:rsid w:val="00894FFF"/>
    <w:rsid w:val="00895538"/>
    <w:rsid w:val="0089563C"/>
    <w:rsid w:val="008958F4"/>
    <w:rsid w:val="00895A61"/>
    <w:rsid w:val="00895AB1"/>
    <w:rsid w:val="00895BDD"/>
    <w:rsid w:val="00895D71"/>
    <w:rsid w:val="00895F7B"/>
    <w:rsid w:val="00896001"/>
    <w:rsid w:val="00896038"/>
    <w:rsid w:val="0089607B"/>
    <w:rsid w:val="008963C1"/>
    <w:rsid w:val="0089680D"/>
    <w:rsid w:val="00896979"/>
    <w:rsid w:val="00896A13"/>
    <w:rsid w:val="00896CD0"/>
    <w:rsid w:val="00896E3E"/>
    <w:rsid w:val="008971B2"/>
    <w:rsid w:val="00897330"/>
    <w:rsid w:val="00897520"/>
    <w:rsid w:val="008976D4"/>
    <w:rsid w:val="00897A16"/>
    <w:rsid w:val="00897A22"/>
    <w:rsid w:val="00897ABA"/>
    <w:rsid w:val="00897CC2"/>
    <w:rsid w:val="00897D0A"/>
    <w:rsid w:val="00897D9E"/>
    <w:rsid w:val="008A0400"/>
    <w:rsid w:val="008A09F8"/>
    <w:rsid w:val="008A0C13"/>
    <w:rsid w:val="008A0C3D"/>
    <w:rsid w:val="008A0D7B"/>
    <w:rsid w:val="008A0F20"/>
    <w:rsid w:val="008A0FF4"/>
    <w:rsid w:val="008A1005"/>
    <w:rsid w:val="008A1044"/>
    <w:rsid w:val="008A104E"/>
    <w:rsid w:val="008A1369"/>
    <w:rsid w:val="008A14A7"/>
    <w:rsid w:val="008A1535"/>
    <w:rsid w:val="008A173E"/>
    <w:rsid w:val="008A182E"/>
    <w:rsid w:val="008A1944"/>
    <w:rsid w:val="008A1D1B"/>
    <w:rsid w:val="008A2050"/>
    <w:rsid w:val="008A2437"/>
    <w:rsid w:val="008A2480"/>
    <w:rsid w:val="008A24DE"/>
    <w:rsid w:val="008A27C5"/>
    <w:rsid w:val="008A2809"/>
    <w:rsid w:val="008A2E8E"/>
    <w:rsid w:val="008A2F15"/>
    <w:rsid w:val="008A2FD9"/>
    <w:rsid w:val="008A34A6"/>
    <w:rsid w:val="008A361A"/>
    <w:rsid w:val="008A393A"/>
    <w:rsid w:val="008A4155"/>
    <w:rsid w:val="008A42A0"/>
    <w:rsid w:val="008A43EA"/>
    <w:rsid w:val="008A463E"/>
    <w:rsid w:val="008A47CA"/>
    <w:rsid w:val="008A4BE8"/>
    <w:rsid w:val="008A53E6"/>
    <w:rsid w:val="008A5401"/>
    <w:rsid w:val="008A5825"/>
    <w:rsid w:val="008A5A86"/>
    <w:rsid w:val="008A5DC9"/>
    <w:rsid w:val="008A6053"/>
    <w:rsid w:val="008A61B0"/>
    <w:rsid w:val="008A6288"/>
    <w:rsid w:val="008A643E"/>
    <w:rsid w:val="008A7256"/>
    <w:rsid w:val="008A73CF"/>
    <w:rsid w:val="008A7557"/>
    <w:rsid w:val="008A7999"/>
    <w:rsid w:val="008A7AF6"/>
    <w:rsid w:val="008A7B4F"/>
    <w:rsid w:val="008A7D22"/>
    <w:rsid w:val="008B02CA"/>
    <w:rsid w:val="008B082E"/>
    <w:rsid w:val="008B0941"/>
    <w:rsid w:val="008B09F8"/>
    <w:rsid w:val="008B0D65"/>
    <w:rsid w:val="008B0F34"/>
    <w:rsid w:val="008B121B"/>
    <w:rsid w:val="008B137B"/>
    <w:rsid w:val="008B13EB"/>
    <w:rsid w:val="008B1B01"/>
    <w:rsid w:val="008B1DC3"/>
    <w:rsid w:val="008B1F8F"/>
    <w:rsid w:val="008B2460"/>
    <w:rsid w:val="008B29EF"/>
    <w:rsid w:val="008B2D29"/>
    <w:rsid w:val="008B2DC1"/>
    <w:rsid w:val="008B303C"/>
    <w:rsid w:val="008B30ED"/>
    <w:rsid w:val="008B3472"/>
    <w:rsid w:val="008B378F"/>
    <w:rsid w:val="008B3879"/>
    <w:rsid w:val="008B3EF6"/>
    <w:rsid w:val="008B3F46"/>
    <w:rsid w:val="008B429F"/>
    <w:rsid w:val="008B4512"/>
    <w:rsid w:val="008B46B1"/>
    <w:rsid w:val="008B4D89"/>
    <w:rsid w:val="008B5849"/>
    <w:rsid w:val="008B5952"/>
    <w:rsid w:val="008B5DD8"/>
    <w:rsid w:val="008B5E29"/>
    <w:rsid w:val="008B65F4"/>
    <w:rsid w:val="008B67C9"/>
    <w:rsid w:val="008B6B14"/>
    <w:rsid w:val="008B6E0D"/>
    <w:rsid w:val="008B7095"/>
    <w:rsid w:val="008B74DB"/>
    <w:rsid w:val="008B7821"/>
    <w:rsid w:val="008B7AEC"/>
    <w:rsid w:val="008B7CDE"/>
    <w:rsid w:val="008B7D82"/>
    <w:rsid w:val="008B7E1A"/>
    <w:rsid w:val="008C0249"/>
    <w:rsid w:val="008C0880"/>
    <w:rsid w:val="008C0A02"/>
    <w:rsid w:val="008C0CAA"/>
    <w:rsid w:val="008C0FED"/>
    <w:rsid w:val="008C1398"/>
    <w:rsid w:val="008C15DF"/>
    <w:rsid w:val="008C1894"/>
    <w:rsid w:val="008C18D0"/>
    <w:rsid w:val="008C1F31"/>
    <w:rsid w:val="008C1F77"/>
    <w:rsid w:val="008C200D"/>
    <w:rsid w:val="008C20BD"/>
    <w:rsid w:val="008C211E"/>
    <w:rsid w:val="008C217A"/>
    <w:rsid w:val="008C23E9"/>
    <w:rsid w:val="008C23FC"/>
    <w:rsid w:val="008C27D4"/>
    <w:rsid w:val="008C2984"/>
    <w:rsid w:val="008C2AFC"/>
    <w:rsid w:val="008C2F17"/>
    <w:rsid w:val="008C316E"/>
    <w:rsid w:val="008C3388"/>
    <w:rsid w:val="008C34DC"/>
    <w:rsid w:val="008C353F"/>
    <w:rsid w:val="008C37EA"/>
    <w:rsid w:val="008C3A01"/>
    <w:rsid w:val="008C3D05"/>
    <w:rsid w:val="008C4204"/>
    <w:rsid w:val="008C479E"/>
    <w:rsid w:val="008C49B6"/>
    <w:rsid w:val="008C4A68"/>
    <w:rsid w:val="008C4CC0"/>
    <w:rsid w:val="008C4D2A"/>
    <w:rsid w:val="008C4D70"/>
    <w:rsid w:val="008C4E64"/>
    <w:rsid w:val="008C4F5A"/>
    <w:rsid w:val="008C4FD1"/>
    <w:rsid w:val="008C5377"/>
    <w:rsid w:val="008C5613"/>
    <w:rsid w:val="008C582D"/>
    <w:rsid w:val="008C58D0"/>
    <w:rsid w:val="008C5904"/>
    <w:rsid w:val="008C63C6"/>
    <w:rsid w:val="008C6D14"/>
    <w:rsid w:val="008C6DA1"/>
    <w:rsid w:val="008C6F7D"/>
    <w:rsid w:val="008C760D"/>
    <w:rsid w:val="008C76AF"/>
    <w:rsid w:val="008C770B"/>
    <w:rsid w:val="008C7BE2"/>
    <w:rsid w:val="008C7D11"/>
    <w:rsid w:val="008C7DB9"/>
    <w:rsid w:val="008C7F26"/>
    <w:rsid w:val="008C7F66"/>
    <w:rsid w:val="008D0108"/>
    <w:rsid w:val="008D05D9"/>
    <w:rsid w:val="008D06D1"/>
    <w:rsid w:val="008D077D"/>
    <w:rsid w:val="008D091C"/>
    <w:rsid w:val="008D0D0D"/>
    <w:rsid w:val="008D0DEB"/>
    <w:rsid w:val="008D0F2C"/>
    <w:rsid w:val="008D1253"/>
    <w:rsid w:val="008D1503"/>
    <w:rsid w:val="008D1CE2"/>
    <w:rsid w:val="008D1E58"/>
    <w:rsid w:val="008D1FA4"/>
    <w:rsid w:val="008D23BE"/>
    <w:rsid w:val="008D287F"/>
    <w:rsid w:val="008D2E2A"/>
    <w:rsid w:val="008D3065"/>
    <w:rsid w:val="008D393C"/>
    <w:rsid w:val="008D3DE6"/>
    <w:rsid w:val="008D409F"/>
    <w:rsid w:val="008D432F"/>
    <w:rsid w:val="008D436B"/>
    <w:rsid w:val="008D458B"/>
    <w:rsid w:val="008D462E"/>
    <w:rsid w:val="008D4801"/>
    <w:rsid w:val="008D4C53"/>
    <w:rsid w:val="008D4EC6"/>
    <w:rsid w:val="008D5167"/>
    <w:rsid w:val="008D54FB"/>
    <w:rsid w:val="008D5570"/>
    <w:rsid w:val="008D5878"/>
    <w:rsid w:val="008D61C7"/>
    <w:rsid w:val="008D6222"/>
    <w:rsid w:val="008D66F1"/>
    <w:rsid w:val="008D6B98"/>
    <w:rsid w:val="008D6BB8"/>
    <w:rsid w:val="008D6FBB"/>
    <w:rsid w:val="008D720F"/>
    <w:rsid w:val="008D7226"/>
    <w:rsid w:val="008D76A8"/>
    <w:rsid w:val="008D76AB"/>
    <w:rsid w:val="008D76FD"/>
    <w:rsid w:val="008D7885"/>
    <w:rsid w:val="008D7A10"/>
    <w:rsid w:val="008D7BB6"/>
    <w:rsid w:val="008D7CCB"/>
    <w:rsid w:val="008D7D3A"/>
    <w:rsid w:val="008E0113"/>
    <w:rsid w:val="008E027B"/>
    <w:rsid w:val="008E03DE"/>
    <w:rsid w:val="008E05A8"/>
    <w:rsid w:val="008E05C8"/>
    <w:rsid w:val="008E0835"/>
    <w:rsid w:val="008E0EBF"/>
    <w:rsid w:val="008E126E"/>
    <w:rsid w:val="008E1449"/>
    <w:rsid w:val="008E15C3"/>
    <w:rsid w:val="008E1E2A"/>
    <w:rsid w:val="008E2495"/>
    <w:rsid w:val="008E26C8"/>
    <w:rsid w:val="008E2873"/>
    <w:rsid w:val="008E2CC9"/>
    <w:rsid w:val="008E2DAA"/>
    <w:rsid w:val="008E2E94"/>
    <w:rsid w:val="008E3064"/>
    <w:rsid w:val="008E3324"/>
    <w:rsid w:val="008E37A0"/>
    <w:rsid w:val="008E3C34"/>
    <w:rsid w:val="008E3CF0"/>
    <w:rsid w:val="008E3F94"/>
    <w:rsid w:val="008E45A9"/>
    <w:rsid w:val="008E47BE"/>
    <w:rsid w:val="008E4910"/>
    <w:rsid w:val="008E4CAD"/>
    <w:rsid w:val="008E4D33"/>
    <w:rsid w:val="008E4EC1"/>
    <w:rsid w:val="008E4EF4"/>
    <w:rsid w:val="008E5655"/>
    <w:rsid w:val="008E58E2"/>
    <w:rsid w:val="008E598D"/>
    <w:rsid w:val="008E5C5B"/>
    <w:rsid w:val="008E5CEC"/>
    <w:rsid w:val="008E5E87"/>
    <w:rsid w:val="008E63F7"/>
    <w:rsid w:val="008E658A"/>
    <w:rsid w:val="008E65D7"/>
    <w:rsid w:val="008E6630"/>
    <w:rsid w:val="008E6841"/>
    <w:rsid w:val="008E6849"/>
    <w:rsid w:val="008E687A"/>
    <w:rsid w:val="008E6C82"/>
    <w:rsid w:val="008E6CA8"/>
    <w:rsid w:val="008E790A"/>
    <w:rsid w:val="008E79F4"/>
    <w:rsid w:val="008E7BF5"/>
    <w:rsid w:val="008E7F8D"/>
    <w:rsid w:val="008F02B4"/>
    <w:rsid w:val="008F02CE"/>
    <w:rsid w:val="008F06F2"/>
    <w:rsid w:val="008F091E"/>
    <w:rsid w:val="008F0AF9"/>
    <w:rsid w:val="008F0DAE"/>
    <w:rsid w:val="008F0ED7"/>
    <w:rsid w:val="008F0ED8"/>
    <w:rsid w:val="008F1018"/>
    <w:rsid w:val="008F1089"/>
    <w:rsid w:val="008F11E6"/>
    <w:rsid w:val="008F1414"/>
    <w:rsid w:val="008F14D5"/>
    <w:rsid w:val="008F1D95"/>
    <w:rsid w:val="008F1EFF"/>
    <w:rsid w:val="008F219E"/>
    <w:rsid w:val="008F23B8"/>
    <w:rsid w:val="008F2573"/>
    <w:rsid w:val="008F26BE"/>
    <w:rsid w:val="008F280B"/>
    <w:rsid w:val="008F2994"/>
    <w:rsid w:val="008F2AC7"/>
    <w:rsid w:val="008F2D7A"/>
    <w:rsid w:val="008F30B0"/>
    <w:rsid w:val="008F3672"/>
    <w:rsid w:val="008F3D90"/>
    <w:rsid w:val="008F4213"/>
    <w:rsid w:val="008F434D"/>
    <w:rsid w:val="008F4A51"/>
    <w:rsid w:val="008F4AB5"/>
    <w:rsid w:val="008F4C04"/>
    <w:rsid w:val="008F555F"/>
    <w:rsid w:val="008F55C9"/>
    <w:rsid w:val="008F577F"/>
    <w:rsid w:val="008F5783"/>
    <w:rsid w:val="008F5FBF"/>
    <w:rsid w:val="008F628A"/>
    <w:rsid w:val="008F64A8"/>
    <w:rsid w:val="008F690A"/>
    <w:rsid w:val="008F6D56"/>
    <w:rsid w:val="008F6E21"/>
    <w:rsid w:val="008F7013"/>
    <w:rsid w:val="008F71F7"/>
    <w:rsid w:val="008F7584"/>
    <w:rsid w:val="008F7AB7"/>
    <w:rsid w:val="008F7D32"/>
    <w:rsid w:val="008F7DB7"/>
    <w:rsid w:val="008F7F6F"/>
    <w:rsid w:val="009000C5"/>
    <w:rsid w:val="0090087F"/>
    <w:rsid w:val="00900B27"/>
    <w:rsid w:val="00900B84"/>
    <w:rsid w:val="009019ED"/>
    <w:rsid w:val="00901CAF"/>
    <w:rsid w:val="00901FDE"/>
    <w:rsid w:val="00902416"/>
    <w:rsid w:val="00902847"/>
    <w:rsid w:val="0090289D"/>
    <w:rsid w:val="009028D3"/>
    <w:rsid w:val="00902ABF"/>
    <w:rsid w:val="00902DAD"/>
    <w:rsid w:val="00902FAF"/>
    <w:rsid w:val="0090352E"/>
    <w:rsid w:val="00903550"/>
    <w:rsid w:val="00903719"/>
    <w:rsid w:val="009039E6"/>
    <w:rsid w:val="00903A83"/>
    <w:rsid w:val="00903C79"/>
    <w:rsid w:val="00903DEB"/>
    <w:rsid w:val="00903E50"/>
    <w:rsid w:val="00903E55"/>
    <w:rsid w:val="00903F63"/>
    <w:rsid w:val="009040CB"/>
    <w:rsid w:val="00904138"/>
    <w:rsid w:val="00904475"/>
    <w:rsid w:val="009045AD"/>
    <w:rsid w:val="00904BA1"/>
    <w:rsid w:val="00905030"/>
    <w:rsid w:val="009053D1"/>
    <w:rsid w:val="0090547C"/>
    <w:rsid w:val="009055B6"/>
    <w:rsid w:val="00905B79"/>
    <w:rsid w:val="00905DB3"/>
    <w:rsid w:val="00905E4F"/>
    <w:rsid w:val="00906285"/>
    <w:rsid w:val="00906374"/>
    <w:rsid w:val="0090680C"/>
    <w:rsid w:val="0090680E"/>
    <w:rsid w:val="00906B7F"/>
    <w:rsid w:val="00906E5E"/>
    <w:rsid w:val="00907107"/>
    <w:rsid w:val="0090731F"/>
    <w:rsid w:val="00907368"/>
    <w:rsid w:val="009077AE"/>
    <w:rsid w:val="009077C4"/>
    <w:rsid w:val="00907B17"/>
    <w:rsid w:val="00907D08"/>
    <w:rsid w:val="00907DF1"/>
    <w:rsid w:val="00907E47"/>
    <w:rsid w:val="009101FE"/>
    <w:rsid w:val="00910276"/>
    <w:rsid w:val="0091057C"/>
    <w:rsid w:val="0091063B"/>
    <w:rsid w:val="009107C3"/>
    <w:rsid w:val="009107EB"/>
    <w:rsid w:val="00910A13"/>
    <w:rsid w:val="00910C3B"/>
    <w:rsid w:val="00910D2C"/>
    <w:rsid w:val="00910DFE"/>
    <w:rsid w:val="00911518"/>
    <w:rsid w:val="009117A9"/>
    <w:rsid w:val="00911C4E"/>
    <w:rsid w:val="00911D0A"/>
    <w:rsid w:val="0091207F"/>
    <w:rsid w:val="009122CF"/>
    <w:rsid w:val="00912361"/>
    <w:rsid w:val="0091270D"/>
    <w:rsid w:val="009128D0"/>
    <w:rsid w:val="00912947"/>
    <w:rsid w:val="00912E55"/>
    <w:rsid w:val="00912EEE"/>
    <w:rsid w:val="00912F4D"/>
    <w:rsid w:val="009132C2"/>
    <w:rsid w:val="00913643"/>
    <w:rsid w:val="0091372D"/>
    <w:rsid w:val="00913EE6"/>
    <w:rsid w:val="00914229"/>
    <w:rsid w:val="009142FD"/>
    <w:rsid w:val="0091435F"/>
    <w:rsid w:val="00914694"/>
    <w:rsid w:val="0091480C"/>
    <w:rsid w:val="009149EA"/>
    <w:rsid w:val="00914C69"/>
    <w:rsid w:val="00914F90"/>
    <w:rsid w:val="00914FF4"/>
    <w:rsid w:val="00915C08"/>
    <w:rsid w:val="00915CCE"/>
    <w:rsid w:val="00915DFC"/>
    <w:rsid w:val="00915FC6"/>
    <w:rsid w:val="00916070"/>
    <w:rsid w:val="0091618D"/>
    <w:rsid w:val="00916C80"/>
    <w:rsid w:val="0091707C"/>
    <w:rsid w:val="00917546"/>
    <w:rsid w:val="00917630"/>
    <w:rsid w:val="00917721"/>
    <w:rsid w:val="00917927"/>
    <w:rsid w:val="00917B90"/>
    <w:rsid w:val="00917E1E"/>
    <w:rsid w:val="00917EBD"/>
    <w:rsid w:val="009201A2"/>
    <w:rsid w:val="00920255"/>
    <w:rsid w:val="009204B3"/>
    <w:rsid w:val="0092062C"/>
    <w:rsid w:val="009211AD"/>
    <w:rsid w:val="009212EE"/>
    <w:rsid w:val="00921499"/>
    <w:rsid w:val="0092177E"/>
    <w:rsid w:val="00921BD6"/>
    <w:rsid w:val="00921C48"/>
    <w:rsid w:val="00921CF7"/>
    <w:rsid w:val="0092271D"/>
    <w:rsid w:val="00922921"/>
    <w:rsid w:val="00922B66"/>
    <w:rsid w:val="00922CDE"/>
    <w:rsid w:val="00922F83"/>
    <w:rsid w:val="009231D0"/>
    <w:rsid w:val="00923484"/>
    <w:rsid w:val="0092364A"/>
    <w:rsid w:val="00923703"/>
    <w:rsid w:val="0092383D"/>
    <w:rsid w:val="009239F7"/>
    <w:rsid w:val="00923B44"/>
    <w:rsid w:val="00923F37"/>
    <w:rsid w:val="0092426D"/>
    <w:rsid w:val="009243AE"/>
    <w:rsid w:val="009244D3"/>
    <w:rsid w:val="0092457E"/>
    <w:rsid w:val="00924605"/>
    <w:rsid w:val="0092462D"/>
    <w:rsid w:val="0092483B"/>
    <w:rsid w:val="009248C3"/>
    <w:rsid w:val="00924D22"/>
    <w:rsid w:val="00924E15"/>
    <w:rsid w:val="009251E6"/>
    <w:rsid w:val="00925329"/>
    <w:rsid w:val="0092551D"/>
    <w:rsid w:val="0092557F"/>
    <w:rsid w:val="00925822"/>
    <w:rsid w:val="009258F8"/>
    <w:rsid w:val="00925A84"/>
    <w:rsid w:val="00925DA5"/>
    <w:rsid w:val="00925E5E"/>
    <w:rsid w:val="00926439"/>
    <w:rsid w:val="00926447"/>
    <w:rsid w:val="00926A34"/>
    <w:rsid w:val="00926C51"/>
    <w:rsid w:val="00927082"/>
    <w:rsid w:val="00927802"/>
    <w:rsid w:val="00927ADF"/>
    <w:rsid w:val="0093001F"/>
    <w:rsid w:val="00930191"/>
    <w:rsid w:val="00930300"/>
    <w:rsid w:val="009307AF"/>
    <w:rsid w:val="00930902"/>
    <w:rsid w:val="00930B1F"/>
    <w:rsid w:val="00930BF7"/>
    <w:rsid w:val="00930EEE"/>
    <w:rsid w:val="00930FF2"/>
    <w:rsid w:val="0093116C"/>
    <w:rsid w:val="00931184"/>
    <w:rsid w:val="009317BB"/>
    <w:rsid w:val="009319C9"/>
    <w:rsid w:val="00931A3D"/>
    <w:rsid w:val="00932094"/>
    <w:rsid w:val="009325E6"/>
    <w:rsid w:val="00932DD8"/>
    <w:rsid w:val="00932F4A"/>
    <w:rsid w:val="00932F60"/>
    <w:rsid w:val="00933332"/>
    <w:rsid w:val="009333A7"/>
    <w:rsid w:val="00933404"/>
    <w:rsid w:val="00933766"/>
    <w:rsid w:val="00933A76"/>
    <w:rsid w:val="00933F1B"/>
    <w:rsid w:val="00934035"/>
    <w:rsid w:val="00934219"/>
    <w:rsid w:val="009349A3"/>
    <w:rsid w:val="00934B8C"/>
    <w:rsid w:val="00934C02"/>
    <w:rsid w:val="00934EC6"/>
    <w:rsid w:val="0093514F"/>
    <w:rsid w:val="009354B2"/>
    <w:rsid w:val="0093595E"/>
    <w:rsid w:val="00935DAC"/>
    <w:rsid w:val="009360BE"/>
    <w:rsid w:val="0093619E"/>
    <w:rsid w:val="0093650C"/>
    <w:rsid w:val="0093667F"/>
    <w:rsid w:val="00936AC5"/>
    <w:rsid w:val="00936B7D"/>
    <w:rsid w:val="00936CA0"/>
    <w:rsid w:val="00936E52"/>
    <w:rsid w:val="00937350"/>
    <w:rsid w:val="00937664"/>
    <w:rsid w:val="0093788F"/>
    <w:rsid w:val="00937EF8"/>
    <w:rsid w:val="00940033"/>
    <w:rsid w:val="00940295"/>
    <w:rsid w:val="009402EE"/>
    <w:rsid w:val="0094037D"/>
    <w:rsid w:val="009403A3"/>
    <w:rsid w:val="00940799"/>
    <w:rsid w:val="00940803"/>
    <w:rsid w:val="009412EF"/>
    <w:rsid w:val="009417A1"/>
    <w:rsid w:val="009419E9"/>
    <w:rsid w:val="00941BD3"/>
    <w:rsid w:val="00941C19"/>
    <w:rsid w:val="00941FCB"/>
    <w:rsid w:val="00942000"/>
    <w:rsid w:val="009421C6"/>
    <w:rsid w:val="00942562"/>
    <w:rsid w:val="009425C8"/>
    <w:rsid w:val="00942609"/>
    <w:rsid w:val="00942D71"/>
    <w:rsid w:val="0094364B"/>
    <w:rsid w:val="00943771"/>
    <w:rsid w:val="00943BCC"/>
    <w:rsid w:val="00943E5F"/>
    <w:rsid w:val="00943F97"/>
    <w:rsid w:val="009440D1"/>
    <w:rsid w:val="00944119"/>
    <w:rsid w:val="00944781"/>
    <w:rsid w:val="00944AC3"/>
    <w:rsid w:val="00944C72"/>
    <w:rsid w:val="00944CDD"/>
    <w:rsid w:val="00944FD2"/>
    <w:rsid w:val="00944FDB"/>
    <w:rsid w:val="009450F7"/>
    <w:rsid w:val="0094537B"/>
    <w:rsid w:val="009455A8"/>
    <w:rsid w:val="009455D3"/>
    <w:rsid w:val="00945652"/>
    <w:rsid w:val="00945713"/>
    <w:rsid w:val="00945A51"/>
    <w:rsid w:val="00945BA8"/>
    <w:rsid w:val="00945BFC"/>
    <w:rsid w:val="00945D4C"/>
    <w:rsid w:val="00945DFF"/>
    <w:rsid w:val="009466E0"/>
    <w:rsid w:val="009467B7"/>
    <w:rsid w:val="00946883"/>
    <w:rsid w:val="00946CBF"/>
    <w:rsid w:val="00947092"/>
    <w:rsid w:val="00947113"/>
    <w:rsid w:val="0094715D"/>
    <w:rsid w:val="009471BC"/>
    <w:rsid w:val="009471D8"/>
    <w:rsid w:val="0094729B"/>
    <w:rsid w:val="0094766D"/>
    <w:rsid w:val="00947B4D"/>
    <w:rsid w:val="0095026C"/>
    <w:rsid w:val="00950460"/>
    <w:rsid w:val="0095061D"/>
    <w:rsid w:val="00950657"/>
    <w:rsid w:val="0095079A"/>
    <w:rsid w:val="0095080F"/>
    <w:rsid w:val="009509C1"/>
    <w:rsid w:val="00950A59"/>
    <w:rsid w:val="00950EBC"/>
    <w:rsid w:val="00950EF0"/>
    <w:rsid w:val="00950FA0"/>
    <w:rsid w:val="00951076"/>
    <w:rsid w:val="00951288"/>
    <w:rsid w:val="0095149C"/>
    <w:rsid w:val="009515FC"/>
    <w:rsid w:val="009516A2"/>
    <w:rsid w:val="009522D7"/>
    <w:rsid w:val="0095239C"/>
    <w:rsid w:val="009526D6"/>
    <w:rsid w:val="009527CC"/>
    <w:rsid w:val="009528AD"/>
    <w:rsid w:val="00952A11"/>
    <w:rsid w:val="00952BF6"/>
    <w:rsid w:val="00952C9D"/>
    <w:rsid w:val="00952F77"/>
    <w:rsid w:val="00952FF9"/>
    <w:rsid w:val="00953162"/>
    <w:rsid w:val="009538C7"/>
    <w:rsid w:val="00953F6C"/>
    <w:rsid w:val="00954255"/>
    <w:rsid w:val="0095461C"/>
    <w:rsid w:val="009547FA"/>
    <w:rsid w:val="00954899"/>
    <w:rsid w:val="00954937"/>
    <w:rsid w:val="0095497A"/>
    <w:rsid w:val="00954A44"/>
    <w:rsid w:val="00954A94"/>
    <w:rsid w:val="00954AAF"/>
    <w:rsid w:val="0095515C"/>
    <w:rsid w:val="0095532C"/>
    <w:rsid w:val="009554D1"/>
    <w:rsid w:val="00955563"/>
    <w:rsid w:val="00955731"/>
    <w:rsid w:val="00955760"/>
    <w:rsid w:val="009559BA"/>
    <w:rsid w:val="00956049"/>
    <w:rsid w:val="00956163"/>
    <w:rsid w:val="00956289"/>
    <w:rsid w:val="0095658E"/>
    <w:rsid w:val="0095681B"/>
    <w:rsid w:val="009568B8"/>
    <w:rsid w:val="009568BD"/>
    <w:rsid w:val="00956DDE"/>
    <w:rsid w:val="00956E06"/>
    <w:rsid w:val="00956FEF"/>
    <w:rsid w:val="0095755A"/>
    <w:rsid w:val="009575D2"/>
    <w:rsid w:val="00957655"/>
    <w:rsid w:val="00957A5E"/>
    <w:rsid w:val="00957EC1"/>
    <w:rsid w:val="009600D6"/>
    <w:rsid w:val="009601A4"/>
    <w:rsid w:val="00960534"/>
    <w:rsid w:val="0096084E"/>
    <w:rsid w:val="00960F78"/>
    <w:rsid w:val="009610C5"/>
    <w:rsid w:val="00961377"/>
    <w:rsid w:val="009615DC"/>
    <w:rsid w:val="009616E2"/>
    <w:rsid w:val="0096178C"/>
    <w:rsid w:val="00961DCF"/>
    <w:rsid w:val="00962262"/>
    <w:rsid w:val="0096233F"/>
    <w:rsid w:val="0096296A"/>
    <w:rsid w:val="00962A05"/>
    <w:rsid w:val="009630CE"/>
    <w:rsid w:val="00963573"/>
    <w:rsid w:val="00963765"/>
    <w:rsid w:val="00963A1F"/>
    <w:rsid w:val="00963A3A"/>
    <w:rsid w:val="00963A40"/>
    <w:rsid w:val="00963E97"/>
    <w:rsid w:val="009640F2"/>
    <w:rsid w:val="00964C84"/>
    <w:rsid w:val="00964DE0"/>
    <w:rsid w:val="00965019"/>
    <w:rsid w:val="0096547A"/>
    <w:rsid w:val="0096578C"/>
    <w:rsid w:val="00965FB1"/>
    <w:rsid w:val="009662E7"/>
    <w:rsid w:val="0096635B"/>
    <w:rsid w:val="00966B5A"/>
    <w:rsid w:val="00966EAF"/>
    <w:rsid w:val="00967310"/>
    <w:rsid w:val="00967410"/>
    <w:rsid w:val="00967477"/>
    <w:rsid w:val="00967597"/>
    <w:rsid w:val="009676AD"/>
    <w:rsid w:val="0096772C"/>
    <w:rsid w:val="00967799"/>
    <w:rsid w:val="0096788B"/>
    <w:rsid w:val="0096789E"/>
    <w:rsid w:val="009678E7"/>
    <w:rsid w:val="009679CD"/>
    <w:rsid w:val="00967CEA"/>
    <w:rsid w:val="00967F63"/>
    <w:rsid w:val="00967FC7"/>
    <w:rsid w:val="0097013A"/>
    <w:rsid w:val="00970584"/>
    <w:rsid w:val="009706F9"/>
    <w:rsid w:val="009706FC"/>
    <w:rsid w:val="009707C2"/>
    <w:rsid w:val="00970CF0"/>
    <w:rsid w:val="00970EC3"/>
    <w:rsid w:val="0097105E"/>
    <w:rsid w:val="00971369"/>
    <w:rsid w:val="009713DE"/>
    <w:rsid w:val="00971786"/>
    <w:rsid w:val="00971B21"/>
    <w:rsid w:val="00971C55"/>
    <w:rsid w:val="00971D69"/>
    <w:rsid w:val="00971F9A"/>
    <w:rsid w:val="009721EB"/>
    <w:rsid w:val="0097261E"/>
    <w:rsid w:val="009727F0"/>
    <w:rsid w:val="00972BDF"/>
    <w:rsid w:val="00972F4F"/>
    <w:rsid w:val="00972FFA"/>
    <w:rsid w:val="0097343C"/>
    <w:rsid w:val="009736FF"/>
    <w:rsid w:val="00973A92"/>
    <w:rsid w:val="00973CA3"/>
    <w:rsid w:val="00973DD3"/>
    <w:rsid w:val="00973EB0"/>
    <w:rsid w:val="009741EE"/>
    <w:rsid w:val="00974271"/>
    <w:rsid w:val="0097431A"/>
    <w:rsid w:val="00974584"/>
    <w:rsid w:val="00974661"/>
    <w:rsid w:val="00974C89"/>
    <w:rsid w:val="00974CFA"/>
    <w:rsid w:val="00974F39"/>
    <w:rsid w:val="009750DF"/>
    <w:rsid w:val="009751EA"/>
    <w:rsid w:val="009751ED"/>
    <w:rsid w:val="009753FC"/>
    <w:rsid w:val="00975936"/>
    <w:rsid w:val="00975992"/>
    <w:rsid w:val="009759BC"/>
    <w:rsid w:val="00975AB3"/>
    <w:rsid w:val="00975E24"/>
    <w:rsid w:val="00975EFF"/>
    <w:rsid w:val="0097644F"/>
    <w:rsid w:val="00976F20"/>
    <w:rsid w:val="00976F70"/>
    <w:rsid w:val="009770F7"/>
    <w:rsid w:val="0097715A"/>
    <w:rsid w:val="00977388"/>
    <w:rsid w:val="009773B6"/>
    <w:rsid w:val="0097782A"/>
    <w:rsid w:val="00977B0F"/>
    <w:rsid w:val="00977B13"/>
    <w:rsid w:val="00977FF7"/>
    <w:rsid w:val="0098031D"/>
    <w:rsid w:val="00980377"/>
    <w:rsid w:val="009809AC"/>
    <w:rsid w:val="00980BAF"/>
    <w:rsid w:val="00980D09"/>
    <w:rsid w:val="00981136"/>
    <w:rsid w:val="0098129A"/>
    <w:rsid w:val="0098140D"/>
    <w:rsid w:val="009814E5"/>
    <w:rsid w:val="00981543"/>
    <w:rsid w:val="009815E6"/>
    <w:rsid w:val="00981998"/>
    <w:rsid w:val="009819ED"/>
    <w:rsid w:val="00981D53"/>
    <w:rsid w:val="00981E96"/>
    <w:rsid w:val="0098239E"/>
    <w:rsid w:val="00982C0E"/>
    <w:rsid w:val="00982CD2"/>
    <w:rsid w:val="009831B2"/>
    <w:rsid w:val="009831E8"/>
    <w:rsid w:val="00983431"/>
    <w:rsid w:val="00983483"/>
    <w:rsid w:val="00983E3F"/>
    <w:rsid w:val="00983EA8"/>
    <w:rsid w:val="00984016"/>
    <w:rsid w:val="00984307"/>
    <w:rsid w:val="0098443A"/>
    <w:rsid w:val="00984B85"/>
    <w:rsid w:val="00984DC6"/>
    <w:rsid w:val="00985058"/>
    <w:rsid w:val="009852BF"/>
    <w:rsid w:val="009853A4"/>
    <w:rsid w:val="00985719"/>
    <w:rsid w:val="009858A2"/>
    <w:rsid w:val="00985A45"/>
    <w:rsid w:val="00985B90"/>
    <w:rsid w:val="00985BF5"/>
    <w:rsid w:val="00986147"/>
    <w:rsid w:val="009867A5"/>
    <w:rsid w:val="00986984"/>
    <w:rsid w:val="00986CC5"/>
    <w:rsid w:val="00986F53"/>
    <w:rsid w:val="0098704E"/>
    <w:rsid w:val="009870D5"/>
    <w:rsid w:val="0098735B"/>
    <w:rsid w:val="00987856"/>
    <w:rsid w:val="009900F8"/>
    <w:rsid w:val="0099029D"/>
    <w:rsid w:val="00990303"/>
    <w:rsid w:val="009905EB"/>
    <w:rsid w:val="009905F1"/>
    <w:rsid w:val="0099063B"/>
    <w:rsid w:val="00990AEE"/>
    <w:rsid w:val="00990F49"/>
    <w:rsid w:val="00991121"/>
    <w:rsid w:val="00991363"/>
    <w:rsid w:val="009916D2"/>
    <w:rsid w:val="00991812"/>
    <w:rsid w:val="00991879"/>
    <w:rsid w:val="00991C1C"/>
    <w:rsid w:val="00991F1B"/>
    <w:rsid w:val="00992010"/>
    <w:rsid w:val="0099214B"/>
    <w:rsid w:val="009922BD"/>
    <w:rsid w:val="0099241F"/>
    <w:rsid w:val="009926B1"/>
    <w:rsid w:val="009926BF"/>
    <w:rsid w:val="00992A05"/>
    <w:rsid w:val="00992DAE"/>
    <w:rsid w:val="00992F86"/>
    <w:rsid w:val="00992FC0"/>
    <w:rsid w:val="0099363B"/>
    <w:rsid w:val="00993AC0"/>
    <w:rsid w:val="00993ACF"/>
    <w:rsid w:val="00993AF5"/>
    <w:rsid w:val="00993C2F"/>
    <w:rsid w:val="009940F7"/>
    <w:rsid w:val="00994119"/>
    <w:rsid w:val="00994165"/>
    <w:rsid w:val="009941D0"/>
    <w:rsid w:val="00994308"/>
    <w:rsid w:val="009944E6"/>
    <w:rsid w:val="00994527"/>
    <w:rsid w:val="0099477B"/>
    <w:rsid w:val="0099499B"/>
    <w:rsid w:val="00994ABC"/>
    <w:rsid w:val="00994C1F"/>
    <w:rsid w:val="00994DDE"/>
    <w:rsid w:val="00994F18"/>
    <w:rsid w:val="00994F89"/>
    <w:rsid w:val="00995214"/>
    <w:rsid w:val="0099534B"/>
    <w:rsid w:val="00995506"/>
    <w:rsid w:val="009957B1"/>
    <w:rsid w:val="009958BD"/>
    <w:rsid w:val="00995B50"/>
    <w:rsid w:val="00995D21"/>
    <w:rsid w:val="0099625C"/>
    <w:rsid w:val="0099665C"/>
    <w:rsid w:val="0099691B"/>
    <w:rsid w:val="00996ADF"/>
    <w:rsid w:val="00996B2C"/>
    <w:rsid w:val="00996B80"/>
    <w:rsid w:val="00996E61"/>
    <w:rsid w:val="00997007"/>
    <w:rsid w:val="00997169"/>
    <w:rsid w:val="00997882"/>
    <w:rsid w:val="009979E6"/>
    <w:rsid w:val="009979F9"/>
    <w:rsid w:val="00997EC7"/>
    <w:rsid w:val="00997EF3"/>
    <w:rsid w:val="00997F20"/>
    <w:rsid w:val="009A0120"/>
    <w:rsid w:val="009A02D8"/>
    <w:rsid w:val="009A02E0"/>
    <w:rsid w:val="009A02F1"/>
    <w:rsid w:val="009A0323"/>
    <w:rsid w:val="009A040B"/>
    <w:rsid w:val="009A06AB"/>
    <w:rsid w:val="009A071C"/>
    <w:rsid w:val="009A0898"/>
    <w:rsid w:val="009A0B75"/>
    <w:rsid w:val="009A10CE"/>
    <w:rsid w:val="009A1801"/>
    <w:rsid w:val="009A18AA"/>
    <w:rsid w:val="009A195F"/>
    <w:rsid w:val="009A1964"/>
    <w:rsid w:val="009A1DB7"/>
    <w:rsid w:val="009A1E07"/>
    <w:rsid w:val="009A2060"/>
    <w:rsid w:val="009A2093"/>
    <w:rsid w:val="009A2365"/>
    <w:rsid w:val="009A24A2"/>
    <w:rsid w:val="009A2C13"/>
    <w:rsid w:val="009A2F38"/>
    <w:rsid w:val="009A3463"/>
    <w:rsid w:val="009A3837"/>
    <w:rsid w:val="009A3A5D"/>
    <w:rsid w:val="009A3B91"/>
    <w:rsid w:val="009A3C04"/>
    <w:rsid w:val="009A3D7E"/>
    <w:rsid w:val="009A3F71"/>
    <w:rsid w:val="009A441C"/>
    <w:rsid w:val="009A46D7"/>
    <w:rsid w:val="009A4CA7"/>
    <w:rsid w:val="009A4DD0"/>
    <w:rsid w:val="009A4E33"/>
    <w:rsid w:val="009A4F27"/>
    <w:rsid w:val="009A52B5"/>
    <w:rsid w:val="009A54A6"/>
    <w:rsid w:val="009A55DF"/>
    <w:rsid w:val="009A55FB"/>
    <w:rsid w:val="009A5700"/>
    <w:rsid w:val="009A5D28"/>
    <w:rsid w:val="009A5DA9"/>
    <w:rsid w:val="009A5E3F"/>
    <w:rsid w:val="009A5EEA"/>
    <w:rsid w:val="009A5FFE"/>
    <w:rsid w:val="009A6071"/>
    <w:rsid w:val="009A62AF"/>
    <w:rsid w:val="009A645A"/>
    <w:rsid w:val="009A649B"/>
    <w:rsid w:val="009A6954"/>
    <w:rsid w:val="009A6B2C"/>
    <w:rsid w:val="009A6D7A"/>
    <w:rsid w:val="009A6E23"/>
    <w:rsid w:val="009A6EAB"/>
    <w:rsid w:val="009A724B"/>
    <w:rsid w:val="009A768A"/>
    <w:rsid w:val="009B00A0"/>
    <w:rsid w:val="009B00C0"/>
    <w:rsid w:val="009B02ED"/>
    <w:rsid w:val="009B044B"/>
    <w:rsid w:val="009B0ADE"/>
    <w:rsid w:val="009B0C2B"/>
    <w:rsid w:val="009B1106"/>
    <w:rsid w:val="009B1733"/>
    <w:rsid w:val="009B17D8"/>
    <w:rsid w:val="009B1C87"/>
    <w:rsid w:val="009B1FCD"/>
    <w:rsid w:val="009B219B"/>
    <w:rsid w:val="009B22EA"/>
    <w:rsid w:val="009B24B2"/>
    <w:rsid w:val="009B28D8"/>
    <w:rsid w:val="009B2973"/>
    <w:rsid w:val="009B2D9A"/>
    <w:rsid w:val="009B2E17"/>
    <w:rsid w:val="009B2E68"/>
    <w:rsid w:val="009B3056"/>
    <w:rsid w:val="009B34C1"/>
    <w:rsid w:val="009B3617"/>
    <w:rsid w:val="009B3774"/>
    <w:rsid w:val="009B390E"/>
    <w:rsid w:val="009B3A00"/>
    <w:rsid w:val="009B3B04"/>
    <w:rsid w:val="009B40A6"/>
    <w:rsid w:val="009B4382"/>
    <w:rsid w:val="009B493B"/>
    <w:rsid w:val="009B4CE5"/>
    <w:rsid w:val="009B4FD4"/>
    <w:rsid w:val="009B57E8"/>
    <w:rsid w:val="009B5DE6"/>
    <w:rsid w:val="009B60EE"/>
    <w:rsid w:val="009B6217"/>
    <w:rsid w:val="009B6475"/>
    <w:rsid w:val="009B68E7"/>
    <w:rsid w:val="009B6FEA"/>
    <w:rsid w:val="009B7153"/>
    <w:rsid w:val="009B72D4"/>
    <w:rsid w:val="009B7426"/>
    <w:rsid w:val="009B7767"/>
    <w:rsid w:val="009B77FA"/>
    <w:rsid w:val="009B7E00"/>
    <w:rsid w:val="009B7EFA"/>
    <w:rsid w:val="009C0284"/>
    <w:rsid w:val="009C044C"/>
    <w:rsid w:val="009C0573"/>
    <w:rsid w:val="009C05F7"/>
    <w:rsid w:val="009C0A7E"/>
    <w:rsid w:val="009C0B28"/>
    <w:rsid w:val="009C0DCC"/>
    <w:rsid w:val="009C0FFC"/>
    <w:rsid w:val="009C1046"/>
    <w:rsid w:val="009C115D"/>
    <w:rsid w:val="009C1741"/>
    <w:rsid w:val="009C1807"/>
    <w:rsid w:val="009C1943"/>
    <w:rsid w:val="009C1E67"/>
    <w:rsid w:val="009C2015"/>
    <w:rsid w:val="009C209B"/>
    <w:rsid w:val="009C2829"/>
    <w:rsid w:val="009C2AB3"/>
    <w:rsid w:val="009C2ACD"/>
    <w:rsid w:val="009C2F9A"/>
    <w:rsid w:val="009C3513"/>
    <w:rsid w:val="009C37E9"/>
    <w:rsid w:val="009C3810"/>
    <w:rsid w:val="009C3977"/>
    <w:rsid w:val="009C3ED3"/>
    <w:rsid w:val="009C41EA"/>
    <w:rsid w:val="009C4452"/>
    <w:rsid w:val="009C4987"/>
    <w:rsid w:val="009C4D35"/>
    <w:rsid w:val="009C4E03"/>
    <w:rsid w:val="009C5096"/>
    <w:rsid w:val="009C50FB"/>
    <w:rsid w:val="009C5108"/>
    <w:rsid w:val="009C5239"/>
    <w:rsid w:val="009C54F1"/>
    <w:rsid w:val="009C552F"/>
    <w:rsid w:val="009C5622"/>
    <w:rsid w:val="009C5717"/>
    <w:rsid w:val="009C589F"/>
    <w:rsid w:val="009C6023"/>
    <w:rsid w:val="009C65EE"/>
    <w:rsid w:val="009C66CB"/>
    <w:rsid w:val="009C6973"/>
    <w:rsid w:val="009C70D0"/>
    <w:rsid w:val="009C70F1"/>
    <w:rsid w:val="009C7146"/>
    <w:rsid w:val="009C7592"/>
    <w:rsid w:val="009C7822"/>
    <w:rsid w:val="009C7CF7"/>
    <w:rsid w:val="009D0045"/>
    <w:rsid w:val="009D01C7"/>
    <w:rsid w:val="009D0222"/>
    <w:rsid w:val="009D051D"/>
    <w:rsid w:val="009D09DE"/>
    <w:rsid w:val="009D0AE7"/>
    <w:rsid w:val="009D0CA8"/>
    <w:rsid w:val="009D0EFB"/>
    <w:rsid w:val="009D0F95"/>
    <w:rsid w:val="009D1080"/>
    <w:rsid w:val="009D14E1"/>
    <w:rsid w:val="009D14F0"/>
    <w:rsid w:val="009D1535"/>
    <w:rsid w:val="009D174D"/>
    <w:rsid w:val="009D1A76"/>
    <w:rsid w:val="009D1B21"/>
    <w:rsid w:val="009D1B55"/>
    <w:rsid w:val="009D1FA1"/>
    <w:rsid w:val="009D21D8"/>
    <w:rsid w:val="009D245C"/>
    <w:rsid w:val="009D2B8C"/>
    <w:rsid w:val="009D333B"/>
    <w:rsid w:val="009D3428"/>
    <w:rsid w:val="009D3522"/>
    <w:rsid w:val="009D3E75"/>
    <w:rsid w:val="009D4356"/>
    <w:rsid w:val="009D488E"/>
    <w:rsid w:val="009D4946"/>
    <w:rsid w:val="009D4AD7"/>
    <w:rsid w:val="009D4C4B"/>
    <w:rsid w:val="009D4F07"/>
    <w:rsid w:val="009D52F1"/>
    <w:rsid w:val="009D5675"/>
    <w:rsid w:val="009D5787"/>
    <w:rsid w:val="009D5D3E"/>
    <w:rsid w:val="009D5E74"/>
    <w:rsid w:val="009D6878"/>
    <w:rsid w:val="009D692E"/>
    <w:rsid w:val="009D694C"/>
    <w:rsid w:val="009D6F1F"/>
    <w:rsid w:val="009D71DE"/>
    <w:rsid w:val="009D71ED"/>
    <w:rsid w:val="009D7679"/>
    <w:rsid w:val="009D76CD"/>
    <w:rsid w:val="009D788A"/>
    <w:rsid w:val="009D79B8"/>
    <w:rsid w:val="009E050A"/>
    <w:rsid w:val="009E08FA"/>
    <w:rsid w:val="009E093E"/>
    <w:rsid w:val="009E0AA1"/>
    <w:rsid w:val="009E1599"/>
    <w:rsid w:val="009E15C6"/>
    <w:rsid w:val="009E1E8F"/>
    <w:rsid w:val="009E2B78"/>
    <w:rsid w:val="009E2E64"/>
    <w:rsid w:val="009E2EF9"/>
    <w:rsid w:val="009E303E"/>
    <w:rsid w:val="009E3054"/>
    <w:rsid w:val="009E350D"/>
    <w:rsid w:val="009E37FE"/>
    <w:rsid w:val="009E3B03"/>
    <w:rsid w:val="009E3B92"/>
    <w:rsid w:val="009E3D63"/>
    <w:rsid w:val="009E3F75"/>
    <w:rsid w:val="009E43C3"/>
    <w:rsid w:val="009E48C4"/>
    <w:rsid w:val="009E53C0"/>
    <w:rsid w:val="009E53F8"/>
    <w:rsid w:val="009E5531"/>
    <w:rsid w:val="009E580A"/>
    <w:rsid w:val="009E58C4"/>
    <w:rsid w:val="009E5ABF"/>
    <w:rsid w:val="009E5EB7"/>
    <w:rsid w:val="009E6217"/>
    <w:rsid w:val="009E623C"/>
    <w:rsid w:val="009E632D"/>
    <w:rsid w:val="009E6411"/>
    <w:rsid w:val="009E6B2B"/>
    <w:rsid w:val="009E6EB2"/>
    <w:rsid w:val="009E7205"/>
    <w:rsid w:val="009E727F"/>
    <w:rsid w:val="009E72C0"/>
    <w:rsid w:val="009E7493"/>
    <w:rsid w:val="009E76A7"/>
    <w:rsid w:val="009E76E7"/>
    <w:rsid w:val="009E7807"/>
    <w:rsid w:val="009E7A6A"/>
    <w:rsid w:val="009E7AF8"/>
    <w:rsid w:val="009E7B0E"/>
    <w:rsid w:val="009E7D4E"/>
    <w:rsid w:val="009E7E19"/>
    <w:rsid w:val="009F0312"/>
    <w:rsid w:val="009F04B7"/>
    <w:rsid w:val="009F062B"/>
    <w:rsid w:val="009F08E6"/>
    <w:rsid w:val="009F0C72"/>
    <w:rsid w:val="009F0EF6"/>
    <w:rsid w:val="009F1199"/>
    <w:rsid w:val="009F127D"/>
    <w:rsid w:val="009F1656"/>
    <w:rsid w:val="009F1C6A"/>
    <w:rsid w:val="009F1DDB"/>
    <w:rsid w:val="009F20EC"/>
    <w:rsid w:val="009F276A"/>
    <w:rsid w:val="009F2915"/>
    <w:rsid w:val="009F29D0"/>
    <w:rsid w:val="009F2A4F"/>
    <w:rsid w:val="009F2C48"/>
    <w:rsid w:val="009F3147"/>
    <w:rsid w:val="009F337C"/>
    <w:rsid w:val="009F352A"/>
    <w:rsid w:val="009F394D"/>
    <w:rsid w:val="009F397C"/>
    <w:rsid w:val="009F39B0"/>
    <w:rsid w:val="009F3D85"/>
    <w:rsid w:val="009F4008"/>
    <w:rsid w:val="009F414C"/>
    <w:rsid w:val="009F4270"/>
    <w:rsid w:val="009F4392"/>
    <w:rsid w:val="009F4643"/>
    <w:rsid w:val="009F46E4"/>
    <w:rsid w:val="009F4977"/>
    <w:rsid w:val="009F499C"/>
    <w:rsid w:val="009F49E8"/>
    <w:rsid w:val="009F4A66"/>
    <w:rsid w:val="009F4DCA"/>
    <w:rsid w:val="009F5CD6"/>
    <w:rsid w:val="009F5D67"/>
    <w:rsid w:val="009F62D3"/>
    <w:rsid w:val="009F6724"/>
    <w:rsid w:val="009F68D8"/>
    <w:rsid w:val="009F6E4A"/>
    <w:rsid w:val="009F6E5B"/>
    <w:rsid w:val="009F6E60"/>
    <w:rsid w:val="009F704F"/>
    <w:rsid w:val="009F710D"/>
    <w:rsid w:val="009F75B1"/>
    <w:rsid w:val="009F76A4"/>
    <w:rsid w:val="009F7B4A"/>
    <w:rsid w:val="009F7BD6"/>
    <w:rsid w:val="009F7DEF"/>
    <w:rsid w:val="009F7FC7"/>
    <w:rsid w:val="009F7FFE"/>
    <w:rsid w:val="00A00069"/>
    <w:rsid w:val="00A00398"/>
    <w:rsid w:val="00A00816"/>
    <w:rsid w:val="00A00A33"/>
    <w:rsid w:val="00A00A79"/>
    <w:rsid w:val="00A00C13"/>
    <w:rsid w:val="00A00D18"/>
    <w:rsid w:val="00A012EB"/>
    <w:rsid w:val="00A0147B"/>
    <w:rsid w:val="00A016D5"/>
    <w:rsid w:val="00A01B7B"/>
    <w:rsid w:val="00A01E18"/>
    <w:rsid w:val="00A01F4A"/>
    <w:rsid w:val="00A021FE"/>
    <w:rsid w:val="00A0243A"/>
    <w:rsid w:val="00A027F9"/>
    <w:rsid w:val="00A02C60"/>
    <w:rsid w:val="00A02F01"/>
    <w:rsid w:val="00A03207"/>
    <w:rsid w:val="00A0321E"/>
    <w:rsid w:val="00A03687"/>
    <w:rsid w:val="00A03762"/>
    <w:rsid w:val="00A03829"/>
    <w:rsid w:val="00A03A21"/>
    <w:rsid w:val="00A04138"/>
    <w:rsid w:val="00A04210"/>
    <w:rsid w:val="00A04479"/>
    <w:rsid w:val="00A04E7C"/>
    <w:rsid w:val="00A04FA2"/>
    <w:rsid w:val="00A051ED"/>
    <w:rsid w:val="00A05415"/>
    <w:rsid w:val="00A0578C"/>
    <w:rsid w:val="00A057BC"/>
    <w:rsid w:val="00A05B30"/>
    <w:rsid w:val="00A05CED"/>
    <w:rsid w:val="00A05D24"/>
    <w:rsid w:val="00A05DDF"/>
    <w:rsid w:val="00A05DFB"/>
    <w:rsid w:val="00A061AA"/>
    <w:rsid w:val="00A065C1"/>
    <w:rsid w:val="00A06630"/>
    <w:rsid w:val="00A06857"/>
    <w:rsid w:val="00A06A6C"/>
    <w:rsid w:val="00A06C15"/>
    <w:rsid w:val="00A06C27"/>
    <w:rsid w:val="00A06C6F"/>
    <w:rsid w:val="00A06D2E"/>
    <w:rsid w:val="00A0710D"/>
    <w:rsid w:val="00A07279"/>
    <w:rsid w:val="00A07491"/>
    <w:rsid w:val="00A0780F"/>
    <w:rsid w:val="00A07859"/>
    <w:rsid w:val="00A07871"/>
    <w:rsid w:val="00A078DE"/>
    <w:rsid w:val="00A07D90"/>
    <w:rsid w:val="00A07E9E"/>
    <w:rsid w:val="00A07FA3"/>
    <w:rsid w:val="00A10313"/>
    <w:rsid w:val="00A10465"/>
    <w:rsid w:val="00A106E4"/>
    <w:rsid w:val="00A107A1"/>
    <w:rsid w:val="00A108C4"/>
    <w:rsid w:val="00A10CE8"/>
    <w:rsid w:val="00A111E3"/>
    <w:rsid w:val="00A11516"/>
    <w:rsid w:val="00A11794"/>
    <w:rsid w:val="00A118D0"/>
    <w:rsid w:val="00A119B1"/>
    <w:rsid w:val="00A11A48"/>
    <w:rsid w:val="00A11A56"/>
    <w:rsid w:val="00A11C81"/>
    <w:rsid w:val="00A11D0F"/>
    <w:rsid w:val="00A1203B"/>
    <w:rsid w:val="00A12050"/>
    <w:rsid w:val="00A12140"/>
    <w:rsid w:val="00A12875"/>
    <w:rsid w:val="00A12A87"/>
    <w:rsid w:val="00A12D07"/>
    <w:rsid w:val="00A12E8E"/>
    <w:rsid w:val="00A139BE"/>
    <w:rsid w:val="00A13CDB"/>
    <w:rsid w:val="00A14250"/>
    <w:rsid w:val="00A14322"/>
    <w:rsid w:val="00A14335"/>
    <w:rsid w:val="00A1433A"/>
    <w:rsid w:val="00A1445B"/>
    <w:rsid w:val="00A14C16"/>
    <w:rsid w:val="00A14CB5"/>
    <w:rsid w:val="00A14D76"/>
    <w:rsid w:val="00A14E30"/>
    <w:rsid w:val="00A14F2B"/>
    <w:rsid w:val="00A14F5D"/>
    <w:rsid w:val="00A150DA"/>
    <w:rsid w:val="00A1577F"/>
    <w:rsid w:val="00A157AF"/>
    <w:rsid w:val="00A157C0"/>
    <w:rsid w:val="00A161D9"/>
    <w:rsid w:val="00A162BA"/>
    <w:rsid w:val="00A163AC"/>
    <w:rsid w:val="00A16507"/>
    <w:rsid w:val="00A16512"/>
    <w:rsid w:val="00A16796"/>
    <w:rsid w:val="00A167E0"/>
    <w:rsid w:val="00A16892"/>
    <w:rsid w:val="00A16AED"/>
    <w:rsid w:val="00A16F28"/>
    <w:rsid w:val="00A171E4"/>
    <w:rsid w:val="00A172DE"/>
    <w:rsid w:val="00A17306"/>
    <w:rsid w:val="00A17327"/>
    <w:rsid w:val="00A1733F"/>
    <w:rsid w:val="00A174DE"/>
    <w:rsid w:val="00A17705"/>
    <w:rsid w:val="00A179AD"/>
    <w:rsid w:val="00A17DDD"/>
    <w:rsid w:val="00A20008"/>
    <w:rsid w:val="00A201B7"/>
    <w:rsid w:val="00A201BD"/>
    <w:rsid w:val="00A201F9"/>
    <w:rsid w:val="00A20863"/>
    <w:rsid w:val="00A20D7D"/>
    <w:rsid w:val="00A20F27"/>
    <w:rsid w:val="00A2125D"/>
    <w:rsid w:val="00A212E9"/>
    <w:rsid w:val="00A21306"/>
    <w:rsid w:val="00A216C2"/>
    <w:rsid w:val="00A21810"/>
    <w:rsid w:val="00A21CB9"/>
    <w:rsid w:val="00A21DF9"/>
    <w:rsid w:val="00A221AB"/>
    <w:rsid w:val="00A2244C"/>
    <w:rsid w:val="00A226A7"/>
    <w:rsid w:val="00A226C6"/>
    <w:rsid w:val="00A22D24"/>
    <w:rsid w:val="00A22F47"/>
    <w:rsid w:val="00A230B2"/>
    <w:rsid w:val="00A2310D"/>
    <w:rsid w:val="00A232B7"/>
    <w:rsid w:val="00A23A39"/>
    <w:rsid w:val="00A23B97"/>
    <w:rsid w:val="00A23D34"/>
    <w:rsid w:val="00A23E9E"/>
    <w:rsid w:val="00A24493"/>
    <w:rsid w:val="00A2478A"/>
    <w:rsid w:val="00A24853"/>
    <w:rsid w:val="00A24920"/>
    <w:rsid w:val="00A24B38"/>
    <w:rsid w:val="00A25030"/>
    <w:rsid w:val="00A25159"/>
    <w:rsid w:val="00A2534F"/>
    <w:rsid w:val="00A25468"/>
    <w:rsid w:val="00A256E3"/>
    <w:rsid w:val="00A2576B"/>
    <w:rsid w:val="00A2589A"/>
    <w:rsid w:val="00A25A4F"/>
    <w:rsid w:val="00A25C7E"/>
    <w:rsid w:val="00A25E38"/>
    <w:rsid w:val="00A26034"/>
    <w:rsid w:val="00A260E5"/>
    <w:rsid w:val="00A262D7"/>
    <w:rsid w:val="00A26B4A"/>
    <w:rsid w:val="00A26CBF"/>
    <w:rsid w:val="00A27038"/>
    <w:rsid w:val="00A270B1"/>
    <w:rsid w:val="00A274D1"/>
    <w:rsid w:val="00A275B2"/>
    <w:rsid w:val="00A2789D"/>
    <w:rsid w:val="00A279D7"/>
    <w:rsid w:val="00A27D13"/>
    <w:rsid w:val="00A27F14"/>
    <w:rsid w:val="00A30224"/>
    <w:rsid w:val="00A3030D"/>
    <w:rsid w:val="00A30397"/>
    <w:rsid w:val="00A306E5"/>
    <w:rsid w:val="00A30726"/>
    <w:rsid w:val="00A30EA6"/>
    <w:rsid w:val="00A310F7"/>
    <w:rsid w:val="00A3114E"/>
    <w:rsid w:val="00A31E5D"/>
    <w:rsid w:val="00A32051"/>
    <w:rsid w:val="00A32303"/>
    <w:rsid w:val="00A3239B"/>
    <w:rsid w:val="00A3243E"/>
    <w:rsid w:val="00A32489"/>
    <w:rsid w:val="00A32680"/>
    <w:rsid w:val="00A32A86"/>
    <w:rsid w:val="00A32B8A"/>
    <w:rsid w:val="00A33040"/>
    <w:rsid w:val="00A33334"/>
    <w:rsid w:val="00A33589"/>
    <w:rsid w:val="00A3364F"/>
    <w:rsid w:val="00A3370C"/>
    <w:rsid w:val="00A338D9"/>
    <w:rsid w:val="00A33B0E"/>
    <w:rsid w:val="00A33C0A"/>
    <w:rsid w:val="00A33D73"/>
    <w:rsid w:val="00A33E84"/>
    <w:rsid w:val="00A34113"/>
    <w:rsid w:val="00A3431B"/>
    <w:rsid w:val="00A3462B"/>
    <w:rsid w:val="00A346B3"/>
    <w:rsid w:val="00A34A18"/>
    <w:rsid w:val="00A34ACF"/>
    <w:rsid w:val="00A34B25"/>
    <w:rsid w:val="00A34F91"/>
    <w:rsid w:val="00A3517A"/>
    <w:rsid w:val="00A3523B"/>
    <w:rsid w:val="00A35EAA"/>
    <w:rsid w:val="00A3610B"/>
    <w:rsid w:val="00A363AD"/>
    <w:rsid w:val="00A36404"/>
    <w:rsid w:val="00A36A5D"/>
    <w:rsid w:val="00A36BAB"/>
    <w:rsid w:val="00A37946"/>
    <w:rsid w:val="00A37D52"/>
    <w:rsid w:val="00A37F18"/>
    <w:rsid w:val="00A403E5"/>
    <w:rsid w:val="00A403F3"/>
    <w:rsid w:val="00A405DC"/>
    <w:rsid w:val="00A40BA4"/>
    <w:rsid w:val="00A40D4F"/>
    <w:rsid w:val="00A410B5"/>
    <w:rsid w:val="00A4119F"/>
    <w:rsid w:val="00A41710"/>
    <w:rsid w:val="00A41AB5"/>
    <w:rsid w:val="00A41D36"/>
    <w:rsid w:val="00A41DFE"/>
    <w:rsid w:val="00A41EBA"/>
    <w:rsid w:val="00A421A7"/>
    <w:rsid w:val="00A42321"/>
    <w:rsid w:val="00A4240B"/>
    <w:rsid w:val="00A42729"/>
    <w:rsid w:val="00A42ACF"/>
    <w:rsid w:val="00A42CA2"/>
    <w:rsid w:val="00A42D12"/>
    <w:rsid w:val="00A42D5B"/>
    <w:rsid w:val="00A42EC1"/>
    <w:rsid w:val="00A42FE6"/>
    <w:rsid w:val="00A433EE"/>
    <w:rsid w:val="00A436AA"/>
    <w:rsid w:val="00A43A9F"/>
    <w:rsid w:val="00A43D5A"/>
    <w:rsid w:val="00A441F5"/>
    <w:rsid w:val="00A4435D"/>
    <w:rsid w:val="00A44AE2"/>
    <w:rsid w:val="00A44B08"/>
    <w:rsid w:val="00A44B78"/>
    <w:rsid w:val="00A44F0D"/>
    <w:rsid w:val="00A44F4C"/>
    <w:rsid w:val="00A45534"/>
    <w:rsid w:val="00A456C3"/>
    <w:rsid w:val="00A45A9A"/>
    <w:rsid w:val="00A45ACB"/>
    <w:rsid w:val="00A45BE9"/>
    <w:rsid w:val="00A45FF2"/>
    <w:rsid w:val="00A467BF"/>
    <w:rsid w:val="00A46B29"/>
    <w:rsid w:val="00A46B60"/>
    <w:rsid w:val="00A46CFF"/>
    <w:rsid w:val="00A46F16"/>
    <w:rsid w:val="00A47121"/>
    <w:rsid w:val="00A475DE"/>
    <w:rsid w:val="00A47782"/>
    <w:rsid w:val="00A47927"/>
    <w:rsid w:val="00A47B3D"/>
    <w:rsid w:val="00A47C51"/>
    <w:rsid w:val="00A47F75"/>
    <w:rsid w:val="00A502F7"/>
    <w:rsid w:val="00A505E4"/>
    <w:rsid w:val="00A5068B"/>
    <w:rsid w:val="00A508B9"/>
    <w:rsid w:val="00A50902"/>
    <w:rsid w:val="00A50D52"/>
    <w:rsid w:val="00A50F32"/>
    <w:rsid w:val="00A51288"/>
    <w:rsid w:val="00A515DD"/>
    <w:rsid w:val="00A51ABA"/>
    <w:rsid w:val="00A51B16"/>
    <w:rsid w:val="00A51BC5"/>
    <w:rsid w:val="00A51CE2"/>
    <w:rsid w:val="00A5201B"/>
    <w:rsid w:val="00A524FC"/>
    <w:rsid w:val="00A52639"/>
    <w:rsid w:val="00A526B1"/>
    <w:rsid w:val="00A52707"/>
    <w:rsid w:val="00A5276D"/>
    <w:rsid w:val="00A529BB"/>
    <w:rsid w:val="00A52B3C"/>
    <w:rsid w:val="00A52B99"/>
    <w:rsid w:val="00A5306F"/>
    <w:rsid w:val="00A531B2"/>
    <w:rsid w:val="00A5327C"/>
    <w:rsid w:val="00A5341E"/>
    <w:rsid w:val="00A534A2"/>
    <w:rsid w:val="00A53548"/>
    <w:rsid w:val="00A537FA"/>
    <w:rsid w:val="00A5387A"/>
    <w:rsid w:val="00A53892"/>
    <w:rsid w:val="00A538DF"/>
    <w:rsid w:val="00A53D10"/>
    <w:rsid w:val="00A5431B"/>
    <w:rsid w:val="00A54D7C"/>
    <w:rsid w:val="00A54EC3"/>
    <w:rsid w:val="00A54FEB"/>
    <w:rsid w:val="00A55C0A"/>
    <w:rsid w:val="00A56087"/>
    <w:rsid w:val="00A561C0"/>
    <w:rsid w:val="00A56399"/>
    <w:rsid w:val="00A56942"/>
    <w:rsid w:val="00A56985"/>
    <w:rsid w:val="00A56F05"/>
    <w:rsid w:val="00A56F1E"/>
    <w:rsid w:val="00A56FA5"/>
    <w:rsid w:val="00A571D7"/>
    <w:rsid w:val="00A5722B"/>
    <w:rsid w:val="00A57336"/>
    <w:rsid w:val="00A574BC"/>
    <w:rsid w:val="00A575AB"/>
    <w:rsid w:val="00A575B6"/>
    <w:rsid w:val="00A578A9"/>
    <w:rsid w:val="00A57A22"/>
    <w:rsid w:val="00A60430"/>
    <w:rsid w:val="00A60959"/>
    <w:rsid w:val="00A60A3E"/>
    <w:rsid w:val="00A610FC"/>
    <w:rsid w:val="00A6123A"/>
    <w:rsid w:val="00A613A3"/>
    <w:rsid w:val="00A613B2"/>
    <w:rsid w:val="00A615D1"/>
    <w:rsid w:val="00A616F7"/>
    <w:rsid w:val="00A61B48"/>
    <w:rsid w:val="00A61CC0"/>
    <w:rsid w:val="00A61D75"/>
    <w:rsid w:val="00A61FE1"/>
    <w:rsid w:val="00A61FF4"/>
    <w:rsid w:val="00A621DF"/>
    <w:rsid w:val="00A62522"/>
    <w:rsid w:val="00A62AEC"/>
    <w:rsid w:val="00A62AFB"/>
    <w:rsid w:val="00A6326F"/>
    <w:rsid w:val="00A635B5"/>
    <w:rsid w:val="00A63621"/>
    <w:rsid w:val="00A637BF"/>
    <w:rsid w:val="00A63843"/>
    <w:rsid w:val="00A638DB"/>
    <w:rsid w:val="00A63A1B"/>
    <w:rsid w:val="00A63E08"/>
    <w:rsid w:val="00A63EFB"/>
    <w:rsid w:val="00A642F8"/>
    <w:rsid w:val="00A64565"/>
    <w:rsid w:val="00A647DE"/>
    <w:rsid w:val="00A6496F"/>
    <w:rsid w:val="00A64AE1"/>
    <w:rsid w:val="00A64DD6"/>
    <w:rsid w:val="00A6515F"/>
    <w:rsid w:val="00A651AA"/>
    <w:rsid w:val="00A65543"/>
    <w:rsid w:val="00A65D41"/>
    <w:rsid w:val="00A65D9A"/>
    <w:rsid w:val="00A65E1B"/>
    <w:rsid w:val="00A65E1F"/>
    <w:rsid w:val="00A65F12"/>
    <w:rsid w:val="00A65F34"/>
    <w:rsid w:val="00A661A1"/>
    <w:rsid w:val="00A661BE"/>
    <w:rsid w:val="00A662D4"/>
    <w:rsid w:val="00A663BB"/>
    <w:rsid w:val="00A66631"/>
    <w:rsid w:val="00A66E30"/>
    <w:rsid w:val="00A66E6E"/>
    <w:rsid w:val="00A66EE2"/>
    <w:rsid w:val="00A670EA"/>
    <w:rsid w:val="00A6711C"/>
    <w:rsid w:val="00A67333"/>
    <w:rsid w:val="00A67645"/>
    <w:rsid w:val="00A67ACA"/>
    <w:rsid w:val="00A67B63"/>
    <w:rsid w:val="00A67ECF"/>
    <w:rsid w:val="00A70106"/>
    <w:rsid w:val="00A70113"/>
    <w:rsid w:val="00A7016C"/>
    <w:rsid w:val="00A702A2"/>
    <w:rsid w:val="00A70378"/>
    <w:rsid w:val="00A70453"/>
    <w:rsid w:val="00A705C7"/>
    <w:rsid w:val="00A7074C"/>
    <w:rsid w:val="00A70840"/>
    <w:rsid w:val="00A709AE"/>
    <w:rsid w:val="00A70FAE"/>
    <w:rsid w:val="00A7130E"/>
    <w:rsid w:val="00A713DD"/>
    <w:rsid w:val="00A71420"/>
    <w:rsid w:val="00A715D6"/>
    <w:rsid w:val="00A71ACC"/>
    <w:rsid w:val="00A71BE0"/>
    <w:rsid w:val="00A72558"/>
    <w:rsid w:val="00A726C5"/>
    <w:rsid w:val="00A72D2D"/>
    <w:rsid w:val="00A73AB6"/>
    <w:rsid w:val="00A74131"/>
    <w:rsid w:val="00A74161"/>
    <w:rsid w:val="00A741F9"/>
    <w:rsid w:val="00A7428C"/>
    <w:rsid w:val="00A74B46"/>
    <w:rsid w:val="00A74BE3"/>
    <w:rsid w:val="00A74E3D"/>
    <w:rsid w:val="00A74F8B"/>
    <w:rsid w:val="00A7503C"/>
    <w:rsid w:val="00A75670"/>
    <w:rsid w:val="00A75827"/>
    <w:rsid w:val="00A75867"/>
    <w:rsid w:val="00A758DD"/>
    <w:rsid w:val="00A759C1"/>
    <w:rsid w:val="00A75A18"/>
    <w:rsid w:val="00A76124"/>
    <w:rsid w:val="00A7644A"/>
    <w:rsid w:val="00A76728"/>
    <w:rsid w:val="00A76A6A"/>
    <w:rsid w:val="00A76A80"/>
    <w:rsid w:val="00A77398"/>
    <w:rsid w:val="00A77769"/>
    <w:rsid w:val="00A77805"/>
    <w:rsid w:val="00A77BBF"/>
    <w:rsid w:val="00A77BEA"/>
    <w:rsid w:val="00A77E95"/>
    <w:rsid w:val="00A77FE1"/>
    <w:rsid w:val="00A77FF0"/>
    <w:rsid w:val="00A8003F"/>
    <w:rsid w:val="00A80151"/>
    <w:rsid w:val="00A801D7"/>
    <w:rsid w:val="00A8048E"/>
    <w:rsid w:val="00A804F1"/>
    <w:rsid w:val="00A807D6"/>
    <w:rsid w:val="00A80BB9"/>
    <w:rsid w:val="00A81892"/>
    <w:rsid w:val="00A818BF"/>
    <w:rsid w:val="00A819D4"/>
    <w:rsid w:val="00A81B22"/>
    <w:rsid w:val="00A81C90"/>
    <w:rsid w:val="00A81D48"/>
    <w:rsid w:val="00A81D54"/>
    <w:rsid w:val="00A81D8B"/>
    <w:rsid w:val="00A81DFF"/>
    <w:rsid w:val="00A8214A"/>
    <w:rsid w:val="00A82218"/>
    <w:rsid w:val="00A82229"/>
    <w:rsid w:val="00A823F0"/>
    <w:rsid w:val="00A82730"/>
    <w:rsid w:val="00A8279D"/>
    <w:rsid w:val="00A827A0"/>
    <w:rsid w:val="00A829DD"/>
    <w:rsid w:val="00A83079"/>
    <w:rsid w:val="00A832CD"/>
    <w:rsid w:val="00A83760"/>
    <w:rsid w:val="00A8396E"/>
    <w:rsid w:val="00A83AAC"/>
    <w:rsid w:val="00A83B3B"/>
    <w:rsid w:val="00A83B52"/>
    <w:rsid w:val="00A83E4B"/>
    <w:rsid w:val="00A83E6B"/>
    <w:rsid w:val="00A83F5A"/>
    <w:rsid w:val="00A84189"/>
    <w:rsid w:val="00A84859"/>
    <w:rsid w:val="00A848E8"/>
    <w:rsid w:val="00A84999"/>
    <w:rsid w:val="00A849A9"/>
    <w:rsid w:val="00A84C98"/>
    <w:rsid w:val="00A8508C"/>
    <w:rsid w:val="00A85848"/>
    <w:rsid w:val="00A85E6F"/>
    <w:rsid w:val="00A85E75"/>
    <w:rsid w:val="00A85F46"/>
    <w:rsid w:val="00A8669E"/>
    <w:rsid w:val="00A86A01"/>
    <w:rsid w:val="00A86A67"/>
    <w:rsid w:val="00A86F4B"/>
    <w:rsid w:val="00A86FD3"/>
    <w:rsid w:val="00A8725F"/>
    <w:rsid w:val="00A8745D"/>
    <w:rsid w:val="00A87543"/>
    <w:rsid w:val="00A87BC2"/>
    <w:rsid w:val="00A87C6D"/>
    <w:rsid w:val="00A87F01"/>
    <w:rsid w:val="00A90575"/>
    <w:rsid w:val="00A9069D"/>
    <w:rsid w:val="00A906CA"/>
    <w:rsid w:val="00A911DC"/>
    <w:rsid w:val="00A91330"/>
    <w:rsid w:val="00A91538"/>
    <w:rsid w:val="00A9173E"/>
    <w:rsid w:val="00A918CC"/>
    <w:rsid w:val="00A91965"/>
    <w:rsid w:val="00A91F2A"/>
    <w:rsid w:val="00A91F70"/>
    <w:rsid w:val="00A923F5"/>
    <w:rsid w:val="00A924C9"/>
    <w:rsid w:val="00A924F5"/>
    <w:rsid w:val="00A9267E"/>
    <w:rsid w:val="00A92AD1"/>
    <w:rsid w:val="00A92BC6"/>
    <w:rsid w:val="00A92D03"/>
    <w:rsid w:val="00A92D76"/>
    <w:rsid w:val="00A93514"/>
    <w:rsid w:val="00A938D1"/>
    <w:rsid w:val="00A938DE"/>
    <w:rsid w:val="00A9399B"/>
    <w:rsid w:val="00A939C9"/>
    <w:rsid w:val="00A93BDA"/>
    <w:rsid w:val="00A93C13"/>
    <w:rsid w:val="00A93CFF"/>
    <w:rsid w:val="00A9447E"/>
    <w:rsid w:val="00A94686"/>
    <w:rsid w:val="00A94706"/>
    <w:rsid w:val="00A94AA6"/>
    <w:rsid w:val="00A94B72"/>
    <w:rsid w:val="00A94BD6"/>
    <w:rsid w:val="00A94CD2"/>
    <w:rsid w:val="00A94D04"/>
    <w:rsid w:val="00A94D17"/>
    <w:rsid w:val="00A94DA5"/>
    <w:rsid w:val="00A94FE0"/>
    <w:rsid w:val="00A9547F"/>
    <w:rsid w:val="00A95576"/>
    <w:rsid w:val="00A95C9A"/>
    <w:rsid w:val="00A96012"/>
    <w:rsid w:val="00A961DE"/>
    <w:rsid w:val="00A964C1"/>
    <w:rsid w:val="00A970D8"/>
    <w:rsid w:val="00A9723D"/>
    <w:rsid w:val="00A97874"/>
    <w:rsid w:val="00A979E3"/>
    <w:rsid w:val="00A97BE1"/>
    <w:rsid w:val="00A97C7B"/>
    <w:rsid w:val="00A97F39"/>
    <w:rsid w:val="00AA04D0"/>
    <w:rsid w:val="00AA0564"/>
    <w:rsid w:val="00AA05A2"/>
    <w:rsid w:val="00AA0767"/>
    <w:rsid w:val="00AA0A12"/>
    <w:rsid w:val="00AA0A1B"/>
    <w:rsid w:val="00AA0A25"/>
    <w:rsid w:val="00AA0C3F"/>
    <w:rsid w:val="00AA0F68"/>
    <w:rsid w:val="00AA13B3"/>
    <w:rsid w:val="00AA153B"/>
    <w:rsid w:val="00AA15CE"/>
    <w:rsid w:val="00AA162F"/>
    <w:rsid w:val="00AA189A"/>
    <w:rsid w:val="00AA1C33"/>
    <w:rsid w:val="00AA1DA7"/>
    <w:rsid w:val="00AA2046"/>
    <w:rsid w:val="00AA20F7"/>
    <w:rsid w:val="00AA23B7"/>
    <w:rsid w:val="00AA25F7"/>
    <w:rsid w:val="00AA2B94"/>
    <w:rsid w:val="00AA2BDB"/>
    <w:rsid w:val="00AA2CB6"/>
    <w:rsid w:val="00AA350B"/>
    <w:rsid w:val="00AA3804"/>
    <w:rsid w:val="00AA3D68"/>
    <w:rsid w:val="00AA427D"/>
    <w:rsid w:val="00AA45BC"/>
    <w:rsid w:val="00AA4664"/>
    <w:rsid w:val="00AA480A"/>
    <w:rsid w:val="00AA4C6D"/>
    <w:rsid w:val="00AA4C9C"/>
    <w:rsid w:val="00AA4E67"/>
    <w:rsid w:val="00AA5212"/>
    <w:rsid w:val="00AA5282"/>
    <w:rsid w:val="00AA57C0"/>
    <w:rsid w:val="00AA5BB5"/>
    <w:rsid w:val="00AA5D07"/>
    <w:rsid w:val="00AA5D2A"/>
    <w:rsid w:val="00AA5E13"/>
    <w:rsid w:val="00AA5E1E"/>
    <w:rsid w:val="00AA6566"/>
    <w:rsid w:val="00AA6782"/>
    <w:rsid w:val="00AA6913"/>
    <w:rsid w:val="00AA6BC4"/>
    <w:rsid w:val="00AA6CFB"/>
    <w:rsid w:val="00AA71CA"/>
    <w:rsid w:val="00AA7B05"/>
    <w:rsid w:val="00AA7B3D"/>
    <w:rsid w:val="00AA7BDB"/>
    <w:rsid w:val="00AB046B"/>
    <w:rsid w:val="00AB050E"/>
    <w:rsid w:val="00AB0A0E"/>
    <w:rsid w:val="00AB0A35"/>
    <w:rsid w:val="00AB0A8B"/>
    <w:rsid w:val="00AB0B98"/>
    <w:rsid w:val="00AB0C1F"/>
    <w:rsid w:val="00AB0E4B"/>
    <w:rsid w:val="00AB0EB0"/>
    <w:rsid w:val="00AB10FD"/>
    <w:rsid w:val="00AB1277"/>
    <w:rsid w:val="00AB1570"/>
    <w:rsid w:val="00AB17F7"/>
    <w:rsid w:val="00AB1AD2"/>
    <w:rsid w:val="00AB1E18"/>
    <w:rsid w:val="00AB22EE"/>
    <w:rsid w:val="00AB2344"/>
    <w:rsid w:val="00AB285C"/>
    <w:rsid w:val="00AB2978"/>
    <w:rsid w:val="00AB29F3"/>
    <w:rsid w:val="00AB2F29"/>
    <w:rsid w:val="00AB3366"/>
    <w:rsid w:val="00AB35E8"/>
    <w:rsid w:val="00AB38FB"/>
    <w:rsid w:val="00AB3AE8"/>
    <w:rsid w:val="00AB3B27"/>
    <w:rsid w:val="00AB3BA7"/>
    <w:rsid w:val="00AB4503"/>
    <w:rsid w:val="00AB45E8"/>
    <w:rsid w:val="00AB46B5"/>
    <w:rsid w:val="00AB4748"/>
    <w:rsid w:val="00AB4ACC"/>
    <w:rsid w:val="00AB4DFC"/>
    <w:rsid w:val="00AB4E60"/>
    <w:rsid w:val="00AB4F21"/>
    <w:rsid w:val="00AB51B2"/>
    <w:rsid w:val="00AB51FE"/>
    <w:rsid w:val="00AB565E"/>
    <w:rsid w:val="00AB5738"/>
    <w:rsid w:val="00AB5B36"/>
    <w:rsid w:val="00AB5C1C"/>
    <w:rsid w:val="00AB5CE8"/>
    <w:rsid w:val="00AB5F65"/>
    <w:rsid w:val="00AB637C"/>
    <w:rsid w:val="00AB6872"/>
    <w:rsid w:val="00AB6A4C"/>
    <w:rsid w:val="00AB6B2C"/>
    <w:rsid w:val="00AB6C01"/>
    <w:rsid w:val="00AB6E6F"/>
    <w:rsid w:val="00AB6F19"/>
    <w:rsid w:val="00AB6F3D"/>
    <w:rsid w:val="00AB6F51"/>
    <w:rsid w:val="00AB7A6F"/>
    <w:rsid w:val="00AB7BC7"/>
    <w:rsid w:val="00AC04D5"/>
    <w:rsid w:val="00AC05C9"/>
    <w:rsid w:val="00AC0AB5"/>
    <w:rsid w:val="00AC127A"/>
    <w:rsid w:val="00AC1403"/>
    <w:rsid w:val="00AC16DB"/>
    <w:rsid w:val="00AC19F8"/>
    <w:rsid w:val="00AC1B29"/>
    <w:rsid w:val="00AC201D"/>
    <w:rsid w:val="00AC211F"/>
    <w:rsid w:val="00AC256F"/>
    <w:rsid w:val="00AC2683"/>
    <w:rsid w:val="00AC2AA0"/>
    <w:rsid w:val="00AC2DA4"/>
    <w:rsid w:val="00AC2E85"/>
    <w:rsid w:val="00AC3043"/>
    <w:rsid w:val="00AC30DB"/>
    <w:rsid w:val="00AC3204"/>
    <w:rsid w:val="00AC3331"/>
    <w:rsid w:val="00AC338C"/>
    <w:rsid w:val="00AC363F"/>
    <w:rsid w:val="00AC3667"/>
    <w:rsid w:val="00AC4070"/>
    <w:rsid w:val="00AC4867"/>
    <w:rsid w:val="00AC487D"/>
    <w:rsid w:val="00AC48FA"/>
    <w:rsid w:val="00AC49A1"/>
    <w:rsid w:val="00AC49DA"/>
    <w:rsid w:val="00AC4AE1"/>
    <w:rsid w:val="00AC4BDC"/>
    <w:rsid w:val="00AC4D69"/>
    <w:rsid w:val="00AC4D80"/>
    <w:rsid w:val="00AC4F98"/>
    <w:rsid w:val="00AC5338"/>
    <w:rsid w:val="00AC5577"/>
    <w:rsid w:val="00AC57B8"/>
    <w:rsid w:val="00AC59FD"/>
    <w:rsid w:val="00AC5AA6"/>
    <w:rsid w:val="00AC5AD6"/>
    <w:rsid w:val="00AC5AF6"/>
    <w:rsid w:val="00AC5CDE"/>
    <w:rsid w:val="00AC5F1B"/>
    <w:rsid w:val="00AC5F2E"/>
    <w:rsid w:val="00AC622F"/>
    <w:rsid w:val="00AC646A"/>
    <w:rsid w:val="00AC66D7"/>
    <w:rsid w:val="00AC68DE"/>
    <w:rsid w:val="00AC6F89"/>
    <w:rsid w:val="00AC6F95"/>
    <w:rsid w:val="00AC7012"/>
    <w:rsid w:val="00AC71A3"/>
    <w:rsid w:val="00AC7261"/>
    <w:rsid w:val="00AC737E"/>
    <w:rsid w:val="00AC7394"/>
    <w:rsid w:val="00AC73B8"/>
    <w:rsid w:val="00AC75E1"/>
    <w:rsid w:val="00AD03D1"/>
    <w:rsid w:val="00AD043E"/>
    <w:rsid w:val="00AD0542"/>
    <w:rsid w:val="00AD05D6"/>
    <w:rsid w:val="00AD0B2E"/>
    <w:rsid w:val="00AD0F57"/>
    <w:rsid w:val="00AD103D"/>
    <w:rsid w:val="00AD1458"/>
    <w:rsid w:val="00AD14DA"/>
    <w:rsid w:val="00AD16DB"/>
    <w:rsid w:val="00AD19A6"/>
    <w:rsid w:val="00AD1E94"/>
    <w:rsid w:val="00AD2B4E"/>
    <w:rsid w:val="00AD2D0B"/>
    <w:rsid w:val="00AD2DB2"/>
    <w:rsid w:val="00AD3446"/>
    <w:rsid w:val="00AD3489"/>
    <w:rsid w:val="00AD3933"/>
    <w:rsid w:val="00AD3A33"/>
    <w:rsid w:val="00AD3B89"/>
    <w:rsid w:val="00AD3F49"/>
    <w:rsid w:val="00AD408C"/>
    <w:rsid w:val="00AD4695"/>
    <w:rsid w:val="00AD47AB"/>
    <w:rsid w:val="00AD4B42"/>
    <w:rsid w:val="00AD5067"/>
    <w:rsid w:val="00AD50F5"/>
    <w:rsid w:val="00AD517C"/>
    <w:rsid w:val="00AD51F1"/>
    <w:rsid w:val="00AD52DE"/>
    <w:rsid w:val="00AD5476"/>
    <w:rsid w:val="00AD576C"/>
    <w:rsid w:val="00AD5791"/>
    <w:rsid w:val="00AD57E8"/>
    <w:rsid w:val="00AD5989"/>
    <w:rsid w:val="00AD5A88"/>
    <w:rsid w:val="00AD5EDF"/>
    <w:rsid w:val="00AD64FC"/>
    <w:rsid w:val="00AD6572"/>
    <w:rsid w:val="00AD65D7"/>
    <w:rsid w:val="00AD6698"/>
    <w:rsid w:val="00AD6864"/>
    <w:rsid w:val="00AD6A45"/>
    <w:rsid w:val="00AD6EF3"/>
    <w:rsid w:val="00AD742B"/>
    <w:rsid w:val="00AD76CF"/>
    <w:rsid w:val="00AD7868"/>
    <w:rsid w:val="00AD7981"/>
    <w:rsid w:val="00AD7B85"/>
    <w:rsid w:val="00AE0141"/>
    <w:rsid w:val="00AE0304"/>
    <w:rsid w:val="00AE054C"/>
    <w:rsid w:val="00AE0638"/>
    <w:rsid w:val="00AE0A57"/>
    <w:rsid w:val="00AE1220"/>
    <w:rsid w:val="00AE18A5"/>
    <w:rsid w:val="00AE1A0E"/>
    <w:rsid w:val="00AE1A62"/>
    <w:rsid w:val="00AE1BC3"/>
    <w:rsid w:val="00AE1E99"/>
    <w:rsid w:val="00AE1F62"/>
    <w:rsid w:val="00AE1F6B"/>
    <w:rsid w:val="00AE2092"/>
    <w:rsid w:val="00AE2362"/>
    <w:rsid w:val="00AE2365"/>
    <w:rsid w:val="00AE2369"/>
    <w:rsid w:val="00AE2667"/>
    <w:rsid w:val="00AE2C61"/>
    <w:rsid w:val="00AE2DB3"/>
    <w:rsid w:val="00AE3232"/>
    <w:rsid w:val="00AE328D"/>
    <w:rsid w:val="00AE3390"/>
    <w:rsid w:val="00AE36CB"/>
    <w:rsid w:val="00AE387A"/>
    <w:rsid w:val="00AE390E"/>
    <w:rsid w:val="00AE3A58"/>
    <w:rsid w:val="00AE3BCA"/>
    <w:rsid w:val="00AE3C34"/>
    <w:rsid w:val="00AE411A"/>
    <w:rsid w:val="00AE4366"/>
    <w:rsid w:val="00AE480E"/>
    <w:rsid w:val="00AE48AB"/>
    <w:rsid w:val="00AE4B4A"/>
    <w:rsid w:val="00AE4D15"/>
    <w:rsid w:val="00AE4D1E"/>
    <w:rsid w:val="00AE4EDD"/>
    <w:rsid w:val="00AE4F81"/>
    <w:rsid w:val="00AE514D"/>
    <w:rsid w:val="00AE5329"/>
    <w:rsid w:val="00AE5D1A"/>
    <w:rsid w:val="00AE5E54"/>
    <w:rsid w:val="00AE62FE"/>
    <w:rsid w:val="00AE687C"/>
    <w:rsid w:val="00AE6AA3"/>
    <w:rsid w:val="00AE6DB6"/>
    <w:rsid w:val="00AE6DF7"/>
    <w:rsid w:val="00AE7023"/>
    <w:rsid w:val="00AE7343"/>
    <w:rsid w:val="00AE749E"/>
    <w:rsid w:val="00AE74B9"/>
    <w:rsid w:val="00AE7A6B"/>
    <w:rsid w:val="00AE7FE2"/>
    <w:rsid w:val="00AE7FE5"/>
    <w:rsid w:val="00AF00E5"/>
    <w:rsid w:val="00AF03A5"/>
    <w:rsid w:val="00AF03F6"/>
    <w:rsid w:val="00AF07EE"/>
    <w:rsid w:val="00AF08CE"/>
    <w:rsid w:val="00AF0A66"/>
    <w:rsid w:val="00AF0CE5"/>
    <w:rsid w:val="00AF1233"/>
    <w:rsid w:val="00AF1239"/>
    <w:rsid w:val="00AF1381"/>
    <w:rsid w:val="00AF1436"/>
    <w:rsid w:val="00AF1676"/>
    <w:rsid w:val="00AF1809"/>
    <w:rsid w:val="00AF1A7D"/>
    <w:rsid w:val="00AF1CD6"/>
    <w:rsid w:val="00AF1D15"/>
    <w:rsid w:val="00AF21A9"/>
    <w:rsid w:val="00AF24D4"/>
    <w:rsid w:val="00AF2782"/>
    <w:rsid w:val="00AF2A31"/>
    <w:rsid w:val="00AF2A65"/>
    <w:rsid w:val="00AF3896"/>
    <w:rsid w:val="00AF3C1D"/>
    <w:rsid w:val="00AF3D45"/>
    <w:rsid w:val="00AF3D8F"/>
    <w:rsid w:val="00AF3F2D"/>
    <w:rsid w:val="00AF3F71"/>
    <w:rsid w:val="00AF4627"/>
    <w:rsid w:val="00AF4AC7"/>
    <w:rsid w:val="00AF4AEE"/>
    <w:rsid w:val="00AF4B98"/>
    <w:rsid w:val="00AF4C73"/>
    <w:rsid w:val="00AF54A1"/>
    <w:rsid w:val="00AF54CF"/>
    <w:rsid w:val="00AF559D"/>
    <w:rsid w:val="00AF559E"/>
    <w:rsid w:val="00AF55AD"/>
    <w:rsid w:val="00AF58EF"/>
    <w:rsid w:val="00AF5C6B"/>
    <w:rsid w:val="00AF6411"/>
    <w:rsid w:val="00AF6441"/>
    <w:rsid w:val="00AF65C2"/>
    <w:rsid w:val="00AF68E0"/>
    <w:rsid w:val="00AF69D9"/>
    <w:rsid w:val="00AF6BCE"/>
    <w:rsid w:val="00AF6D63"/>
    <w:rsid w:val="00AF70A0"/>
    <w:rsid w:val="00AF72BA"/>
    <w:rsid w:val="00AF771D"/>
    <w:rsid w:val="00AF78EE"/>
    <w:rsid w:val="00AF7A6F"/>
    <w:rsid w:val="00AF7A7E"/>
    <w:rsid w:val="00B00372"/>
    <w:rsid w:val="00B006F2"/>
    <w:rsid w:val="00B00772"/>
    <w:rsid w:val="00B00999"/>
    <w:rsid w:val="00B00F2A"/>
    <w:rsid w:val="00B01002"/>
    <w:rsid w:val="00B011B2"/>
    <w:rsid w:val="00B01493"/>
    <w:rsid w:val="00B0198E"/>
    <w:rsid w:val="00B01ACE"/>
    <w:rsid w:val="00B01B18"/>
    <w:rsid w:val="00B01B4E"/>
    <w:rsid w:val="00B01D6F"/>
    <w:rsid w:val="00B01E74"/>
    <w:rsid w:val="00B024E6"/>
    <w:rsid w:val="00B028A4"/>
    <w:rsid w:val="00B028DE"/>
    <w:rsid w:val="00B028F6"/>
    <w:rsid w:val="00B02D4A"/>
    <w:rsid w:val="00B02D5E"/>
    <w:rsid w:val="00B02DD0"/>
    <w:rsid w:val="00B02EAA"/>
    <w:rsid w:val="00B02EAE"/>
    <w:rsid w:val="00B02F5C"/>
    <w:rsid w:val="00B03587"/>
    <w:rsid w:val="00B0382D"/>
    <w:rsid w:val="00B03896"/>
    <w:rsid w:val="00B038AE"/>
    <w:rsid w:val="00B03975"/>
    <w:rsid w:val="00B03A3C"/>
    <w:rsid w:val="00B03E80"/>
    <w:rsid w:val="00B04325"/>
    <w:rsid w:val="00B044BC"/>
    <w:rsid w:val="00B04711"/>
    <w:rsid w:val="00B04762"/>
    <w:rsid w:val="00B0476A"/>
    <w:rsid w:val="00B04AC5"/>
    <w:rsid w:val="00B0506E"/>
    <w:rsid w:val="00B051A7"/>
    <w:rsid w:val="00B0540D"/>
    <w:rsid w:val="00B05876"/>
    <w:rsid w:val="00B0599B"/>
    <w:rsid w:val="00B05F8D"/>
    <w:rsid w:val="00B06127"/>
    <w:rsid w:val="00B061A3"/>
    <w:rsid w:val="00B06939"/>
    <w:rsid w:val="00B06A7F"/>
    <w:rsid w:val="00B06AC8"/>
    <w:rsid w:val="00B06E51"/>
    <w:rsid w:val="00B06F83"/>
    <w:rsid w:val="00B0741B"/>
    <w:rsid w:val="00B0792D"/>
    <w:rsid w:val="00B07AB5"/>
    <w:rsid w:val="00B07BD7"/>
    <w:rsid w:val="00B07F3A"/>
    <w:rsid w:val="00B07F43"/>
    <w:rsid w:val="00B100CB"/>
    <w:rsid w:val="00B10357"/>
    <w:rsid w:val="00B105EF"/>
    <w:rsid w:val="00B1063A"/>
    <w:rsid w:val="00B10692"/>
    <w:rsid w:val="00B1093B"/>
    <w:rsid w:val="00B109CF"/>
    <w:rsid w:val="00B10BE6"/>
    <w:rsid w:val="00B10CEC"/>
    <w:rsid w:val="00B11326"/>
    <w:rsid w:val="00B1134B"/>
    <w:rsid w:val="00B1136C"/>
    <w:rsid w:val="00B114AB"/>
    <w:rsid w:val="00B118D9"/>
    <w:rsid w:val="00B12175"/>
    <w:rsid w:val="00B1249C"/>
    <w:rsid w:val="00B125B1"/>
    <w:rsid w:val="00B12BF4"/>
    <w:rsid w:val="00B12D84"/>
    <w:rsid w:val="00B1303E"/>
    <w:rsid w:val="00B13614"/>
    <w:rsid w:val="00B1376A"/>
    <w:rsid w:val="00B13B2E"/>
    <w:rsid w:val="00B13C09"/>
    <w:rsid w:val="00B13C6C"/>
    <w:rsid w:val="00B13D47"/>
    <w:rsid w:val="00B14065"/>
    <w:rsid w:val="00B14200"/>
    <w:rsid w:val="00B14267"/>
    <w:rsid w:val="00B14297"/>
    <w:rsid w:val="00B1429B"/>
    <w:rsid w:val="00B1440A"/>
    <w:rsid w:val="00B14535"/>
    <w:rsid w:val="00B14605"/>
    <w:rsid w:val="00B1471F"/>
    <w:rsid w:val="00B14F9E"/>
    <w:rsid w:val="00B15092"/>
    <w:rsid w:val="00B151F5"/>
    <w:rsid w:val="00B15744"/>
    <w:rsid w:val="00B1597B"/>
    <w:rsid w:val="00B15988"/>
    <w:rsid w:val="00B15A22"/>
    <w:rsid w:val="00B15B5D"/>
    <w:rsid w:val="00B15D1A"/>
    <w:rsid w:val="00B15D9D"/>
    <w:rsid w:val="00B15E96"/>
    <w:rsid w:val="00B161C8"/>
    <w:rsid w:val="00B1625F"/>
    <w:rsid w:val="00B164EE"/>
    <w:rsid w:val="00B1658E"/>
    <w:rsid w:val="00B16899"/>
    <w:rsid w:val="00B168BC"/>
    <w:rsid w:val="00B16CBF"/>
    <w:rsid w:val="00B16E7B"/>
    <w:rsid w:val="00B16FA6"/>
    <w:rsid w:val="00B170F9"/>
    <w:rsid w:val="00B1733F"/>
    <w:rsid w:val="00B17345"/>
    <w:rsid w:val="00B17390"/>
    <w:rsid w:val="00B173FD"/>
    <w:rsid w:val="00B17453"/>
    <w:rsid w:val="00B1755E"/>
    <w:rsid w:val="00B178E4"/>
    <w:rsid w:val="00B17916"/>
    <w:rsid w:val="00B17E63"/>
    <w:rsid w:val="00B17FA1"/>
    <w:rsid w:val="00B20270"/>
    <w:rsid w:val="00B202C8"/>
    <w:rsid w:val="00B20408"/>
    <w:rsid w:val="00B21030"/>
    <w:rsid w:val="00B2145F"/>
    <w:rsid w:val="00B21807"/>
    <w:rsid w:val="00B21891"/>
    <w:rsid w:val="00B21916"/>
    <w:rsid w:val="00B21AAF"/>
    <w:rsid w:val="00B22038"/>
    <w:rsid w:val="00B22160"/>
    <w:rsid w:val="00B2238B"/>
    <w:rsid w:val="00B225FB"/>
    <w:rsid w:val="00B22655"/>
    <w:rsid w:val="00B22CDB"/>
    <w:rsid w:val="00B231E7"/>
    <w:rsid w:val="00B23313"/>
    <w:rsid w:val="00B2344A"/>
    <w:rsid w:val="00B23865"/>
    <w:rsid w:val="00B2394E"/>
    <w:rsid w:val="00B23AC6"/>
    <w:rsid w:val="00B23C7B"/>
    <w:rsid w:val="00B23D5A"/>
    <w:rsid w:val="00B23F09"/>
    <w:rsid w:val="00B23F55"/>
    <w:rsid w:val="00B24584"/>
    <w:rsid w:val="00B24A49"/>
    <w:rsid w:val="00B24DE8"/>
    <w:rsid w:val="00B24E21"/>
    <w:rsid w:val="00B25074"/>
    <w:rsid w:val="00B253B4"/>
    <w:rsid w:val="00B253C7"/>
    <w:rsid w:val="00B2567C"/>
    <w:rsid w:val="00B25815"/>
    <w:rsid w:val="00B25917"/>
    <w:rsid w:val="00B25B09"/>
    <w:rsid w:val="00B26033"/>
    <w:rsid w:val="00B26096"/>
    <w:rsid w:val="00B2609C"/>
    <w:rsid w:val="00B26623"/>
    <w:rsid w:val="00B2662A"/>
    <w:rsid w:val="00B268AF"/>
    <w:rsid w:val="00B26DCE"/>
    <w:rsid w:val="00B27690"/>
    <w:rsid w:val="00B27856"/>
    <w:rsid w:val="00B27CE5"/>
    <w:rsid w:val="00B27F3F"/>
    <w:rsid w:val="00B301E4"/>
    <w:rsid w:val="00B30675"/>
    <w:rsid w:val="00B3071A"/>
    <w:rsid w:val="00B30956"/>
    <w:rsid w:val="00B30BA5"/>
    <w:rsid w:val="00B30BC8"/>
    <w:rsid w:val="00B30C9C"/>
    <w:rsid w:val="00B30E34"/>
    <w:rsid w:val="00B30F43"/>
    <w:rsid w:val="00B30FBA"/>
    <w:rsid w:val="00B3150E"/>
    <w:rsid w:val="00B315F0"/>
    <w:rsid w:val="00B316FF"/>
    <w:rsid w:val="00B3182B"/>
    <w:rsid w:val="00B31854"/>
    <w:rsid w:val="00B31A14"/>
    <w:rsid w:val="00B31C02"/>
    <w:rsid w:val="00B31ED3"/>
    <w:rsid w:val="00B31FE2"/>
    <w:rsid w:val="00B32004"/>
    <w:rsid w:val="00B32469"/>
    <w:rsid w:val="00B325BB"/>
    <w:rsid w:val="00B32660"/>
    <w:rsid w:val="00B32CD2"/>
    <w:rsid w:val="00B32CF3"/>
    <w:rsid w:val="00B32CF6"/>
    <w:rsid w:val="00B333A1"/>
    <w:rsid w:val="00B334D7"/>
    <w:rsid w:val="00B3361D"/>
    <w:rsid w:val="00B33746"/>
    <w:rsid w:val="00B33BFC"/>
    <w:rsid w:val="00B33E53"/>
    <w:rsid w:val="00B33EA1"/>
    <w:rsid w:val="00B3416B"/>
    <w:rsid w:val="00B3456B"/>
    <w:rsid w:val="00B3457E"/>
    <w:rsid w:val="00B346ED"/>
    <w:rsid w:val="00B34744"/>
    <w:rsid w:val="00B34751"/>
    <w:rsid w:val="00B34879"/>
    <w:rsid w:val="00B34AC8"/>
    <w:rsid w:val="00B34D84"/>
    <w:rsid w:val="00B35097"/>
    <w:rsid w:val="00B35196"/>
    <w:rsid w:val="00B35554"/>
    <w:rsid w:val="00B357AA"/>
    <w:rsid w:val="00B35AC1"/>
    <w:rsid w:val="00B35B0C"/>
    <w:rsid w:val="00B35E65"/>
    <w:rsid w:val="00B36168"/>
    <w:rsid w:val="00B36524"/>
    <w:rsid w:val="00B36993"/>
    <w:rsid w:val="00B36D15"/>
    <w:rsid w:val="00B371C8"/>
    <w:rsid w:val="00B3727F"/>
    <w:rsid w:val="00B377D1"/>
    <w:rsid w:val="00B37BE2"/>
    <w:rsid w:val="00B37C2D"/>
    <w:rsid w:val="00B37E0A"/>
    <w:rsid w:val="00B37E10"/>
    <w:rsid w:val="00B37F4F"/>
    <w:rsid w:val="00B40253"/>
    <w:rsid w:val="00B4072B"/>
    <w:rsid w:val="00B4077E"/>
    <w:rsid w:val="00B40C32"/>
    <w:rsid w:val="00B40C73"/>
    <w:rsid w:val="00B40DBA"/>
    <w:rsid w:val="00B40EA1"/>
    <w:rsid w:val="00B410C7"/>
    <w:rsid w:val="00B410D1"/>
    <w:rsid w:val="00B41266"/>
    <w:rsid w:val="00B41410"/>
    <w:rsid w:val="00B41449"/>
    <w:rsid w:val="00B4148A"/>
    <w:rsid w:val="00B418DE"/>
    <w:rsid w:val="00B41C71"/>
    <w:rsid w:val="00B41DCE"/>
    <w:rsid w:val="00B4242B"/>
    <w:rsid w:val="00B42794"/>
    <w:rsid w:val="00B42965"/>
    <w:rsid w:val="00B429C0"/>
    <w:rsid w:val="00B42AC4"/>
    <w:rsid w:val="00B42BE0"/>
    <w:rsid w:val="00B42D3B"/>
    <w:rsid w:val="00B42E88"/>
    <w:rsid w:val="00B42F58"/>
    <w:rsid w:val="00B43022"/>
    <w:rsid w:val="00B430C3"/>
    <w:rsid w:val="00B43161"/>
    <w:rsid w:val="00B43389"/>
    <w:rsid w:val="00B43539"/>
    <w:rsid w:val="00B4357B"/>
    <w:rsid w:val="00B438A1"/>
    <w:rsid w:val="00B43918"/>
    <w:rsid w:val="00B43B7C"/>
    <w:rsid w:val="00B43D8F"/>
    <w:rsid w:val="00B43EFE"/>
    <w:rsid w:val="00B4409D"/>
    <w:rsid w:val="00B440E3"/>
    <w:rsid w:val="00B4431A"/>
    <w:rsid w:val="00B443A0"/>
    <w:rsid w:val="00B44697"/>
    <w:rsid w:val="00B44782"/>
    <w:rsid w:val="00B447AC"/>
    <w:rsid w:val="00B44A7A"/>
    <w:rsid w:val="00B44AE7"/>
    <w:rsid w:val="00B44AE8"/>
    <w:rsid w:val="00B44FB1"/>
    <w:rsid w:val="00B4506C"/>
    <w:rsid w:val="00B45630"/>
    <w:rsid w:val="00B4572D"/>
    <w:rsid w:val="00B45863"/>
    <w:rsid w:val="00B45921"/>
    <w:rsid w:val="00B45AB3"/>
    <w:rsid w:val="00B45C26"/>
    <w:rsid w:val="00B45E12"/>
    <w:rsid w:val="00B45FA3"/>
    <w:rsid w:val="00B46014"/>
    <w:rsid w:val="00B4660D"/>
    <w:rsid w:val="00B46AAD"/>
    <w:rsid w:val="00B47638"/>
    <w:rsid w:val="00B47649"/>
    <w:rsid w:val="00B478EE"/>
    <w:rsid w:val="00B47B21"/>
    <w:rsid w:val="00B47BCB"/>
    <w:rsid w:val="00B47C4E"/>
    <w:rsid w:val="00B47D18"/>
    <w:rsid w:val="00B47E5A"/>
    <w:rsid w:val="00B503C9"/>
    <w:rsid w:val="00B505FD"/>
    <w:rsid w:val="00B506F9"/>
    <w:rsid w:val="00B50820"/>
    <w:rsid w:val="00B509F7"/>
    <w:rsid w:val="00B50F31"/>
    <w:rsid w:val="00B51197"/>
    <w:rsid w:val="00B51564"/>
    <w:rsid w:val="00B518D8"/>
    <w:rsid w:val="00B51E25"/>
    <w:rsid w:val="00B51E7F"/>
    <w:rsid w:val="00B51E8E"/>
    <w:rsid w:val="00B51F45"/>
    <w:rsid w:val="00B52105"/>
    <w:rsid w:val="00B52127"/>
    <w:rsid w:val="00B52165"/>
    <w:rsid w:val="00B52477"/>
    <w:rsid w:val="00B52502"/>
    <w:rsid w:val="00B52CA6"/>
    <w:rsid w:val="00B52D42"/>
    <w:rsid w:val="00B52E7C"/>
    <w:rsid w:val="00B52FF9"/>
    <w:rsid w:val="00B531DA"/>
    <w:rsid w:val="00B53394"/>
    <w:rsid w:val="00B534D4"/>
    <w:rsid w:val="00B53560"/>
    <w:rsid w:val="00B535FC"/>
    <w:rsid w:val="00B536F1"/>
    <w:rsid w:val="00B53997"/>
    <w:rsid w:val="00B539BF"/>
    <w:rsid w:val="00B539C9"/>
    <w:rsid w:val="00B53C34"/>
    <w:rsid w:val="00B53F32"/>
    <w:rsid w:val="00B5464E"/>
    <w:rsid w:val="00B5472E"/>
    <w:rsid w:val="00B54DBC"/>
    <w:rsid w:val="00B54F19"/>
    <w:rsid w:val="00B55328"/>
    <w:rsid w:val="00B55763"/>
    <w:rsid w:val="00B558A6"/>
    <w:rsid w:val="00B55A8A"/>
    <w:rsid w:val="00B563A8"/>
    <w:rsid w:val="00B563B4"/>
    <w:rsid w:val="00B56BBE"/>
    <w:rsid w:val="00B56D0B"/>
    <w:rsid w:val="00B56D2C"/>
    <w:rsid w:val="00B56E4E"/>
    <w:rsid w:val="00B56F2A"/>
    <w:rsid w:val="00B570A0"/>
    <w:rsid w:val="00B57243"/>
    <w:rsid w:val="00B57F7C"/>
    <w:rsid w:val="00B602B8"/>
    <w:rsid w:val="00B602DD"/>
    <w:rsid w:val="00B607BD"/>
    <w:rsid w:val="00B60AFE"/>
    <w:rsid w:val="00B615D8"/>
    <w:rsid w:val="00B61B11"/>
    <w:rsid w:val="00B61D30"/>
    <w:rsid w:val="00B61E2F"/>
    <w:rsid w:val="00B61E38"/>
    <w:rsid w:val="00B61E5D"/>
    <w:rsid w:val="00B62056"/>
    <w:rsid w:val="00B623B1"/>
    <w:rsid w:val="00B62A68"/>
    <w:rsid w:val="00B62D4E"/>
    <w:rsid w:val="00B62F2D"/>
    <w:rsid w:val="00B6329E"/>
    <w:rsid w:val="00B6364F"/>
    <w:rsid w:val="00B63811"/>
    <w:rsid w:val="00B6394B"/>
    <w:rsid w:val="00B639CC"/>
    <w:rsid w:val="00B63F6F"/>
    <w:rsid w:val="00B64001"/>
    <w:rsid w:val="00B64084"/>
    <w:rsid w:val="00B64088"/>
    <w:rsid w:val="00B6408D"/>
    <w:rsid w:val="00B6410B"/>
    <w:rsid w:val="00B64194"/>
    <w:rsid w:val="00B64381"/>
    <w:rsid w:val="00B643C1"/>
    <w:rsid w:val="00B64553"/>
    <w:rsid w:val="00B6464F"/>
    <w:rsid w:val="00B64BFA"/>
    <w:rsid w:val="00B64C40"/>
    <w:rsid w:val="00B64F85"/>
    <w:rsid w:val="00B64FEE"/>
    <w:rsid w:val="00B6519D"/>
    <w:rsid w:val="00B65423"/>
    <w:rsid w:val="00B65595"/>
    <w:rsid w:val="00B6559F"/>
    <w:rsid w:val="00B6565F"/>
    <w:rsid w:val="00B6587C"/>
    <w:rsid w:val="00B65D30"/>
    <w:rsid w:val="00B65D45"/>
    <w:rsid w:val="00B65D6F"/>
    <w:rsid w:val="00B65EE6"/>
    <w:rsid w:val="00B660A9"/>
    <w:rsid w:val="00B660EC"/>
    <w:rsid w:val="00B66530"/>
    <w:rsid w:val="00B66797"/>
    <w:rsid w:val="00B66823"/>
    <w:rsid w:val="00B66CE3"/>
    <w:rsid w:val="00B66D1A"/>
    <w:rsid w:val="00B66E7A"/>
    <w:rsid w:val="00B66ED3"/>
    <w:rsid w:val="00B670E8"/>
    <w:rsid w:val="00B673D3"/>
    <w:rsid w:val="00B67484"/>
    <w:rsid w:val="00B67808"/>
    <w:rsid w:val="00B678E3"/>
    <w:rsid w:val="00B67927"/>
    <w:rsid w:val="00B703C8"/>
    <w:rsid w:val="00B706F5"/>
    <w:rsid w:val="00B707E0"/>
    <w:rsid w:val="00B70F37"/>
    <w:rsid w:val="00B712A7"/>
    <w:rsid w:val="00B7132C"/>
    <w:rsid w:val="00B719E5"/>
    <w:rsid w:val="00B71A23"/>
    <w:rsid w:val="00B71A3E"/>
    <w:rsid w:val="00B71E64"/>
    <w:rsid w:val="00B720FF"/>
    <w:rsid w:val="00B7237E"/>
    <w:rsid w:val="00B72C10"/>
    <w:rsid w:val="00B72EBD"/>
    <w:rsid w:val="00B73016"/>
    <w:rsid w:val="00B7327E"/>
    <w:rsid w:val="00B73673"/>
    <w:rsid w:val="00B73721"/>
    <w:rsid w:val="00B73AB7"/>
    <w:rsid w:val="00B74332"/>
    <w:rsid w:val="00B74554"/>
    <w:rsid w:val="00B74727"/>
    <w:rsid w:val="00B74BE3"/>
    <w:rsid w:val="00B74CE8"/>
    <w:rsid w:val="00B74D71"/>
    <w:rsid w:val="00B74DF7"/>
    <w:rsid w:val="00B74E63"/>
    <w:rsid w:val="00B74F01"/>
    <w:rsid w:val="00B74F79"/>
    <w:rsid w:val="00B7519E"/>
    <w:rsid w:val="00B75696"/>
    <w:rsid w:val="00B759BC"/>
    <w:rsid w:val="00B75E41"/>
    <w:rsid w:val="00B75E57"/>
    <w:rsid w:val="00B75F8F"/>
    <w:rsid w:val="00B75F9F"/>
    <w:rsid w:val="00B7603A"/>
    <w:rsid w:val="00B76144"/>
    <w:rsid w:val="00B7615C"/>
    <w:rsid w:val="00B7649B"/>
    <w:rsid w:val="00B764EF"/>
    <w:rsid w:val="00B76590"/>
    <w:rsid w:val="00B7670E"/>
    <w:rsid w:val="00B76737"/>
    <w:rsid w:val="00B768FB"/>
    <w:rsid w:val="00B76D77"/>
    <w:rsid w:val="00B76E79"/>
    <w:rsid w:val="00B76F51"/>
    <w:rsid w:val="00B77177"/>
    <w:rsid w:val="00B775F0"/>
    <w:rsid w:val="00B77675"/>
    <w:rsid w:val="00B776C8"/>
    <w:rsid w:val="00B77974"/>
    <w:rsid w:val="00B77C3C"/>
    <w:rsid w:val="00B77DCE"/>
    <w:rsid w:val="00B77F32"/>
    <w:rsid w:val="00B809B5"/>
    <w:rsid w:val="00B8116B"/>
    <w:rsid w:val="00B8132D"/>
    <w:rsid w:val="00B815D7"/>
    <w:rsid w:val="00B8181A"/>
    <w:rsid w:val="00B81D18"/>
    <w:rsid w:val="00B81D21"/>
    <w:rsid w:val="00B81D30"/>
    <w:rsid w:val="00B82564"/>
    <w:rsid w:val="00B8275B"/>
    <w:rsid w:val="00B82841"/>
    <w:rsid w:val="00B82944"/>
    <w:rsid w:val="00B82999"/>
    <w:rsid w:val="00B82B7C"/>
    <w:rsid w:val="00B82E4E"/>
    <w:rsid w:val="00B82F95"/>
    <w:rsid w:val="00B83343"/>
    <w:rsid w:val="00B839D9"/>
    <w:rsid w:val="00B840F2"/>
    <w:rsid w:val="00B8416A"/>
    <w:rsid w:val="00B84740"/>
    <w:rsid w:val="00B84F8B"/>
    <w:rsid w:val="00B85143"/>
    <w:rsid w:val="00B85539"/>
    <w:rsid w:val="00B8558B"/>
    <w:rsid w:val="00B8565F"/>
    <w:rsid w:val="00B85696"/>
    <w:rsid w:val="00B8639D"/>
    <w:rsid w:val="00B86947"/>
    <w:rsid w:val="00B86A40"/>
    <w:rsid w:val="00B86B4C"/>
    <w:rsid w:val="00B86E99"/>
    <w:rsid w:val="00B86EB5"/>
    <w:rsid w:val="00B86FC8"/>
    <w:rsid w:val="00B8700D"/>
    <w:rsid w:val="00B871D6"/>
    <w:rsid w:val="00B874B0"/>
    <w:rsid w:val="00B87648"/>
    <w:rsid w:val="00B8768E"/>
    <w:rsid w:val="00B87C6F"/>
    <w:rsid w:val="00B90010"/>
    <w:rsid w:val="00B9052F"/>
    <w:rsid w:val="00B90608"/>
    <w:rsid w:val="00B90945"/>
    <w:rsid w:val="00B90981"/>
    <w:rsid w:val="00B90A72"/>
    <w:rsid w:val="00B90B38"/>
    <w:rsid w:val="00B90FCB"/>
    <w:rsid w:val="00B9100A"/>
    <w:rsid w:val="00B9169D"/>
    <w:rsid w:val="00B92758"/>
    <w:rsid w:val="00B927CE"/>
    <w:rsid w:val="00B9289C"/>
    <w:rsid w:val="00B92A25"/>
    <w:rsid w:val="00B92DA5"/>
    <w:rsid w:val="00B92FC6"/>
    <w:rsid w:val="00B930B2"/>
    <w:rsid w:val="00B93135"/>
    <w:rsid w:val="00B93294"/>
    <w:rsid w:val="00B934ED"/>
    <w:rsid w:val="00B93B8D"/>
    <w:rsid w:val="00B93DA7"/>
    <w:rsid w:val="00B93F80"/>
    <w:rsid w:val="00B9413E"/>
    <w:rsid w:val="00B942F1"/>
    <w:rsid w:val="00B944A6"/>
    <w:rsid w:val="00B94608"/>
    <w:rsid w:val="00B946BE"/>
    <w:rsid w:val="00B949BC"/>
    <w:rsid w:val="00B94B00"/>
    <w:rsid w:val="00B94D03"/>
    <w:rsid w:val="00B94D31"/>
    <w:rsid w:val="00B94E1B"/>
    <w:rsid w:val="00B94F8A"/>
    <w:rsid w:val="00B9561C"/>
    <w:rsid w:val="00B95643"/>
    <w:rsid w:val="00B958DD"/>
    <w:rsid w:val="00B95955"/>
    <w:rsid w:val="00B95B7B"/>
    <w:rsid w:val="00B95BA8"/>
    <w:rsid w:val="00B95BD7"/>
    <w:rsid w:val="00B95F7D"/>
    <w:rsid w:val="00B96121"/>
    <w:rsid w:val="00B96125"/>
    <w:rsid w:val="00B961FD"/>
    <w:rsid w:val="00B965AF"/>
    <w:rsid w:val="00B96693"/>
    <w:rsid w:val="00B9670E"/>
    <w:rsid w:val="00B96BC2"/>
    <w:rsid w:val="00B96CB6"/>
    <w:rsid w:val="00B96D47"/>
    <w:rsid w:val="00B97395"/>
    <w:rsid w:val="00B975E8"/>
    <w:rsid w:val="00B97600"/>
    <w:rsid w:val="00B97749"/>
    <w:rsid w:val="00B978AD"/>
    <w:rsid w:val="00B97951"/>
    <w:rsid w:val="00B97FBE"/>
    <w:rsid w:val="00B97FFD"/>
    <w:rsid w:val="00BA00DE"/>
    <w:rsid w:val="00BA01BC"/>
    <w:rsid w:val="00BA022B"/>
    <w:rsid w:val="00BA05E5"/>
    <w:rsid w:val="00BA07B5"/>
    <w:rsid w:val="00BA08EC"/>
    <w:rsid w:val="00BA0AB1"/>
    <w:rsid w:val="00BA0AF0"/>
    <w:rsid w:val="00BA0BBA"/>
    <w:rsid w:val="00BA0DEE"/>
    <w:rsid w:val="00BA0E93"/>
    <w:rsid w:val="00BA1BCF"/>
    <w:rsid w:val="00BA21CA"/>
    <w:rsid w:val="00BA22C6"/>
    <w:rsid w:val="00BA22CF"/>
    <w:rsid w:val="00BA23C1"/>
    <w:rsid w:val="00BA2701"/>
    <w:rsid w:val="00BA2719"/>
    <w:rsid w:val="00BA30B7"/>
    <w:rsid w:val="00BA32A1"/>
    <w:rsid w:val="00BA343D"/>
    <w:rsid w:val="00BA3677"/>
    <w:rsid w:val="00BA3766"/>
    <w:rsid w:val="00BA38B2"/>
    <w:rsid w:val="00BA3941"/>
    <w:rsid w:val="00BA3CE0"/>
    <w:rsid w:val="00BA3D78"/>
    <w:rsid w:val="00BA41EC"/>
    <w:rsid w:val="00BA44CB"/>
    <w:rsid w:val="00BA459A"/>
    <w:rsid w:val="00BA49FD"/>
    <w:rsid w:val="00BA4AF6"/>
    <w:rsid w:val="00BA4BF4"/>
    <w:rsid w:val="00BA4CAE"/>
    <w:rsid w:val="00BA50AD"/>
    <w:rsid w:val="00BA52A5"/>
    <w:rsid w:val="00BA52C6"/>
    <w:rsid w:val="00BA53B7"/>
    <w:rsid w:val="00BA53C3"/>
    <w:rsid w:val="00BA549C"/>
    <w:rsid w:val="00BA58E3"/>
    <w:rsid w:val="00BA599E"/>
    <w:rsid w:val="00BA5D8B"/>
    <w:rsid w:val="00BA6532"/>
    <w:rsid w:val="00BA6DAC"/>
    <w:rsid w:val="00BA70FC"/>
    <w:rsid w:val="00BA7323"/>
    <w:rsid w:val="00BA73D0"/>
    <w:rsid w:val="00BA7B37"/>
    <w:rsid w:val="00BA7DBD"/>
    <w:rsid w:val="00BA7E24"/>
    <w:rsid w:val="00BB00D1"/>
    <w:rsid w:val="00BB0104"/>
    <w:rsid w:val="00BB015B"/>
    <w:rsid w:val="00BB0162"/>
    <w:rsid w:val="00BB046C"/>
    <w:rsid w:val="00BB05D0"/>
    <w:rsid w:val="00BB0911"/>
    <w:rsid w:val="00BB0C18"/>
    <w:rsid w:val="00BB0DF8"/>
    <w:rsid w:val="00BB10C3"/>
    <w:rsid w:val="00BB130D"/>
    <w:rsid w:val="00BB16E1"/>
    <w:rsid w:val="00BB1AD3"/>
    <w:rsid w:val="00BB1BD9"/>
    <w:rsid w:val="00BB1E0A"/>
    <w:rsid w:val="00BB1F2E"/>
    <w:rsid w:val="00BB2053"/>
    <w:rsid w:val="00BB20A7"/>
    <w:rsid w:val="00BB2148"/>
    <w:rsid w:val="00BB2341"/>
    <w:rsid w:val="00BB23CE"/>
    <w:rsid w:val="00BB23EB"/>
    <w:rsid w:val="00BB24A6"/>
    <w:rsid w:val="00BB265D"/>
    <w:rsid w:val="00BB275A"/>
    <w:rsid w:val="00BB293A"/>
    <w:rsid w:val="00BB2A23"/>
    <w:rsid w:val="00BB2B21"/>
    <w:rsid w:val="00BB2BB2"/>
    <w:rsid w:val="00BB2C9B"/>
    <w:rsid w:val="00BB2CB0"/>
    <w:rsid w:val="00BB2DFB"/>
    <w:rsid w:val="00BB3197"/>
    <w:rsid w:val="00BB33EC"/>
    <w:rsid w:val="00BB35EB"/>
    <w:rsid w:val="00BB39B1"/>
    <w:rsid w:val="00BB4067"/>
    <w:rsid w:val="00BB4069"/>
    <w:rsid w:val="00BB40F6"/>
    <w:rsid w:val="00BB4145"/>
    <w:rsid w:val="00BB4172"/>
    <w:rsid w:val="00BB41E5"/>
    <w:rsid w:val="00BB469E"/>
    <w:rsid w:val="00BB4882"/>
    <w:rsid w:val="00BB48D5"/>
    <w:rsid w:val="00BB4A75"/>
    <w:rsid w:val="00BB5134"/>
    <w:rsid w:val="00BB581E"/>
    <w:rsid w:val="00BB59C6"/>
    <w:rsid w:val="00BB60CE"/>
    <w:rsid w:val="00BB6473"/>
    <w:rsid w:val="00BB6570"/>
    <w:rsid w:val="00BB6749"/>
    <w:rsid w:val="00BB70ED"/>
    <w:rsid w:val="00BB70F9"/>
    <w:rsid w:val="00BB7480"/>
    <w:rsid w:val="00BB7876"/>
    <w:rsid w:val="00BB79A5"/>
    <w:rsid w:val="00BBBE44"/>
    <w:rsid w:val="00BC0335"/>
    <w:rsid w:val="00BC061A"/>
    <w:rsid w:val="00BC0970"/>
    <w:rsid w:val="00BC0B10"/>
    <w:rsid w:val="00BC0DD9"/>
    <w:rsid w:val="00BC0F13"/>
    <w:rsid w:val="00BC1038"/>
    <w:rsid w:val="00BC127B"/>
    <w:rsid w:val="00BC1280"/>
    <w:rsid w:val="00BC1D0D"/>
    <w:rsid w:val="00BC1FDD"/>
    <w:rsid w:val="00BC2090"/>
    <w:rsid w:val="00BC22E9"/>
    <w:rsid w:val="00BC249B"/>
    <w:rsid w:val="00BC26BB"/>
    <w:rsid w:val="00BC2863"/>
    <w:rsid w:val="00BC2953"/>
    <w:rsid w:val="00BC29D2"/>
    <w:rsid w:val="00BC2E4E"/>
    <w:rsid w:val="00BC2E6A"/>
    <w:rsid w:val="00BC3145"/>
    <w:rsid w:val="00BC3183"/>
    <w:rsid w:val="00BC38DA"/>
    <w:rsid w:val="00BC39DD"/>
    <w:rsid w:val="00BC3E8A"/>
    <w:rsid w:val="00BC402B"/>
    <w:rsid w:val="00BC44A4"/>
    <w:rsid w:val="00BC478B"/>
    <w:rsid w:val="00BC49EA"/>
    <w:rsid w:val="00BC4ED4"/>
    <w:rsid w:val="00BC524B"/>
    <w:rsid w:val="00BC5297"/>
    <w:rsid w:val="00BC5484"/>
    <w:rsid w:val="00BC558D"/>
    <w:rsid w:val="00BC5F1C"/>
    <w:rsid w:val="00BC62E3"/>
    <w:rsid w:val="00BC6411"/>
    <w:rsid w:val="00BC65E6"/>
    <w:rsid w:val="00BC6B2E"/>
    <w:rsid w:val="00BC6EBD"/>
    <w:rsid w:val="00BC7096"/>
    <w:rsid w:val="00BC71A2"/>
    <w:rsid w:val="00BC7569"/>
    <w:rsid w:val="00BC76CE"/>
    <w:rsid w:val="00BC7AC4"/>
    <w:rsid w:val="00BC7E4E"/>
    <w:rsid w:val="00BD00B4"/>
    <w:rsid w:val="00BD0711"/>
    <w:rsid w:val="00BD0793"/>
    <w:rsid w:val="00BD0D55"/>
    <w:rsid w:val="00BD107E"/>
    <w:rsid w:val="00BD1BE0"/>
    <w:rsid w:val="00BD1E57"/>
    <w:rsid w:val="00BD21FE"/>
    <w:rsid w:val="00BD272A"/>
    <w:rsid w:val="00BD27DE"/>
    <w:rsid w:val="00BD2AC0"/>
    <w:rsid w:val="00BD2B73"/>
    <w:rsid w:val="00BD2CDC"/>
    <w:rsid w:val="00BD32C4"/>
    <w:rsid w:val="00BD37CF"/>
    <w:rsid w:val="00BD3ABB"/>
    <w:rsid w:val="00BD3FAA"/>
    <w:rsid w:val="00BD3FDE"/>
    <w:rsid w:val="00BD403D"/>
    <w:rsid w:val="00BD436E"/>
    <w:rsid w:val="00BD4627"/>
    <w:rsid w:val="00BD46A0"/>
    <w:rsid w:val="00BD46FF"/>
    <w:rsid w:val="00BD4784"/>
    <w:rsid w:val="00BD4C31"/>
    <w:rsid w:val="00BD4C96"/>
    <w:rsid w:val="00BD4CBE"/>
    <w:rsid w:val="00BD50B5"/>
    <w:rsid w:val="00BD51CF"/>
    <w:rsid w:val="00BD55BB"/>
    <w:rsid w:val="00BD5B8C"/>
    <w:rsid w:val="00BD5BB9"/>
    <w:rsid w:val="00BD5EC3"/>
    <w:rsid w:val="00BD635F"/>
    <w:rsid w:val="00BD697C"/>
    <w:rsid w:val="00BD6AAC"/>
    <w:rsid w:val="00BD6DF3"/>
    <w:rsid w:val="00BD702F"/>
    <w:rsid w:val="00BD7112"/>
    <w:rsid w:val="00BD75DB"/>
    <w:rsid w:val="00BD769E"/>
    <w:rsid w:val="00BD77E6"/>
    <w:rsid w:val="00BD7C59"/>
    <w:rsid w:val="00BDF54F"/>
    <w:rsid w:val="00BE04A6"/>
    <w:rsid w:val="00BE05BB"/>
    <w:rsid w:val="00BE060E"/>
    <w:rsid w:val="00BE074D"/>
    <w:rsid w:val="00BE09D9"/>
    <w:rsid w:val="00BE0A11"/>
    <w:rsid w:val="00BE0A21"/>
    <w:rsid w:val="00BE0DB7"/>
    <w:rsid w:val="00BE18EC"/>
    <w:rsid w:val="00BE1D3C"/>
    <w:rsid w:val="00BE1D74"/>
    <w:rsid w:val="00BE1DB7"/>
    <w:rsid w:val="00BE1F66"/>
    <w:rsid w:val="00BE2B80"/>
    <w:rsid w:val="00BE2CFF"/>
    <w:rsid w:val="00BE2E21"/>
    <w:rsid w:val="00BE2E35"/>
    <w:rsid w:val="00BE309C"/>
    <w:rsid w:val="00BE338C"/>
    <w:rsid w:val="00BE36C1"/>
    <w:rsid w:val="00BE3A1F"/>
    <w:rsid w:val="00BE3A45"/>
    <w:rsid w:val="00BE3C12"/>
    <w:rsid w:val="00BE3EC4"/>
    <w:rsid w:val="00BE420E"/>
    <w:rsid w:val="00BE43A2"/>
    <w:rsid w:val="00BE4458"/>
    <w:rsid w:val="00BE4D5A"/>
    <w:rsid w:val="00BE4F74"/>
    <w:rsid w:val="00BE5103"/>
    <w:rsid w:val="00BE551D"/>
    <w:rsid w:val="00BE57E2"/>
    <w:rsid w:val="00BE59B7"/>
    <w:rsid w:val="00BE5D45"/>
    <w:rsid w:val="00BE5E5E"/>
    <w:rsid w:val="00BE61D6"/>
    <w:rsid w:val="00BE6204"/>
    <w:rsid w:val="00BE649C"/>
    <w:rsid w:val="00BE64BD"/>
    <w:rsid w:val="00BE662B"/>
    <w:rsid w:val="00BE66DD"/>
    <w:rsid w:val="00BE699B"/>
    <w:rsid w:val="00BE6DC6"/>
    <w:rsid w:val="00BE7345"/>
    <w:rsid w:val="00BE73E4"/>
    <w:rsid w:val="00BE74E0"/>
    <w:rsid w:val="00BE7810"/>
    <w:rsid w:val="00BE7D80"/>
    <w:rsid w:val="00BF0123"/>
    <w:rsid w:val="00BF05F6"/>
    <w:rsid w:val="00BF05FE"/>
    <w:rsid w:val="00BF0901"/>
    <w:rsid w:val="00BF0A00"/>
    <w:rsid w:val="00BF0A18"/>
    <w:rsid w:val="00BF0DE7"/>
    <w:rsid w:val="00BF0F43"/>
    <w:rsid w:val="00BF106F"/>
    <w:rsid w:val="00BF10B8"/>
    <w:rsid w:val="00BF1B26"/>
    <w:rsid w:val="00BF1CAA"/>
    <w:rsid w:val="00BF1E23"/>
    <w:rsid w:val="00BF1F4E"/>
    <w:rsid w:val="00BF1F62"/>
    <w:rsid w:val="00BF1FF7"/>
    <w:rsid w:val="00BF2945"/>
    <w:rsid w:val="00BF2982"/>
    <w:rsid w:val="00BF2DE6"/>
    <w:rsid w:val="00BF2F16"/>
    <w:rsid w:val="00BF3191"/>
    <w:rsid w:val="00BF31B8"/>
    <w:rsid w:val="00BF344F"/>
    <w:rsid w:val="00BF354F"/>
    <w:rsid w:val="00BF3957"/>
    <w:rsid w:val="00BF3981"/>
    <w:rsid w:val="00BF3A8B"/>
    <w:rsid w:val="00BF3D09"/>
    <w:rsid w:val="00BF3FA5"/>
    <w:rsid w:val="00BF4373"/>
    <w:rsid w:val="00BF494E"/>
    <w:rsid w:val="00BF4AC3"/>
    <w:rsid w:val="00BF4C0B"/>
    <w:rsid w:val="00BF4D13"/>
    <w:rsid w:val="00BF4F49"/>
    <w:rsid w:val="00BF5041"/>
    <w:rsid w:val="00BF51C6"/>
    <w:rsid w:val="00BF566A"/>
    <w:rsid w:val="00BF58EF"/>
    <w:rsid w:val="00BF590A"/>
    <w:rsid w:val="00BF6170"/>
    <w:rsid w:val="00BF640E"/>
    <w:rsid w:val="00BF6432"/>
    <w:rsid w:val="00BF64AE"/>
    <w:rsid w:val="00BF64BC"/>
    <w:rsid w:val="00BF65CF"/>
    <w:rsid w:val="00BF66F4"/>
    <w:rsid w:val="00BF672F"/>
    <w:rsid w:val="00BF69EF"/>
    <w:rsid w:val="00BF6B9F"/>
    <w:rsid w:val="00BF6E06"/>
    <w:rsid w:val="00BF753D"/>
    <w:rsid w:val="00BF7B94"/>
    <w:rsid w:val="00BF7BA9"/>
    <w:rsid w:val="00BF7E29"/>
    <w:rsid w:val="00BF7E89"/>
    <w:rsid w:val="00C00196"/>
    <w:rsid w:val="00C0048D"/>
    <w:rsid w:val="00C005BC"/>
    <w:rsid w:val="00C007CE"/>
    <w:rsid w:val="00C00848"/>
    <w:rsid w:val="00C00886"/>
    <w:rsid w:val="00C0096F"/>
    <w:rsid w:val="00C00BDA"/>
    <w:rsid w:val="00C012EF"/>
    <w:rsid w:val="00C01484"/>
    <w:rsid w:val="00C019B9"/>
    <w:rsid w:val="00C01A94"/>
    <w:rsid w:val="00C01C61"/>
    <w:rsid w:val="00C01D75"/>
    <w:rsid w:val="00C01E1D"/>
    <w:rsid w:val="00C02095"/>
    <w:rsid w:val="00C020EE"/>
    <w:rsid w:val="00C02467"/>
    <w:rsid w:val="00C02E13"/>
    <w:rsid w:val="00C0318B"/>
    <w:rsid w:val="00C031CD"/>
    <w:rsid w:val="00C03326"/>
    <w:rsid w:val="00C035FA"/>
    <w:rsid w:val="00C03747"/>
    <w:rsid w:val="00C03D6F"/>
    <w:rsid w:val="00C04545"/>
    <w:rsid w:val="00C04560"/>
    <w:rsid w:val="00C046F2"/>
    <w:rsid w:val="00C049EA"/>
    <w:rsid w:val="00C04A8F"/>
    <w:rsid w:val="00C04C29"/>
    <w:rsid w:val="00C04EC9"/>
    <w:rsid w:val="00C05047"/>
    <w:rsid w:val="00C05230"/>
    <w:rsid w:val="00C0537A"/>
    <w:rsid w:val="00C05AAB"/>
    <w:rsid w:val="00C05AF7"/>
    <w:rsid w:val="00C05BCE"/>
    <w:rsid w:val="00C05E08"/>
    <w:rsid w:val="00C05F4D"/>
    <w:rsid w:val="00C0639D"/>
    <w:rsid w:val="00C064D9"/>
    <w:rsid w:val="00C0655D"/>
    <w:rsid w:val="00C06649"/>
    <w:rsid w:val="00C0682C"/>
    <w:rsid w:val="00C06890"/>
    <w:rsid w:val="00C0689C"/>
    <w:rsid w:val="00C06957"/>
    <w:rsid w:val="00C071A0"/>
    <w:rsid w:val="00C074F1"/>
    <w:rsid w:val="00C0756F"/>
    <w:rsid w:val="00C07B80"/>
    <w:rsid w:val="00C07CA6"/>
    <w:rsid w:val="00C07CE7"/>
    <w:rsid w:val="00C07E07"/>
    <w:rsid w:val="00C10191"/>
    <w:rsid w:val="00C10201"/>
    <w:rsid w:val="00C10286"/>
    <w:rsid w:val="00C10BAE"/>
    <w:rsid w:val="00C10E33"/>
    <w:rsid w:val="00C10FA8"/>
    <w:rsid w:val="00C111CE"/>
    <w:rsid w:val="00C11472"/>
    <w:rsid w:val="00C118EB"/>
    <w:rsid w:val="00C11DED"/>
    <w:rsid w:val="00C12064"/>
    <w:rsid w:val="00C120D9"/>
    <w:rsid w:val="00C120E0"/>
    <w:rsid w:val="00C1234E"/>
    <w:rsid w:val="00C126FF"/>
    <w:rsid w:val="00C1273A"/>
    <w:rsid w:val="00C127A5"/>
    <w:rsid w:val="00C1284C"/>
    <w:rsid w:val="00C12974"/>
    <w:rsid w:val="00C12A39"/>
    <w:rsid w:val="00C12BE5"/>
    <w:rsid w:val="00C13106"/>
    <w:rsid w:val="00C1319C"/>
    <w:rsid w:val="00C132D9"/>
    <w:rsid w:val="00C13353"/>
    <w:rsid w:val="00C13371"/>
    <w:rsid w:val="00C13516"/>
    <w:rsid w:val="00C13B26"/>
    <w:rsid w:val="00C13C40"/>
    <w:rsid w:val="00C13D6D"/>
    <w:rsid w:val="00C14296"/>
    <w:rsid w:val="00C149DB"/>
    <w:rsid w:val="00C14B80"/>
    <w:rsid w:val="00C14C69"/>
    <w:rsid w:val="00C14F35"/>
    <w:rsid w:val="00C15045"/>
    <w:rsid w:val="00C15687"/>
    <w:rsid w:val="00C15A1B"/>
    <w:rsid w:val="00C1687A"/>
    <w:rsid w:val="00C16D07"/>
    <w:rsid w:val="00C16E70"/>
    <w:rsid w:val="00C16F70"/>
    <w:rsid w:val="00C1715C"/>
    <w:rsid w:val="00C171F2"/>
    <w:rsid w:val="00C172DB"/>
    <w:rsid w:val="00C17C23"/>
    <w:rsid w:val="00C17D4E"/>
    <w:rsid w:val="00C2002B"/>
    <w:rsid w:val="00C20092"/>
    <w:rsid w:val="00C201B7"/>
    <w:rsid w:val="00C20278"/>
    <w:rsid w:val="00C20607"/>
    <w:rsid w:val="00C2063A"/>
    <w:rsid w:val="00C20938"/>
    <w:rsid w:val="00C20A1A"/>
    <w:rsid w:val="00C20B30"/>
    <w:rsid w:val="00C20F28"/>
    <w:rsid w:val="00C20F51"/>
    <w:rsid w:val="00C21076"/>
    <w:rsid w:val="00C211E8"/>
    <w:rsid w:val="00C21279"/>
    <w:rsid w:val="00C21669"/>
    <w:rsid w:val="00C2166C"/>
    <w:rsid w:val="00C216BE"/>
    <w:rsid w:val="00C219B9"/>
    <w:rsid w:val="00C21D09"/>
    <w:rsid w:val="00C22084"/>
    <w:rsid w:val="00C22278"/>
    <w:rsid w:val="00C224CA"/>
    <w:rsid w:val="00C2252A"/>
    <w:rsid w:val="00C22588"/>
    <w:rsid w:val="00C228BD"/>
    <w:rsid w:val="00C229DC"/>
    <w:rsid w:val="00C22C07"/>
    <w:rsid w:val="00C22C11"/>
    <w:rsid w:val="00C2357F"/>
    <w:rsid w:val="00C23895"/>
    <w:rsid w:val="00C239EE"/>
    <w:rsid w:val="00C23DF0"/>
    <w:rsid w:val="00C244F2"/>
    <w:rsid w:val="00C24789"/>
    <w:rsid w:val="00C247FF"/>
    <w:rsid w:val="00C24A3D"/>
    <w:rsid w:val="00C24D91"/>
    <w:rsid w:val="00C24ECF"/>
    <w:rsid w:val="00C24FA7"/>
    <w:rsid w:val="00C24FB3"/>
    <w:rsid w:val="00C250FC"/>
    <w:rsid w:val="00C252C5"/>
    <w:rsid w:val="00C253BD"/>
    <w:rsid w:val="00C2540F"/>
    <w:rsid w:val="00C25425"/>
    <w:rsid w:val="00C254E5"/>
    <w:rsid w:val="00C25655"/>
    <w:rsid w:val="00C259F2"/>
    <w:rsid w:val="00C25F0A"/>
    <w:rsid w:val="00C26271"/>
    <w:rsid w:val="00C264F4"/>
    <w:rsid w:val="00C265DE"/>
    <w:rsid w:val="00C266E4"/>
    <w:rsid w:val="00C26793"/>
    <w:rsid w:val="00C26834"/>
    <w:rsid w:val="00C269CB"/>
    <w:rsid w:val="00C26A46"/>
    <w:rsid w:val="00C26BA2"/>
    <w:rsid w:val="00C271B6"/>
    <w:rsid w:val="00C27BD0"/>
    <w:rsid w:val="00C27CEC"/>
    <w:rsid w:val="00C27F77"/>
    <w:rsid w:val="00C30480"/>
    <w:rsid w:val="00C30685"/>
    <w:rsid w:val="00C3080E"/>
    <w:rsid w:val="00C30B5C"/>
    <w:rsid w:val="00C30C98"/>
    <w:rsid w:val="00C3125A"/>
    <w:rsid w:val="00C3125D"/>
    <w:rsid w:val="00C31282"/>
    <w:rsid w:val="00C31D81"/>
    <w:rsid w:val="00C32063"/>
    <w:rsid w:val="00C32559"/>
    <w:rsid w:val="00C327EB"/>
    <w:rsid w:val="00C3290E"/>
    <w:rsid w:val="00C32A28"/>
    <w:rsid w:val="00C32C35"/>
    <w:rsid w:val="00C331DD"/>
    <w:rsid w:val="00C333A1"/>
    <w:rsid w:val="00C33901"/>
    <w:rsid w:val="00C3467B"/>
    <w:rsid w:val="00C34E29"/>
    <w:rsid w:val="00C34EA3"/>
    <w:rsid w:val="00C34F64"/>
    <w:rsid w:val="00C35025"/>
    <w:rsid w:val="00C3506A"/>
    <w:rsid w:val="00C35261"/>
    <w:rsid w:val="00C35471"/>
    <w:rsid w:val="00C3559F"/>
    <w:rsid w:val="00C35803"/>
    <w:rsid w:val="00C35980"/>
    <w:rsid w:val="00C36218"/>
    <w:rsid w:val="00C36254"/>
    <w:rsid w:val="00C365E9"/>
    <w:rsid w:val="00C365EA"/>
    <w:rsid w:val="00C36620"/>
    <w:rsid w:val="00C369C1"/>
    <w:rsid w:val="00C36FAE"/>
    <w:rsid w:val="00C371D8"/>
    <w:rsid w:val="00C372BE"/>
    <w:rsid w:val="00C374A6"/>
    <w:rsid w:val="00C375A2"/>
    <w:rsid w:val="00C375D6"/>
    <w:rsid w:val="00C3771A"/>
    <w:rsid w:val="00C37A43"/>
    <w:rsid w:val="00C37D96"/>
    <w:rsid w:val="00C37E0F"/>
    <w:rsid w:val="00C37E97"/>
    <w:rsid w:val="00C37F12"/>
    <w:rsid w:val="00C40022"/>
    <w:rsid w:val="00C401FE"/>
    <w:rsid w:val="00C40397"/>
    <w:rsid w:val="00C405DC"/>
    <w:rsid w:val="00C40A02"/>
    <w:rsid w:val="00C40B26"/>
    <w:rsid w:val="00C40D9A"/>
    <w:rsid w:val="00C40E20"/>
    <w:rsid w:val="00C40E2B"/>
    <w:rsid w:val="00C418B8"/>
    <w:rsid w:val="00C423F2"/>
    <w:rsid w:val="00C426C5"/>
    <w:rsid w:val="00C426CA"/>
    <w:rsid w:val="00C426FF"/>
    <w:rsid w:val="00C429B4"/>
    <w:rsid w:val="00C42A74"/>
    <w:rsid w:val="00C42F0D"/>
    <w:rsid w:val="00C4349E"/>
    <w:rsid w:val="00C43C30"/>
    <w:rsid w:val="00C43F9E"/>
    <w:rsid w:val="00C444D0"/>
    <w:rsid w:val="00C44935"/>
    <w:rsid w:val="00C44979"/>
    <w:rsid w:val="00C44B3F"/>
    <w:rsid w:val="00C44D55"/>
    <w:rsid w:val="00C4510B"/>
    <w:rsid w:val="00C454BB"/>
    <w:rsid w:val="00C4572E"/>
    <w:rsid w:val="00C458D7"/>
    <w:rsid w:val="00C459D6"/>
    <w:rsid w:val="00C45A49"/>
    <w:rsid w:val="00C45A97"/>
    <w:rsid w:val="00C45E1A"/>
    <w:rsid w:val="00C45FD2"/>
    <w:rsid w:val="00C4648C"/>
    <w:rsid w:val="00C4671F"/>
    <w:rsid w:val="00C46BF4"/>
    <w:rsid w:val="00C474E9"/>
    <w:rsid w:val="00C475FC"/>
    <w:rsid w:val="00C4762D"/>
    <w:rsid w:val="00C47BCA"/>
    <w:rsid w:val="00C501D1"/>
    <w:rsid w:val="00C50279"/>
    <w:rsid w:val="00C5052D"/>
    <w:rsid w:val="00C5057B"/>
    <w:rsid w:val="00C505C5"/>
    <w:rsid w:val="00C508FA"/>
    <w:rsid w:val="00C509ED"/>
    <w:rsid w:val="00C50D78"/>
    <w:rsid w:val="00C50DCC"/>
    <w:rsid w:val="00C51003"/>
    <w:rsid w:val="00C51112"/>
    <w:rsid w:val="00C512B8"/>
    <w:rsid w:val="00C516BF"/>
    <w:rsid w:val="00C51746"/>
    <w:rsid w:val="00C517EC"/>
    <w:rsid w:val="00C518B9"/>
    <w:rsid w:val="00C518EB"/>
    <w:rsid w:val="00C518EE"/>
    <w:rsid w:val="00C51A49"/>
    <w:rsid w:val="00C51A71"/>
    <w:rsid w:val="00C51A85"/>
    <w:rsid w:val="00C51F77"/>
    <w:rsid w:val="00C520F5"/>
    <w:rsid w:val="00C52154"/>
    <w:rsid w:val="00C52221"/>
    <w:rsid w:val="00C522E4"/>
    <w:rsid w:val="00C52453"/>
    <w:rsid w:val="00C52496"/>
    <w:rsid w:val="00C52524"/>
    <w:rsid w:val="00C52640"/>
    <w:rsid w:val="00C526E2"/>
    <w:rsid w:val="00C52D22"/>
    <w:rsid w:val="00C52D62"/>
    <w:rsid w:val="00C52F9B"/>
    <w:rsid w:val="00C5324E"/>
    <w:rsid w:val="00C536F5"/>
    <w:rsid w:val="00C538C0"/>
    <w:rsid w:val="00C53961"/>
    <w:rsid w:val="00C53972"/>
    <w:rsid w:val="00C53B51"/>
    <w:rsid w:val="00C53C51"/>
    <w:rsid w:val="00C53EB7"/>
    <w:rsid w:val="00C53F95"/>
    <w:rsid w:val="00C5455A"/>
    <w:rsid w:val="00C54641"/>
    <w:rsid w:val="00C5465B"/>
    <w:rsid w:val="00C54CE6"/>
    <w:rsid w:val="00C54EA7"/>
    <w:rsid w:val="00C54F6B"/>
    <w:rsid w:val="00C55104"/>
    <w:rsid w:val="00C5538C"/>
    <w:rsid w:val="00C55B2F"/>
    <w:rsid w:val="00C55CC6"/>
    <w:rsid w:val="00C5649A"/>
    <w:rsid w:val="00C564BC"/>
    <w:rsid w:val="00C5662F"/>
    <w:rsid w:val="00C566B5"/>
    <w:rsid w:val="00C56A6D"/>
    <w:rsid w:val="00C56B29"/>
    <w:rsid w:val="00C57148"/>
    <w:rsid w:val="00C57907"/>
    <w:rsid w:val="00C57F15"/>
    <w:rsid w:val="00C60073"/>
    <w:rsid w:val="00C60673"/>
    <w:rsid w:val="00C607BB"/>
    <w:rsid w:val="00C607E2"/>
    <w:rsid w:val="00C60800"/>
    <w:rsid w:val="00C609A2"/>
    <w:rsid w:val="00C60A7C"/>
    <w:rsid w:val="00C60C02"/>
    <w:rsid w:val="00C60F2D"/>
    <w:rsid w:val="00C61108"/>
    <w:rsid w:val="00C6122A"/>
    <w:rsid w:val="00C61877"/>
    <w:rsid w:val="00C619F6"/>
    <w:rsid w:val="00C61CA0"/>
    <w:rsid w:val="00C61D93"/>
    <w:rsid w:val="00C62310"/>
    <w:rsid w:val="00C627AF"/>
    <w:rsid w:val="00C62821"/>
    <w:rsid w:val="00C62C8F"/>
    <w:rsid w:val="00C62DE9"/>
    <w:rsid w:val="00C6343B"/>
    <w:rsid w:val="00C635C6"/>
    <w:rsid w:val="00C638DD"/>
    <w:rsid w:val="00C63F68"/>
    <w:rsid w:val="00C64549"/>
    <w:rsid w:val="00C6469F"/>
    <w:rsid w:val="00C64C93"/>
    <w:rsid w:val="00C64DF4"/>
    <w:rsid w:val="00C64ED5"/>
    <w:rsid w:val="00C65487"/>
    <w:rsid w:val="00C65689"/>
    <w:rsid w:val="00C65754"/>
    <w:rsid w:val="00C66064"/>
    <w:rsid w:val="00C666DE"/>
    <w:rsid w:val="00C66A2D"/>
    <w:rsid w:val="00C66BB9"/>
    <w:rsid w:val="00C66C00"/>
    <w:rsid w:val="00C66D08"/>
    <w:rsid w:val="00C66E72"/>
    <w:rsid w:val="00C66F5F"/>
    <w:rsid w:val="00C67013"/>
    <w:rsid w:val="00C671D1"/>
    <w:rsid w:val="00C673B5"/>
    <w:rsid w:val="00C673B7"/>
    <w:rsid w:val="00C675C6"/>
    <w:rsid w:val="00C6765F"/>
    <w:rsid w:val="00C677C4"/>
    <w:rsid w:val="00C67992"/>
    <w:rsid w:val="00C67A83"/>
    <w:rsid w:val="00C67CA2"/>
    <w:rsid w:val="00C67DDE"/>
    <w:rsid w:val="00C67F26"/>
    <w:rsid w:val="00C70157"/>
    <w:rsid w:val="00C7038D"/>
    <w:rsid w:val="00C70570"/>
    <w:rsid w:val="00C705A3"/>
    <w:rsid w:val="00C70976"/>
    <w:rsid w:val="00C70CAA"/>
    <w:rsid w:val="00C71486"/>
    <w:rsid w:val="00C716DD"/>
    <w:rsid w:val="00C716F8"/>
    <w:rsid w:val="00C718FA"/>
    <w:rsid w:val="00C71AED"/>
    <w:rsid w:val="00C72353"/>
    <w:rsid w:val="00C724B3"/>
    <w:rsid w:val="00C72A3D"/>
    <w:rsid w:val="00C72B48"/>
    <w:rsid w:val="00C72CA9"/>
    <w:rsid w:val="00C72E3A"/>
    <w:rsid w:val="00C72EA4"/>
    <w:rsid w:val="00C733E7"/>
    <w:rsid w:val="00C73669"/>
    <w:rsid w:val="00C73827"/>
    <w:rsid w:val="00C73967"/>
    <w:rsid w:val="00C73B8D"/>
    <w:rsid w:val="00C73C23"/>
    <w:rsid w:val="00C73CB6"/>
    <w:rsid w:val="00C73E11"/>
    <w:rsid w:val="00C73F55"/>
    <w:rsid w:val="00C7434B"/>
    <w:rsid w:val="00C748B8"/>
    <w:rsid w:val="00C74D17"/>
    <w:rsid w:val="00C74DBC"/>
    <w:rsid w:val="00C74FF8"/>
    <w:rsid w:val="00C750E4"/>
    <w:rsid w:val="00C75E9D"/>
    <w:rsid w:val="00C763F0"/>
    <w:rsid w:val="00C764BD"/>
    <w:rsid w:val="00C7665B"/>
    <w:rsid w:val="00C76D1E"/>
    <w:rsid w:val="00C76DFE"/>
    <w:rsid w:val="00C77312"/>
    <w:rsid w:val="00C774BC"/>
    <w:rsid w:val="00C77627"/>
    <w:rsid w:val="00C77828"/>
    <w:rsid w:val="00C7783E"/>
    <w:rsid w:val="00C77CEA"/>
    <w:rsid w:val="00C77F75"/>
    <w:rsid w:val="00C80010"/>
    <w:rsid w:val="00C80A66"/>
    <w:rsid w:val="00C80CD7"/>
    <w:rsid w:val="00C80DFA"/>
    <w:rsid w:val="00C81030"/>
    <w:rsid w:val="00C810B6"/>
    <w:rsid w:val="00C810CA"/>
    <w:rsid w:val="00C81204"/>
    <w:rsid w:val="00C8158F"/>
    <w:rsid w:val="00C81A01"/>
    <w:rsid w:val="00C81CC1"/>
    <w:rsid w:val="00C820E8"/>
    <w:rsid w:val="00C82657"/>
    <w:rsid w:val="00C82877"/>
    <w:rsid w:val="00C82E75"/>
    <w:rsid w:val="00C8346F"/>
    <w:rsid w:val="00C8361B"/>
    <w:rsid w:val="00C83D15"/>
    <w:rsid w:val="00C83D16"/>
    <w:rsid w:val="00C83E07"/>
    <w:rsid w:val="00C84367"/>
    <w:rsid w:val="00C84383"/>
    <w:rsid w:val="00C844E3"/>
    <w:rsid w:val="00C84869"/>
    <w:rsid w:val="00C84B83"/>
    <w:rsid w:val="00C84C4B"/>
    <w:rsid w:val="00C85090"/>
    <w:rsid w:val="00C85159"/>
    <w:rsid w:val="00C852AC"/>
    <w:rsid w:val="00C85306"/>
    <w:rsid w:val="00C85460"/>
    <w:rsid w:val="00C855A2"/>
    <w:rsid w:val="00C855B0"/>
    <w:rsid w:val="00C8585C"/>
    <w:rsid w:val="00C859B7"/>
    <w:rsid w:val="00C85A0D"/>
    <w:rsid w:val="00C85B73"/>
    <w:rsid w:val="00C860CE"/>
    <w:rsid w:val="00C8635D"/>
    <w:rsid w:val="00C8636A"/>
    <w:rsid w:val="00C8676A"/>
    <w:rsid w:val="00C86A82"/>
    <w:rsid w:val="00C86BCE"/>
    <w:rsid w:val="00C86D6F"/>
    <w:rsid w:val="00C87309"/>
    <w:rsid w:val="00C875D7"/>
    <w:rsid w:val="00C87E52"/>
    <w:rsid w:val="00C87F12"/>
    <w:rsid w:val="00C87F80"/>
    <w:rsid w:val="00C90073"/>
    <w:rsid w:val="00C900F6"/>
    <w:rsid w:val="00C9041F"/>
    <w:rsid w:val="00C906FC"/>
    <w:rsid w:val="00C90895"/>
    <w:rsid w:val="00C9093D"/>
    <w:rsid w:val="00C90CAF"/>
    <w:rsid w:val="00C90EE9"/>
    <w:rsid w:val="00C910C7"/>
    <w:rsid w:val="00C910DB"/>
    <w:rsid w:val="00C911C2"/>
    <w:rsid w:val="00C912DD"/>
    <w:rsid w:val="00C9130D"/>
    <w:rsid w:val="00C913C5"/>
    <w:rsid w:val="00C913FD"/>
    <w:rsid w:val="00C914D3"/>
    <w:rsid w:val="00C918ED"/>
    <w:rsid w:val="00C91952"/>
    <w:rsid w:val="00C91BDF"/>
    <w:rsid w:val="00C91D82"/>
    <w:rsid w:val="00C91E9B"/>
    <w:rsid w:val="00C91F52"/>
    <w:rsid w:val="00C91FB8"/>
    <w:rsid w:val="00C91FD2"/>
    <w:rsid w:val="00C92268"/>
    <w:rsid w:val="00C92519"/>
    <w:rsid w:val="00C9263B"/>
    <w:rsid w:val="00C9266B"/>
    <w:rsid w:val="00C92D2D"/>
    <w:rsid w:val="00C9306B"/>
    <w:rsid w:val="00C9309B"/>
    <w:rsid w:val="00C9312C"/>
    <w:rsid w:val="00C9317B"/>
    <w:rsid w:val="00C931B3"/>
    <w:rsid w:val="00C9362B"/>
    <w:rsid w:val="00C936B6"/>
    <w:rsid w:val="00C93AC6"/>
    <w:rsid w:val="00C93D18"/>
    <w:rsid w:val="00C93D87"/>
    <w:rsid w:val="00C93F07"/>
    <w:rsid w:val="00C93F4B"/>
    <w:rsid w:val="00C93F50"/>
    <w:rsid w:val="00C94457"/>
    <w:rsid w:val="00C94478"/>
    <w:rsid w:val="00C94516"/>
    <w:rsid w:val="00C94530"/>
    <w:rsid w:val="00C946A5"/>
    <w:rsid w:val="00C947CC"/>
    <w:rsid w:val="00C94B4F"/>
    <w:rsid w:val="00C9519E"/>
    <w:rsid w:val="00C95360"/>
    <w:rsid w:val="00C953F7"/>
    <w:rsid w:val="00C9567C"/>
    <w:rsid w:val="00C95F6B"/>
    <w:rsid w:val="00C967DD"/>
    <w:rsid w:val="00C96D46"/>
    <w:rsid w:val="00C96E62"/>
    <w:rsid w:val="00C97050"/>
    <w:rsid w:val="00C97121"/>
    <w:rsid w:val="00C97136"/>
    <w:rsid w:val="00C97333"/>
    <w:rsid w:val="00C97755"/>
    <w:rsid w:val="00C978A1"/>
    <w:rsid w:val="00C978C4"/>
    <w:rsid w:val="00C97B5A"/>
    <w:rsid w:val="00C97CD4"/>
    <w:rsid w:val="00C97D59"/>
    <w:rsid w:val="00C97E38"/>
    <w:rsid w:val="00C97F6E"/>
    <w:rsid w:val="00C97F72"/>
    <w:rsid w:val="00CA025A"/>
    <w:rsid w:val="00CA0479"/>
    <w:rsid w:val="00CA0543"/>
    <w:rsid w:val="00CA09D1"/>
    <w:rsid w:val="00CA0EFE"/>
    <w:rsid w:val="00CA15AE"/>
    <w:rsid w:val="00CA16E4"/>
    <w:rsid w:val="00CA17D2"/>
    <w:rsid w:val="00CA1C74"/>
    <w:rsid w:val="00CA1D5D"/>
    <w:rsid w:val="00CA1F79"/>
    <w:rsid w:val="00CA21F4"/>
    <w:rsid w:val="00CA26DC"/>
    <w:rsid w:val="00CA295A"/>
    <w:rsid w:val="00CA2C16"/>
    <w:rsid w:val="00CA2EC0"/>
    <w:rsid w:val="00CA2FEC"/>
    <w:rsid w:val="00CA3402"/>
    <w:rsid w:val="00CA3528"/>
    <w:rsid w:val="00CA361E"/>
    <w:rsid w:val="00CA3F3A"/>
    <w:rsid w:val="00CA41BC"/>
    <w:rsid w:val="00CA41E5"/>
    <w:rsid w:val="00CA4660"/>
    <w:rsid w:val="00CA4782"/>
    <w:rsid w:val="00CA49F8"/>
    <w:rsid w:val="00CA4CF1"/>
    <w:rsid w:val="00CA4D08"/>
    <w:rsid w:val="00CA4D91"/>
    <w:rsid w:val="00CA4FB6"/>
    <w:rsid w:val="00CA5052"/>
    <w:rsid w:val="00CA50CD"/>
    <w:rsid w:val="00CA51BC"/>
    <w:rsid w:val="00CA525D"/>
    <w:rsid w:val="00CA53FC"/>
    <w:rsid w:val="00CA55E6"/>
    <w:rsid w:val="00CA587F"/>
    <w:rsid w:val="00CA58B3"/>
    <w:rsid w:val="00CA5B5F"/>
    <w:rsid w:val="00CA5D97"/>
    <w:rsid w:val="00CA5F82"/>
    <w:rsid w:val="00CA6001"/>
    <w:rsid w:val="00CA6287"/>
    <w:rsid w:val="00CA6454"/>
    <w:rsid w:val="00CA64BD"/>
    <w:rsid w:val="00CA6AE7"/>
    <w:rsid w:val="00CA6D6F"/>
    <w:rsid w:val="00CA6DEF"/>
    <w:rsid w:val="00CA7140"/>
    <w:rsid w:val="00CA73F3"/>
    <w:rsid w:val="00CA7509"/>
    <w:rsid w:val="00CA7616"/>
    <w:rsid w:val="00CA76CB"/>
    <w:rsid w:val="00CA7C3A"/>
    <w:rsid w:val="00CB0213"/>
    <w:rsid w:val="00CB027C"/>
    <w:rsid w:val="00CB0974"/>
    <w:rsid w:val="00CB0995"/>
    <w:rsid w:val="00CB0A23"/>
    <w:rsid w:val="00CB0C8A"/>
    <w:rsid w:val="00CB0CCC"/>
    <w:rsid w:val="00CB123F"/>
    <w:rsid w:val="00CB17D1"/>
    <w:rsid w:val="00CB18B9"/>
    <w:rsid w:val="00CB19E8"/>
    <w:rsid w:val="00CB1FE2"/>
    <w:rsid w:val="00CB2285"/>
    <w:rsid w:val="00CB2311"/>
    <w:rsid w:val="00CB2538"/>
    <w:rsid w:val="00CB268C"/>
    <w:rsid w:val="00CB2FD9"/>
    <w:rsid w:val="00CB384E"/>
    <w:rsid w:val="00CB3982"/>
    <w:rsid w:val="00CB3D18"/>
    <w:rsid w:val="00CB46FB"/>
    <w:rsid w:val="00CB4CBB"/>
    <w:rsid w:val="00CB4D97"/>
    <w:rsid w:val="00CB4ED1"/>
    <w:rsid w:val="00CB4F57"/>
    <w:rsid w:val="00CB4FF8"/>
    <w:rsid w:val="00CB52A2"/>
    <w:rsid w:val="00CB5546"/>
    <w:rsid w:val="00CB5698"/>
    <w:rsid w:val="00CB56ED"/>
    <w:rsid w:val="00CB571B"/>
    <w:rsid w:val="00CB57F0"/>
    <w:rsid w:val="00CB58BA"/>
    <w:rsid w:val="00CB5C03"/>
    <w:rsid w:val="00CB5CF5"/>
    <w:rsid w:val="00CB60B2"/>
    <w:rsid w:val="00CB6260"/>
    <w:rsid w:val="00CB6298"/>
    <w:rsid w:val="00CB6441"/>
    <w:rsid w:val="00CB6719"/>
    <w:rsid w:val="00CB6B9A"/>
    <w:rsid w:val="00CB700D"/>
    <w:rsid w:val="00CB72C7"/>
    <w:rsid w:val="00CB7367"/>
    <w:rsid w:val="00CB7756"/>
    <w:rsid w:val="00CB7DA1"/>
    <w:rsid w:val="00CC001C"/>
    <w:rsid w:val="00CC0032"/>
    <w:rsid w:val="00CC02E4"/>
    <w:rsid w:val="00CC0379"/>
    <w:rsid w:val="00CC0513"/>
    <w:rsid w:val="00CC0DAE"/>
    <w:rsid w:val="00CC0E70"/>
    <w:rsid w:val="00CC0EEC"/>
    <w:rsid w:val="00CC0FCF"/>
    <w:rsid w:val="00CC1014"/>
    <w:rsid w:val="00CC12A7"/>
    <w:rsid w:val="00CC1315"/>
    <w:rsid w:val="00CC145C"/>
    <w:rsid w:val="00CC1F04"/>
    <w:rsid w:val="00CC2009"/>
    <w:rsid w:val="00CC269F"/>
    <w:rsid w:val="00CC26C1"/>
    <w:rsid w:val="00CC286E"/>
    <w:rsid w:val="00CC2EDD"/>
    <w:rsid w:val="00CC2F06"/>
    <w:rsid w:val="00CC32B7"/>
    <w:rsid w:val="00CC33B4"/>
    <w:rsid w:val="00CC3735"/>
    <w:rsid w:val="00CC3B1C"/>
    <w:rsid w:val="00CC3B56"/>
    <w:rsid w:val="00CC3CA1"/>
    <w:rsid w:val="00CC3F19"/>
    <w:rsid w:val="00CC3FBB"/>
    <w:rsid w:val="00CC4088"/>
    <w:rsid w:val="00CC4142"/>
    <w:rsid w:val="00CC4284"/>
    <w:rsid w:val="00CC48B5"/>
    <w:rsid w:val="00CC48E2"/>
    <w:rsid w:val="00CC4A22"/>
    <w:rsid w:val="00CC4BAA"/>
    <w:rsid w:val="00CC4DF6"/>
    <w:rsid w:val="00CC5166"/>
    <w:rsid w:val="00CC529D"/>
    <w:rsid w:val="00CC5395"/>
    <w:rsid w:val="00CC5463"/>
    <w:rsid w:val="00CC55A2"/>
    <w:rsid w:val="00CC57CA"/>
    <w:rsid w:val="00CC5DEC"/>
    <w:rsid w:val="00CC5E2A"/>
    <w:rsid w:val="00CC62BD"/>
    <w:rsid w:val="00CC6551"/>
    <w:rsid w:val="00CC6927"/>
    <w:rsid w:val="00CC69FB"/>
    <w:rsid w:val="00CC6A3F"/>
    <w:rsid w:val="00CC6A96"/>
    <w:rsid w:val="00CC6AAB"/>
    <w:rsid w:val="00CC6FB4"/>
    <w:rsid w:val="00CC7241"/>
    <w:rsid w:val="00CC75A8"/>
    <w:rsid w:val="00CC7707"/>
    <w:rsid w:val="00CC77E2"/>
    <w:rsid w:val="00CC7EE9"/>
    <w:rsid w:val="00CD041B"/>
    <w:rsid w:val="00CD049A"/>
    <w:rsid w:val="00CD0649"/>
    <w:rsid w:val="00CD0674"/>
    <w:rsid w:val="00CD07BE"/>
    <w:rsid w:val="00CD083A"/>
    <w:rsid w:val="00CD095A"/>
    <w:rsid w:val="00CD097A"/>
    <w:rsid w:val="00CD0D9B"/>
    <w:rsid w:val="00CD0DF5"/>
    <w:rsid w:val="00CD14CB"/>
    <w:rsid w:val="00CD15CD"/>
    <w:rsid w:val="00CD179B"/>
    <w:rsid w:val="00CD18D4"/>
    <w:rsid w:val="00CD1E01"/>
    <w:rsid w:val="00CD2076"/>
    <w:rsid w:val="00CD2104"/>
    <w:rsid w:val="00CD263F"/>
    <w:rsid w:val="00CD2691"/>
    <w:rsid w:val="00CD27EC"/>
    <w:rsid w:val="00CD2959"/>
    <w:rsid w:val="00CD29C0"/>
    <w:rsid w:val="00CD2A25"/>
    <w:rsid w:val="00CD2B0C"/>
    <w:rsid w:val="00CD2B18"/>
    <w:rsid w:val="00CD2F0F"/>
    <w:rsid w:val="00CD3050"/>
    <w:rsid w:val="00CD32D6"/>
    <w:rsid w:val="00CD34A0"/>
    <w:rsid w:val="00CD3716"/>
    <w:rsid w:val="00CD3769"/>
    <w:rsid w:val="00CD39BA"/>
    <w:rsid w:val="00CD3B6F"/>
    <w:rsid w:val="00CD3B92"/>
    <w:rsid w:val="00CD3D68"/>
    <w:rsid w:val="00CD3E01"/>
    <w:rsid w:val="00CD3EBE"/>
    <w:rsid w:val="00CD3F62"/>
    <w:rsid w:val="00CD3FF7"/>
    <w:rsid w:val="00CD4262"/>
    <w:rsid w:val="00CD432D"/>
    <w:rsid w:val="00CD44D8"/>
    <w:rsid w:val="00CD4544"/>
    <w:rsid w:val="00CD4956"/>
    <w:rsid w:val="00CD4C73"/>
    <w:rsid w:val="00CD4F39"/>
    <w:rsid w:val="00CD52E9"/>
    <w:rsid w:val="00CD55E1"/>
    <w:rsid w:val="00CD5999"/>
    <w:rsid w:val="00CD5AD2"/>
    <w:rsid w:val="00CD5BC5"/>
    <w:rsid w:val="00CD5BEA"/>
    <w:rsid w:val="00CD6498"/>
    <w:rsid w:val="00CD6727"/>
    <w:rsid w:val="00CD6951"/>
    <w:rsid w:val="00CD6DA3"/>
    <w:rsid w:val="00CD7229"/>
    <w:rsid w:val="00CD7520"/>
    <w:rsid w:val="00CD7612"/>
    <w:rsid w:val="00CD77E6"/>
    <w:rsid w:val="00CD7D69"/>
    <w:rsid w:val="00CD7E01"/>
    <w:rsid w:val="00CE0164"/>
    <w:rsid w:val="00CE018C"/>
    <w:rsid w:val="00CE01C0"/>
    <w:rsid w:val="00CE0598"/>
    <w:rsid w:val="00CE06A3"/>
    <w:rsid w:val="00CE083B"/>
    <w:rsid w:val="00CE0C4C"/>
    <w:rsid w:val="00CE0C84"/>
    <w:rsid w:val="00CE0CFA"/>
    <w:rsid w:val="00CE0D22"/>
    <w:rsid w:val="00CE0D9B"/>
    <w:rsid w:val="00CE13AB"/>
    <w:rsid w:val="00CE14F0"/>
    <w:rsid w:val="00CE17AF"/>
    <w:rsid w:val="00CE17BF"/>
    <w:rsid w:val="00CE1885"/>
    <w:rsid w:val="00CE18FB"/>
    <w:rsid w:val="00CE1C34"/>
    <w:rsid w:val="00CE1CE9"/>
    <w:rsid w:val="00CE21E9"/>
    <w:rsid w:val="00CE27A3"/>
    <w:rsid w:val="00CE2803"/>
    <w:rsid w:val="00CE2832"/>
    <w:rsid w:val="00CE2A91"/>
    <w:rsid w:val="00CE2E30"/>
    <w:rsid w:val="00CE2F89"/>
    <w:rsid w:val="00CE362C"/>
    <w:rsid w:val="00CE37BD"/>
    <w:rsid w:val="00CE3973"/>
    <w:rsid w:val="00CE3AB2"/>
    <w:rsid w:val="00CE3AC5"/>
    <w:rsid w:val="00CE4411"/>
    <w:rsid w:val="00CE4759"/>
    <w:rsid w:val="00CE4803"/>
    <w:rsid w:val="00CE49C7"/>
    <w:rsid w:val="00CE4D78"/>
    <w:rsid w:val="00CE4ED2"/>
    <w:rsid w:val="00CE4F48"/>
    <w:rsid w:val="00CE5252"/>
    <w:rsid w:val="00CE56E5"/>
    <w:rsid w:val="00CE5940"/>
    <w:rsid w:val="00CE5988"/>
    <w:rsid w:val="00CE6114"/>
    <w:rsid w:val="00CE61DC"/>
    <w:rsid w:val="00CE625B"/>
    <w:rsid w:val="00CE62AA"/>
    <w:rsid w:val="00CE63DD"/>
    <w:rsid w:val="00CE6788"/>
    <w:rsid w:val="00CE6CF2"/>
    <w:rsid w:val="00CE6DF2"/>
    <w:rsid w:val="00CE6E62"/>
    <w:rsid w:val="00CE71A0"/>
    <w:rsid w:val="00CE739B"/>
    <w:rsid w:val="00CE7852"/>
    <w:rsid w:val="00CE7880"/>
    <w:rsid w:val="00CE79B2"/>
    <w:rsid w:val="00CE7BEC"/>
    <w:rsid w:val="00CE7E72"/>
    <w:rsid w:val="00CF01A4"/>
    <w:rsid w:val="00CF0211"/>
    <w:rsid w:val="00CF0591"/>
    <w:rsid w:val="00CF066E"/>
    <w:rsid w:val="00CF06D8"/>
    <w:rsid w:val="00CF09E5"/>
    <w:rsid w:val="00CF0ECA"/>
    <w:rsid w:val="00CF17DF"/>
    <w:rsid w:val="00CF186C"/>
    <w:rsid w:val="00CF1891"/>
    <w:rsid w:val="00CF1DCF"/>
    <w:rsid w:val="00CF1E52"/>
    <w:rsid w:val="00CF1FEE"/>
    <w:rsid w:val="00CF2329"/>
    <w:rsid w:val="00CF2494"/>
    <w:rsid w:val="00CF253F"/>
    <w:rsid w:val="00CF261C"/>
    <w:rsid w:val="00CF2A6C"/>
    <w:rsid w:val="00CF2A76"/>
    <w:rsid w:val="00CF2B87"/>
    <w:rsid w:val="00CF2D02"/>
    <w:rsid w:val="00CF3100"/>
    <w:rsid w:val="00CF351E"/>
    <w:rsid w:val="00CF37CF"/>
    <w:rsid w:val="00CF37FC"/>
    <w:rsid w:val="00CF3D88"/>
    <w:rsid w:val="00CF3E80"/>
    <w:rsid w:val="00CF414A"/>
    <w:rsid w:val="00CF43E7"/>
    <w:rsid w:val="00CF4841"/>
    <w:rsid w:val="00CF4868"/>
    <w:rsid w:val="00CF4A28"/>
    <w:rsid w:val="00CF4C2C"/>
    <w:rsid w:val="00CF4F2B"/>
    <w:rsid w:val="00CF512A"/>
    <w:rsid w:val="00CF5A18"/>
    <w:rsid w:val="00CF6199"/>
    <w:rsid w:val="00CF64FE"/>
    <w:rsid w:val="00CF6786"/>
    <w:rsid w:val="00CF68DA"/>
    <w:rsid w:val="00CF69AD"/>
    <w:rsid w:val="00CF7808"/>
    <w:rsid w:val="00CF79BF"/>
    <w:rsid w:val="00CF7A33"/>
    <w:rsid w:val="00CF7C19"/>
    <w:rsid w:val="00D009C0"/>
    <w:rsid w:val="00D00BBF"/>
    <w:rsid w:val="00D00FE6"/>
    <w:rsid w:val="00D0101F"/>
    <w:rsid w:val="00D01026"/>
    <w:rsid w:val="00D015C9"/>
    <w:rsid w:val="00D01B7B"/>
    <w:rsid w:val="00D01BD0"/>
    <w:rsid w:val="00D01EE3"/>
    <w:rsid w:val="00D01F5A"/>
    <w:rsid w:val="00D02024"/>
    <w:rsid w:val="00D02518"/>
    <w:rsid w:val="00D02566"/>
    <w:rsid w:val="00D02986"/>
    <w:rsid w:val="00D02C2A"/>
    <w:rsid w:val="00D02E6F"/>
    <w:rsid w:val="00D02F7D"/>
    <w:rsid w:val="00D03166"/>
    <w:rsid w:val="00D032D7"/>
    <w:rsid w:val="00D033BF"/>
    <w:rsid w:val="00D034DA"/>
    <w:rsid w:val="00D03704"/>
    <w:rsid w:val="00D038FE"/>
    <w:rsid w:val="00D03955"/>
    <w:rsid w:val="00D039A0"/>
    <w:rsid w:val="00D03D9C"/>
    <w:rsid w:val="00D043FA"/>
    <w:rsid w:val="00D04886"/>
    <w:rsid w:val="00D049C6"/>
    <w:rsid w:val="00D049FA"/>
    <w:rsid w:val="00D04DD7"/>
    <w:rsid w:val="00D04E65"/>
    <w:rsid w:val="00D05012"/>
    <w:rsid w:val="00D05222"/>
    <w:rsid w:val="00D05445"/>
    <w:rsid w:val="00D0592A"/>
    <w:rsid w:val="00D05EC9"/>
    <w:rsid w:val="00D061AC"/>
    <w:rsid w:val="00D062C7"/>
    <w:rsid w:val="00D06586"/>
    <w:rsid w:val="00D0689C"/>
    <w:rsid w:val="00D06BF1"/>
    <w:rsid w:val="00D070CB"/>
    <w:rsid w:val="00D07403"/>
    <w:rsid w:val="00D07492"/>
    <w:rsid w:val="00D1008A"/>
    <w:rsid w:val="00D101A6"/>
    <w:rsid w:val="00D10366"/>
    <w:rsid w:val="00D10856"/>
    <w:rsid w:val="00D10CCE"/>
    <w:rsid w:val="00D10DB5"/>
    <w:rsid w:val="00D10F40"/>
    <w:rsid w:val="00D11161"/>
    <w:rsid w:val="00D113F7"/>
    <w:rsid w:val="00D11479"/>
    <w:rsid w:val="00D1187A"/>
    <w:rsid w:val="00D11FCE"/>
    <w:rsid w:val="00D11FF5"/>
    <w:rsid w:val="00D12046"/>
    <w:rsid w:val="00D122D0"/>
    <w:rsid w:val="00D126CA"/>
    <w:rsid w:val="00D129D5"/>
    <w:rsid w:val="00D12A49"/>
    <w:rsid w:val="00D12B14"/>
    <w:rsid w:val="00D12BA8"/>
    <w:rsid w:val="00D12BFF"/>
    <w:rsid w:val="00D13022"/>
    <w:rsid w:val="00D13073"/>
    <w:rsid w:val="00D13551"/>
    <w:rsid w:val="00D13989"/>
    <w:rsid w:val="00D13A8C"/>
    <w:rsid w:val="00D13E06"/>
    <w:rsid w:val="00D142E0"/>
    <w:rsid w:val="00D142F0"/>
    <w:rsid w:val="00D143B0"/>
    <w:rsid w:val="00D14527"/>
    <w:rsid w:val="00D14627"/>
    <w:rsid w:val="00D14663"/>
    <w:rsid w:val="00D14A87"/>
    <w:rsid w:val="00D14E78"/>
    <w:rsid w:val="00D14F76"/>
    <w:rsid w:val="00D15032"/>
    <w:rsid w:val="00D1513B"/>
    <w:rsid w:val="00D15185"/>
    <w:rsid w:val="00D1528C"/>
    <w:rsid w:val="00D15567"/>
    <w:rsid w:val="00D1568E"/>
    <w:rsid w:val="00D15A54"/>
    <w:rsid w:val="00D16112"/>
    <w:rsid w:val="00D161CC"/>
    <w:rsid w:val="00D1661D"/>
    <w:rsid w:val="00D16675"/>
    <w:rsid w:val="00D168C0"/>
    <w:rsid w:val="00D169B6"/>
    <w:rsid w:val="00D16CA9"/>
    <w:rsid w:val="00D16F36"/>
    <w:rsid w:val="00D16F8A"/>
    <w:rsid w:val="00D17133"/>
    <w:rsid w:val="00D17487"/>
    <w:rsid w:val="00D17553"/>
    <w:rsid w:val="00D17ACF"/>
    <w:rsid w:val="00D17D6E"/>
    <w:rsid w:val="00D17E90"/>
    <w:rsid w:val="00D17FB0"/>
    <w:rsid w:val="00D20214"/>
    <w:rsid w:val="00D20226"/>
    <w:rsid w:val="00D202F0"/>
    <w:rsid w:val="00D203EE"/>
    <w:rsid w:val="00D20603"/>
    <w:rsid w:val="00D20669"/>
    <w:rsid w:val="00D20C58"/>
    <w:rsid w:val="00D20D03"/>
    <w:rsid w:val="00D20E3F"/>
    <w:rsid w:val="00D20F58"/>
    <w:rsid w:val="00D216D5"/>
    <w:rsid w:val="00D218CC"/>
    <w:rsid w:val="00D219A1"/>
    <w:rsid w:val="00D21A0E"/>
    <w:rsid w:val="00D21B88"/>
    <w:rsid w:val="00D21FDA"/>
    <w:rsid w:val="00D2211B"/>
    <w:rsid w:val="00D2235A"/>
    <w:rsid w:val="00D22393"/>
    <w:rsid w:val="00D2268B"/>
    <w:rsid w:val="00D22BC0"/>
    <w:rsid w:val="00D22BF2"/>
    <w:rsid w:val="00D22C34"/>
    <w:rsid w:val="00D22D8D"/>
    <w:rsid w:val="00D22DFD"/>
    <w:rsid w:val="00D2309C"/>
    <w:rsid w:val="00D238C4"/>
    <w:rsid w:val="00D23AD1"/>
    <w:rsid w:val="00D23E22"/>
    <w:rsid w:val="00D2415F"/>
    <w:rsid w:val="00D24281"/>
    <w:rsid w:val="00D242D1"/>
    <w:rsid w:val="00D24328"/>
    <w:rsid w:val="00D248BD"/>
    <w:rsid w:val="00D248E3"/>
    <w:rsid w:val="00D24CFB"/>
    <w:rsid w:val="00D24E6C"/>
    <w:rsid w:val="00D25076"/>
    <w:rsid w:val="00D250A3"/>
    <w:rsid w:val="00D25575"/>
    <w:rsid w:val="00D25667"/>
    <w:rsid w:val="00D2599D"/>
    <w:rsid w:val="00D25B96"/>
    <w:rsid w:val="00D25C6A"/>
    <w:rsid w:val="00D26294"/>
    <w:rsid w:val="00D263BE"/>
    <w:rsid w:val="00D2655C"/>
    <w:rsid w:val="00D26565"/>
    <w:rsid w:val="00D267A6"/>
    <w:rsid w:val="00D26AFF"/>
    <w:rsid w:val="00D26F5E"/>
    <w:rsid w:val="00D27228"/>
    <w:rsid w:val="00D274C9"/>
    <w:rsid w:val="00D27AA5"/>
    <w:rsid w:val="00D27AF9"/>
    <w:rsid w:val="00D27D07"/>
    <w:rsid w:val="00D303A9"/>
    <w:rsid w:val="00D304FF"/>
    <w:rsid w:val="00D3056D"/>
    <w:rsid w:val="00D30CC6"/>
    <w:rsid w:val="00D30D0B"/>
    <w:rsid w:val="00D30EB5"/>
    <w:rsid w:val="00D30FE4"/>
    <w:rsid w:val="00D31645"/>
    <w:rsid w:val="00D319EA"/>
    <w:rsid w:val="00D31ABB"/>
    <w:rsid w:val="00D31BEF"/>
    <w:rsid w:val="00D31C65"/>
    <w:rsid w:val="00D31D32"/>
    <w:rsid w:val="00D31DAE"/>
    <w:rsid w:val="00D31F5F"/>
    <w:rsid w:val="00D31FC7"/>
    <w:rsid w:val="00D31FF0"/>
    <w:rsid w:val="00D320AF"/>
    <w:rsid w:val="00D32C8C"/>
    <w:rsid w:val="00D32E84"/>
    <w:rsid w:val="00D33485"/>
    <w:rsid w:val="00D33701"/>
    <w:rsid w:val="00D33734"/>
    <w:rsid w:val="00D33D2C"/>
    <w:rsid w:val="00D33F5B"/>
    <w:rsid w:val="00D33F85"/>
    <w:rsid w:val="00D340AC"/>
    <w:rsid w:val="00D3415D"/>
    <w:rsid w:val="00D3421F"/>
    <w:rsid w:val="00D34795"/>
    <w:rsid w:val="00D34979"/>
    <w:rsid w:val="00D34A86"/>
    <w:rsid w:val="00D34AFA"/>
    <w:rsid w:val="00D34BAA"/>
    <w:rsid w:val="00D34C4A"/>
    <w:rsid w:val="00D34F7B"/>
    <w:rsid w:val="00D3519E"/>
    <w:rsid w:val="00D3552A"/>
    <w:rsid w:val="00D3561C"/>
    <w:rsid w:val="00D356F2"/>
    <w:rsid w:val="00D3578F"/>
    <w:rsid w:val="00D35904"/>
    <w:rsid w:val="00D359E3"/>
    <w:rsid w:val="00D35BD3"/>
    <w:rsid w:val="00D35DAA"/>
    <w:rsid w:val="00D35E9E"/>
    <w:rsid w:val="00D35F29"/>
    <w:rsid w:val="00D363EA"/>
    <w:rsid w:val="00D363F9"/>
    <w:rsid w:val="00D36642"/>
    <w:rsid w:val="00D36853"/>
    <w:rsid w:val="00D36A26"/>
    <w:rsid w:val="00D36B1C"/>
    <w:rsid w:val="00D36D99"/>
    <w:rsid w:val="00D37214"/>
    <w:rsid w:val="00D37270"/>
    <w:rsid w:val="00D3786C"/>
    <w:rsid w:val="00D37BDD"/>
    <w:rsid w:val="00D37EF6"/>
    <w:rsid w:val="00D4022E"/>
    <w:rsid w:val="00D40295"/>
    <w:rsid w:val="00D40575"/>
    <w:rsid w:val="00D40647"/>
    <w:rsid w:val="00D406A9"/>
    <w:rsid w:val="00D408B5"/>
    <w:rsid w:val="00D40949"/>
    <w:rsid w:val="00D40C1A"/>
    <w:rsid w:val="00D40C53"/>
    <w:rsid w:val="00D40D27"/>
    <w:rsid w:val="00D40D4B"/>
    <w:rsid w:val="00D412D6"/>
    <w:rsid w:val="00D414B9"/>
    <w:rsid w:val="00D41748"/>
    <w:rsid w:val="00D417C6"/>
    <w:rsid w:val="00D418FB"/>
    <w:rsid w:val="00D4194D"/>
    <w:rsid w:val="00D41E4F"/>
    <w:rsid w:val="00D41EB2"/>
    <w:rsid w:val="00D42004"/>
    <w:rsid w:val="00D422C3"/>
    <w:rsid w:val="00D425EA"/>
    <w:rsid w:val="00D426AB"/>
    <w:rsid w:val="00D4298F"/>
    <w:rsid w:val="00D42BE8"/>
    <w:rsid w:val="00D42EC0"/>
    <w:rsid w:val="00D43147"/>
    <w:rsid w:val="00D4329E"/>
    <w:rsid w:val="00D433CD"/>
    <w:rsid w:val="00D434F6"/>
    <w:rsid w:val="00D436A2"/>
    <w:rsid w:val="00D43ADC"/>
    <w:rsid w:val="00D43E8E"/>
    <w:rsid w:val="00D443D0"/>
    <w:rsid w:val="00D44523"/>
    <w:rsid w:val="00D4459C"/>
    <w:rsid w:val="00D449DC"/>
    <w:rsid w:val="00D44D57"/>
    <w:rsid w:val="00D44F0E"/>
    <w:rsid w:val="00D44F7D"/>
    <w:rsid w:val="00D45015"/>
    <w:rsid w:val="00D45215"/>
    <w:rsid w:val="00D4555D"/>
    <w:rsid w:val="00D455A5"/>
    <w:rsid w:val="00D4595E"/>
    <w:rsid w:val="00D45BE2"/>
    <w:rsid w:val="00D45E5E"/>
    <w:rsid w:val="00D45ED6"/>
    <w:rsid w:val="00D46694"/>
    <w:rsid w:val="00D467FD"/>
    <w:rsid w:val="00D470A1"/>
    <w:rsid w:val="00D471F6"/>
    <w:rsid w:val="00D4742F"/>
    <w:rsid w:val="00D47B0A"/>
    <w:rsid w:val="00D47C54"/>
    <w:rsid w:val="00D47DC2"/>
    <w:rsid w:val="00D50077"/>
    <w:rsid w:val="00D50495"/>
    <w:rsid w:val="00D506A9"/>
    <w:rsid w:val="00D508CF"/>
    <w:rsid w:val="00D508E5"/>
    <w:rsid w:val="00D50C40"/>
    <w:rsid w:val="00D50F7F"/>
    <w:rsid w:val="00D50FA1"/>
    <w:rsid w:val="00D51105"/>
    <w:rsid w:val="00D51393"/>
    <w:rsid w:val="00D514E2"/>
    <w:rsid w:val="00D514F6"/>
    <w:rsid w:val="00D51697"/>
    <w:rsid w:val="00D516A9"/>
    <w:rsid w:val="00D5171A"/>
    <w:rsid w:val="00D517E6"/>
    <w:rsid w:val="00D5182A"/>
    <w:rsid w:val="00D518B5"/>
    <w:rsid w:val="00D51B81"/>
    <w:rsid w:val="00D520D0"/>
    <w:rsid w:val="00D5213A"/>
    <w:rsid w:val="00D525DC"/>
    <w:rsid w:val="00D52891"/>
    <w:rsid w:val="00D529FA"/>
    <w:rsid w:val="00D52AB9"/>
    <w:rsid w:val="00D52BE4"/>
    <w:rsid w:val="00D533CA"/>
    <w:rsid w:val="00D5352E"/>
    <w:rsid w:val="00D535E5"/>
    <w:rsid w:val="00D539B9"/>
    <w:rsid w:val="00D53C0E"/>
    <w:rsid w:val="00D53D5B"/>
    <w:rsid w:val="00D540E2"/>
    <w:rsid w:val="00D54510"/>
    <w:rsid w:val="00D54942"/>
    <w:rsid w:val="00D54DF5"/>
    <w:rsid w:val="00D54F67"/>
    <w:rsid w:val="00D55258"/>
    <w:rsid w:val="00D552ED"/>
    <w:rsid w:val="00D5531D"/>
    <w:rsid w:val="00D553E9"/>
    <w:rsid w:val="00D55977"/>
    <w:rsid w:val="00D55A8A"/>
    <w:rsid w:val="00D55B2E"/>
    <w:rsid w:val="00D55D15"/>
    <w:rsid w:val="00D55F9A"/>
    <w:rsid w:val="00D5601E"/>
    <w:rsid w:val="00D5614E"/>
    <w:rsid w:val="00D56471"/>
    <w:rsid w:val="00D565C7"/>
    <w:rsid w:val="00D56844"/>
    <w:rsid w:val="00D5689B"/>
    <w:rsid w:val="00D56B19"/>
    <w:rsid w:val="00D56CA1"/>
    <w:rsid w:val="00D56E3E"/>
    <w:rsid w:val="00D5711B"/>
    <w:rsid w:val="00D57257"/>
    <w:rsid w:val="00D57624"/>
    <w:rsid w:val="00D577E7"/>
    <w:rsid w:val="00D57A5F"/>
    <w:rsid w:val="00D57B52"/>
    <w:rsid w:val="00D57F73"/>
    <w:rsid w:val="00D6014E"/>
    <w:rsid w:val="00D601E9"/>
    <w:rsid w:val="00D603E9"/>
    <w:rsid w:val="00D60661"/>
    <w:rsid w:val="00D60B8E"/>
    <w:rsid w:val="00D60F6A"/>
    <w:rsid w:val="00D612D4"/>
    <w:rsid w:val="00D614BA"/>
    <w:rsid w:val="00D61800"/>
    <w:rsid w:val="00D619FD"/>
    <w:rsid w:val="00D61A53"/>
    <w:rsid w:val="00D61C5B"/>
    <w:rsid w:val="00D61CD9"/>
    <w:rsid w:val="00D62216"/>
    <w:rsid w:val="00D623D4"/>
    <w:rsid w:val="00D625BA"/>
    <w:rsid w:val="00D6261F"/>
    <w:rsid w:val="00D6281F"/>
    <w:rsid w:val="00D632C8"/>
    <w:rsid w:val="00D63464"/>
    <w:rsid w:val="00D6346A"/>
    <w:rsid w:val="00D634FA"/>
    <w:rsid w:val="00D6352A"/>
    <w:rsid w:val="00D63804"/>
    <w:rsid w:val="00D6384E"/>
    <w:rsid w:val="00D63B14"/>
    <w:rsid w:val="00D63D46"/>
    <w:rsid w:val="00D63EC4"/>
    <w:rsid w:val="00D6415B"/>
    <w:rsid w:val="00D645FD"/>
    <w:rsid w:val="00D64776"/>
    <w:rsid w:val="00D6503E"/>
    <w:rsid w:val="00D6506E"/>
    <w:rsid w:val="00D65630"/>
    <w:rsid w:val="00D65684"/>
    <w:rsid w:val="00D65A14"/>
    <w:rsid w:val="00D65A89"/>
    <w:rsid w:val="00D65AB7"/>
    <w:rsid w:val="00D65AE8"/>
    <w:rsid w:val="00D65D2D"/>
    <w:rsid w:val="00D65ED7"/>
    <w:rsid w:val="00D661D6"/>
    <w:rsid w:val="00D66265"/>
    <w:rsid w:val="00D66389"/>
    <w:rsid w:val="00D667C8"/>
    <w:rsid w:val="00D6694D"/>
    <w:rsid w:val="00D669B5"/>
    <w:rsid w:val="00D66E37"/>
    <w:rsid w:val="00D6776C"/>
    <w:rsid w:val="00D67981"/>
    <w:rsid w:val="00D67C7A"/>
    <w:rsid w:val="00D67F5F"/>
    <w:rsid w:val="00D6FD0A"/>
    <w:rsid w:val="00D7009E"/>
    <w:rsid w:val="00D700F2"/>
    <w:rsid w:val="00D70228"/>
    <w:rsid w:val="00D70248"/>
    <w:rsid w:val="00D70597"/>
    <w:rsid w:val="00D708C4"/>
    <w:rsid w:val="00D70C3C"/>
    <w:rsid w:val="00D7142B"/>
    <w:rsid w:val="00D714B9"/>
    <w:rsid w:val="00D715C7"/>
    <w:rsid w:val="00D71A75"/>
    <w:rsid w:val="00D71AE1"/>
    <w:rsid w:val="00D71B2A"/>
    <w:rsid w:val="00D71D42"/>
    <w:rsid w:val="00D71F93"/>
    <w:rsid w:val="00D720C2"/>
    <w:rsid w:val="00D720D5"/>
    <w:rsid w:val="00D7293C"/>
    <w:rsid w:val="00D72E28"/>
    <w:rsid w:val="00D73B60"/>
    <w:rsid w:val="00D73C61"/>
    <w:rsid w:val="00D73D11"/>
    <w:rsid w:val="00D73E34"/>
    <w:rsid w:val="00D73F7D"/>
    <w:rsid w:val="00D7430A"/>
    <w:rsid w:val="00D74941"/>
    <w:rsid w:val="00D74BA0"/>
    <w:rsid w:val="00D74C0E"/>
    <w:rsid w:val="00D750A4"/>
    <w:rsid w:val="00D751C9"/>
    <w:rsid w:val="00D751DB"/>
    <w:rsid w:val="00D75210"/>
    <w:rsid w:val="00D7523B"/>
    <w:rsid w:val="00D752B6"/>
    <w:rsid w:val="00D75880"/>
    <w:rsid w:val="00D759FE"/>
    <w:rsid w:val="00D75D45"/>
    <w:rsid w:val="00D760B8"/>
    <w:rsid w:val="00D7652E"/>
    <w:rsid w:val="00D766CF"/>
    <w:rsid w:val="00D76A50"/>
    <w:rsid w:val="00D76FB3"/>
    <w:rsid w:val="00D77072"/>
    <w:rsid w:val="00D770A6"/>
    <w:rsid w:val="00D77174"/>
    <w:rsid w:val="00D7724D"/>
    <w:rsid w:val="00D772B2"/>
    <w:rsid w:val="00D774F8"/>
    <w:rsid w:val="00D776DE"/>
    <w:rsid w:val="00D776EA"/>
    <w:rsid w:val="00D7781B"/>
    <w:rsid w:val="00D778FA"/>
    <w:rsid w:val="00D80137"/>
    <w:rsid w:val="00D81168"/>
    <w:rsid w:val="00D8130C"/>
    <w:rsid w:val="00D8134A"/>
    <w:rsid w:val="00D81500"/>
    <w:rsid w:val="00D81A33"/>
    <w:rsid w:val="00D81AE3"/>
    <w:rsid w:val="00D81EB0"/>
    <w:rsid w:val="00D82304"/>
    <w:rsid w:val="00D82475"/>
    <w:rsid w:val="00D82806"/>
    <w:rsid w:val="00D829BC"/>
    <w:rsid w:val="00D829DA"/>
    <w:rsid w:val="00D82A16"/>
    <w:rsid w:val="00D8323D"/>
    <w:rsid w:val="00D832B2"/>
    <w:rsid w:val="00D83820"/>
    <w:rsid w:val="00D83857"/>
    <w:rsid w:val="00D8388D"/>
    <w:rsid w:val="00D838D5"/>
    <w:rsid w:val="00D83CCF"/>
    <w:rsid w:val="00D83DE5"/>
    <w:rsid w:val="00D83FDC"/>
    <w:rsid w:val="00D841FD"/>
    <w:rsid w:val="00D84254"/>
    <w:rsid w:val="00D843C2"/>
    <w:rsid w:val="00D84631"/>
    <w:rsid w:val="00D84660"/>
    <w:rsid w:val="00D8476A"/>
    <w:rsid w:val="00D85285"/>
    <w:rsid w:val="00D853EC"/>
    <w:rsid w:val="00D859B2"/>
    <w:rsid w:val="00D85B72"/>
    <w:rsid w:val="00D85CB7"/>
    <w:rsid w:val="00D85D8C"/>
    <w:rsid w:val="00D861E4"/>
    <w:rsid w:val="00D86404"/>
    <w:rsid w:val="00D864AA"/>
    <w:rsid w:val="00D864CA"/>
    <w:rsid w:val="00D864DA"/>
    <w:rsid w:val="00D8664B"/>
    <w:rsid w:val="00D86A5E"/>
    <w:rsid w:val="00D86EB0"/>
    <w:rsid w:val="00D86FF2"/>
    <w:rsid w:val="00D870A4"/>
    <w:rsid w:val="00D87722"/>
    <w:rsid w:val="00D87ABB"/>
    <w:rsid w:val="00D90132"/>
    <w:rsid w:val="00D9026E"/>
    <w:rsid w:val="00D905A9"/>
    <w:rsid w:val="00D90BC1"/>
    <w:rsid w:val="00D90D0E"/>
    <w:rsid w:val="00D90D54"/>
    <w:rsid w:val="00D90F69"/>
    <w:rsid w:val="00D91038"/>
    <w:rsid w:val="00D91132"/>
    <w:rsid w:val="00D914B9"/>
    <w:rsid w:val="00D91555"/>
    <w:rsid w:val="00D9159A"/>
    <w:rsid w:val="00D9194A"/>
    <w:rsid w:val="00D91B6E"/>
    <w:rsid w:val="00D91BD5"/>
    <w:rsid w:val="00D91D6F"/>
    <w:rsid w:val="00D91DF9"/>
    <w:rsid w:val="00D91E98"/>
    <w:rsid w:val="00D92018"/>
    <w:rsid w:val="00D92270"/>
    <w:rsid w:val="00D923CB"/>
    <w:rsid w:val="00D9242B"/>
    <w:rsid w:val="00D9245E"/>
    <w:rsid w:val="00D925A3"/>
    <w:rsid w:val="00D92614"/>
    <w:rsid w:val="00D9272F"/>
    <w:rsid w:val="00D9293D"/>
    <w:rsid w:val="00D9297C"/>
    <w:rsid w:val="00D92BCF"/>
    <w:rsid w:val="00D93075"/>
    <w:rsid w:val="00D93136"/>
    <w:rsid w:val="00D9315A"/>
    <w:rsid w:val="00D93230"/>
    <w:rsid w:val="00D93344"/>
    <w:rsid w:val="00D9337D"/>
    <w:rsid w:val="00D933D5"/>
    <w:rsid w:val="00D93649"/>
    <w:rsid w:val="00D9371B"/>
    <w:rsid w:val="00D93ACB"/>
    <w:rsid w:val="00D93E31"/>
    <w:rsid w:val="00D9407C"/>
    <w:rsid w:val="00D9414B"/>
    <w:rsid w:val="00D94371"/>
    <w:rsid w:val="00D94400"/>
    <w:rsid w:val="00D944A0"/>
    <w:rsid w:val="00D9482C"/>
    <w:rsid w:val="00D94850"/>
    <w:rsid w:val="00D949A6"/>
    <w:rsid w:val="00D949E4"/>
    <w:rsid w:val="00D94A00"/>
    <w:rsid w:val="00D94B65"/>
    <w:rsid w:val="00D94EFA"/>
    <w:rsid w:val="00D95CAE"/>
    <w:rsid w:val="00D95CB4"/>
    <w:rsid w:val="00D95D00"/>
    <w:rsid w:val="00D95D98"/>
    <w:rsid w:val="00D964E2"/>
    <w:rsid w:val="00D9690A"/>
    <w:rsid w:val="00D96A3B"/>
    <w:rsid w:val="00D96AA8"/>
    <w:rsid w:val="00D96C7C"/>
    <w:rsid w:val="00D96DCF"/>
    <w:rsid w:val="00D971D2"/>
    <w:rsid w:val="00D972CF"/>
    <w:rsid w:val="00D974DF"/>
    <w:rsid w:val="00D978F5"/>
    <w:rsid w:val="00D97CBD"/>
    <w:rsid w:val="00D97F35"/>
    <w:rsid w:val="00DA00EB"/>
    <w:rsid w:val="00DA0107"/>
    <w:rsid w:val="00DA0287"/>
    <w:rsid w:val="00DA078B"/>
    <w:rsid w:val="00DA0AFE"/>
    <w:rsid w:val="00DA0D45"/>
    <w:rsid w:val="00DA0DFE"/>
    <w:rsid w:val="00DA12DB"/>
    <w:rsid w:val="00DA1792"/>
    <w:rsid w:val="00DA1860"/>
    <w:rsid w:val="00DA1978"/>
    <w:rsid w:val="00DA1A79"/>
    <w:rsid w:val="00DA1BA7"/>
    <w:rsid w:val="00DA1BF6"/>
    <w:rsid w:val="00DA1C91"/>
    <w:rsid w:val="00DA1DFF"/>
    <w:rsid w:val="00DA1E6C"/>
    <w:rsid w:val="00DA2333"/>
    <w:rsid w:val="00DA25D5"/>
    <w:rsid w:val="00DA2826"/>
    <w:rsid w:val="00DA2881"/>
    <w:rsid w:val="00DA29D1"/>
    <w:rsid w:val="00DA3157"/>
    <w:rsid w:val="00DA3265"/>
    <w:rsid w:val="00DA34F7"/>
    <w:rsid w:val="00DA3536"/>
    <w:rsid w:val="00DA36B6"/>
    <w:rsid w:val="00DA3CD9"/>
    <w:rsid w:val="00DA3DFF"/>
    <w:rsid w:val="00DA3F63"/>
    <w:rsid w:val="00DA4410"/>
    <w:rsid w:val="00DA441F"/>
    <w:rsid w:val="00DA44A0"/>
    <w:rsid w:val="00DA487E"/>
    <w:rsid w:val="00DA4ADA"/>
    <w:rsid w:val="00DA4C03"/>
    <w:rsid w:val="00DA4DA9"/>
    <w:rsid w:val="00DA4E53"/>
    <w:rsid w:val="00DA4E87"/>
    <w:rsid w:val="00DA52D6"/>
    <w:rsid w:val="00DA54E4"/>
    <w:rsid w:val="00DA56F8"/>
    <w:rsid w:val="00DA5887"/>
    <w:rsid w:val="00DA5A0D"/>
    <w:rsid w:val="00DA6351"/>
    <w:rsid w:val="00DA641B"/>
    <w:rsid w:val="00DA66D4"/>
    <w:rsid w:val="00DA6B85"/>
    <w:rsid w:val="00DA6BC4"/>
    <w:rsid w:val="00DA6CBA"/>
    <w:rsid w:val="00DA709C"/>
    <w:rsid w:val="00DA72D8"/>
    <w:rsid w:val="00DA747C"/>
    <w:rsid w:val="00DA79C3"/>
    <w:rsid w:val="00DA7D98"/>
    <w:rsid w:val="00DB02F9"/>
    <w:rsid w:val="00DB0823"/>
    <w:rsid w:val="00DB098C"/>
    <w:rsid w:val="00DB0B63"/>
    <w:rsid w:val="00DB127C"/>
    <w:rsid w:val="00DB15E2"/>
    <w:rsid w:val="00DB16F2"/>
    <w:rsid w:val="00DB17B7"/>
    <w:rsid w:val="00DB1EF4"/>
    <w:rsid w:val="00DB2070"/>
    <w:rsid w:val="00DB2513"/>
    <w:rsid w:val="00DB2715"/>
    <w:rsid w:val="00DB2A06"/>
    <w:rsid w:val="00DB2AD9"/>
    <w:rsid w:val="00DB2C17"/>
    <w:rsid w:val="00DB2D22"/>
    <w:rsid w:val="00DB2FB7"/>
    <w:rsid w:val="00DB3073"/>
    <w:rsid w:val="00DB318A"/>
    <w:rsid w:val="00DB34BE"/>
    <w:rsid w:val="00DB357C"/>
    <w:rsid w:val="00DB35DF"/>
    <w:rsid w:val="00DB3AFE"/>
    <w:rsid w:val="00DB3D33"/>
    <w:rsid w:val="00DB3E47"/>
    <w:rsid w:val="00DB3E6A"/>
    <w:rsid w:val="00DB3F13"/>
    <w:rsid w:val="00DB3F41"/>
    <w:rsid w:val="00DB3FF7"/>
    <w:rsid w:val="00DB4326"/>
    <w:rsid w:val="00DB4373"/>
    <w:rsid w:val="00DB45EC"/>
    <w:rsid w:val="00DB45F5"/>
    <w:rsid w:val="00DB473B"/>
    <w:rsid w:val="00DB4902"/>
    <w:rsid w:val="00DB4911"/>
    <w:rsid w:val="00DB4D1A"/>
    <w:rsid w:val="00DB4E3D"/>
    <w:rsid w:val="00DB4E63"/>
    <w:rsid w:val="00DB52AA"/>
    <w:rsid w:val="00DB53D0"/>
    <w:rsid w:val="00DB576C"/>
    <w:rsid w:val="00DB57D7"/>
    <w:rsid w:val="00DB5805"/>
    <w:rsid w:val="00DB59F7"/>
    <w:rsid w:val="00DB5D9E"/>
    <w:rsid w:val="00DB5FCB"/>
    <w:rsid w:val="00DB5FDD"/>
    <w:rsid w:val="00DB61FA"/>
    <w:rsid w:val="00DB626B"/>
    <w:rsid w:val="00DB62BE"/>
    <w:rsid w:val="00DB66FD"/>
    <w:rsid w:val="00DB6E05"/>
    <w:rsid w:val="00DB78A8"/>
    <w:rsid w:val="00DB7BC1"/>
    <w:rsid w:val="00DC0077"/>
    <w:rsid w:val="00DC0260"/>
    <w:rsid w:val="00DC032E"/>
    <w:rsid w:val="00DC079B"/>
    <w:rsid w:val="00DC0885"/>
    <w:rsid w:val="00DC0E12"/>
    <w:rsid w:val="00DC0F3A"/>
    <w:rsid w:val="00DC0FE1"/>
    <w:rsid w:val="00DC103A"/>
    <w:rsid w:val="00DC129C"/>
    <w:rsid w:val="00DC157F"/>
    <w:rsid w:val="00DC1C07"/>
    <w:rsid w:val="00DC1CA8"/>
    <w:rsid w:val="00DC2254"/>
    <w:rsid w:val="00DC226F"/>
    <w:rsid w:val="00DC2381"/>
    <w:rsid w:val="00DC2720"/>
    <w:rsid w:val="00DC27B6"/>
    <w:rsid w:val="00DC2B4F"/>
    <w:rsid w:val="00DC2F96"/>
    <w:rsid w:val="00DC313D"/>
    <w:rsid w:val="00DC31DB"/>
    <w:rsid w:val="00DC3357"/>
    <w:rsid w:val="00DC35F2"/>
    <w:rsid w:val="00DC372A"/>
    <w:rsid w:val="00DC3DD0"/>
    <w:rsid w:val="00DC41B2"/>
    <w:rsid w:val="00DC42AE"/>
    <w:rsid w:val="00DC43D9"/>
    <w:rsid w:val="00DC4940"/>
    <w:rsid w:val="00DC4B6D"/>
    <w:rsid w:val="00DC528C"/>
    <w:rsid w:val="00DC54DA"/>
    <w:rsid w:val="00DC5544"/>
    <w:rsid w:val="00DC556C"/>
    <w:rsid w:val="00DC5F0E"/>
    <w:rsid w:val="00DC6130"/>
    <w:rsid w:val="00DC61D0"/>
    <w:rsid w:val="00DC622D"/>
    <w:rsid w:val="00DC6B3E"/>
    <w:rsid w:val="00DC6C2F"/>
    <w:rsid w:val="00DC6E99"/>
    <w:rsid w:val="00DC6EC9"/>
    <w:rsid w:val="00DC7016"/>
    <w:rsid w:val="00DC7185"/>
    <w:rsid w:val="00DC71A5"/>
    <w:rsid w:val="00DC71DA"/>
    <w:rsid w:val="00DC740D"/>
    <w:rsid w:val="00DC7AB3"/>
    <w:rsid w:val="00DC7E57"/>
    <w:rsid w:val="00DC7EAA"/>
    <w:rsid w:val="00DD014C"/>
    <w:rsid w:val="00DD0156"/>
    <w:rsid w:val="00DD03C9"/>
    <w:rsid w:val="00DD0DCB"/>
    <w:rsid w:val="00DD0E1D"/>
    <w:rsid w:val="00DD14B1"/>
    <w:rsid w:val="00DD168A"/>
    <w:rsid w:val="00DD20D8"/>
    <w:rsid w:val="00DD2219"/>
    <w:rsid w:val="00DD266C"/>
    <w:rsid w:val="00DD2A5B"/>
    <w:rsid w:val="00DD2FB1"/>
    <w:rsid w:val="00DD2FCC"/>
    <w:rsid w:val="00DD33D2"/>
    <w:rsid w:val="00DD3A65"/>
    <w:rsid w:val="00DD3BEB"/>
    <w:rsid w:val="00DD3BED"/>
    <w:rsid w:val="00DD3E2B"/>
    <w:rsid w:val="00DD3FC3"/>
    <w:rsid w:val="00DD41B3"/>
    <w:rsid w:val="00DD42B3"/>
    <w:rsid w:val="00DD437C"/>
    <w:rsid w:val="00DD464B"/>
    <w:rsid w:val="00DD48AF"/>
    <w:rsid w:val="00DD4998"/>
    <w:rsid w:val="00DD4A80"/>
    <w:rsid w:val="00DD4CC8"/>
    <w:rsid w:val="00DD5171"/>
    <w:rsid w:val="00DD548D"/>
    <w:rsid w:val="00DD54AF"/>
    <w:rsid w:val="00DD54C7"/>
    <w:rsid w:val="00DD5979"/>
    <w:rsid w:val="00DD6393"/>
    <w:rsid w:val="00DD6992"/>
    <w:rsid w:val="00DD6E0C"/>
    <w:rsid w:val="00DD6F80"/>
    <w:rsid w:val="00DD7065"/>
    <w:rsid w:val="00DD77C1"/>
    <w:rsid w:val="00DE0009"/>
    <w:rsid w:val="00DE00BC"/>
    <w:rsid w:val="00DE042F"/>
    <w:rsid w:val="00DE06B6"/>
    <w:rsid w:val="00DE0C51"/>
    <w:rsid w:val="00DE1197"/>
    <w:rsid w:val="00DE125A"/>
    <w:rsid w:val="00DE1565"/>
    <w:rsid w:val="00DE15CB"/>
    <w:rsid w:val="00DE17D7"/>
    <w:rsid w:val="00DE1954"/>
    <w:rsid w:val="00DE1A12"/>
    <w:rsid w:val="00DE1F9A"/>
    <w:rsid w:val="00DE20E4"/>
    <w:rsid w:val="00DE2500"/>
    <w:rsid w:val="00DE266E"/>
    <w:rsid w:val="00DE2A5D"/>
    <w:rsid w:val="00DE371A"/>
    <w:rsid w:val="00DE3787"/>
    <w:rsid w:val="00DE3B31"/>
    <w:rsid w:val="00DE3C01"/>
    <w:rsid w:val="00DE3D7B"/>
    <w:rsid w:val="00DE3ECC"/>
    <w:rsid w:val="00DE40F8"/>
    <w:rsid w:val="00DE4216"/>
    <w:rsid w:val="00DE42CC"/>
    <w:rsid w:val="00DE4669"/>
    <w:rsid w:val="00DE4ACD"/>
    <w:rsid w:val="00DE5305"/>
    <w:rsid w:val="00DE532D"/>
    <w:rsid w:val="00DE53C8"/>
    <w:rsid w:val="00DE559A"/>
    <w:rsid w:val="00DE567E"/>
    <w:rsid w:val="00DE5D6C"/>
    <w:rsid w:val="00DE5F93"/>
    <w:rsid w:val="00DE67AB"/>
    <w:rsid w:val="00DE685D"/>
    <w:rsid w:val="00DE6A70"/>
    <w:rsid w:val="00DE7079"/>
    <w:rsid w:val="00DE70B0"/>
    <w:rsid w:val="00DE7114"/>
    <w:rsid w:val="00DE71FD"/>
    <w:rsid w:val="00DE77B9"/>
    <w:rsid w:val="00DE79A0"/>
    <w:rsid w:val="00DF0182"/>
    <w:rsid w:val="00DF05DA"/>
    <w:rsid w:val="00DF0606"/>
    <w:rsid w:val="00DF09A5"/>
    <w:rsid w:val="00DF0A59"/>
    <w:rsid w:val="00DF0AD7"/>
    <w:rsid w:val="00DF0C78"/>
    <w:rsid w:val="00DF0DCD"/>
    <w:rsid w:val="00DF10B0"/>
    <w:rsid w:val="00DF1165"/>
    <w:rsid w:val="00DF11C6"/>
    <w:rsid w:val="00DF1269"/>
    <w:rsid w:val="00DF1588"/>
    <w:rsid w:val="00DF17F6"/>
    <w:rsid w:val="00DF1918"/>
    <w:rsid w:val="00DF1AEF"/>
    <w:rsid w:val="00DF1B64"/>
    <w:rsid w:val="00DF1D61"/>
    <w:rsid w:val="00DF1EB3"/>
    <w:rsid w:val="00DF1FA7"/>
    <w:rsid w:val="00DF27B1"/>
    <w:rsid w:val="00DF27C6"/>
    <w:rsid w:val="00DF2A1E"/>
    <w:rsid w:val="00DF2B7F"/>
    <w:rsid w:val="00DF2F4D"/>
    <w:rsid w:val="00DF326B"/>
    <w:rsid w:val="00DF347E"/>
    <w:rsid w:val="00DF35C3"/>
    <w:rsid w:val="00DF3B84"/>
    <w:rsid w:val="00DF3C6E"/>
    <w:rsid w:val="00DF4169"/>
    <w:rsid w:val="00DF4723"/>
    <w:rsid w:val="00DF488F"/>
    <w:rsid w:val="00DF4D09"/>
    <w:rsid w:val="00DF4DCD"/>
    <w:rsid w:val="00DF51AD"/>
    <w:rsid w:val="00DF52C3"/>
    <w:rsid w:val="00DF56B1"/>
    <w:rsid w:val="00DF56F7"/>
    <w:rsid w:val="00DF5882"/>
    <w:rsid w:val="00DF5911"/>
    <w:rsid w:val="00DF592F"/>
    <w:rsid w:val="00DF5D39"/>
    <w:rsid w:val="00DF5DCB"/>
    <w:rsid w:val="00DF5EF0"/>
    <w:rsid w:val="00DF6036"/>
    <w:rsid w:val="00DF61FA"/>
    <w:rsid w:val="00DF673A"/>
    <w:rsid w:val="00DF6C63"/>
    <w:rsid w:val="00DF6EC5"/>
    <w:rsid w:val="00DF7003"/>
    <w:rsid w:val="00DF725E"/>
    <w:rsid w:val="00DF73C0"/>
    <w:rsid w:val="00DF76C7"/>
    <w:rsid w:val="00DF7719"/>
    <w:rsid w:val="00DF79E5"/>
    <w:rsid w:val="00DF7CA5"/>
    <w:rsid w:val="00E000F4"/>
    <w:rsid w:val="00E0011B"/>
    <w:rsid w:val="00E005AA"/>
    <w:rsid w:val="00E00CDE"/>
    <w:rsid w:val="00E00FEE"/>
    <w:rsid w:val="00E01252"/>
    <w:rsid w:val="00E0144D"/>
    <w:rsid w:val="00E019C2"/>
    <w:rsid w:val="00E01D68"/>
    <w:rsid w:val="00E01F00"/>
    <w:rsid w:val="00E0207E"/>
    <w:rsid w:val="00E02237"/>
    <w:rsid w:val="00E02629"/>
    <w:rsid w:val="00E028E0"/>
    <w:rsid w:val="00E02934"/>
    <w:rsid w:val="00E02B2E"/>
    <w:rsid w:val="00E02FF3"/>
    <w:rsid w:val="00E0304C"/>
    <w:rsid w:val="00E031B1"/>
    <w:rsid w:val="00E0330B"/>
    <w:rsid w:val="00E036B4"/>
    <w:rsid w:val="00E03797"/>
    <w:rsid w:val="00E0396F"/>
    <w:rsid w:val="00E03D46"/>
    <w:rsid w:val="00E04092"/>
    <w:rsid w:val="00E04536"/>
    <w:rsid w:val="00E04617"/>
    <w:rsid w:val="00E0474F"/>
    <w:rsid w:val="00E04A02"/>
    <w:rsid w:val="00E04C88"/>
    <w:rsid w:val="00E05043"/>
    <w:rsid w:val="00E05051"/>
    <w:rsid w:val="00E0520D"/>
    <w:rsid w:val="00E05604"/>
    <w:rsid w:val="00E056B5"/>
    <w:rsid w:val="00E05D6F"/>
    <w:rsid w:val="00E05E8F"/>
    <w:rsid w:val="00E0650C"/>
    <w:rsid w:val="00E06527"/>
    <w:rsid w:val="00E06542"/>
    <w:rsid w:val="00E06889"/>
    <w:rsid w:val="00E06A83"/>
    <w:rsid w:val="00E06C50"/>
    <w:rsid w:val="00E06C75"/>
    <w:rsid w:val="00E06E85"/>
    <w:rsid w:val="00E07419"/>
    <w:rsid w:val="00E0746F"/>
    <w:rsid w:val="00E0747E"/>
    <w:rsid w:val="00E07486"/>
    <w:rsid w:val="00E075EF"/>
    <w:rsid w:val="00E077E8"/>
    <w:rsid w:val="00E07B3F"/>
    <w:rsid w:val="00E07C78"/>
    <w:rsid w:val="00E10319"/>
    <w:rsid w:val="00E10327"/>
    <w:rsid w:val="00E104B0"/>
    <w:rsid w:val="00E104E9"/>
    <w:rsid w:val="00E107AC"/>
    <w:rsid w:val="00E10B32"/>
    <w:rsid w:val="00E10DA0"/>
    <w:rsid w:val="00E10E42"/>
    <w:rsid w:val="00E10F86"/>
    <w:rsid w:val="00E11030"/>
    <w:rsid w:val="00E110A3"/>
    <w:rsid w:val="00E11104"/>
    <w:rsid w:val="00E1133E"/>
    <w:rsid w:val="00E117AD"/>
    <w:rsid w:val="00E11C25"/>
    <w:rsid w:val="00E11EF4"/>
    <w:rsid w:val="00E1215D"/>
    <w:rsid w:val="00E121DA"/>
    <w:rsid w:val="00E12374"/>
    <w:rsid w:val="00E1251D"/>
    <w:rsid w:val="00E12688"/>
    <w:rsid w:val="00E1289B"/>
    <w:rsid w:val="00E12B35"/>
    <w:rsid w:val="00E12CFB"/>
    <w:rsid w:val="00E1309B"/>
    <w:rsid w:val="00E13292"/>
    <w:rsid w:val="00E13629"/>
    <w:rsid w:val="00E136F6"/>
    <w:rsid w:val="00E13B8C"/>
    <w:rsid w:val="00E14074"/>
    <w:rsid w:val="00E1422B"/>
    <w:rsid w:val="00E14472"/>
    <w:rsid w:val="00E14835"/>
    <w:rsid w:val="00E14970"/>
    <w:rsid w:val="00E149D3"/>
    <w:rsid w:val="00E14B4C"/>
    <w:rsid w:val="00E14DBE"/>
    <w:rsid w:val="00E14EC3"/>
    <w:rsid w:val="00E14FAD"/>
    <w:rsid w:val="00E15742"/>
    <w:rsid w:val="00E1589C"/>
    <w:rsid w:val="00E15BF4"/>
    <w:rsid w:val="00E15D72"/>
    <w:rsid w:val="00E15DDD"/>
    <w:rsid w:val="00E16015"/>
    <w:rsid w:val="00E1606A"/>
    <w:rsid w:val="00E160A9"/>
    <w:rsid w:val="00E1666B"/>
    <w:rsid w:val="00E1668B"/>
    <w:rsid w:val="00E166B4"/>
    <w:rsid w:val="00E1672A"/>
    <w:rsid w:val="00E169A8"/>
    <w:rsid w:val="00E16D5A"/>
    <w:rsid w:val="00E16FF3"/>
    <w:rsid w:val="00E170FB"/>
    <w:rsid w:val="00E17240"/>
    <w:rsid w:val="00E17453"/>
    <w:rsid w:val="00E174FC"/>
    <w:rsid w:val="00E17586"/>
    <w:rsid w:val="00E17711"/>
    <w:rsid w:val="00E178B0"/>
    <w:rsid w:val="00E17B4E"/>
    <w:rsid w:val="00E17DCB"/>
    <w:rsid w:val="00E20268"/>
    <w:rsid w:val="00E2026A"/>
    <w:rsid w:val="00E203C1"/>
    <w:rsid w:val="00E2040A"/>
    <w:rsid w:val="00E205DE"/>
    <w:rsid w:val="00E206F6"/>
    <w:rsid w:val="00E20C7B"/>
    <w:rsid w:val="00E20F43"/>
    <w:rsid w:val="00E2127E"/>
    <w:rsid w:val="00E21591"/>
    <w:rsid w:val="00E21594"/>
    <w:rsid w:val="00E215D7"/>
    <w:rsid w:val="00E218A0"/>
    <w:rsid w:val="00E21CF0"/>
    <w:rsid w:val="00E21D05"/>
    <w:rsid w:val="00E21DA4"/>
    <w:rsid w:val="00E222EF"/>
    <w:rsid w:val="00E2269D"/>
    <w:rsid w:val="00E22ECE"/>
    <w:rsid w:val="00E22FAE"/>
    <w:rsid w:val="00E230B1"/>
    <w:rsid w:val="00E2338D"/>
    <w:rsid w:val="00E2375D"/>
    <w:rsid w:val="00E237BF"/>
    <w:rsid w:val="00E249B5"/>
    <w:rsid w:val="00E24F54"/>
    <w:rsid w:val="00E25280"/>
    <w:rsid w:val="00E25561"/>
    <w:rsid w:val="00E25569"/>
    <w:rsid w:val="00E256BF"/>
    <w:rsid w:val="00E258E4"/>
    <w:rsid w:val="00E2595A"/>
    <w:rsid w:val="00E25AD3"/>
    <w:rsid w:val="00E25CA1"/>
    <w:rsid w:val="00E25F00"/>
    <w:rsid w:val="00E260D6"/>
    <w:rsid w:val="00E262C0"/>
    <w:rsid w:val="00E26414"/>
    <w:rsid w:val="00E26740"/>
    <w:rsid w:val="00E268C7"/>
    <w:rsid w:val="00E27494"/>
    <w:rsid w:val="00E274A3"/>
    <w:rsid w:val="00E27523"/>
    <w:rsid w:val="00E2773E"/>
    <w:rsid w:val="00E2776B"/>
    <w:rsid w:val="00E27863"/>
    <w:rsid w:val="00E278C7"/>
    <w:rsid w:val="00E27CD4"/>
    <w:rsid w:val="00E27CF8"/>
    <w:rsid w:val="00E27D7D"/>
    <w:rsid w:val="00E27FB4"/>
    <w:rsid w:val="00E30036"/>
    <w:rsid w:val="00E300AC"/>
    <w:rsid w:val="00E30335"/>
    <w:rsid w:val="00E308EE"/>
    <w:rsid w:val="00E30989"/>
    <w:rsid w:val="00E30C34"/>
    <w:rsid w:val="00E312B2"/>
    <w:rsid w:val="00E313B4"/>
    <w:rsid w:val="00E313F8"/>
    <w:rsid w:val="00E314B2"/>
    <w:rsid w:val="00E316A9"/>
    <w:rsid w:val="00E31899"/>
    <w:rsid w:val="00E31A80"/>
    <w:rsid w:val="00E31AD9"/>
    <w:rsid w:val="00E31CE9"/>
    <w:rsid w:val="00E321E8"/>
    <w:rsid w:val="00E321EB"/>
    <w:rsid w:val="00E32785"/>
    <w:rsid w:val="00E32B31"/>
    <w:rsid w:val="00E32D05"/>
    <w:rsid w:val="00E3333A"/>
    <w:rsid w:val="00E334B6"/>
    <w:rsid w:val="00E33B52"/>
    <w:rsid w:val="00E33D38"/>
    <w:rsid w:val="00E33D6F"/>
    <w:rsid w:val="00E33FFC"/>
    <w:rsid w:val="00E3400B"/>
    <w:rsid w:val="00E3422E"/>
    <w:rsid w:val="00E34482"/>
    <w:rsid w:val="00E345F3"/>
    <w:rsid w:val="00E348FE"/>
    <w:rsid w:val="00E34B76"/>
    <w:rsid w:val="00E34B83"/>
    <w:rsid w:val="00E34FBE"/>
    <w:rsid w:val="00E35317"/>
    <w:rsid w:val="00E35357"/>
    <w:rsid w:val="00E35717"/>
    <w:rsid w:val="00E35797"/>
    <w:rsid w:val="00E35C31"/>
    <w:rsid w:val="00E35F22"/>
    <w:rsid w:val="00E36342"/>
    <w:rsid w:val="00E36A6C"/>
    <w:rsid w:val="00E36E9E"/>
    <w:rsid w:val="00E376E7"/>
    <w:rsid w:val="00E402BB"/>
    <w:rsid w:val="00E404B1"/>
    <w:rsid w:val="00E407AA"/>
    <w:rsid w:val="00E40913"/>
    <w:rsid w:val="00E40BE0"/>
    <w:rsid w:val="00E411A4"/>
    <w:rsid w:val="00E4124B"/>
    <w:rsid w:val="00E4138B"/>
    <w:rsid w:val="00E416B8"/>
    <w:rsid w:val="00E41B49"/>
    <w:rsid w:val="00E41D85"/>
    <w:rsid w:val="00E41F64"/>
    <w:rsid w:val="00E423C9"/>
    <w:rsid w:val="00E42768"/>
    <w:rsid w:val="00E42BC9"/>
    <w:rsid w:val="00E42EFB"/>
    <w:rsid w:val="00E42F23"/>
    <w:rsid w:val="00E42F87"/>
    <w:rsid w:val="00E4307F"/>
    <w:rsid w:val="00E43332"/>
    <w:rsid w:val="00E433F6"/>
    <w:rsid w:val="00E43482"/>
    <w:rsid w:val="00E4381A"/>
    <w:rsid w:val="00E43980"/>
    <w:rsid w:val="00E43A88"/>
    <w:rsid w:val="00E43C2C"/>
    <w:rsid w:val="00E443C8"/>
    <w:rsid w:val="00E44593"/>
    <w:rsid w:val="00E4492E"/>
    <w:rsid w:val="00E44971"/>
    <w:rsid w:val="00E449D7"/>
    <w:rsid w:val="00E44B0E"/>
    <w:rsid w:val="00E44BFE"/>
    <w:rsid w:val="00E4523C"/>
    <w:rsid w:val="00E45361"/>
    <w:rsid w:val="00E45621"/>
    <w:rsid w:val="00E456F6"/>
    <w:rsid w:val="00E459E7"/>
    <w:rsid w:val="00E45A82"/>
    <w:rsid w:val="00E45B53"/>
    <w:rsid w:val="00E45D33"/>
    <w:rsid w:val="00E46012"/>
    <w:rsid w:val="00E46745"/>
    <w:rsid w:val="00E4697D"/>
    <w:rsid w:val="00E46AD4"/>
    <w:rsid w:val="00E46D29"/>
    <w:rsid w:val="00E4742C"/>
    <w:rsid w:val="00E474C7"/>
    <w:rsid w:val="00E47811"/>
    <w:rsid w:val="00E4784E"/>
    <w:rsid w:val="00E47CAE"/>
    <w:rsid w:val="00E47DE3"/>
    <w:rsid w:val="00E50243"/>
    <w:rsid w:val="00E503BF"/>
    <w:rsid w:val="00E50591"/>
    <w:rsid w:val="00E5068D"/>
    <w:rsid w:val="00E50721"/>
    <w:rsid w:val="00E50969"/>
    <w:rsid w:val="00E50A05"/>
    <w:rsid w:val="00E50D24"/>
    <w:rsid w:val="00E50D44"/>
    <w:rsid w:val="00E50D4E"/>
    <w:rsid w:val="00E51742"/>
    <w:rsid w:val="00E5186D"/>
    <w:rsid w:val="00E51D31"/>
    <w:rsid w:val="00E51FF2"/>
    <w:rsid w:val="00E520CE"/>
    <w:rsid w:val="00E5245B"/>
    <w:rsid w:val="00E52932"/>
    <w:rsid w:val="00E52BC6"/>
    <w:rsid w:val="00E53293"/>
    <w:rsid w:val="00E53462"/>
    <w:rsid w:val="00E535B7"/>
    <w:rsid w:val="00E53606"/>
    <w:rsid w:val="00E5399B"/>
    <w:rsid w:val="00E539B5"/>
    <w:rsid w:val="00E53C72"/>
    <w:rsid w:val="00E53CBD"/>
    <w:rsid w:val="00E53CF0"/>
    <w:rsid w:val="00E53D2E"/>
    <w:rsid w:val="00E5408C"/>
    <w:rsid w:val="00E541F9"/>
    <w:rsid w:val="00E54261"/>
    <w:rsid w:val="00E542DE"/>
    <w:rsid w:val="00E543AC"/>
    <w:rsid w:val="00E54722"/>
    <w:rsid w:val="00E54778"/>
    <w:rsid w:val="00E54948"/>
    <w:rsid w:val="00E54B48"/>
    <w:rsid w:val="00E54BB5"/>
    <w:rsid w:val="00E555E3"/>
    <w:rsid w:val="00E55DC2"/>
    <w:rsid w:val="00E55FF9"/>
    <w:rsid w:val="00E568C5"/>
    <w:rsid w:val="00E569C6"/>
    <w:rsid w:val="00E569E0"/>
    <w:rsid w:val="00E56CC1"/>
    <w:rsid w:val="00E56F77"/>
    <w:rsid w:val="00E57617"/>
    <w:rsid w:val="00E576A3"/>
    <w:rsid w:val="00E57BFC"/>
    <w:rsid w:val="00E60363"/>
    <w:rsid w:val="00E603AB"/>
    <w:rsid w:val="00E60DC0"/>
    <w:rsid w:val="00E60E89"/>
    <w:rsid w:val="00E6100C"/>
    <w:rsid w:val="00E61231"/>
    <w:rsid w:val="00E6158B"/>
    <w:rsid w:val="00E617D4"/>
    <w:rsid w:val="00E61B0A"/>
    <w:rsid w:val="00E61D77"/>
    <w:rsid w:val="00E61F20"/>
    <w:rsid w:val="00E62077"/>
    <w:rsid w:val="00E621A1"/>
    <w:rsid w:val="00E62567"/>
    <w:rsid w:val="00E625B5"/>
    <w:rsid w:val="00E6268F"/>
    <w:rsid w:val="00E62A5F"/>
    <w:rsid w:val="00E633EE"/>
    <w:rsid w:val="00E635F6"/>
    <w:rsid w:val="00E6380D"/>
    <w:rsid w:val="00E63B2A"/>
    <w:rsid w:val="00E64109"/>
    <w:rsid w:val="00E64443"/>
    <w:rsid w:val="00E64461"/>
    <w:rsid w:val="00E64573"/>
    <w:rsid w:val="00E64692"/>
    <w:rsid w:val="00E646EC"/>
    <w:rsid w:val="00E6496F"/>
    <w:rsid w:val="00E64C5E"/>
    <w:rsid w:val="00E64D93"/>
    <w:rsid w:val="00E64F26"/>
    <w:rsid w:val="00E6519F"/>
    <w:rsid w:val="00E6528E"/>
    <w:rsid w:val="00E655D5"/>
    <w:rsid w:val="00E65A8F"/>
    <w:rsid w:val="00E66073"/>
    <w:rsid w:val="00E663D9"/>
    <w:rsid w:val="00E664BE"/>
    <w:rsid w:val="00E66D11"/>
    <w:rsid w:val="00E672B6"/>
    <w:rsid w:val="00E676AC"/>
    <w:rsid w:val="00E67800"/>
    <w:rsid w:val="00E67891"/>
    <w:rsid w:val="00E678B6"/>
    <w:rsid w:val="00E679D2"/>
    <w:rsid w:val="00E67E51"/>
    <w:rsid w:val="00E7003F"/>
    <w:rsid w:val="00E70214"/>
    <w:rsid w:val="00E704A2"/>
    <w:rsid w:val="00E7128B"/>
    <w:rsid w:val="00E7140E"/>
    <w:rsid w:val="00E7167B"/>
    <w:rsid w:val="00E716C1"/>
    <w:rsid w:val="00E718F1"/>
    <w:rsid w:val="00E71956"/>
    <w:rsid w:val="00E7264E"/>
    <w:rsid w:val="00E72799"/>
    <w:rsid w:val="00E72834"/>
    <w:rsid w:val="00E72906"/>
    <w:rsid w:val="00E72923"/>
    <w:rsid w:val="00E72A2D"/>
    <w:rsid w:val="00E72B46"/>
    <w:rsid w:val="00E7323C"/>
    <w:rsid w:val="00E73288"/>
    <w:rsid w:val="00E73299"/>
    <w:rsid w:val="00E73467"/>
    <w:rsid w:val="00E73603"/>
    <w:rsid w:val="00E73761"/>
    <w:rsid w:val="00E737F2"/>
    <w:rsid w:val="00E73C88"/>
    <w:rsid w:val="00E73C93"/>
    <w:rsid w:val="00E73D5E"/>
    <w:rsid w:val="00E74399"/>
    <w:rsid w:val="00E7461B"/>
    <w:rsid w:val="00E7461D"/>
    <w:rsid w:val="00E7478D"/>
    <w:rsid w:val="00E74ACA"/>
    <w:rsid w:val="00E74D2C"/>
    <w:rsid w:val="00E74D69"/>
    <w:rsid w:val="00E750B6"/>
    <w:rsid w:val="00E7517A"/>
    <w:rsid w:val="00E751BA"/>
    <w:rsid w:val="00E757DF"/>
    <w:rsid w:val="00E75ACD"/>
    <w:rsid w:val="00E76114"/>
    <w:rsid w:val="00E76249"/>
    <w:rsid w:val="00E76795"/>
    <w:rsid w:val="00E76908"/>
    <w:rsid w:val="00E76A61"/>
    <w:rsid w:val="00E77295"/>
    <w:rsid w:val="00E778DA"/>
    <w:rsid w:val="00E77C76"/>
    <w:rsid w:val="00E77D01"/>
    <w:rsid w:val="00E80100"/>
    <w:rsid w:val="00E80814"/>
    <w:rsid w:val="00E80AC3"/>
    <w:rsid w:val="00E81937"/>
    <w:rsid w:val="00E81ACD"/>
    <w:rsid w:val="00E81E24"/>
    <w:rsid w:val="00E821D9"/>
    <w:rsid w:val="00E826C1"/>
    <w:rsid w:val="00E82772"/>
    <w:rsid w:val="00E828B8"/>
    <w:rsid w:val="00E829E7"/>
    <w:rsid w:val="00E83462"/>
    <w:rsid w:val="00E83484"/>
    <w:rsid w:val="00E8349F"/>
    <w:rsid w:val="00E83586"/>
    <w:rsid w:val="00E836A7"/>
    <w:rsid w:val="00E83892"/>
    <w:rsid w:val="00E838F3"/>
    <w:rsid w:val="00E83E7F"/>
    <w:rsid w:val="00E84033"/>
    <w:rsid w:val="00E841C6"/>
    <w:rsid w:val="00E841FE"/>
    <w:rsid w:val="00E842EC"/>
    <w:rsid w:val="00E84341"/>
    <w:rsid w:val="00E84812"/>
    <w:rsid w:val="00E8489E"/>
    <w:rsid w:val="00E84A7F"/>
    <w:rsid w:val="00E84BD9"/>
    <w:rsid w:val="00E84D2D"/>
    <w:rsid w:val="00E84E27"/>
    <w:rsid w:val="00E84E34"/>
    <w:rsid w:val="00E84F80"/>
    <w:rsid w:val="00E8517D"/>
    <w:rsid w:val="00E852CA"/>
    <w:rsid w:val="00E8577E"/>
    <w:rsid w:val="00E857D8"/>
    <w:rsid w:val="00E85A2B"/>
    <w:rsid w:val="00E85C8C"/>
    <w:rsid w:val="00E8613B"/>
    <w:rsid w:val="00E86161"/>
    <w:rsid w:val="00E861C2"/>
    <w:rsid w:val="00E86451"/>
    <w:rsid w:val="00E866CB"/>
    <w:rsid w:val="00E86725"/>
    <w:rsid w:val="00E8682C"/>
    <w:rsid w:val="00E86A98"/>
    <w:rsid w:val="00E86BB2"/>
    <w:rsid w:val="00E86D19"/>
    <w:rsid w:val="00E86EC1"/>
    <w:rsid w:val="00E87078"/>
    <w:rsid w:val="00E87286"/>
    <w:rsid w:val="00E87606"/>
    <w:rsid w:val="00E8767E"/>
    <w:rsid w:val="00E876BE"/>
    <w:rsid w:val="00E877FB"/>
    <w:rsid w:val="00E87CEB"/>
    <w:rsid w:val="00E87D25"/>
    <w:rsid w:val="00E90010"/>
    <w:rsid w:val="00E9004C"/>
    <w:rsid w:val="00E900DE"/>
    <w:rsid w:val="00E9021D"/>
    <w:rsid w:val="00E90679"/>
    <w:rsid w:val="00E90DD0"/>
    <w:rsid w:val="00E90F50"/>
    <w:rsid w:val="00E90FFA"/>
    <w:rsid w:val="00E913D4"/>
    <w:rsid w:val="00E9185F"/>
    <w:rsid w:val="00E92027"/>
    <w:rsid w:val="00E92407"/>
    <w:rsid w:val="00E92527"/>
    <w:rsid w:val="00E92A83"/>
    <w:rsid w:val="00E92B3F"/>
    <w:rsid w:val="00E92BC0"/>
    <w:rsid w:val="00E92DC0"/>
    <w:rsid w:val="00E92F25"/>
    <w:rsid w:val="00E9311A"/>
    <w:rsid w:val="00E931F2"/>
    <w:rsid w:val="00E9344E"/>
    <w:rsid w:val="00E9392E"/>
    <w:rsid w:val="00E93995"/>
    <w:rsid w:val="00E93A69"/>
    <w:rsid w:val="00E93DBB"/>
    <w:rsid w:val="00E94069"/>
    <w:rsid w:val="00E9458A"/>
    <w:rsid w:val="00E94B1B"/>
    <w:rsid w:val="00E94E8B"/>
    <w:rsid w:val="00E94FDB"/>
    <w:rsid w:val="00E9553D"/>
    <w:rsid w:val="00E95758"/>
    <w:rsid w:val="00E958E3"/>
    <w:rsid w:val="00E95B4B"/>
    <w:rsid w:val="00E95B63"/>
    <w:rsid w:val="00E9648F"/>
    <w:rsid w:val="00E96838"/>
    <w:rsid w:val="00E96A26"/>
    <w:rsid w:val="00E96B35"/>
    <w:rsid w:val="00E97491"/>
    <w:rsid w:val="00E975E7"/>
    <w:rsid w:val="00E97968"/>
    <w:rsid w:val="00EA0062"/>
    <w:rsid w:val="00EA0104"/>
    <w:rsid w:val="00EA0168"/>
    <w:rsid w:val="00EA037B"/>
    <w:rsid w:val="00EA03FB"/>
    <w:rsid w:val="00EA04F8"/>
    <w:rsid w:val="00EA0548"/>
    <w:rsid w:val="00EA0614"/>
    <w:rsid w:val="00EA08BA"/>
    <w:rsid w:val="00EA09AE"/>
    <w:rsid w:val="00EA0B50"/>
    <w:rsid w:val="00EA122D"/>
    <w:rsid w:val="00EA1724"/>
    <w:rsid w:val="00EA1782"/>
    <w:rsid w:val="00EA1DC5"/>
    <w:rsid w:val="00EA1EE4"/>
    <w:rsid w:val="00EA261E"/>
    <w:rsid w:val="00EA269A"/>
    <w:rsid w:val="00EA2701"/>
    <w:rsid w:val="00EA2839"/>
    <w:rsid w:val="00EA2C21"/>
    <w:rsid w:val="00EA2D3A"/>
    <w:rsid w:val="00EA3324"/>
    <w:rsid w:val="00EA38B1"/>
    <w:rsid w:val="00EA3910"/>
    <w:rsid w:val="00EA3A5A"/>
    <w:rsid w:val="00EA3C19"/>
    <w:rsid w:val="00EA3EAC"/>
    <w:rsid w:val="00EA3F94"/>
    <w:rsid w:val="00EA4813"/>
    <w:rsid w:val="00EA4940"/>
    <w:rsid w:val="00EA4B70"/>
    <w:rsid w:val="00EA5043"/>
    <w:rsid w:val="00EA50F0"/>
    <w:rsid w:val="00EA51C3"/>
    <w:rsid w:val="00EA52B8"/>
    <w:rsid w:val="00EA5634"/>
    <w:rsid w:val="00EA5AEE"/>
    <w:rsid w:val="00EA6345"/>
    <w:rsid w:val="00EA639B"/>
    <w:rsid w:val="00EA64BF"/>
    <w:rsid w:val="00EA6DB4"/>
    <w:rsid w:val="00EA6E30"/>
    <w:rsid w:val="00EA6E71"/>
    <w:rsid w:val="00EA6E76"/>
    <w:rsid w:val="00EA75BA"/>
    <w:rsid w:val="00EA7683"/>
    <w:rsid w:val="00EA7728"/>
    <w:rsid w:val="00EA7867"/>
    <w:rsid w:val="00EA7B77"/>
    <w:rsid w:val="00EA7BA0"/>
    <w:rsid w:val="00EB0099"/>
    <w:rsid w:val="00EB00E8"/>
    <w:rsid w:val="00EB01CF"/>
    <w:rsid w:val="00EB0307"/>
    <w:rsid w:val="00EB03BE"/>
    <w:rsid w:val="00EB05A5"/>
    <w:rsid w:val="00EB06DB"/>
    <w:rsid w:val="00EB07EC"/>
    <w:rsid w:val="00EB09C3"/>
    <w:rsid w:val="00EB0A88"/>
    <w:rsid w:val="00EB0AD5"/>
    <w:rsid w:val="00EB0D6E"/>
    <w:rsid w:val="00EB0F18"/>
    <w:rsid w:val="00EB1A64"/>
    <w:rsid w:val="00EB1AF7"/>
    <w:rsid w:val="00EB1B77"/>
    <w:rsid w:val="00EB1C6A"/>
    <w:rsid w:val="00EB1E83"/>
    <w:rsid w:val="00EB1ECF"/>
    <w:rsid w:val="00EB1FDE"/>
    <w:rsid w:val="00EB2187"/>
    <w:rsid w:val="00EB249B"/>
    <w:rsid w:val="00EB25D9"/>
    <w:rsid w:val="00EB2852"/>
    <w:rsid w:val="00EB289A"/>
    <w:rsid w:val="00EB2984"/>
    <w:rsid w:val="00EB2D20"/>
    <w:rsid w:val="00EB2EBE"/>
    <w:rsid w:val="00EB2F15"/>
    <w:rsid w:val="00EB351D"/>
    <w:rsid w:val="00EB357A"/>
    <w:rsid w:val="00EB36AC"/>
    <w:rsid w:val="00EB3D46"/>
    <w:rsid w:val="00EB4003"/>
    <w:rsid w:val="00EB4681"/>
    <w:rsid w:val="00EB4B4A"/>
    <w:rsid w:val="00EB4E88"/>
    <w:rsid w:val="00EB5193"/>
    <w:rsid w:val="00EB53BB"/>
    <w:rsid w:val="00EB578F"/>
    <w:rsid w:val="00EB5B90"/>
    <w:rsid w:val="00EB5C07"/>
    <w:rsid w:val="00EB5C7A"/>
    <w:rsid w:val="00EB5CC4"/>
    <w:rsid w:val="00EB5CDA"/>
    <w:rsid w:val="00EB5D16"/>
    <w:rsid w:val="00EB5F36"/>
    <w:rsid w:val="00EB62F2"/>
    <w:rsid w:val="00EB64C3"/>
    <w:rsid w:val="00EB65FE"/>
    <w:rsid w:val="00EB6900"/>
    <w:rsid w:val="00EB69DF"/>
    <w:rsid w:val="00EB6BFF"/>
    <w:rsid w:val="00EB6D01"/>
    <w:rsid w:val="00EB6E7B"/>
    <w:rsid w:val="00EB6F16"/>
    <w:rsid w:val="00EB6FF5"/>
    <w:rsid w:val="00EB7478"/>
    <w:rsid w:val="00EB7630"/>
    <w:rsid w:val="00EB7701"/>
    <w:rsid w:val="00EB7835"/>
    <w:rsid w:val="00EB7990"/>
    <w:rsid w:val="00EB7B45"/>
    <w:rsid w:val="00EC0421"/>
    <w:rsid w:val="00EC05B5"/>
    <w:rsid w:val="00EC0659"/>
    <w:rsid w:val="00EC070F"/>
    <w:rsid w:val="00EC0B7A"/>
    <w:rsid w:val="00EC0B97"/>
    <w:rsid w:val="00EC1087"/>
    <w:rsid w:val="00EC1656"/>
    <w:rsid w:val="00EC165D"/>
    <w:rsid w:val="00EC1734"/>
    <w:rsid w:val="00EC1967"/>
    <w:rsid w:val="00EC1CEE"/>
    <w:rsid w:val="00EC2129"/>
    <w:rsid w:val="00EC2170"/>
    <w:rsid w:val="00EC2B59"/>
    <w:rsid w:val="00EC2B7F"/>
    <w:rsid w:val="00EC2BA6"/>
    <w:rsid w:val="00EC2E52"/>
    <w:rsid w:val="00EC319D"/>
    <w:rsid w:val="00EC328F"/>
    <w:rsid w:val="00EC335C"/>
    <w:rsid w:val="00EC3411"/>
    <w:rsid w:val="00EC3621"/>
    <w:rsid w:val="00EC371E"/>
    <w:rsid w:val="00EC3BA6"/>
    <w:rsid w:val="00EC3BB4"/>
    <w:rsid w:val="00EC3BC5"/>
    <w:rsid w:val="00EC3D61"/>
    <w:rsid w:val="00EC3EB8"/>
    <w:rsid w:val="00EC3ED3"/>
    <w:rsid w:val="00EC472B"/>
    <w:rsid w:val="00EC49EA"/>
    <w:rsid w:val="00EC4BCA"/>
    <w:rsid w:val="00EC4CBD"/>
    <w:rsid w:val="00EC4CF6"/>
    <w:rsid w:val="00EC4ED6"/>
    <w:rsid w:val="00EC4F05"/>
    <w:rsid w:val="00EC57A9"/>
    <w:rsid w:val="00EC5868"/>
    <w:rsid w:val="00EC5A55"/>
    <w:rsid w:val="00EC5D35"/>
    <w:rsid w:val="00EC5E54"/>
    <w:rsid w:val="00EC654F"/>
    <w:rsid w:val="00EC6769"/>
    <w:rsid w:val="00EC67C4"/>
    <w:rsid w:val="00EC6BF6"/>
    <w:rsid w:val="00EC73BC"/>
    <w:rsid w:val="00EC7445"/>
    <w:rsid w:val="00EC757C"/>
    <w:rsid w:val="00EC78E0"/>
    <w:rsid w:val="00EC7EF3"/>
    <w:rsid w:val="00ED0218"/>
    <w:rsid w:val="00ED046B"/>
    <w:rsid w:val="00ED0985"/>
    <w:rsid w:val="00ED1416"/>
    <w:rsid w:val="00ED16EE"/>
    <w:rsid w:val="00ED1EBD"/>
    <w:rsid w:val="00ED214C"/>
    <w:rsid w:val="00ED219B"/>
    <w:rsid w:val="00ED2503"/>
    <w:rsid w:val="00ED25D8"/>
    <w:rsid w:val="00ED2823"/>
    <w:rsid w:val="00ED2A75"/>
    <w:rsid w:val="00ED2C8E"/>
    <w:rsid w:val="00ED30E0"/>
    <w:rsid w:val="00ED30F6"/>
    <w:rsid w:val="00ED3310"/>
    <w:rsid w:val="00ED37EB"/>
    <w:rsid w:val="00ED37FC"/>
    <w:rsid w:val="00ED3870"/>
    <w:rsid w:val="00ED39E6"/>
    <w:rsid w:val="00ED3CD2"/>
    <w:rsid w:val="00ED3D26"/>
    <w:rsid w:val="00ED3DA5"/>
    <w:rsid w:val="00ED3E9C"/>
    <w:rsid w:val="00ED4299"/>
    <w:rsid w:val="00ED45D1"/>
    <w:rsid w:val="00ED49E5"/>
    <w:rsid w:val="00ED5A13"/>
    <w:rsid w:val="00ED5A49"/>
    <w:rsid w:val="00ED6045"/>
    <w:rsid w:val="00ED61A3"/>
    <w:rsid w:val="00ED6666"/>
    <w:rsid w:val="00ED66CA"/>
    <w:rsid w:val="00ED6A18"/>
    <w:rsid w:val="00ED6C46"/>
    <w:rsid w:val="00ED6C83"/>
    <w:rsid w:val="00ED72EF"/>
    <w:rsid w:val="00ED7319"/>
    <w:rsid w:val="00ED7390"/>
    <w:rsid w:val="00ED747A"/>
    <w:rsid w:val="00ED7743"/>
    <w:rsid w:val="00ED78B9"/>
    <w:rsid w:val="00ED7A5C"/>
    <w:rsid w:val="00ED7B89"/>
    <w:rsid w:val="00ED7C55"/>
    <w:rsid w:val="00EE0182"/>
    <w:rsid w:val="00EE0206"/>
    <w:rsid w:val="00EE026E"/>
    <w:rsid w:val="00EE0278"/>
    <w:rsid w:val="00EE02DE"/>
    <w:rsid w:val="00EE093F"/>
    <w:rsid w:val="00EE0B0B"/>
    <w:rsid w:val="00EE0D35"/>
    <w:rsid w:val="00EE0F33"/>
    <w:rsid w:val="00EE1253"/>
    <w:rsid w:val="00EE12F2"/>
    <w:rsid w:val="00EE172C"/>
    <w:rsid w:val="00EE1812"/>
    <w:rsid w:val="00EE182D"/>
    <w:rsid w:val="00EE1C8D"/>
    <w:rsid w:val="00EE1D37"/>
    <w:rsid w:val="00EE1E10"/>
    <w:rsid w:val="00EE1E31"/>
    <w:rsid w:val="00EE2308"/>
    <w:rsid w:val="00EE2311"/>
    <w:rsid w:val="00EE2678"/>
    <w:rsid w:val="00EE26D0"/>
    <w:rsid w:val="00EE290E"/>
    <w:rsid w:val="00EE2A5C"/>
    <w:rsid w:val="00EE2C25"/>
    <w:rsid w:val="00EE2CF7"/>
    <w:rsid w:val="00EE2D76"/>
    <w:rsid w:val="00EE2DD1"/>
    <w:rsid w:val="00EE2F65"/>
    <w:rsid w:val="00EE33E2"/>
    <w:rsid w:val="00EE341C"/>
    <w:rsid w:val="00EE3444"/>
    <w:rsid w:val="00EE3718"/>
    <w:rsid w:val="00EE3910"/>
    <w:rsid w:val="00EE4039"/>
    <w:rsid w:val="00EE43B5"/>
    <w:rsid w:val="00EE44F8"/>
    <w:rsid w:val="00EE465F"/>
    <w:rsid w:val="00EE481F"/>
    <w:rsid w:val="00EE49A5"/>
    <w:rsid w:val="00EE4AE8"/>
    <w:rsid w:val="00EE4BDE"/>
    <w:rsid w:val="00EE4D46"/>
    <w:rsid w:val="00EE5053"/>
    <w:rsid w:val="00EE5337"/>
    <w:rsid w:val="00EE54E9"/>
    <w:rsid w:val="00EE5571"/>
    <w:rsid w:val="00EE5969"/>
    <w:rsid w:val="00EE5C5D"/>
    <w:rsid w:val="00EE644A"/>
    <w:rsid w:val="00EE65B4"/>
    <w:rsid w:val="00EE666A"/>
    <w:rsid w:val="00EE66B4"/>
    <w:rsid w:val="00EE67FB"/>
    <w:rsid w:val="00EE78F1"/>
    <w:rsid w:val="00EE7E25"/>
    <w:rsid w:val="00EF0000"/>
    <w:rsid w:val="00EF00AC"/>
    <w:rsid w:val="00EF00E9"/>
    <w:rsid w:val="00EF039F"/>
    <w:rsid w:val="00EF06BF"/>
    <w:rsid w:val="00EF09FF"/>
    <w:rsid w:val="00EF0D70"/>
    <w:rsid w:val="00EF10B3"/>
    <w:rsid w:val="00EF14F1"/>
    <w:rsid w:val="00EF15BC"/>
    <w:rsid w:val="00EF1C28"/>
    <w:rsid w:val="00EF1DE6"/>
    <w:rsid w:val="00EF1E07"/>
    <w:rsid w:val="00EF1E34"/>
    <w:rsid w:val="00EF23B0"/>
    <w:rsid w:val="00EF2AD3"/>
    <w:rsid w:val="00EF38A8"/>
    <w:rsid w:val="00EF3F59"/>
    <w:rsid w:val="00EF41A9"/>
    <w:rsid w:val="00EF446C"/>
    <w:rsid w:val="00EF47B3"/>
    <w:rsid w:val="00EF47DA"/>
    <w:rsid w:val="00EF493A"/>
    <w:rsid w:val="00EF4F40"/>
    <w:rsid w:val="00EF5458"/>
    <w:rsid w:val="00EF56B1"/>
    <w:rsid w:val="00EF571A"/>
    <w:rsid w:val="00EF5849"/>
    <w:rsid w:val="00EF58CC"/>
    <w:rsid w:val="00EF5901"/>
    <w:rsid w:val="00EF5B45"/>
    <w:rsid w:val="00EF602E"/>
    <w:rsid w:val="00EF624D"/>
    <w:rsid w:val="00EF635D"/>
    <w:rsid w:val="00EF6862"/>
    <w:rsid w:val="00EF69B2"/>
    <w:rsid w:val="00EF69D1"/>
    <w:rsid w:val="00EF6E85"/>
    <w:rsid w:val="00EF6F5B"/>
    <w:rsid w:val="00EF7065"/>
    <w:rsid w:val="00EF7174"/>
    <w:rsid w:val="00EF76E5"/>
    <w:rsid w:val="00EF7703"/>
    <w:rsid w:val="00EF77D3"/>
    <w:rsid w:val="00EF7B55"/>
    <w:rsid w:val="00EF7CAB"/>
    <w:rsid w:val="00F000CD"/>
    <w:rsid w:val="00F00C4A"/>
    <w:rsid w:val="00F00E16"/>
    <w:rsid w:val="00F00EB4"/>
    <w:rsid w:val="00F00EFA"/>
    <w:rsid w:val="00F00F2C"/>
    <w:rsid w:val="00F01207"/>
    <w:rsid w:val="00F01530"/>
    <w:rsid w:val="00F015EA"/>
    <w:rsid w:val="00F01795"/>
    <w:rsid w:val="00F0183D"/>
    <w:rsid w:val="00F018AA"/>
    <w:rsid w:val="00F01B8D"/>
    <w:rsid w:val="00F01C8B"/>
    <w:rsid w:val="00F01FE2"/>
    <w:rsid w:val="00F02BDB"/>
    <w:rsid w:val="00F02CE3"/>
    <w:rsid w:val="00F02D61"/>
    <w:rsid w:val="00F0322A"/>
    <w:rsid w:val="00F032FE"/>
    <w:rsid w:val="00F03594"/>
    <w:rsid w:val="00F036F0"/>
    <w:rsid w:val="00F03862"/>
    <w:rsid w:val="00F038A0"/>
    <w:rsid w:val="00F039D2"/>
    <w:rsid w:val="00F03B19"/>
    <w:rsid w:val="00F03BD3"/>
    <w:rsid w:val="00F04149"/>
    <w:rsid w:val="00F0423D"/>
    <w:rsid w:val="00F042AB"/>
    <w:rsid w:val="00F044DF"/>
    <w:rsid w:val="00F044F2"/>
    <w:rsid w:val="00F04885"/>
    <w:rsid w:val="00F049F9"/>
    <w:rsid w:val="00F04A5A"/>
    <w:rsid w:val="00F04BC6"/>
    <w:rsid w:val="00F04C92"/>
    <w:rsid w:val="00F04C98"/>
    <w:rsid w:val="00F0505B"/>
    <w:rsid w:val="00F05517"/>
    <w:rsid w:val="00F056A0"/>
    <w:rsid w:val="00F057B1"/>
    <w:rsid w:val="00F05A73"/>
    <w:rsid w:val="00F05A8E"/>
    <w:rsid w:val="00F05D7A"/>
    <w:rsid w:val="00F05F72"/>
    <w:rsid w:val="00F06310"/>
    <w:rsid w:val="00F0636D"/>
    <w:rsid w:val="00F065CD"/>
    <w:rsid w:val="00F06645"/>
    <w:rsid w:val="00F06675"/>
    <w:rsid w:val="00F06703"/>
    <w:rsid w:val="00F06A25"/>
    <w:rsid w:val="00F06A77"/>
    <w:rsid w:val="00F070DC"/>
    <w:rsid w:val="00F071B2"/>
    <w:rsid w:val="00F072D5"/>
    <w:rsid w:val="00F07564"/>
    <w:rsid w:val="00F07881"/>
    <w:rsid w:val="00F07A73"/>
    <w:rsid w:val="00F07F0F"/>
    <w:rsid w:val="00F1004A"/>
    <w:rsid w:val="00F100D0"/>
    <w:rsid w:val="00F10455"/>
    <w:rsid w:val="00F10467"/>
    <w:rsid w:val="00F1050B"/>
    <w:rsid w:val="00F108C8"/>
    <w:rsid w:val="00F10C5E"/>
    <w:rsid w:val="00F10DB7"/>
    <w:rsid w:val="00F10DBE"/>
    <w:rsid w:val="00F10EAB"/>
    <w:rsid w:val="00F10EF4"/>
    <w:rsid w:val="00F112C0"/>
    <w:rsid w:val="00F1151E"/>
    <w:rsid w:val="00F119AF"/>
    <w:rsid w:val="00F119DA"/>
    <w:rsid w:val="00F11A87"/>
    <w:rsid w:val="00F11EDE"/>
    <w:rsid w:val="00F1215B"/>
    <w:rsid w:val="00F12268"/>
    <w:rsid w:val="00F12320"/>
    <w:rsid w:val="00F12E51"/>
    <w:rsid w:val="00F13036"/>
    <w:rsid w:val="00F132F1"/>
    <w:rsid w:val="00F1360A"/>
    <w:rsid w:val="00F13AB5"/>
    <w:rsid w:val="00F13BD3"/>
    <w:rsid w:val="00F13D9E"/>
    <w:rsid w:val="00F13E03"/>
    <w:rsid w:val="00F142D8"/>
    <w:rsid w:val="00F147CC"/>
    <w:rsid w:val="00F14D52"/>
    <w:rsid w:val="00F14D78"/>
    <w:rsid w:val="00F15037"/>
    <w:rsid w:val="00F150CF"/>
    <w:rsid w:val="00F152C8"/>
    <w:rsid w:val="00F1554A"/>
    <w:rsid w:val="00F15686"/>
    <w:rsid w:val="00F16064"/>
    <w:rsid w:val="00F1611A"/>
    <w:rsid w:val="00F164C0"/>
    <w:rsid w:val="00F167BF"/>
    <w:rsid w:val="00F16901"/>
    <w:rsid w:val="00F16A5E"/>
    <w:rsid w:val="00F16B47"/>
    <w:rsid w:val="00F16BB3"/>
    <w:rsid w:val="00F16F69"/>
    <w:rsid w:val="00F16FF7"/>
    <w:rsid w:val="00F17010"/>
    <w:rsid w:val="00F1733B"/>
    <w:rsid w:val="00F173B4"/>
    <w:rsid w:val="00F1753B"/>
    <w:rsid w:val="00F175EB"/>
    <w:rsid w:val="00F17640"/>
    <w:rsid w:val="00F17710"/>
    <w:rsid w:val="00F17DB7"/>
    <w:rsid w:val="00F17E60"/>
    <w:rsid w:val="00F200F7"/>
    <w:rsid w:val="00F2034C"/>
    <w:rsid w:val="00F20354"/>
    <w:rsid w:val="00F20450"/>
    <w:rsid w:val="00F20DCA"/>
    <w:rsid w:val="00F21396"/>
    <w:rsid w:val="00F21438"/>
    <w:rsid w:val="00F2154B"/>
    <w:rsid w:val="00F215E4"/>
    <w:rsid w:val="00F21A9D"/>
    <w:rsid w:val="00F21FB0"/>
    <w:rsid w:val="00F22517"/>
    <w:rsid w:val="00F22C06"/>
    <w:rsid w:val="00F22DD9"/>
    <w:rsid w:val="00F22FB6"/>
    <w:rsid w:val="00F230CB"/>
    <w:rsid w:val="00F235D0"/>
    <w:rsid w:val="00F23791"/>
    <w:rsid w:val="00F23B30"/>
    <w:rsid w:val="00F241D9"/>
    <w:rsid w:val="00F2442B"/>
    <w:rsid w:val="00F24821"/>
    <w:rsid w:val="00F248BA"/>
    <w:rsid w:val="00F24C10"/>
    <w:rsid w:val="00F24F86"/>
    <w:rsid w:val="00F2532B"/>
    <w:rsid w:val="00F2563C"/>
    <w:rsid w:val="00F2577D"/>
    <w:rsid w:val="00F25B17"/>
    <w:rsid w:val="00F25B4F"/>
    <w:rsid w:val="00F25BCE"/>
    <w:rsid w:val="00F25D5A"/>
    <w:rsid w:val="00F25FBF"/>
    <w:rsid w:val="00F2614D"/>
    <w:rsid w:val="00F26413"/>
    <w:rsid w:val="00F2644D"/>
    <w:rsid w:val="00F2677A"/>
    <w:rsid w:val="00F26C6A"/>
    <w:rsid w:val="00F27314"/>
    <w:rsid w:val="00F278BB"/>
    <w:rsid w:val="00F279E7"/>
    <w:rsid w:val="00F27D17"/>
    <w:rsid w:val="00F27DEA"/>
    <w:rsid w:val="00F27EEF"/>
    <w:rsid w:val="00F27FA4"/>
    <w:rsid w:val="00F301A0"/>
    <w:rsid w:val="00F305FD"/>
    <w:rsid w:val="00F30E2B"/>
    <w:rsid w:val="00F3120E"/>
    <w:rsid w:val="00F31368"/>
    <w:rsid w:val="00F314E3"/>
    <w:rsid w:val="00F3151A"/>
    <w:rsid w:val="00F31531"/>
    <w:rsid w:val="00F31670"/>
    <w:rsid w:val="00F318A3"/>
    <w:rsid w:val="00F31B94"/>
    <w:rsid w:val="00F31CD0"/>
    <w:rsid w:val="00F321D1"/>
    <w:rsid w:val="00F32281"/>
    <w:rsid w:val="00F322DF"/>
    <w:rsid w:val="00F3233E"/>
    <w:rsid w:val="00F326E7"/>
    <w:rsid w:val="00F3276E"/>
    <w:rsid w:val="00F333D3"/>
    <w:rsid w:val="00F335CE"/>
    <w:rsid w:val="00F33823"/>
    <w:rsid w:val="00F33835"/>
    <w:rsid w:val="00F3385A"/>
    <w:rsid w:val="00F338F9"/>
    <w:rsid w:val="00F33906"/>
    <w:rsid w:val="00F33ADE"/>
    <w:rsid w:val="00F340D8"/>
    <w:rsid w:val="00F34164"/>
    <w:rsid w:val="00F34654"/>
    <w:rsid w:val="00F34AF1"/>
    <w:rsid w:val="00F34B8D"/>
    <w:rsid w:val="00F34D55"/>
    <w:rsid w:val="00F34E07"/>
    <w:rsid w:val="00F35094"/>
    <w:rsid w:val="00F355E4"/>
    <w:rsid w:val="00F35647"/>
    <w:rsid w:val="00F358B9"/>
    <w:rsid w:val="00F35F92"/>
    <w:rsid w:val="00F36105"/>
    <w:rsid w:val="00F364AC"/>
    <w:rsid w:val="00F36649"/>
    <w:rsid w:val="00F36793"/>
    <w:rsid w:val="00F367A9"/>
    <w:rsid w:val="00F36911"/>
    <w:rsid w:val="00F36BBC"/>
    <w:rsid w:val="00F36CDF"/>
    <w:rsid w:val="00F36E40"/>
    <w:rsid w:val="00F36E7E"/>
    <w:rsid w:val="00F371A2"/>
    <w:rsid w:val="00F371D9"/>
    <w:rsid w:val="00F372BF"/>
    <w:rsid w:val="00F372C3"/>
    <w:rsid w:val="00F37797"/>
    <w:rsid w:val="00F37B29"/>
    <w:rsid w:val="00F37C6F"/>
    <w:rsid w:val="00F37CE4"/>
    <w:rsid w:val="00F37D8E"/>
    <w:rsid w:val="00F40336"/>
    <w:rsid w:val="00F4040E"/>
    <w:rsid w:val="00F405D7"/>
    <w:rsid w:val="00F40686"/>
    <w:rsid w:val="00F4073A"/>
    <w:rsid w:val="00F40898"/>
    <w:rsid w:val="00F40ACC"/>
    <w:rsid w:val="00F40C73"/>
    <w:rsid w:val="00F41032"/>
    <w:rsid w:val="00F4115B"/>
    <w:rsid w:val="00F411B8"/>
    <w:rsid w:val="00F4150D"/>
    <w:rsid w:val="00F41526"/>
    <w:rsid w:val="00F41838"/>
    <w:rsid w:val="00F41848"/>
    <w:rsid w:val="00F41FAE"/>
    <w:rsid w:val="00F420EC"/>
    <w:rsid w:val="00F42378"/>
    <w:rsid w:val="00F4250D"/>
    <w:rsid w:val="00F427B7"/>
    <w:rsid w:val="00F42CF1"/>
    <w:rsid w:val="00F42CF6"/>
    <w:rsid w:val="00F432B1"/>
    <w:rsid w:val="00F433ED"/>
    <w:rsid w:val="00F4367A"/>
    <w:rsid w:val="00F43B5D"/>
    <w:rsid w:val="00F43EF6"/>
    <w:rsid w:val="00F44125"/>
    <w:rsid w:val="00F444B8"/>
    <w:rsid w:val="00F44585"/>
    <w:rsid w:val="00F446FC"/>
    <w:rsid w:val="00F44719"/>
    <w:rsid w:val="00F44844"/>
    <w:rsid w:val="00F44A48"/>
    <w:rsid w:val="00F44DD0"/>
    <w:rsid w:val="00F44FE6"/>
    <w:rsid w:val="00F45C8E"/>
    <w:rsid w:val="00F460F7"/>
    <w:rsid w:val="00F461D3"/>
    <w:rsid w:val="00F46386"/>
    <w:rsid w:val="00F4663F"/>
    <w:rsid w:val="00F46755"/>
    <w:rsid w:val="00F46B21"/>
    <w:rsid w:val="00F46BCB"/>
    <w:rsid w:val="00F46F24"/>
    <w:rsid w:val="00F47000"/>
    <w:rsid w:val="00F47123"/>
    <w:rsid w:val="00F47127"/>
    <w:rsid w:val="00F4736E"/>
    <w:rsid w:val="00F473D8"/>
    <w:rsid w:val="00F473FA"/>
    <w:rsid w:val="00F47A2D"/>
    <w:rsid w:val="00F47E66"/>
    <w:rsid w:val="00F47FE6"/>
    <w:rsid w:val="00F47FFB"/>
    <w:rsid w:val="00F506E9"/>
    <w:rsid w:val="00F507D6"/>
    <w:rsid w:val="00F50C7D"/>
    <w:rsid w:val="00F50DAA"/>
    <w:rsid w:val="00F50DBE"/>
    <w:rsid w:val="00F50F34"/>
    <w:rsid w:val="00F510A8"/>
    <w:rsid w:val="00F5119A"/>
    <w:rsid w:val="00F5128F"/>
    <w:rsid w:val="00F518EF"/>
    <w:rsid w:val="00F51B45"/>
    <w:rsid w:val="00F51DA7"/>
    <w:rsid w:val="00F51FA9"/>
    <w:rsid w:val="00F521CB"/>
    <w:rsid w:val="00F52420"/>
    <w:rsid w:val="00F52425"/>
    <w:rsid w:val="00F528AE"/>
    <w:rsid w:val="00F52C98"/>
    <w:rsid w:val="00F5320F"/>
    <w:rsid w:val="00F5321C"/>
    <w:rsid w:val="00F532FE"/>
    <w:rsid w:val="00F537E1"/>
    <w:rsid w:val="00F53D98"/>
    <w:rsid w:val="00F53E76"/>
    <w:rsid w:val="00F53F82"/>
    <w:rsid w:val="00F53FE9"/>
    <w:rsid w:val="00F544B7"/>
    <w:rsid w:val="00F54B0E"/>
    <w:rsid w:val="00F54D22"/>
    <w:rsid w:val="00F54E86"/>
    <w:rsid w:val="00F54EAA"/>
    <w:rsid w:val="00F55373"/>
    <w:rsid w:val="00F553E5"/>
    <w:rsid w:val="00F5565F"/>
    <w:rsid w:val="00F5570B"/>
    <w:rsid w:val="00F557E6"/>
    <w:rsid w:val="00F55991"/>
    <w:rsid w:val="00F55B53"/>
    <w:rsid w:val="00F55D1A"/>
    <w:rsid w:val="00F55F15"/>
    <w:rsid w:val="00F56081"/>
    <w:rsid w:val="00F560D9"/>
    <w:rsid w:val="00F561BD"/>
    <w:rsid w:val="00F564F2"/>
    <w:rsid w:val="00F56D27"/>
    <w:rsid w:val="00F575C5"/>
    <w:rsid w:val="00F5768F"/>
    <w:rsid w:val="00F578EE"/>
    <w:rsid w:val="00F57A7A"/>
    <w:rsid w:val="00F57BE5"/>
    <w:rsid w:val="00F57DF5"/>
    <w:rsid w:val="00F57EC6"/>
    <w:rsid w:val="00F57F2C"/>
    <w:rsid w:val="00F603B0"/>
    <w:rsid w:val="00F60608"/>
    <w:rsid w:val="00F60663"/>
    <w:rsid w:val="00F606A8"/>
    <w:rsid w:val="00F60B2F"/>
    <w:rsid w:val="00F60D08"/>
    <w:rsid w:val="00F60FD1"/>
    <w:rsid w:val="00F612F9"/>
    <w:rsid w:val="00F6139C"/>
    <w:rsid w:val="00F61502"/>
    <w:rsid w:val="00F61934"/>
    <w:rsid w:val="00F61D44"/>
    <w:rsid w:val="00F61DB5"/>
    <w:rsid w:val="00F61F28"/>
    <w:rsid w:val="00F6215D"/>
    <w:rsid w:val="00F6245F"/>
    <w:rsid w:val="00F62978"/>
    <w:rsid w:val="00F6313F"/>
    <w:rsid w:val="00F63180"/>
    <w:rsid w:val="00F634E3"/>
    <w:rsid w:val="00F6361C"/>
    <w:rsid w:val="00F6373F"/>
    <w:rsid w:val="00F63DED"/>
    <w:rsid w:val="00F63E5A"/>
    <w:rsid w:val="00F64CEF"/>
    <w:rsid w:val="00F64F28"/>
    <w:rsid w:val="00F64FA7"/>
    <w:rsid w:val="00F65535"/>
    <w:rsid w:val="00F65861"/>
    <w:rsid w:val="00F65C7F"/>
    <w:rsid w:val="00F65C96"/>
    <w:rsid w:val="00F66064"/>
    <w:rsid w:val="00F6622D"/>
    <w:rsid w:val="00F66684"/>
    <w:rsid w:val="00F667AD"/>
    <w:rsid w:val="00F66890"/>
    <w:rsid w:val="00F66A51"/>
    <w:rsid w:val="00F66DD9"/>
    <w:rsid w:val="00F66DFD"/>
    <w:rsid w:val="00F66E59"/>
    <w:rsid w:val="00F66EF9"/>
    <w:rsid w:val="00F67096"/>
    <w:rsid w:val="00F674F2"/>
    <w:rsid w:val="00F676A2"/>
    <w:rsid w:val="00F67A3E"/>
    <w:rsid w:val="00F67E9F"/>
    <w:rsid w:val="00F7013C"/>
    <w:rsid w:val="00F70148"/>
    <w:rsid w:val="00F704FB"/>
    <w:rsid w:val="00F708BC"/>
    <w:rsid w:val="00F709A7"/>
    <w:rsid w:val="00F70B35"/>
    <w:rsid w:val="00F70CF8"/>
    <w:rsid w:val="00F70DCD"/>
    <w:rsid w:val="00F70ED8"/>
    <w:rsid w:val="00F70F10"/>
    <w:rsid w:val="00F71290"/>
    <w:rsid w:val="00F7137D"/>
    <w:rsid w:val="00F713AF"/>
    <w:rsid w:val="00F71435"/>
    <w:rsid w:val="00F714F9"/>
    <w:rsid w:val="00F7172F"/>
    <w:rsid w:val="00F717C6"/>
    <w:rsid w:val="00F71C52"/>
    <w:rsid w:val="00F72242"/>
    <w:rsid w:val="00F7253A"/>
    <w:rsid w:val="00F726CA"/>
    <w:rsid w:val="00F727E7"/>
    <w:rsid w:val="00F72A36"/>
    <w:rsid w:val="00F72CFC"/>
    <w:rsid w:val="00F7329B"/>
    <w:rsid w:val="00F733AB"/>
    <w:rsid w:val="00F7350E"/>
    <w:rsid w:val="00F7357E"/>
    <w:rsid w:val="00F73744"/>
    <w:rsid w:val="00F73EE9"/>
    <w:rsid w:val="00F7414F"/>
    <w:rsid w:val="00F741DC"/>
    <w:rsid w:val="00F74379"/>
    <w:rsid w:val="00F747A0"/>
    <w:rsid w:val="00F7482D"/>
    <w:rsid w:val="00F74AF1"/>
    <w:rsid w:val="00F74D2C"/>
    <w:rsid w:val="00F75136"/>
    <w:rsid w:val="00F751B9"/>
    <w:rsid w:val="00F75400"/>
    <w:rsid w:val="00F75427"/>
    <w:rsid w:val="00F754D2"/>
    <w:rsid w:val="00F755B8"/>
    <w:rsid w:val="00F757A5"/>
    <w:rsid w:val="00F757D9"/>
    <w:rsid w:val="00F75CB0"/>
    <w:rsid w:val="00F75DDE"/>
    <w:rsid w:val="00F75FB8"/>
    <w:rsid w:val="00F75FFD"/>
    <w:rsid w:val="00F76120"/>
    <w:rsid w:val="00F76183"/>
    <w:rsid w:val="00F766BF"/>
    <w:rsid w:val="00F76B0C"/>
    <w:rsid w:val="00F76D9E"/>
    <w:rsid w:val="00F77173"/>
    <w:rsid w:val="00F772D5"/>
    <w:rsid w:val="00F776BF"/>
    <w:rsid w:val="00F7782D"/>
    <w:rsid w:val="00F7799B"/>
    <w:rsid w:val="00F77ECA"/>
    <w:rsid w:val="00F80293"/>
    <w:rsid w:val="00F80730"/>
    <w:rsid w:val="00F808E5"/>
    <w:rsid w:val="00F80927"/>
    <w:rsid w:val="00F80AA1"/>
    <w:rsid w:val="00F810B1"/>
    <w:rsid w:val="00F8145C"/>
    <w:rsid w:val="00F81573"/>
    <w:rsid w:val="00F81B6C"/>
    <w:rsid w:val="00F81C22"/>
    <w:rsid w:val="00F81EC8"/>
    <w:rsid w:val="00F81EED"/>
    <w:rsid w:val="00F82018"/>
    <w:rsid w:val="00F822EE"/>
    <w:rsid w:val="00F822F3"/>
    <w:rsid w:val="00F82532"/>
    <w:rsid w:val="00F82858"/>
    <w:rsid w:val="00F82B8C"/>
    <w:rsid w:val="00F82F43"/>
    <w:rsid w:val="00F831A7"/>
    <w:rsid w:val="00F831BD"/>
    <w:rsid w:val="00F835FC"/>
    <w:rsid w:val="00F83666"/>
    <w:rsid w:val="00F83866"/>
    <w:rsid w:val="00F83C03"/>
    <w:rsid w:val="00F83CE2"/>
    <w:rsid w:val="00F84423"/>
    <w:rsid w:val="00F846A4"/>
    <w:rsid w:val="00F8470A"/>
    <w:rsid w:val="00F84A84"/>
    <w:rsid w:val="00F84B5B"/>
    <w:rsid w:val="00F84C8E"/>
    <w:rsid w:val="00F84D57"/>
    <w:rsid w:val="00F84DE6"/>
    <w:rsid w:val="00F85159"/>
    <w:rsid w:val="00F8545A"/>
    <w:rsid w:val="00F8577A"/>
    <w:rsid w:val="00F857A1"/>
    <w:rsid w:val="00F85A30"/>
    <w:rsid w:val="00F85BA4"/>
    <w:rsid w:val="00F85D3B"/>
    <w:rsid w:val="00F85EC3"/>
    <w:rsid w:val="00F8604B"/>
    <w:rsid w:val="00F86107"/>
    <w:rsid w:val="00F8615B"/>
    <w:rsid w:val="00F861D0"/>
    <w:rsid w:val="00F862B5"/>
    <w:rsid w:val="00F86618"/>
    <w:rsid w:val="00F86BE7"/>
    <w:rsid w:val="00F8700A"/>
    <w:rsid w:val="00F8700B"/>
    <w:rsid w:val="00F87991"/>
    <w:rsid w:val="00F87A95"/>
    <w:rsid w:val="00F87C4B"/>
    <w:rsid w:val="00F87EFD"/>
    <w:rsid w:val="00F900BC"/>
    <w:rsid w:val="00F9017F"/>
    <w:rsid w:val="00F907F9"/>
    <w:rsid w:val="00F91620"/>
    <w:rsid w:val="00F91D4C"/>
    <w:rsid w:val="00F91D6B"/>
    <w:rsid w:val="00F91F7F"/>
    <w:rsid w:val="00F921E4"/>
    <w:rsid w:val="00F92322"/>
    <w:rsid w:val="00F9245A"/>
    <w:rsid w:val="00F92B10"/>
    <w:rsid w:val="00F92CB7"/>
    <w:rsid w:val="00F93069"/>
    <w:rsid w:val="00F932D4"/>
    <w:rsid w:val="00F93326"/>
    <w:rsid w:val="00F933CB"/>
    <w:rsid w:val="00F9344A"/>
    <w:rsid w:val="00F93767"/>
    <w:rsid w:val="00F939DB"/>
    <w:rsid w:val="00F93B13"/>
    <w:rsid w:val="00F93FEB"/>
    <w:rsid w:val="00F94379"/>
    <w:rsid w:val="00F9476A"/>
    <w:rsid w:val="00F949E0"/>
    <w:rsid w:val="00F94BC5"/>
    <w:rsid w:val="00F94DE7"/>
    <w:rsid w:val="00F95349"/>
    <w:rsid w:val="00F95480"/>
    <w:rsid w:val="00F956B8"/>
    <w:rsid w:val="00F956F5"/>
    <w:rsid w:val="00F95EF8"/>
    <w:rsid w:val="00F962EC"/>
    <w:rsid w:val="00F96D96"/>
    <w:rsid w:val="00F97130"/>
    <w:rsid w:val="00F9713D"/>
    <w:rsid w:val="00F9776B"/>
    <w:rsid w:val="00F97989"/>
    <w:rsid w:val="00F97BB6"/>
    <w:rsid w:val="00F97CD5"/>
    <w:rsid w:val="00F97ECD"/>
    <w:rsid w:val="00FA0368"/>
    <w:rsid w:val="00FA03B2"/>
    <w:rsid w:val="00FA0546"/>
    <w:rsid w:val="00FA05A3"/>
    <w:rsid w:val="00FA0810"/>
    <w:rsid w:val="00FA09AE"/>
    <w:rsid w:val="00FA09BA"/>
    <w:rsid w:val="00FA09D6"/>
    <w:rsid w:val="00FA09F7"/>
    <w:rsid w:val="00FA0C04"/>
    <w:rsid w:val="00FA0C37"/>
    <w:rsid w:val="00FA102D"/>
    <w:rsid w:val="00FA1F04"/>
    <w:rsid w:val="00FA1F31"/>
    <w:rsid w:val="00FA2070"/>
    <w:rsid w:val="00FA22AF"/>
    <w:rsid w:val="00FA22D3"/>
    <w:rsid w:val="00FA23E9"/>
    <w:rsid w:val="00FA29C4"/>
    <w:rsid w:val="00FA2BA4"/>
    <w:rsid w:val="00FA2C71"/>
    <w:rsid w:val="00FA2C9B"/>
    <w:rsid w:val="00FA2DD2"/>
    <w:rsid w:val="00FA2E1D"/>
    <w:rsid w:val="00FA2FBF"/>
    <w:rsid w:val="00FA398A"/>
    <w:rsid w:val="00FA3C9D"/>
    <w:rsid w:val="00FA3F98"/>
    <w:rsid w:val="00FA400A"/>
    <w:rsid w:val="00FA4168"/>
    <w:rsid w:val="00FA52E0"/>
    <w:rsid w:val="00FA532A"/>
    <w:rsid w:val="00FA566D"/>
    <w:rsid w:val="00FA5755"/>
    <w:rsid w:val="00FA58C6"/>
    <w:rsid w:val="00FA5AD7"/>
    <w:rsid w:val="00FA5BA0"/>
    <w:rsid w:val="00FA5BEC"/>
    <w:rsid w:val="00FA5C5B"/>
    <w:rsid w:val="00FA5CB1"/>
    <w:rsid w:val="00FA6139"/>
    <w:rsid w:val="00FA63AE"/>
    <w:rsid w:val="00FA6750"/>
    <w:rsid w:val="00FA6773"/>
    <w:rsid w:val="00FA6DE6"/>
    <w:rsid w:val="00FA73D8"/>
    <w:rsid w:val="00FA73FE"/>
    <w:rsid w:val="00FA7C5C"/>
    <w:rsid w:val="00FB0082"/>
    <w:rsid w:val="00FB04D7"/>
    <w:rsid w:val="00FB099A"/>
    <w:rsid w:val="00FB09F5"/>
    <w:rsid w:val="00FB0BC7"/>
    <w:rsid w:val="00FB0CF5"/>
    <w:rsid w:val="00FB0D7F"/>
    <w:rsid w:val="00FB0F5B"/>
    <w:rsid w:val="00FB1064"/>
    <w:rsid w:val="00FB113A"/>
    <w:rsid w:val="00FB1787"/>
    <w:rsid w:val="00FB191A"/>
    <w:rsid w:val="00FB1DEF"/>
    <w:rsid w:val="00FB26FD"/>
    <w:rsid w:val="00FB2871"/>
    <w:rsid w:val="00FB28C3"/>
    <w:rsid w:val="00FB2A97"/>
    <w:rsid w:val="00FB2AFA"/>
    <w:rsid w:val="00FB2D99"/>
    <w:rsid w:val="00FB3117"/>
    <w:rsid w:val="00FB3220"/>
    <w:rsid w:val="00FB3720"/>
    <w:rsid w:val="00FB3A73"/>
    <w:rsid w:val="00FB3BAB"/>
    <w:rsid w:val="00FB3CCB"/>
    <w:rsid w:val="00FB3E9A"/>
    <w:rsid w:val="00FB4154"/>
    <w:rsid w:val="00FB41B1"/>
    <w:rsid w:val="00FB424F"/>
    <w:rsid w:val="00FB42D0"/>
    <w:rsid w:val="00FB441B"/>
    <w:rsid w:val="00FB4B6C"/>
    <w:rsid w:val="00FB501C"/>
    <w:rsid w:val="00FB565A"/>
    <w:rsid w:val="00FB567D"/>
    <w:rsid w:val="00FB5AF7"/>
    <w:rsid w:val="00FB5DB9"/>
    <w:rsid w:val="00FB5E8E"/>
    <w:rsid w:val="00FB6295"/>
    <w:rsid w:val="00FB63E1"/>
    <w:rsid w:val="00FB6764"/>
    <w:rsid w:val="00FB679A"/>
    <w:rsid w:val="00FB69A2"/>
    <w:rsid w:val="00FB6AC4"/>
    <w:rsid w:val="00FB6B4D"/>
    <w:rsid w:val="00FB6BB8"/>
    <w:rsid w:val="00FB6CFF"/>
    <w:rsid w:val="00FB6DE3"/>
    <w:rsid w:val="00FB70D2"/>
    <w:rsid w:val="00FB7438"/>
    <w:rsid w:val="00FB77F0"/>
    <w:rsid w:val="00FB783A"/>
    <w:rsid w:val="00FB78E9"/>
    <w:rsid w:val="00FB7910"/>
    <w:rsid w:val="00FB7B12"/>
    <w:rsid w:val="00FB7D81"/>
    <w:rsid w:val="00FC004E"/>
    <w:rsid w:val="00FC02F0"/>
    <w:rsid w:val="00FC03C3"/>
    <w:rsid w:val="00FC0494"/>
    <w:rsid w:val="00FC070A"/>
    <w:rsid w:val="00FC075F"/>
    <w:rsid w:val="00FC0A73"/>
    <w:rsid w:val="00FC112D"/>
    <w:rsid w:val="00FC141E"/>
    <w:rsid w:val="00FC1A33"/>
    <w:rsid w:val="00FC1A44"/>
    <w:rsid w:val="00FC1F05"/>
    <w:rsid w:val="00FC20B8"/>
    <w:rsid w:val="00FC2BDD"/>
    <w:rsid w:val="00FC2D9D"/>
    <w:rsid w:val="00FC31CC"/>
    <w:rsid w:val="00FC31E9"/>
    <w:rsid w:val="00FC3234"/>
    <w:rsid w:val="00FC390E"/>
    <w:rsid w:val="00FC3A92"/>
    <w:rsid w:val="00FC3CCC"/>
    <w:rsid w:val="00FC3E99"/>
    <w:rsid w:val="00FC3EE1"/>
    <w:rsid w:val="00FC3FBF"/>
    <w:rsid w:val="00FC4130"/>
    <w:rsid w:val="00FC4494"/>
    <w:rsid w:val="00FC451F"/>
    <w:rsid w:val="00FC4728"/>
    <w:rsid w:val="00FC4F31"/>
    <w:rsid w:val="00FC501F"/>
    <w:rsid w:val="00FC5587"/>
    <w:rsid w:val="00FC560E"/>
    <w:rsid w:val="00FC5B7A"/>
    <w:rsid w:val="00FC5D5A"/>
    <w:rsid w:val="00FC6116"/>
    <w:rsid w:val="00FC6595"/>
    <w:rsid w:val="00FC6643"/>
    <w:rsid w:val="00FC6767"/>
    <w:rsid w:val="00FC6825"/>
    <w:rsid w:val="00FC699E"/>
    <w:rsid w:val="00FC6BF6"/>
    <w:rsid w:val="00FC71E6"/>
    <w:rsid w:val="00FC7248"/>
    <w:rsid w:val="00FC7397"/>
    <w:rsid w:val="00FC753A"/>
    <w:rsid w:val="00FC7916"/>
    <w:rsid w:val="00FC7EB3"/>
    <w:rsid w:val="00FC7F4D"/>
    <w:rsid w:val="00FD0050"/>
    <w:rsid w:val="00FD0738"/>
    <w:rsid w:val="00FD0EE0"/>
    <w:rsid w:val="00FD0FD7"/>
    <w:rsid w:val="00FD112C"/>
    <w:rsid w:val="00FD157D"/>
    <w:rsid w:val="00FD1A09"/>
    <w:rsid w:val="00FD1ABD"/>
    <w:rsid w:val="00FD1CF9"/>
    <w:rsid w:val="00FD1E1C"/>
    <w:rsid w:val="00FD2083"/>
    <w:rsid w:val="00FD222C"/>
    <w:rsid w:val="00FD2599"/>
    <w:rsid w:val="00FD25FA"/>
    <w:rsid w:val="00FD2821"/>
    <w:rsid w:val="00FD2A5B"/>
    <w:rsid w:val="00FD3122"/>
    <w:rsid w:val="00FD3188"/>
    <w:rsid w:val="00FD319B"/>
    <w:rsid w:val="00FD3350"/>
    <w:rsid w:val="00FD380B"/>
    <w:rsid w:val="00FD3A32"/>
    <w:rsid w:val="00FD3BA7"/>
    <w:rsid w:val="00FD3CA5"/>
    <w:rsid w:val="00FD3D8E"/>
    <w:rsid w:val="00FD3EDF"/>
    <w:rsid w:val="00FD3F81"/>
    <w:rsid w:val="00FD436C"/>
    <w:rsid w:val="00FD43CE"/>
    <w:rsid w:val="00FD448B"/>
    <w:rsid w:val="00FD449B"/>
    <w:rsid w:val="00FD453F"/>
    <w:rsid w:val="00FD45A5"/>
    <w:rsid w:val="00FD47B2"/>
    <w:rsid w:val="00FD4A05"/>
    <w:rsid w:val="00FD4CEB"/>
    <w:rsid w:val="00FD50DC"/>
    <w:rsid w:val="00FD514F"/>
    <w:rsid w:val="00FD5A7C"/>
    <w:rsid w:val="00FD5F08"/>
    <w:rsid w:val="00FD6098"/>
    <w:rsid w:val="00FD6109"/>
    <w:rsid w:val="00FD6741"/>
    <w:rsid w:val="00FD6869"/>
    <w:rsid w:val="00FD6D41"/>
    <w:rsid w:val="00FD6EBA"/>
    <w:rsid w:val="00FD74B7"/>
    <w:rsid w:val="00FD753D"/>
    <w:rsid w:val="00FD76E8"/>
    <w:rsid w:val="00FD77F3"/>
    <w:rsid w:val="00FD7AAA"/>
    <w:rsid w:val="00FD7D6D"/>
    <w:rsid w:val="00FE05EA"/>
    <w:rsid w:val="00FE0821"/>
    <w:rsid w:val="00FE0AB3"/>
    <w:rsid w:val="00FE0D37"/>
    <w:rsid w:val="00FE1096"/>
    <w:rsid w:val="00FE13C7"/>
    <w:rsid w:val="00FE1546"/>
    <w:rsid w:val="00FE15CD"/>
    <w:rsid w:val="00FE1900"/>
    <w:rsid w:val="00FE1B2B"/>
    <w:rsid w:val="00FE1CBA"/>
    <w:rsid w:val="00FE22C7"/>
    <w:rsid w:val="00FE25E9"/>
    <w:rsid w:val="00FE2636"/>
    <w:rsid w:val="00FE26E4"/>
    <w:rsid w:val="00FE26F6"/>
    <w:rsid w:val="00FE2708"/>
    <w:rsid w:val="00FE27AC"/>
    <w:rsid w:val="00FE2C42"/>
    <w:rsid w:val="00FE2EC0"/>
    <w:rsid w:val="00FE2FCF"/>
    <w:rsid w:val="00FE3399"/>
    <w:rsid w:val="00FE34F3"/>
    <w:rsid w:val="00FE359E"/>
    <w:rsid w:val="00FE3925"/>
    <w:rsid w:val="00FE3AAF"/>
    <w:rsid w:val="00FE41DC"/>
    <w:rsid w:val="00FE484A"/>
    <w:rsid w:val="00FE4AAB"/>
    <w:rsid w:val="00FE4ADF"/>
    <w:rsid w:val="00FE4B48"/>
    <w:rsid w:val="00FE556C"/>
    <w:rsid w:val="00FE5837"/>
    <w:rsid w:val="00FE58A0"/>
    <w:rsid w:val="00FE58BB"/>
    <w:rsid w:val="00FE59A9"/>
    <w:rsid w:val="00FE5A1E"/>
    <w:rsid w:val="00FE5A72"/>
    <w:rsid w:val="00FE5CB2"/>
    <w:rsid w:val="00FE5FDF"/>
    <w:rsid w:val="00FE627D"/>
    <w:rsid w:val="00FE6AAF"/>
    <w:rsid w:val="00FE6C21"/>
    <w:rsid w:val="00FE6F2A"/>
    <w:rsid w:val="00FE71C0"/>
    <w:rsid w:val="00FE7277"/>
    <w:rsid w:val="00FE7504"/>
    <w:rsid w:val="00FE754B"/>
    <w:rsid w:val="00FE7675"/>
    <w:rsid w:val="00FE76C0"/>
    <w:rsid w:val="00FE7E66"/>
    <w:rsid w:val="00FF00B5"/>
    <w:rsid w:val="00FF0695"/>
    <w:rsid w:val="00FF0EBF"/>
    <w:rsid w:val="00FF0FBC"/>
    <w:rsid w:val="00FF11F2"/>
    <w:rsid w:val="00FF129A"/>
    <w:rsid w:val="00FF1413"/>
    <w:rsid w:val="00FF17B0"/>
    <w:rsid w:val="00FF1B2D"/>
    <w:rsid w:val="00FF1B94"/>
    <w:rsid w:val="00FF1D88"/>
    <w:rsid w:val="00FF1E94"/>
    <w:rsid w:val="00FF1F17"/>
    <w:rsid w:val="00FF1F27"/>
    <w:rsid w:val="00FF2097"/>
    <w:rsid w:val="00FF2485"/>
    <w:rsid w:val="00FF24B9"/>
    <w:rsid w:val="00FF2A92"/>
    <w:rsid w:val="00FF2CDB"/>
    <w:rsid w:val="00FF2D98"/>
    <w:rsid w:val="00FF2F31"/>
    <w:rsid w:val="00FF30D2"/>
    <w:rsid w:val="00FF34A9"/>
    <w:rsid w:val="00FF36C1"/>
    <w:rsid w:val="00FF3813"/>
    <w:rsid w:val="00FF3999"/>
    <w:rsid w:val="00FF39C6"/>
    <w:rsid w:val="00FF3ACE"/>
    <w:rsid w:val="00FF3FBE"/>
    <w:rsid w:val="00FF4079"/>
    <w:rsid w:val="00FF4134"/>
    <w:rsid w:val="00FF42DD"/>
    <w:rsid w:val="00FF4646"/>
    <w:rsid w:val="00FF469E"/>
    <w:rsid w:val="00FF4919"/>
    <w:rsid w:val="00FF50D0"/>
    <w:rsid w:val="00FF53A2"/>
    <w:rsid w:val="00FF5540"/>
    <w:rsid w:val="00FF5728"/>
    <w:rsid w:val="00FF5AE2"/>
    <w:rsid w:val="00FF5BC7"/>
    <w:rsid w:val="00FF5E36"/>
    <w:rsid w:val="00FF6121"/>
    <w:rsid w:val="00FF6342"/>
    <w:rsid w:val="00FF63DE"/>
    <w:rsid w:val="00FF6447"/>
    <w:rsid w:val="00FF6622"/>
    <w:rsid w:val="00FF673C"/>
    <w:rsid w:val="00FF6B6D"/>
    <w:rsid w:val="00FF6CFD"/>
    <w:rsid w:val="00FF6D54"/>
    <w:rsid w:val="00FF6D9C"/>
    <w:rsid w:val="00FF6F0E"/>
    <w:rsid w:val="00FF7750"/>
    <w:rsid w:val="00FF7A24"/>
    <w:rsid w:val="010BD848"/>
    <w:rsid w:val="011AB147"/>
    <w:rsid w:val="014AC14A"/>
    <w:rsid w:val="0162693D"/>
    <w:rsid w:val="01759DEA"/>
    <w:rsid w:val="019E7C1B"/>
    <w:rsid w:val="01A0F51F"/>
    <w:rsid w:val="01A45751"/>
    <w:rsid w:val="01AD305D"/>
    <w:rsid w:val="01B8EAE9"/>
    <w:rsid w:val="01BBEE51"/>
    <w:rsid w:val="01C2A74A"/>
    <w:rsid w:val="01C82B78"/>
    <w:rsid w:val="01C9DDDF"/>
    <w:rsid w:val="01E93B7D"/>
    <w:rsid w:val="01F76180"/>
    <w:rsid w:val="01F76648"/>
    <w:rsid w:val="02046D4F"/>
    <w:rsid w:val="020B5161"/>
    <w:rsid w:val="023177FA"/>
    <w:rsid w:val="0236EBB8"/>
    <w:rsid w:val="0271FB7D"/>
    <w:rsid w:val="02A3D860"/>
    <w:rsid w:val="02A83072"/>
    <w:rsid w:val="02BCEA77"/>
    <w:rsid w:val="02C10AEE"/>
    <w:rsid w:val="02C162AD"/>
    <w:rsid w:val="02DAB2F0"/>
    <w:rsid w:val="02ED6854"/>
    <w:rsid w:val="02F10489"/>
    <w:rsid w:val="02FDEF64"/>
    <w:rsid w:val="03185B23"/>
    <w:rsid w:val="031F10D4"/>
    <w:rsid w:val="0325D3DA"/>
    <w:rsid w:val="03453BF5"/>
    <w:rsid w:val="035BF066"/>
    <w:rsid w:val="037A711D"/>
    <w:rsid w:val="03A2BA4B"/>
    <w:rsid w:val="03A533A2"/>
    <w:rsid w:val="03A8E88D"/>
    <w:rsid w:val="03B47A27"/>
    <w:rsid w:val="03B8E504"/>
    <w:rsid w:val="03D16A5E"/>
    <w:rsid w:val="03D3AFE7"/>
    <w:rsid w:val="03E76470"/>
    <w:rsid w:val="03F05EA8"/>
    <w:rsid w:val="03F166B2"/>
    <w:rsid w:val="03F64B3D"/>
    <w:rsid w:val="03FE7016"/>
    <w:rsid w:val="040C8469"/>
    <w:rsid w:val="041CD252"/>
    <w:rsid w:val="04265658"/>
    <w:rsid w:val="043A96FE"/>
    <w:rsid w:val="044B63A2"/>
    <w:rsid w:val="045E9860"/>
    <w:rsid w:val="04747D08"/>
    <w:rsid w:val="047D4621"/>
    <w:rsid w:val="04857D97"/>
    <w:rsid w:val="049306AA"/>
    <w:rsid w:val="04CB27F7"/>
    <w:rsid w:val="04CED32B"/>
    <w:rsid w:val="04E209F5"/>
    <w:rsid w:val="04F81A78"/>
    <w:rsid w:val="04FED784"/>
    <w:rsid w:val="04FF0E42"/>
    <w:rsid w:val="0514F899"/>
    <w:rsid w:val="05157DA7"/>
    <w:rsid w:val="051854E8"/>
    <w:rsid w:val="05629A48"/>
    <w:rsid w:val="057CD9B4"/>
    <w:rsid w:val="0585F50D"/>
    <w:rsid w:val="05AF9FCA"/>
    <w:rsid w:val="05BAC8DF"/>
    <w:rsid w:val="05C10487"/>
    <w:rsid w:val="05C23BC4"/>
    <w:rsid w:val="05D5AF28"/>
    <w:rsid w:val="05DB54D2"/>
    <w:rsid w:val="05F41506"/>
    <w:rsid w:val="05FA3A27"/>
    <w:rsid w:val="066AC8A2"/>
    <w:rsid w:val="067A8F52"/>
    <w:rsid w:val="067F9D81"/>
    <w:rsid w:val="06891E90"/>
    <w:rsid w:val="069107D6"/>
    <w:rsid w:val="06A8BE8E"/>
    <w:rsid w:val="06D6A292"/>
    <w:rsid w:val="06DF659F"/>
    <w:rsid w:val="06F5AA85"/>
    <w:rsid w:val="0710E0C7"/>
    <w:rsid w:val="07391CBC"/>
    <w:rsid w:val="073AEA24"/>
    <w:rsid w:val="07500ADA"/>
    <w:rsid w:val="075B57EA"/>
    <w:rsid w:val="07937539"/>
    <w:rsid w:val="0794B608"/>
    <w:rsid w:val="079A853A"/>
    <w:rsid w:val="07A31A9C"/>
    <w:rsid w:val="07A7D55B"/>
    <w:rsid w:val="07B2F5F2"/>
    <w:rsid w:val="07BBF884"/>
    <w:rsid w:val="07FC5990"/>
    <w:rsid w:val="0811F706"/>
    <w:rsid w:val="0821BB85"/>
    <w:rsid w:val="083CB45A"/>
    <w:rsid w:val="0843EC5E"/>
    <w:rsid w:val="0858B88C"/>
    <w:rsid w:val="08616492"/>
    <w:rsid w:val="0876FF41"/>
    <w:rsid w:val="08786BE8"/>
    <w:rsid w:val="0891E03D"/>
    <w:rsid w:val="08A86233"/>
    <w:rsid w:val="08BA9262"/>
    <w:rsid w:val="08E2CA12"/>
    <w:rsid w:val="08F4907F"/>
    <w:rsid w:val="095448AB"/>
    <w:rsid w:val="095EAF21"/>
    <w:rsid w:val="0971E36F"/>
    <w:rsid w:val="097A3381"/>
    <w:rsid w:val="097A35D5"/>
    <w:rsid w:val="098A7A1C"/>
    <w:rsid w:val="098BED42"/>
    <w:rsid w:val="09912F8F"/>
    <w:rsid w:val="0991F712"/>
    <w:rsid w:val="099DE18D"/>
    <w:rsid w:val="09BD2282"/>
    <w:rsid w:val="09CACD4B"/>
    <w:rsid w:val="09E16D90"/>
    <w:rsid w:val="09F3C17C"/>
    <w:rsid w:val="0A0CFB95"/>
    <w:rsid w:val="0A188AC1"/>
    <w:rsid w:val="0A2AF04C"/>
    <w:rsid w:val="0A342365"/>
    <w:rsid w:val="0A3EF070"/>
    <w:rsid w:val="0A5E017C"/>
    <w:rsid w:val="0A64FC9D"/>
    <w:rsid w:val="0A86C206"/>
    <w:rsid w:val="0A8932CD"/>
    <w:rsid w:val="0A8BB4F4"/>
    <w:rsid w:val="0A8ED154"/>
    <w:rsid w:val="0A919991"/>
    <w:rsid w:val="0AA1644B"/>
    <w:rsid w:val="0AA5C511"/>
    <w:rsid w:val="0AB8F5CC"/>
    <w:rsid w:val="0AC1F65D"/>
    <w:rsid w:val="0AECDCB8"/>
    <w:rsid w:val="0B04FAB5"/>
    <w:rsid w:val="0B16EA49"/>
    <w:rsid w:val="0B37B9FB"/>
    <w:rsid w:val="0B4742DA"/>
    <w:rsid w:val="0B49D2C9"/>
    <w:rsid w:val="0B55D703"/>
    <w:rsid w:val="0B563DF1"/>
    <w:rsid w:val="0B608C7A"/>
    <w:rsid w:val="0B7CE7A0"/>
    <w:rsid w:val="0B8BC824"/>
    <w:rsid w:val="0B981D02"/>
    <w:rsid w:val="0B9C2129"/>
    <w:rsid w:val="0BA287AA"/>
    <w:rsid w:val="0BB1C53F"/>
    <w:rsid w:val="0BB7BE5A"/>
    <w:rsid w:val="0BB910FF"/>
    <w:rsid w:val="0BCEFA67"/>
    <w:rsid w:val="0BE1B79C"/>
    <w:rsid w:val="0C23FD88"/>
    <w:rsid w:val="0C25D6D6"/>
    <w:rsid w:val="0C2782BA"/>
    <w:rsid w:val="0C28ACB1"/>
    <w:rsid w:val="0C36EE8E"/>
    <w:rsid w:val="0C494DBB"/>
    <w:rsid w:val="0C56C5C6"/>
    <w:rsid w:val="0C913B62"/>
    <w:rsid w:val="0C9DA62F"/>
    <w:rsid w:val="0CAADED5"/>
    <w:rsid w:val="0CB8A30F"/>
    <w:rsid w:val="0CC1E44B"/>
    <w:rsid w:val="0CC63205"/>
    <w:rsid w:val="0CD1423F"/>
    <w:rsid w:val="0CD55DBA"/>
    <w:rsid w:val="0CD718C0"/>
    <w:rsid w:val="0CDB7861"/>
    <w:rsid w:val="0CE2B6A7"/>
    <w:rsid w:val="0CF54F6F"/>
    <w:rsid w:val="0CFDE5A5"/>
    <w:rsid w:val="0D02C552"/>
    <w:rsid w:val="0D0EB2C0"/>
    <w:rsid w:val="0D1D3781"/>
    <w:rsid w:val="0D1F5781"/>
    <w:rsid w:val="0D2C3E2F"/>
    <w:rsid w:val="0D489E21"/>
    <w:rsid w:val="0D49D9AC"/>
    <w:rsid w:val="0D515DF6"/>
    <w:rsid w:val="0D57E292"/>
    <w:rsid w:val="0D5E3C6F"/>
    <w:rsid w:val="0D6DD0FE"/>
    <w:rsid w:val="0D7D1ECC"/>
    <w:rsid w:val="0D87AC2F"/>
    <w:rsid w:val="0DC07B5A"/>
    <w:rsid w:val="0DCEDE3C"/>
    <w:rsid w:val="0DD3E72C"/>
    <w:rsid w:val="0DEB6D4E"/>
    <w:rsid w:val="0E25EB99"/>
    <w:rsid w:val="0E2B53D2"/>
    <w:rsid w:val="0E34AEC6"/>
    <w:rsid w:val="0E350F7E"/>
    <w:rsid w:val="0E3F3437"/>
    <w:rsid w:val="0E46B755"/>
    <w:rsid w:val="0E48E373"/>
    <w:rsid w:val="0E58CC6C"/>
    <w:rsid w:val="0E66D9C6"/>
    <w:rsid w:val="0E6BF04E"/>
    <w:rsid w:val="0E7180C5"/>
    <w:rsid w:val="0E9EEDD5"/>
    <w:rsid w:val="0EF8301A"/>
    <w:rsid w:val="0EF8E262"/>
    <w:rsid w:val="0F0F3B2A"/>
    <w:rsid w:val="0F12AF1F"/>
    <w:rsid w:val="0F20A4AB"/>
    <w:rsid w:val="0F2B3191"/>
    <w:rsid w:val="0F2E2FB3"/>
    <w:rsid w:val="0F3F81E1"/>
    <w:rsid w:val="0F65307C"/>
    <w:rsid w:val="0F657334"/>
    <w:rsid w:val="0F9F5E46"/>
    <w:rsid w:val="0FB4C8C4"/>
    <w:rsid w:val="0FB67432"/>
    <w:rsid w:val="100C329E"/>
    <w:rsid w:val="101D327F"/>
    <w:rsid w:val="102C38D7"/>
    <w:rsid w:val="10319D25"/>
    <w:rsid w:val="10491554"/>
    <w:rsid w:val="10497639"/>
    <w:rsid w:val="105B5404"/>
    <w:rsid w:val="1063E38D"/>
    <w:rsid w:val="10689A4F"/>
    <w:rsid w:val="10890E60"/>
    <w:rsid w:val="108DF021"/>
    <w:rsid w:val="1090D7B9"/>
    <w:rsid w:val="10A8BEAE"/>
    <w:rsid w:val="10A9F42C"/>
    <w:rsid w:val="10B8453D"/>
    <w:rsid w:val="10CBDDDA"/>
    <w:rsid w:val="10D8B440"/>
    <w:rsid w:val="10DAE19F"/>
    <w:rsid w:val="10EACA0E"/>
    <w:rsid w:val="110020A2"/>
    <w:rsid w:val="111A6BD1"/>
    <w:rsid w:val="111C35B1"/>
    <w:rsid w:val="111CB06D"/>
    <w:rsid w:val="11408E79"/>
    <w:rsid w:val="1147532E"/>
    <w:rsid w:val="114C946A"/>
    <w:rsid w:val="114DF77D"/>
    <w:rsid w:val="1152E3CF"/>
    <w:rsid w:val="1155EA06"/>
    <w:rsid w:val="1160E3A7"/>
    <w:rsid w:val="117C362C"/>
    <w:rsid w:val="1180D0CD"/>
    <w:rsid w:val="118A009B"/>
    <w:rsid w:val="119827BA"/>
    <w:rsid w:val="119BB3B5"/>
    <w:rsid w:val="11A1FE91"/>
    <w:rsid w:val="11A55E3A"/>
    <w:rsid w:val="11AF9C29"/>
    <w:rsid w:val="11E31BE0"/>
    <w:rsid w:val="11F68AAB"/>
    <w:rsid w:val="1208AAF5"/>
    <w:rsid w:val="122CCBC8"/>
    <w:rsid w:val="12494415"/>
    <w:rsid w:val="124B1EE1"/>
    <w:rsid w:val="125A205A"/>
    <w:rsid w:val="12668CB6"/>
    <w:rsid w:val="126DA07D"/>
    <w:rsid w:val="1278F34E"/>
    <w:rsid w:val="129A84A9"/>
    <w:rsid w:val="12A651BB"/>
    <w:rsid w:val="12A6AE69"/>
    <w:rsid w:val="12AE2332"/>
    <w:rsid w:val="12D38CD2"/>
    <w:rsid w:val="12F77B0E"/>
    <w:rsid w:val="1302165D"/>
    <w:rsid w:val="13096C89"/>
    <w:rsid w:val="131C5149"/>
    <w:rsid w:val="131D6ED9"/>
    <w:rsid w:val="13355D38"/>
    <w:rsid w:val="1354C32D"/>
    <w:rsid w:val="135DEA78"/>
    <w:rsid w:val="13602D43"/>
    <w:rsid w:val="13632793"/>
    <w:rsid w:val="136FF75D"/>
    <w:rsid w:val="138E797D"/>
    <w:rsid w:val="138F6509"/>
    <w:rsid w:val="139EFCFF"/>
    <w:rsid w:val="13A2B8A1"/>
    <w:rsid w:val="13AF2A3F"/>
    <w:rsid w:val="13B85C03"/>
    <w:rsid w:val="13CDD80D"/>
    <w:rsid w:val="13D7A857"/>
    <w:rsid w:val="13DF4390"/>
    <w:rsid w:val="13EB998D"/>
    <w:rsid w:val="13F0AC70"/>
    <w:rsid w:val="1411259D"/>
    <w:rsid w:val="1413189B"/>
    <w:rsid w:val="141B5DF5"/>
    <w:rsid w:val="141C836D"/>
    <w:rsid w:val="141D819E"/>
    <w:rsid w:val="1428A707"/>
    <w:rsid w:val="14377591"/>
    <w:rsid w:val="144082AC"/>
    <w:rsid w:val="1454C4E7"/>
    <w:rsid w:val="14631EEF"/>
    <w:rsid w:val="148AAA0F"/>
    <w:rsid w:val="14D13768"/>
    <w:rsid w:val="14D9D8A2"/>
    <w:rsid w:val="14E24FFF"/>
    <w:rsid w:val="15174DA5"/>
    <w:rsid w:val="151901E3"/>
    <w:rsid w:val="15203FF7"/>
    <w:rsid w:val="152D2524"/>
    <w:rsid w:val="15342738"/>
    <w:rsid w:val="1534EAAB"/>
    <w:rsid w:val="1535A357"/>
    <w:rsid w:val="1538A201"/>
    <w:rsid w:val="1544507F"/>
    <w:rsid w:val="15514476"/>
    <w:rsid w:val="156290AB"/>
    <w:rsid w:val="15811429"/>
    <w:rsid w:val="158BE39F"/>
    <w:rsid w:val="1593286A"/>
    <w:rsid w:val="1597ED73"/>
    <w:rsid w:val="159EFAC4"/>
    <w:rsid w:val="15B1B9C8"/>
    <w:rsid w:val="15BA0645"/>
    <w:rsid w:val="15D67169"/>
    <w:rsid w:val="15D99F92"/>
    <w:rsid w:val="15E7CF42"/>
    <w:rsid w:val="15EC1217"/>
    <w:rsid w:val="15F75DBF"/>
    <w:rsid w:val="162542D0"/>
    <w:rsid w:val="162866D0"/>
    <w:rsid w:val="163D127E"/>
    <w:rsid w:val="164C169D"/>
    <w:rsid w:val="16719C2E"/>
    <w:rsid w:val="167E5AEF"/>
    <w:rsid w:val="168420DD"/>
    <w:rsid w:val="16B5CB48"/>
    <w:rsid w:val="16C1068D"/>
    <w:rsid w:val="16DBF725"/>
    <w:rsid w:val="172C9123"/>
    <w:rsid w:val="1736C638"/>
    <w:rsid w:val="1756B778"/>
    <w:rsid w:val="177EF70D"/>
    <w:rsid w:val="1791595C"/>
    <w:rsid w:val="17A58A99"/>
    <w:rsid w:val="17A9BCE1"/>
    <w:rsid w:val="17B5DAE4"/>
    <w:rsid w:val="17CD732E"/>
    <w:rsid w:val="17D5A13D"/>
    <w:rsid w:val="17DED1B2"/>
    <w:rsid w:val="17E751D7"/>
    <w:rsid w:val="17F1F499"/>
    <w:rsid w:val="17F278E8"/>
    <w:rsid w:val="17F41383"/>
    <w:rsid w:val="17F616F2"/>
    <w:rsid w:val="1803993C"/>
    <w:rsid w:val="181D1D67"/>
    <w:rsid w:val="182DAE2B"/>
    <w:rsid w:val="184A40FA"/>
    <w:rsid w:val="184B1444"/>
    <w:rsid w:val="185665EA"/>
    <w:rsid w:val="186D5BC4"/>
    <w:rsid w:val="18788CD0"/>
    <w:rsid w:val="18809596"/>
    <w:rsid w:val="1883096F"/>
    <w:rsid w:val="1889E5E5"/>
    <w:rsid w:val="189B8FF1"/>
    <w:rsid w:val="18B7FD17"/>
    <w:rsid w:val="18B8B441"/>
    <w:rsid w:val="18CB519A"/>
    <w:rsid w:val="18D41BC9"/>
    <w:rsid w:val="18FFFEFD"/>
    <w:rsid w:val="1913CB2B"/>
    <w:rsid w:val="193FBB5E"/>
    <w:rsid w:val="195446D9"/>
    <w:rsid w:val="1955386F"/>
    <w:rsid w:val="196DBBD7"/>
    <w:rsid w:val="1970AD38"/>
    <w:rsid w:val="197FE120"/>
    <w:rsid w:val="19980CE4"/>
    <w:rsid w:val="19AE29A2"/>
    <w:rsid w:val="19B97234"/>
    <w:rsid w:val="19C7D476"/>
    <w:rsid w:val="19C990FC"/>
    <w:rsid w:val="19D82410"/>
    <w:rsid w:val="19E683B4"/>
    <w:rsid w:val="1A084F3F"/>
    <w:rsid w:val="1A17D91E"/>
    <w:rsid w:val="1A56988F"/>
    <w:rsid w:val="1A73A3E8"/>
    <w:rsid w:val="1A797B8D"/>
    <w:rsid w:val="1A7A9B2C"/>
    <w:rsid w:val="1A9F2AA6"/>
    <w:rsid w:val="1AC60D32"/>
    <w:rsid w:val="1ACA2D26"/>
    <w:rsid w:val="1ACE66DC"/>
    <w:rsid w:val="1AD6F1EC"/>
    <w:rsid w:val="1AE43DAB"/>
    <w:rsid w:val="1AE9B327"/>
    <w:rsid w:val="1AEC5367"/>
    <w:rsid w:val="1AF8E28E"/>
    <w:rsid w:val="1B0A2305"/>
    <w:rsid w:val="1B107328"/>
    <w:rsid w:val="1B1D518F"/>
    <w:rsid w:val="1B255D73"/>
    <w:rsid w:val="1B50BA7B"/>
    <w:rsid w:val="1B53594E"/>
    <w:rsid w:val="1B603FA4"/>
    <w:rsid w:val="1B84BE75"/>
    <w:rsid w:val="1B85C9A4"/>
    <w:rsid w:val="1BAF1804"/>
    <w:rsid w:val="1BB196C4"/>
    <w:rsid w:val="1BB6999C"/>
    <w:rsid w:val="1BBA0DAB"/>
    <w:rsid w:val="1BBA8007"/>
    <w:rsid w:val="1BD064A1"/>
    <w:rsid w:val="1BD7CE9D"/>
    <w:rsid w:val="1BD9F1F5"/>
    <w:rsid w:val="1C0FF751"/>
    <w:rsid w:val="1C3D4D9A"/>
    <w:rsid w:val="1C5E8982"/>
    <w:rsid w:val="1C6B5739"/>
    <w:rsid w:val="1C77EF2E"/>
    <w:rsid w:val="1C7E2943"/>
    <w:rsid w:val="1C9D23CC"/>
    <w:rsid w:val="1CBE8588"/>
    <w:rsid w:val="1CCDFC55"/>
    <w:rsid w:val="1CD58D34"/>
    <w:rsid w:val="1CDE5E79"/>
    <w:rsid w:val="1D424DD4"/>
    <w:rsid w:val="1D4DC79A"/>
    <w:rsid w:val="1D5A4A2D"/>
    <w:rsid w:val="1D5C1D41"/>
    <w:rsid w:val="1D5FED41"/>
    <w:rsid w:val="1D5FF3F7"/>
    <w:rsid w:val="1D655D2D"/>
    <w:rsid w:val="1D6E4907"/>
    <w:rsid w:val="1D704ED9"/>
    <w:rsid w:val="1D758B7A"/>
    <w:rsid w:val="1D8A2DF4"/>
    <w:rsid w:val="1D8C585C"/>
    <w:rsid w:val="1DA5096B"/>
    <w:rsid w:val="1DAA87E1"/>
    <w:rsid w:val="1DCA4582"/>
    <w:rsid w:val="1DCBF658"/>
    <w:rsid w:val="1DD54031"/>
    <w:rsid w:val="1DDBC641"/>
    <w:rsid w:val="1DDC3808"/>
    <w:rsid w:val="1DE3D2BA"/>
    <w:rsid w:val="1E17D34E"/>
    <w:rsid w:val="1E21F629"/>
    <w:rsid w:val="1E232C64"/>
    <w:rsid w:val="1E24ADBE"/>
    <w:rsid w:val="1E26945B"/>
    <w:rsid w:val="1E31D11A"/>
    <w:rsid w:val="1E697D9F"/>
    <w:rsid w:val="1E69AD9A"/>
    <w:rsid w:val="1E71D7DF"/>
    <w:rsid w:val="1E77BECD"/>
    <w:rsid w:val="1E77D84E"/>
    <w:rsid w:val="1E7CD510"/>
    <w:rsid w:val="1E8C79F2"/>
    <w:rsid w:val="1E91FEF7"/>
    <w:rsid w:val="1E927923"/>
    <w:rsid w:val="1EDAE276"/>
    <w:rsid w:val="1EDF646D"/>
    <w:rsid w:val="1EE07D7B"/>
    <w:rsid w:val="1EF239B1"/>
    <w:rsid w:val="1EFE3516"/>
    <w:rsid w:val="1F102214"/>
    <w:rsid w:val="1F105CC1"/>
    <w:rsid w:val="1F18C2D1"/>
    <w:rsid w:val="1F27CBFC"/>
    <w:rsid w:val="1F29D241"/>
    <w:rsid w:val="1F310694"/>
    <w:rsid w:val="1F3B555D"/>
    <w:rsid w:val="1F4B2B8F"/>
    <w:rsid w:val="1F62C950"/>
    <w:rsid w:val="1F68F4B6"/>
    <w:rsid w:val="1F87BC49"/>
    <w:rsid w:val="1F8A1478"/>
    <w:rsid w:val="1F8A8C36"/>
    <w:rsid w:val="1F98D9EF"/>
    <w:rsid w:val="1FB6444A"/>
    <w:rsid w:val="1FCC6C29"/>
    <w:rsid w:val="1FCEDD7A"/>
    <w:rsid w:val="1FEDA327"/>
    <w:rsid w:val="200F4681"/>
    <w:rsid w:val="2014BE0A"/>
    <w:rsid w:val="20202886"/>
    <w:rsid w:val="202177B8"/>
    <w:rsid w:val="202E004D"/>
    <w:rsid w:val="205C0230"/>
    <w:rsid w:val="206598CC"/>
    <w:rsid w:val="208C1FE3"/>
    <w:rsid w:val="2099F358"/>
    <w:rsid w:val="20A53D15"/>
    <w:rsid w:val="20B3A9D5"/>
    <w:rsid w:val="20C11926"/>
    <w:rsid w:val="20C45540"/>
    <w:rsid w:val="20CDCD2D"/>
    <w:rsid w:val="210BF95A"/>
    <w:rsid w:val="210C38E7"/>
    <w:rsid w:val="212AB11B"/>
    <w:rsid w:val="2130B54B"/>
    <w:rsid w:val="2138FC00"/>
    <w:rsid w:val="215E47A4"/>
    <w:rsid w:val="217E2B10"/>
    <w:rsid w:val="217EA7CF"/>
    <w:rsid w:val="21944641"/>
    <w:rsid w:val="219F9327"/>
    <w:rsid w:val="21A3F9D1"/>
    <w:rsid w:val="21AB8493"/>
    <w:rsid w:val="21C06750"/>
    <w:rsid w:val="21E8EFA4"/>
    <w:rsid w:val="21E9438F"/>
    <w:rsid w:val="21FD8FA9"/>
    <w:rsid w:val="2203A7C9"/>
    <w:rsid w:val="22098D40"/>
    <w:rsid w:val="2215684F"/>
    <w:rsid w:val="22218141"/>
    <w:rsid w:val="222FFE9A"/>
    <w:rsid w:val="22468954"/>
    <w:rsid w:val="225147EE"/>
    <w:rsid w:val="2260D069"/>
    <w:rsid w:val="22636A13"/>
    <w:rsid w:val="229A0013"/>
    <w:rsid w:val="22A49610"/>
    <w:rsid w:val="22A69D1D"/>
    <w:rsid w:val="22A7F976"/>
    <w:rsid w:val="22E3DF96"/>
    <w:rsid w:val="22FA21EF"/>
    <w:rsid w:val="22FF6682"/>
    <w:rsid w:val="23111490"/>
    <w:rsid w:val="2315B6D7"/>
    <w:rsid w:val="23180431"/>
    <w:rsid w:val="23417A2A"/>
    <w:rsid w:val="23422DBD"/>
    <w:rsid w:val="234B1400"/>
    <w:rsid w:val="235C78B4"/>
    <w:rsid w:val="236AAC77"/>
    <w:rsid w:val="2378C665"/>
    <w:rsid w:val="237ADDBF"/>
    <w:rsid w:val="23939CEF"/>
    <w:rsid w:val="23B31663"/>
    <w:rsid w:val="23B9FF51"/>
    <w:rsid w:val="23BE62B5"/>
    <w:rsid w:val="23D5E55D"/>
    <w:rsid w:val="23E00C06"/>
    <w:rsid w:val="23EC339A"/>
    <w:rsid w:val="23F7977C"/>
    <w:rsid w:val="2403EBA3"/>
    <w:rsid w:val="2405A5D5"/>
    <w:rsid w:val="241F39D2"/>
    <w:rsid w:val="242E3EB1"/>
    <w:rsid w:val="2442A59E"/>
    <w:rsid w:val="24442836"/>
    <w:rsid w:val="244C782E"/>
    <w:rsid w:val="24602357"/>
    <w:rsid w:val="247BF4AE"/>
    <w:rsid w:val="248A4F02"/>
    <w:rsid w:val="248FBA63"/>
    <w:rsid w:val="24987A03"/>
    <w:rsid w:val="249B8AA1"/>
    <w:rsid w:val="24A93019"/>
    <w:rsid w:val="24BE9CC4"/>
    <w:rsid w:val="24C013F8"/>
    <w:rsid w:val="24D2C8BB"/>
    <w:rsid w:val="24D7CDEF"/>
    <w:rsid w:val="24DEC231"/>
    <w:rsid w:val="24E05EFF"/>
    <w:rsid w:val="252DB4B6"/>
    <w:rsid w:val="253A3901"/>
    <w:rsid w:val="2546C737"/>
    <w:rsid w:val="254D2F2F"/>
    <w:rsid w:val="2551208E"/>
    <w:rsid w:val="2561CA8C"/>
    <w:rsid w:val="25685FAC"/>
    <w:rsid w:val="256EE7F0"/>
    <w:rsid w:val="258B18C9"/>
    <w:rsid w:val="25902482"/>
    <w:rsid w:val="2590B1E3"/>
    <w:rsid w:val="25D7CDFB"/>
    <w:rsid w:val="25E70FBF"/>
    <w:rsid w:val="260A660D"/>
    <w:rsid w:val="264810A2"/>
    <w:rsid w:val="266153FA"/>
    <w:rsid w:val="266449CD"/>
    <w:rsid w:val="266BFAB8"/>
    <w:rsid w:val="2672155C"/>
    <w:rsid w:val="26851B96"/>
    <w:rsid w:val="269683DA"/>
    <w:rsid w:val="2699F596"/>
    <w:rsid w:val="2699F9CC"/>
    <w:rsid w:val="26A4E145"/>
    <w:rsid w:val="26C3F70F"/>
    <w:rsid w:val="26D3D281"/>
    <w:rsid w:val="26F40D51"/>
    <w:rsid w:val="27194D3A"/>
    <w:rsid w:val="2745FE9E"/>
    <w:rsid w:val="2748C2AD"/>
    <w:rsid w:val="2760860D"/>
    <w:rsid w:val="278B67A9"/>
    <w:rsid w:val="279E3FC2"/>
    <w:rsid w:val="27ACF627"/>
    <w:rsid w:val="27B34D00"/>
    <w:rsid w:val="27B53DE4"/>
    <w:rsid w:val="27BD77CB"/>
    <w:rsid w:val="27C75899"/>
    <w:rsid w:val="27D63584"/>
    <w:rsid w:val="27DBE825"/>
    <w:rsid w:val="27F188EA"/>
    <w:rsid w:val="2800FCB3"/>
    <w:rsid w:val="282704F1"/>
    <w:rsid w:val="282D5A61"/>
    <w:rsid w:val="2845498E"/>
    <w:rsid w:val="2869FFD0"/>
    <w:rsid w:val="286AEABA"/>
    <w:rsid w:val="286E34E5"/>
    <w:rsid w:val="28799826"/>
    <w:rsid w:val="28AD95B8"/>
    <w:rsid w:val="28B92BB1"/>
    <w:rsid w:val="28BBDF60"/>
    <w:rsid w:val="28D007E9"/>
    <w:rsid w:val="28D24844"/>
    <w:rsid w:val="28D6C805"/>
    <w:rsid w:val="28E183E4"/>
    <w:rsid w:val="28E251BD"/>
    <w:rsid w:val="28EA0C5B"/>
    <w:rsid w:val="28F864E1"/>
    <w:rsid w:val="2903D31F"/>
    <w:rsid w:val="290D112B"/>
    <w:rsid w:val="290EAD18"/>
    <w:rsid w:val="291688DE"/>
    <w:rsid w:val="2929610D"/>
    <w:rsid w:val="292EC457"/>
    <w:rsid w:val="29358A6B"/>
    <w:rsid w:val="293A3193"/>
    <w:rsid w:val="293F4ABB"/>
    <w:rsid w:val="29421D44"/>
    <w:rsid w:val="298BC09A"/>
    <w:rsid w:val="2993DC14"/>
    <w:rsid w:val="29B57E96"/>
    <w:rsid w:val="29C2F5A4"/>
    <w:rsid w:val="29C501F8"/>
    <w:rsid w:val="29CF0C0E"/>
    <w:rsid w:val="29D0FBBE"/>
    <w:rsid w:val="29D1AFC1"/>
    <w:rsid w:val="29D34668"/>
    <w:rsid w:val="29D639A5"/>
    <w:rsid w:val="29E6EB30"/>
    <w:rsid w:val="29ECB107"/>
    <w:rsid w:val="29FCAF9C"/>
    <w:rsid w:val="2A0074C0"/>
    <w:rsid w:val="2A35DE80"/>
    <w:rsid w:val="2A4BF8F5"/>
    <w:rsid w:val="2A4D4977"/>
    <w:rsid w:val="2A575192"/>
    <w:rsid w:val="2A609388"/>
    <w:rsid w:val="2A673762"/>
    <w:rsid w:val="2A7C1A0F"/>
    <w:rsid w:val="2A8118C8"/>
    <w:rsid w:val="2A83937A"/>
    <w:rsid w:val="2AA6BD2E"/>
    <w:rsid w:val="2AB4AC5F"/>
    <w:rsid w:val="2AB8A091"/>
    <w:rsid w:val="2ABFC594"/>
    <w:rsid w:val="2AC64CBB"/>
    <w:rsid w:val="2ACE6BE9"/>
    <w:rsid w:val="2AD7DFA8"/>
    <w:rsid w:val="2AD90DAF"/>
    <w:rsid w:val="2ADF86C3"/>
    <w:rsid w:val="2B15761C"/>
    <w:rsid w:val="2B34E9DF"/>
    <w:rsid w:val="2B4119A7"/>
    <w:rsid w:val="2B4B2B02"/>
    <w:rsid w:val="2B4E4CD7"/>
    <w:rsid w:val="2B583462"/>
    <w:rsid w:val="2B6FFE5D"/>
    <w:rsid w:val="2B83FCD4"/>
    <w:rsid w:val="2B8A76FE"/>
    <w:rsid w:val="2B8AD9E9"/>
    <w:rsid w:val="2B8F3B63"/>
    <w:rsid w:val="2B9C5823"/>
    <w:rsid w:val="2BB54FE9"/>
    <w:rsid w:val="2BBD1C7B"/>
    <w:rsid w:val="2BCCED70"/>
    <w:rsid w:val="2BF7903E"/>
    <w:rsid w:val="2C10AC39"/>
    <w:rsid w:val="2C448778"/>
    <w:rsid w:val="2C4A4A00"/>
    <w:rsid w:val="2C4CFCF6"/>
    <w:rsid w:val="2C678D47"/>
    <w:rsid w:val="2C6D3ACC"/>
    <w:rsid w:val="2C8E9E69"/>
    <w:rsid w:val="2C91BD17"/>
    <w:rsid w:val="2CB10D65"/>
    <w:rsid w:val="2CBC3BEF"/>
    <w:rsid w:val="2CCAFB3D"/>
    <w:rsid w:val="2CD1FD3F"/>
    <w:rsid w:val="2CDFC8A6"/>
    <w:rsid w:val="2CE0259B"/>
    <w:rsid w:val="2CFBA2E7"/>
    <w:rsid w:val="2CFD9B1C"/>
    <w:rsid w:val="2D083A19"/>
    <w:rsid w:val="2D0A01B7"/>
    <w:rsid w:val="2D21DA90"/>
    <w:rsid w:val="2D2D2681"/>
    <w:rsid w:val="2D369E8F"/>
    <w:rsid w:val="2D761A28"/>
    <w:rsid w:val="2D76AFBB"/>
    <w:rsid w:val="2DB19FE0"/>
    <w:rsid w:val="2DBC0254"/>
    <w:rsid w:val="2DBD7A41"/>
    <w:rsid w:val="2DC5FFD7"/>
    <w:rsid w:val="2DE1A27F"/>
    <w:rsid w:val="2DED9CF3"/>
    <w:rsid w:val="2E1C3835"/>
    <w:rsid w:val="2E28EFFC"/>
    <w:rsid w:val="2E456058"/>
    <w:rsid w:val="2E48479E"/>
    <w:rsid w:val="2E4F2623"/>
    <w:rsid w:val="2E6BB77C"/>
    <w:rsid w:val="2E716559"/>
    <w:rsid w:val="2E822098"/>
    <w:rsid w:val="2E96D1EA"/>
    <w:rsid w:val="2E9C817B"/>
    <w:rsid w:val="2EAA8849"/>
    <w:rsid w:val="2EBD6232"/>
    <w:rsid w:val="2EBEFA61"/>
    <w:rsid w:val="2EC67502"/>
    <w:rsid w:val="2EC842BC"/>
    <w:rsid w:val="2ECA7A0C"/>
    <w:rsid w:val="2ED85FB1"/>
    <w:rsid w:val="2EEDC2CB"/>
    <w:rsid w:val="2EEF25E3"/>
    <w:rsid w:val="2EF81127"/>
    <w:rsid w:val="2EFB111B"/>
    <w:rsid w:val="2F03974C"/>
    <w:rsid w:val="2F0FB18F"/>
    <w:rsid w:val="2F105C43"/>
    <w:rsid w:val="2F121245"/>
    <w:rsid w:val="2F2082F6"/>
    <w:rsid w:val="2F30624D"/>
    <w:rsid w:val="2F35C29A"/>
    <w:rsid w:val="2F3DA861"/>
    <w:rsid w:val="2F3DD8D0"/>
    <w:rsid w:val="2F4992D9"/>
    <w:rsid w:val="2F592888"/>
    <w:rsid w:val="2F628574"/>
    <w:rsid w:val="2F6D88E4"/>
    <w:rsid w:val="2F7EC9FB"/>
    <w:rsid w:val="2F9182DA"/>
    <w:rsid w:val="2F93402E"/>
    <w:rsid w:val="2FE88069"/>
    <w:rsid w:val="30057752"/>
    <w:rsid w:val="3007AA4C"/>
    <w:rsid w:val="30210510"/>
    <w:rsid w:val="302ABBE5"/>
    <w:rsid w:val="302D3D8A"/>
    <w:rsid w:val="3038F2D7"/>
    <w:rsid w:val="3075E341"/>
    <w:rsid w:val="30760331"/>
    <w:rsid w:val="309433C1"/>
    <w:rsid w:val="30A358E8"/>
    <w:rsid w:val="30A572C5"/>
    <w:rsid w:val="30AC3936"/>
    <w:rsid w:val="30E6550F"/>
    <w:rsid w:val="310231D0"/>
    <w:rsid w:val="311360F1"/>
    <w:rsid w:val="31155D5A"/>
    <w:rsid w:val="31183131"/>
    <w:rsid w:val="31192272"/>
    <w:rsid w:val="311E7DB4"/>
    <w:rsid w:val="31225E21"/>
    <w:rsid w:val="31321C8F"/>
    <w:rsid w:val="313773DC"/>
    <w:rsid w:val="31405183"/>
    <w:rsid w:val="314704E3"/>
    <w:rsid w:val="31489F9E"/>
    <w:rsid w:val="3155F4C6"/>
    <w:rsid w:val="31561A66"/>
    <w:rsid w:val="315D7389"/>
    <w:rsid w:val="31843B72"/>
    <w:rsid w:val="319D7F2E"/>
    <w:rsid w:val="31A3DF24"/>
    <w:rsid w:val="31B05D45"/>
    <w:rsid w:val="31B649B3"/>
    <w:rsid w:val="31CF6752"/>
    <w:rsid w:val="31E0D974"/>
    <w:rsid w:val="320D95CE"/>
    <w:rsid w:val="32117FB9"/>
    <w:rsid w:val="32220160"/>
    <w:rsid w:val="32234531"/>
    <w:rsid w:val="3229A059"/>
    <w:rsid w:val="3242241C"/>
    <w:rsid w:val="3246A5B4"/>
    <w:rsid w:val="32536582"/>
    <w:rsid w:val="3260DE01"/>
    <w:rsid w:val="326BDD48"/>
    <w:rsid w:val="329550A2"/>
    <w:rsid w:val="329A10A1"/>
    <w:rsid w:val="32A3EC35"/>
    <w:rsid w:val="32A8A652"/>
    <w:rsid w:val="32C37F95"/>
    <w:rsid w:val="32C57BE3"/>
    <w:rsid w:val="32CB0E03"/>
    <w:rsid w:val="32CCD1DB"/>
    <w:rsid w:val="32E41725"/>
    <w:rsid w:val="32F8012E"/>
    <w:rsid w:val="330D0BC9"/>
    <w:rsid w:val="3315F48E"/>
    <w:rsid w:val="33471B88"/>
    <w:rsid w:val="335308ED"/>
    <w:rsid w:val="335E6A2C"/>
    <w:rsid w:val="3368F0DD"/>
    <w:rsid w:val="336A1F8B"/>
    <w:rsid w:val="3380ADD4"/>
    <w:rsid w:val="3381FA52"/>
    <w:rsid w:val="338F19A6"/>
    <w:rsid w:val="339FA223"/>
    <w:rsid w:val="33A9F6DB"/>
    <w:rsid w:val="33ACB95B"/>
    <w:rsid w:val="33C19C75"/>
    <w:rsid w:val="33CF580C"/>
    <w:rsid w:val="33D43C0C"/>
    <w:rsid w:val="33D90DE1"/>
    <w:rsid w:val="340B5985"/>
    <w:rsid w:val="341861FE"/>
    <w:rsid w:val="343BF27D"/>
    <w:rsid w:val="345AA95E"/>
    <w:rsid w:val="346E6400"/>
    <w:rsid w:val="346EEB99"/>
    <w:rsid w:val="349D7DAB"/>
    <w:rsid w:val="34A8CCF2"/>
    <w:rsid w:val="34ADDB0C"/>
    <w:rsid w:val="34B7FC81"/>
    <w:rsid w:val="34BA67DF"/>
    <w:rsid w:val="34BC50CC"/>
    <w:rsid w:val="34CA60AB"/>
    <w:rsid w:val="350B399A"/>
    <w:rsid w:val="3515DFE8"/>
    <w:rsid w:val="35266B42"/>
    <w:rsid w:val="353573F0"/>
    <w:rsid w:val="35386031"/>
    <w:rsid w:val="353A0791"/>
    <w:rsid w:val="35709881"/>
    <w:rsid w:val="357E906C"/>
    <w:rsid w:val="35B9AC46"/>
    <w:rsid w:val="35BCD946"/>
    <w:rsid w:val="35DBFAC7"/>
    <w:rsid w:val="35DC9874"/>
    <w:rsid w:val="35E0381E"/>
    <w:rsid w:val="35F502B7"/>
    <w:rsid w:val="36014B65"/>
    <w:rsid w:val="36014D63"/>
    <w:rsid w:val="360178E4"/>
    <w:rsid w:val="36263DD1"/>
    <w:rsid w:val="362F186A"/>
    <w:rsid w:val="363353B7"/>
    <w:rsid w:val="3636CE8D"/>
    <w:rsid w:val="36539E2A"/>
    <w:rsid w:val="36582469"/>
    <w:rsid w:val="3666C099"/>
    <w:rsid w:val="36691DCA"/>
    <w:rsid w:val="3670A83F"/>
    <w:rsid w:val="3672C810"/>
    <w:rsid w:val="36979A22"/>
    <w:rsid w:val="36994A75"/>
    <w:rsid w:val="36AF2333"/>
    <w:rsid w:val="36BE30DC"/>
    <w:rsid w:val="36BF6DEF"/>
    <w:rsid w:val="36D2610D"/>
    <w:rsid w:val="36D3E7E4"/>
    <w:rsid w:val="36E25F3C"/>
    <w:rsid w:val="3707D138"/>
    <w:rsid w:val="3714903F"/>
    <w:rsid w:val="37157549"/>
    <w:rsid w:val="371D63C6"/>
    <w:rsid w:val="375B20C5"/>
    <w:rsid w:val="375CEC76"/>
    <w:rsid w:val="37614044"/>
    <w:rsid w:val="376B4103"/>
    <w:rsid w:val="376D189D"/>
    <w:rsid w:val="376E2D6A"/>
    <w:rsid w:val="37878678"/>
    <w:rsid w:val="378FD491"/>
    <w:rsid w:val="379E4E4D"/>
    <w:rsid w:val="37B50982"/>
    <w:rsid w:val="37CA92DD"/>
    <w:rsid w:val="37F25D81"/>
    <w:rsid w:val="3822EDEC"/>
    <w:rsid w:val="382B3962"/>
    <w:rsid w:val="384E3376"/>
    <w:rsid w:val="38570D51"/>
    <w:rsid w:val="386CD56D"/>
    <w:rsid w:val="386EE82E"/>
    <w:rsid w:val="387CCDA4"/>
    <w:rsid w:val="389C802E"/>
    <w:rsid w:val="38D76709"/>
    <w:rsid w:val="38D94890"/>
    <w:rsid w:val="38E1FF0D"/>
    <w:rsid w:val="3901DEFB"/>
    <w:rsid w:val="3909608D"/>
    <w:rsid w:val="39293DD1"/>
    <w:rsid w:val="393701CB"/>
    <w:rsid w:val="3943DE0E"/>
    <w:rsid w:val="39596F7C"/>
    <w:rsid w:val="396BDB12"/>
    <w:rsid w:val="39724F21"/>
    <w:rsid w:val="3974FA1D"/>
    <w:rsid w:val="39819DE3"/>
    <w:rsid w:val="39902917"/>
    <w:rsid w:val="39DC4BA8"/>
    <w:rsid w:val="39F1274F"/>
    <w:rsid w:val="3A07872D"/>
    <w:rsid w:val="3A0BF98A"/>
    <w:rsid w:val="3A121810"/>
    <w:rsid w:val="3A124577"/>
    <w:rsid w:val="3A29EDCC"/>
    <w:rsid w:val="3A2E7C2A"/>
    <w:rsid w:val="3A2F688C"/>
    <w:rsid w:val="3A385F60"/>
    <w:rsid w:val="3A43714E"/>
    <w:rsid w:val="3A4A8F4F"/>
    <w:rsid w:val="3A4B6B3D"/>
    <w:rsid w:val="3A4D9B3B"/>
    <w:rsid w:val="3A5C7EB2"/>
    <w:rsid w:val="3A629675"/>
    <w:rsid w:val="3A652D59"/>
    <w:rsid w:val="3A723D47"/>
    <w:rsid w:val="3A8F96C2"/>
    <w:rsid w:val="3A92D0D7"/>
    <w:rsid w:val="3A9D40D3"/>
    <w:rsid w:val="3AA1177E"/>
    <w:rsid w:val="3AA2175A"/>
    <w:rsid w:val="3AC4EFF2"/>
    <w:rsid w:val="3AE0C2C6"/>
    <w:rsid w:val="3AE6602F"/>
    <w:rsid w:val="3AFF9C94"/>
    <w:rsid w:val="3B040494"/>
    <w:rsid w:val="3B048DC6"/>
    <w:rsid w:val="3B08E500"/>
    <w:rsid w:val="3B0AEF43"/>
    <w:rsid w:val="3B20108B"/>
    <w:rsid w:val="3B78FF27"/>
    <w:rsid w:val="3B7AA5DB"/>
    <w:rsid w:val="3B8D7F7D"/>
    <w:rsid w:val="3B975B90"/>
    <w:rsid w:val="3B9E1D8F"/>
    <w:rsid w:val="3B9E8314"/>
    <w:rsid w:val="3BA46A79"/>
    <w:rsid w:val="3BA5704A"/>
    <w:rsid w:val="3BABB292"/>
    <w:rsid w:val="3BC1DAF4"/>
    <w:rsid w:val="3BC7D927"/>
    <w:rsid w:val="3BCB5C5A"/>
    <w:rsid w:val="3BD6A2E2"/>
    <w:rsid w:val="3BE94FAF"/>
    <w:rsid w:val="3BE9C405"/>
    <w:rsid w:val="3BF29EB2"/>
    <w:rsid w:val="3BF82A55"/>
    <w:rsid w:val="3C6863A1"/>
    <w:rsid w:val="3C8B8CFB"/>
    <w:rsid w:val="3C93D3F7"/>
    <w:rsid w:val="3C9413B7"/>
    <w:rsid w:val="3CA829E7"/>
    <w:rsid w:val="3CB98B62"/>
    <w:rsid w:val="3CB9C65C"/>
    <w:rsid w:val="3CBE9AF6"/>
    <w:rsid w:val="3CE0612A"/>
    <w:rsid w:val="3CE70F01"/>
    <w:rsid w:val="3CE95AE7"/>
    <w:rsid w:val="3CF26EEC"/>
    <w:rsid w:val="3D261DDF"/>
    <w:rsid w:val="3D290137"/>
    <w:rsid w:val="3D37FDBC"/>
    <w:rsid w:val="3D699C91"/>
    <w:rsid w:val="3D706377"/>
    <w:rsid w:val="3D72B687"/>
    <w:rsid w:val="3D7C598D"/>
    <w:rsid w:val="3D85EEAD"/>
    <w:rsid w:val="3D8911A3"/>
    <w:rsid w:val="3D8C5E07"/>
    <w:rsid w:val="3D94DD1C"/>
    <w:rsid w:val="3D968401"/>
    <w:rsid w:val="3DA4A47F"/>
    <w:rsid w:val="3DAF4668"/>
    <w:rsid w:val="3DC55E4B"/>
    <w:rsid w:val="3DE231A3"/>
    <w:rsid w:val="3E068A17"/>
    <w:rsid w:val="3E09004A"/>
    <w:rsid w:val="3E41BED2"/>
    <w:rsid w:val="3E748E78"/>
    <w:rsid w:val="3E757002"/>
    <w:rsid w:val="3E8F2A73"/>
    <w:rsid w:val="3E8FC468"/>
    <w:rsid w:val="3EBD111D"/>
    <w:rsid w:val="3EC5489C"/>
    <w:rsid w:val="3EE1BF62"/>
    <w:rsid w:val="3EE1C5F9"/>
    <w:rsid w:val="3EE40769"/>
    <w:rsid w:val="3EE82E38"/>
    <w:rsid w:val="3F13BEE8"/>
    <w:rsid w:val="3F30C3F6"/>
    <w:rsid w:val="3F43C7A4"/>
    <w:rsid w:val="3F4D216D"/>
    <w:rsid w:val="3F6AFF76"/>
    <w:rsid w:val="3F734B3C"/>
    <w:rsid w:val="3F8AEFF6"/>
    <w:rsid w:val="3F8F94CF"/>
    <w:rsid w:val="3FA33527"/>
    <w:rsid w:val="3FE9DCB2"/>
    <w:rsid w:val="3FF02E7A"/>
    <w:rsid w:val="4004C27A"/>
    <w:rsid w:val="400D0291"/>
    <w:rsid w:val="401E1EF7"/>
    <w:rsid w:val="4052AD4A"/>
    <w:rsid w:val="40569E31"/>
    <w:rsid w:val="4058EC28"/>
    <w:rsid w:val="405CAB41"/>
    <w:rsid w:val="40631A4A"/>
    <w:rsid w:val="407C102C"/>
    <w:rsid w:val="408B43EC"/>
    <w:rsid w:val="40B4A653"/>
    <w:rsid w:val="40E43F64"/>
    <w:rsid w:val="40EED7F2"/>
    <w:rsid w:val="40EFFCB7"/>
    <w:rsid w:val="4116A2BD"/>
    <w:rsid w:val="413CA4E8"/>
    <w:rsid w:val="4149270F"/>
    <w:rsid w:val="41509437"/>
    <w:rsid w:val="41682B81"/>
    <w:rsid w:val="416C1B72"/>
    <w:rsid w:val="4186AD05"/>
    <w:rsid w:val="41A57A39"/>
    <w:rsid w:val="41B23B9D"/>
    <w:rsid w:val="41B2DDBB"/>
    <w:rsid w:val="41C15F5C"/>
    <w:rsid w:val="41C2FFCD"/>
    <w:rsid w:val="41C721AA"/>
    <w:rsid w:val="41D4C174"/>
    <w:rsid w:val="41D81397"/>
    <w:rsid w:val="41EA87AC"/>
    <w:rsid w:val="41FDEBB0"/>
    <w:rsid w:val="4223A0AD"/>
    <w:rsid w:val="424C2078"/>
    <w:rsid w:val="425C4FC2"/>
    <w:rsid w:val="42630029"/>
    <w:rsid w:val="4265652E"/>
    <w:rsid w:val="4267518C"/>
    <w:rsid w:val="427A7AF2"/>
    <w:rsid w:val="427F2DC0"/>
    <w:rsid w:val="428B7550"/>
    <w:rsid w:val="42969DBC"/>
    <w:rsid w:val="42981ECA"/>
    <w:rsid w:val="42A0A1CB"/>
    <w:rsid w:val="42A2CA4C"/>
    <w:rsid w:val="42C1F737"/>
    <w:rsid w:val="42CB8716"/>
    <w:rsid w:val="42DB838E"/>
    <w:rsid w:val="42E16E10"/>
    <w:rsid w:val="42E3A229"/>
    <w:rsid w:val="42EF96B7"/>
    <w:rsid w:val="42F41154"/>
    <w:rsid w:val="43009D81"/>
    <w:rsid w:val="430B1937"/>
    <w:rsid w:val="4332A7AB"/>
    <w:rsid w:val="4337D352"/>
    <w:rsid w:val="434C0B9F"/>
    <w:rsid w:val="434F4BF1"/>
    <w:rsid w:val="43505FD4"/>
    <w:rsid w:val="4368D572"/>
    <w:rsid w:val="437A351F"/>
    <w:rsid w:val="439BE831"/>
    <w:rsid w:val="439E655D"/>
    <w:rsid w:val="43AC056E"/>
    <w:rsid w:val="43AC7561"/>
    <w:rsid w:val="43D4560E"/>
    <w:rsid w:val="43FC00AA"/>
    <w:rsid w:val="43FD34FD"/>
    <w:rsid w:val="4402FE59"/>
    <w:rsid w:val="4407EB05"/>
    <w:rsid w:val="4413D377"/>
    <w:rsid w:val="441FFA7B"/>
    <w:rsid w:val="4427C801"/>
    <w:rsid w:val="4439864A"/>
    <w:rsid w:val="44549DA5"/>
    <w:rsid w:val="4454F877"/>
    <w:rsid w:val="44608579"/>
    <w:rsid w:val="44618EA7"/>
    <w:rsid w:val="4466D690"/>
    <w:rsid w:val="44778E7A"/>
    <w:rsid w:val="448C7D92"/>
    <w:rsid w:val="44AEA273"/>
    <w:rsid w:val="44B0DE47"/>
    <w:rsid w:val="44B96B2B"/>
    <w:rsid w:val="44C296A8"/>
    <w:rsid w:val="44CF5ED5"/>
    <w:rsid w:val="44D839EF"/>
    <w:rsid w:val="44D8FDFD"/>
    <w:rsid w:val="44DC076A"/>
    <w:rsid w:val="44E91891"/>
    <w:rsid w:val="45027FBE"/>
    <w:rsid w:val="45156A87"/>
    <w:rsid w:val="451EED74"/>
    <w:rsid w:val="453FE4AD"/>
    <w:rsid w:val="455815A6"/>
    <w:rsid w:val="456519CD"/>
    <w:rsid w:val="4578D5A5"/>
    <w:rsid w:val="457D4ACA"/>
    <w:rsid w:val="45800B56"/>
    <w:rsid w:val="459DDCC9"/>
    <w:rsid w:val="45B5C1BD"/>
    <w:rsid w:val="45B6AD67"/>
    <w:rsid w:val="45D1D79B"/>
    <w:rsid w:val="45FA946C"/>
    <w:rsid w:val="45FE3369"/>
    <w:rsid w:val="45FE414A"/>
    <w:rsid w:val="460DB10B"/>
    <w:rsid w:val="46204D49"/>
    <w:rsid w:val="46319788"/>
    <w:rsid w:val="4631B5B9"/>
    <w:rsid w:val="46364B93"/>
    <w:rsid w:val="463706B5"/>
    <w:rsid w:val="463F5DC2"/>
    <w:rsid w:val="46408807"/>
    <w:rsid w:val="4642499C"/>
    <w:rsid w:val="46457086"/>
    <w:rsid w:val="464A8B3F"/>
    <w:rsid w:val="46642A76"/>
    <w:rsid w:val="46737B3C"/>
    <w:rsid w:val="468540F7"/>
    <w:rsid w:val="469F023D"/>
    <w:rsid w:val="46AEF103"/>
    <w:rsid w:val="46B0E380"/>
    <w:rsid w:val="46CF9474"/>
    <w:rsid w:val="46D9B419"/>
    <w:rsid w:val="46F34711"/>
    <w:rsid w:val="46FA8BBA"/>
    <w:rsid w:val="46FFC228"/>
    <w:rsid w:val="4702B477"/>
    <w:rsid w:val="47063049"/>
    <w:rsid w:val="471D5926"/>
    <w:rsid w:val="47221887"/>
    <w:rsid w:val="4723449C"/>
    <w:rsid w:val="473C7FB6"/>
    <w:rsid w:val="47431027"/>
    <w:rsid w:val="475E70C9"/>
    <w:rsid w:val="4765A2D6"/>
    <w:rsid w:val="47758D4B"/>
    <w:rsid w:val="479A8774"/>
    <w:rsid w:val="479DF334"/>
    <w:rsid w:val="47C8D7F3"/>
    <w:rsid w:val="47D6B493"/>
    <w:rsid w:val="47DC52AC"/>
    <w:rsid w:val="47ED572D"/>
    <w:rsid w:val="4830498C"/>
    <w:rsid w:val="483A9641"/>
    <w:rsid w:val="4848BC54"/>
    <w:rsid w:val="484C71C5"/>
    <w:rsid w:val="48507B32"/>
    <w:rsid w:val="485B4EBE"/>
    <w:rsid w:val="48745F92"/>
    <w:rsid w:val="487F7FD6"/>
    <w:rsid w:val="4887E8AA"/>
    <w:rsid w:val="48961689"/>
    <w:rsid w:val="48A91596"/>
    <w:rsid w:val="48AB8207"/>
    <w:rsid w:val="48ACE013"/>
    <w:rsid w:val="48AD4B6F"/>
    <w:rsid w:val="48ADB6DF"/>
    <w:rsid w:val="48B0C6DB"/>
    <w:rsid w:val="48EF4CA9"/>
    <w:rsid w:val="48F53C33"/>
    <w:rsid w:val="48FF9A66"/>
    <w:rsid w:val="4908E355"/>
    <w:rsid w:val="491D4588"/>
    <w:rsid w:val="4931E18A"/>
    <w:rsid w:val="4933A092"/>
    <w:rsid w:val="4939A4E6"/>
    <w:rsid w:val="49543622"/>
    <w:rsid w:val="4955CCA7"/>
    <w:rsid w:val="4959588A"/>
    <w:rsid w:val="4965A94E"/>
    <w:rsid w:val="4968863D"/>
    <w:rsid w:val="4971DC4C"/>
    <w:rsid w:val="4976F365"/>
    <w:rsid w:val="497AD439"/>
    <w:rsid w:val="498468F7"/>
    <w:rsid w:val="4989B3CE"/>
    <w:rsid w:val="498EF3AC"/>
    <w:rsid w:val="499037A1"/>
    <w:rsid w:val="4991092C"/>
    <w:rsid w:val="4999C0E1"/>
    <w:rsid w:val="499F944E"/>
    <w:rsid w:val="49AC893A"/>
    <w:rsid w:val="49B60C56"/>
    <w:rsid w:val="49D5A0B5"/>
    <w:rsid w:val="49D67A94"/>
    <w:rsid w:val="49D70D29"/>
    <w:rsid w:val="49E3C41B"/>
    <w:rsid w:val="49F77744"/>
    <w:rsid w:val="4A0F0BF3"/>
    <w:rsid w:val="4A13F374"/>
    <w:rsid w:val="4A6D80A7"/>
    <w:rsid w:val="4A842D2B"/>
    <w:rsid w:val="4A86B2DA"/>
    <w:rsid w:val="4AAAD276"/>
    <w:rsid w:val="4AB4DD69"/>
    <w:rsid w:val="4ABD401F"/>
    <w:rsid w:val="4AE06409"/>
    <w:rsid w:val="4AE4B6A9"/>
    <w:rsid w:val="4B1D21AB"/>
    <w:rsid w:val="4B263F8B"/>
    <w:rsid w:val="4B31A36F"/>
    <w:rsid w:val="4B45FC14"/>
    <w:rsid w:val="4B461343"/>
    <w:rsid w:val="4B487681"/>
    <w:rsid w:val="4B6CD491"/>
    <w:rsid w:val="4B6D42C2"/>
    <w:rsid w:val="4B7069B1"/>
    <w:rsid w:val="4B872BAB"/>
    <w:rsid w:val="4BA6D425"/>
    <w:rsid w:val="4BAC458F"/>
    <w:rsid w:val="4BAD2920"/>
    <w:rsid w:val="4BCC58D4"/>
    <w:rsid w:val="4BD26036"/>
    <w:rsid w:val="4BD80243"/>
    <w:rsid w:val="4C010670"/>
    <w:rsid w:val="4C1A941B"/>
    <w:rsid w:val="4C432E33"/>
    <w:rsid w:val="4C58DF1D"/>
    <w:rsid w:val="4C6288C6"/>
    <w:rsid w:val="4C6D7624"/>
    <w:rsid w:val="4C80A11A"/>
    <w:rsid w:val="4C8A4BB9"/>
    <w:rsid w:val="4C8CC738"/>
    <w:rsid w:val="4C94890D"/>
    <w:rsid w:val="4C98543D"/>
    <w:rsid w:val="4CA17535"/>
    <w:rsid w:val="4CBD3DDA"/>
    <w:rsid w:val="4CCDD542"/>
    <w:rsid w:val="4CDA616E"/>
    <w:rsid w:val="4CDC57A1"/>
    <w:rsid w:val="4CDCB342"/>
    <w:rsid w:val="4CE18B90"/>
    <w:rsid w:val="4CF6E714"/>
    <w:rsid w:val="4D06A6AF"/>
    <w:rsid w:val="4D074609"/>
    <w:rsid w:val="4D0C4792"/>
    <w:rsid w:val="4D197072"/>
    <w:rsid w:val="4D51D8BC"/>
    <w:rsid w:val="4D58ACCD"/>
    <w:rsid w:val="4D6522A5"/>
    <w:rsid w:val="4D822AE5"/>
    <w:rsid w:val="4D8B9B36"/>
    <w:rsid w:val="4D9365B9"/>
    <w:rsid w:val="4DBC38A8"/>
    <w:rsid w:val="4DCE397F"/>
    <w:rsid w:val="4DDB49BA"/>
    <w:rsid w:val="4E10F6AA"/>
    <w:rsid w:val="4E470DDA"/>
    <w:rsid w:val="4E4CC468"/>
    <w:rsid w:val="4E4F9337"/>
    <w:rsid w:val="4E533233"/>
    <w:rsid w:val="4E616694"/>
    <w:rsid w:val="4E6574EC"/>
    <w:rsid w:val="4E74997B"/>
    <w:rsid w:val="4E8CF095"/>
    <w:rsid w:val="4E9C170E"/>
    <w:rsid w:val="4E9CBF0F"/>
    <w:rsid w:val="4EB33080"/>
    <w:rsid w:val="4EC6CFEE"/>
    <w:rsid w:val="4EE505D4"/>
    <w:rsid w:val="4EECACA8"/>
    <w:rsid w:val="4F137219"/>
    <w:rsid w:val="4F227225"/>
    <w:rsid w:val="4F2B16D7"/>
    <w:rsid w:val="4F2C673E"/>
    <w:rsid w:val="4F35F9ED"/>
    <w:rsid w:val="4F47754F"/>
    <w:rsid w:val="4F587BA3"/>
    <w:rsid w:val="4F647FB5"/>
    <w:rsid w:val="4F6BE16A"/>
    <w:rsid w:val="4F9B5DD7"/>
    <w:rsid w:val="4FA014D9"/>
    <w:rsid w:val="4FBEC1A9"/>
    <w:rsid w:val="4FCAE132"/>
    <w:rsid w:val="4FCD3D24"/>
    <w:rsid w:val="4FD632E8"/>
    <w:rsid w:val="4FE11FE5"/>
    <w:rsid w:val="4FE12D96"/>
    <w:rsid w:val="4FFB9B4F"/>
    <w:rsid w:val="50202609"/>
    <w:rsid w:val="502490C4"/>
    <w:rsid w:val="502ADEF5"/>
    <w:rsid w:val="502D4501"/>
    <w:rsid w:val="503832B0"/>
    <w:rsid w:val="5043010F"/>
    <w:rsid w:val="5054B810"/>
    <w:rsid w:val="505E27BF"/>
    <w:rsid w:val="5071FA98"/>
    <w:rsid w:val="50735E10"/>
    <w:rsid w:val="50950A4E"/>
    <w:rsid w:val="50A0E6BA"/>
    <w:rsid w:val="50A84ABC"/>
    <w:rsid w:val="51033136"/>
    <w:rsid w:val="51483CA6"/>
    <w:rsid w:val="516AAC52"/>
    <w:rsid w:val="5171CA46"/>
    <w:rsid w:val="517765C9"/>
    <w:rsid w:val="517F6DE9"/>
    <w:rsid w:val="518B3610"/>
    <w:rsid w:val="51A0FE2B"/>
    <w:rsid w:val="51C3B26F"/>
    <w:rsid w:val="51CA9D54"/>
    <w:rsid w:val="51F20CF6"/>
    <w:rsid w:val="51F88CD9"/>
    <w:rsid w:val="51FB2ED1"/>
    <w:rsid w:val="51FF574A"/>
    <w:rsid w:val="5202D167"/>
    <w:rsid w:val="5208A96D"/>
    <w:rsid w:val="521B5D05"/>
    <w:rsid w:val="521F255F"/>
    <w:rsid w:val="5224CC71"/>
    <w:rsid w:val="52270EFC"/>
    <w:rsid w:val="522E19A7"/>
    <w:rsid w:val="52380BBC"/>
    <w:rsid w:val="52437796"/>
    <w:rsid w:val="5244095D"/>
    <w:rsid w:val="5246CC31"/>
    <w:rsid w:val="525C8562"/>
    <w:rsid w:val="5264995C"/>
    <w:rsid w:val="526E6D12"/>
    <w:rsid w:val="527B7DE1"/>
    <w:rsid w:val="52822C7A"/>
    <w:rsid w:val="52A811A4"/>
    <w:rsid w:val="52D0B26F"/>
    <w:rsid w:val="52DA9BC9"/>
    <w:rsid w:val="52DD6617"/>
    <w:rsid w:val="52DE606D"/>
    <w:rsid w:val="52E1D5F1"/>
    <w:rsid w:val="52E63F01"/>
    <w:rsid w:val="52EA6A91"/>
    <w:rsid w:val="52FA1523"/>
    <w:rsid w:val="5307B7CF"/>
    <w:rsid w:val="531B6950"/>
    <w:rsid w:val="53447E01"/>
    <w:rsid w:val="534FE5E6"/>
    <w:rsid w:val="5351199D"/>
    <w:rsid w:val="538B05B6"/>
    <w:rsid w:val="5398A127"/>
    <w:rsid w:val="53A43D3D"/>
    <w:rsid w:val="53A7F2AD"/>
    <w:rsid w:val="53A97EAE"/>
    <w:rsid w:val="53AB134C"/>
    <w:rsid w:val="53ACD39D"/>
    <w:rsid w:val="53B529C5"/>
    <w:rsid w:val="53BFF96C"/>
    <w:rsid w:val="53C212A4"/>
    <w:rsid w:val="53D66B90"/>
    <w:rsid w:val="53E200CB"/>
    <w:rsid w:val="53F007FF"/>
    <w:rsid w:val="53F3A470"/>
    <w:rsid w:val="53F9599B"/>
    <w:rsid w:val="5412B000"/>
    <w:rsid w:val="542AA87E"/>
    <w:rsid w:val="542C29C1"/>
    <w:rsid w:val="5451E61E"/>
    <w:rsid w:val="54BA8C06"/>
    <w:rsid w:val="54CE726A"/>
    <w:rsid w:val="54CFD401"/>
    <w:rsid w:val="54ED2D0A"/>
    <w:rsid w:val="54FE0EB3"/>
    <w:rsid w:val="550B1184"/>
    <w:rsid w:val="551701B6"/>
    <w:rsid w:val="55180C20"/>
    <w:rsid w:val="553A2B2E"/>
    <w:rsid w:val="55409A5F"/>
    <w:rsid w:val="55652C41"/>
    <w:rsid w:val="55689793"/>
    <w:rsid w:val="558A3DF5"/>
    <w:rsid w:val="55956809"/>
    <w:rsid w:val="55B2A364"/>
    <w:rsid w:val="55C0C243"/>
    <w:rsid w:val="55DC6E62"/>
    <w:rsid w:val="55EEA737"/>
    <w:rsid w:val="560CED44"/>
    <w:rsid w:val="561ECF0E"/>
    <w:rsid w:val="561EE8A9"/>
    <w:rsid w:val="562A99DA"/>
    <w:rsid w:val="56350C19"/>
    <w:rsid w:val="5640C467"/>
    <w:rsid w:val="564F1F83"/>
    <w:rsid w:val="5658E2EB"/>
    <w:rsid w:val="565F3D89"/>
    <w:rsid w:val="566C3C8C"/>
    <w:rsid w:val="5675E800"/>
    <w:rsid w:val="569A6713"/>
    <w:rsid w:val="56AD0D72"/>
    <w:rsid w:val="56B2FFC7"/>
    <w:rsid w:val="56BD0FBC"/>
    <w:rsid w:val="56BD4C88"/>
    <w:rsid w:val="56C21357"/>
    <w:rsid w:val="56EE322B"/>
    <w:rsid w:val="56F67CB2"/>
    <w:rsid w:val="5704AA45"/>
    <w:rsid w:val="57091910"/>
    <w:rsid w:val="5712C8F8"/>
    <w:rsid w:val="57170367"/>
    <w:rsid w:val="572188BC"/>
    <w:rsid w:val="57301C31"/>
    <w:rsid w:val="57394221"/>
    <w:rsid w:val="574F777F"/>
    <w:rsid w:val="575422B3"/>
    <w:rsid w:val="575A092F"/>
    <w:rsid w:val="57674DF9"/>
    <w:rsid w:val="578F2280"/>
    <w:rsid w:val="57910943"/>
    <w:rsid w:val="579950CA"/>
    <w:rsid w:val="57A356C3"/>
    <w:rsid w:val="57C1D468"/>
    <w:rsid w:val="57CB53F6"/>
    <w:rsid w:val="57E180EC"/>
    <w:rsid w:val="57E5FEAA"/>
    <w:rsid w:val="57E90570"/>
    <w:rsid w:val="580C80EA"/>
    <w:rsid w:val="580CDDA7"/>
    <w:rsid w:val="581A3EB7"/>
    <w:rsid w:val="5822828B"/>
    <w:rsid w:val="58255CA0"/>
    <w:rsid w:val="5827DD69"/>
    <w:rsid w:val="58517554"/>
    <w:rsid w:val="5852C5F2"/>
    <w:rsid w:val="58670D6B"/>
    <w:rsid w:val="58680BA5"/>
    <w:rsid w:val="58758A52"/>
    <w:rsid w:val="58759D4C"/>
    <w:rsid w:val="5879EC2B"/>
    <w:rsid w:val="589A480B"/>
    <w:rsid w:val="58A50D04"/>
    <w:rsid w:val="58B09935"/>
    <w:rsid w:val="58B2177B"/>
    <w:rsid w:val="58B812B1"/>
    <w:rsid w:val="58DF8193"/>
    <w:rsid w:val="58F39DA8"/>
    <w:rsid w:val="58F411F5"/>
    <w:rsid w:val="5902350F"/>
    <w:rsid w:val="590BB13F"/>
    <w:rsid w:val="5922F5A3"/>
    <w:rsid w:val="59401908"/>
    <w:rsid w:val="595F028C"/>
    <w:rsid w:val="5962DB96"/>
    <w:rsid w:val="596BE6F7"/>
    <w:rsid w:val="5974A7E3"/>
    <w:rsid w:val="597E9D62"/>
    <w:rsid w:val="59965F16"/>
    <w:rsid w:val="59C68CB1"/>
    <w:rsid w:val="59E2D156"/>
    <w:rsid w:val="59E2E205"/>
    <w:rsid w:val="59E9909B"/>
    <w:rsid w:val="59F9CF88"/>
    <w:rsid w:val="5A153836"/>
    <w:rsid w:val="5A1691E5"/>
    <w:rsid w:val="5A34F558"/>
    <w:rsid w:val="5A3A2C99"/>
    <w:rsid w:val="5A53E6DB"/>
    <w:rsid w:val="5A6C1382"/>
    <w:rsid w:val="5A853A36"/>
    <w:rsid w:val="5A8C2DC9"/>
    <w:rsid w:val="5A968417"/>
    <w:rsid w:val="5AA646A8"/>
    <w:rsid w:val="5ACAF533"/>
    <w:rsid w:val="5AEEE950"/>
    <w:rsid w:val="5B013774"/>
    <w:rsid w:val="5B06230E"/>
    <w:rsid w:val="5B14035B"/>
    <w:rsid w:val="5B38F0DC"/>
    <w:rsid w:val="5B421D02"/>
    <w:rsid w:val="5B6496BE"/>
    <w:rsid w:val="5B694236"/>
    <w:rsid w:val="5B6BA162"/>
    <w:rsid w:val="5B828E4B"/>
    <w:rsid w:val="5B91F55F"/>
    <w:rsid w:val="5B9EF296"/>
    <w:rsid w:val="5BBAE9C2"/>
    <w:rsid w:val="5BC65704"/>
    <w:rsid w:val="5BC6E4C9"/>
    <w:rsid w:val="5BCA328A"/>
    <w:rsid w:val="5BCCEE62"/>
    <w:rsid w:val="5BCD4E7F"/>
    <w:rsid w:val="5BD3CE81"/>
    <w:rsid w:val="5BDA9207"/>
    <w:rsid w:val="5BF4F602"/>
    <w:rsid w:val="5C181040"/>
    <w:rsid w:val="5C22DE54"/>
    <w:rsid w:val="5C282BF8"/>
    <w:rsid w:val="5C42A6EE"/>
    <w:rsid w:val="5C42B36F"/>
    <w:rsid w:val="5C5BE59C"/>
    <w:rsid w:val="5C618148"/>
    <w:rsid w:val="5C7FC2C4"/>
    <w:rsid w:val="5CA45CBC"/>
    <w:rsid w:val="5CB16E40"/>
    <w:rsid w:val="5CB62EEB"/>
    <w:rsid w:val="5CBFA673"/>
    <w:rsid w:val="5CC2675A"/>
    <w:rsid w:val="5CC76A27"/>
    <w:rsid w:val="5CD0C94D"/>
    <w:rsid w:val="5CD5B8F2"/>
    <w:rsid w:val="5CDFED0C"/>
    <w:rsid w:val="5CE89084"/>
    <w:rsid w:val="5CEDC997"/>
    <w:rsid w:val="5CF4E7BA"/>
    <w:rsid w:val="5CFC4B23"/>
    <w:rsid w:val="5D080AA4"/>
    <w:rsid w:val="5D1D9D1D"/>
    <w:rsid w:val="5D1FE0BC"/>
    <w:rsid w:val="5D2281AE"/>
    <w:rsid w:val="5D2306F8"/>
    <w:rsid w:val="5D3DF639"/>
    <w:rsid w:val="5D3F4193"/>
    <w:rsid w:val="5D4BA16D"/>
    <w:rsid w:val="5D53D6A2"/>
    <w:rsid w:val="5D621654"/>
    <w:rsid w:val="5D64D295"/>
    <w:rsid w:val="5D8C9E46"/>
    <w:rsid w:val="5DB97E47"/>
    <w:rsid w:val="5DC06A3F"/>
    <w:rsid w:val="5DDBCECC"/>
    <w:rsid w:val="5DF21319"/>
    <w:rsid w:val="5DF4865E"/>
    <w:rsid w:val="5E06556D"/>
    <w:rsid w:val="5E0E1F32"/>
    <w:rsid w:val="5E19713B"/>
    <w:rsid w:val="5E2365DB"/>
    <w:rsid w:val="5E2F1C57"/>
    <w:rsid w:val="5E488A7A"/>
    <w:rsid w:val="5E6C87FC"/>
    <w:rsid w:val="5E740E6C"/>
    <w:rsid w:val="5E9713BB"/>
    <w:rsid w:val="5EB120C8"/>
    <w:rsid w:val="5EC5EE1F"/>
    <w:rsid w:val="5EE17210"/>
    <w:rsid w:val="5EF57AEB"/>
    <w:rsid w:val="5EFE0542"/>
    <w:rsid w:val="5F1BAFF0"/>
    <w:rsid w:val="5F5EB6A8"/>
    <w:rsid w:val="5F7F4B8E"/>
    <w:rsid w:val="5F882D32"/>
    <w:rsid w:val="5F8C1FEC"/>
    <w:rsid w:val="5F986BF0"/>
    <w:rsid w:val="5FA2BEB6"/>
    <w:rsid w:val="5FA849AA"/>
    <w:rsid w:val="5FB4C224"/>
    <w:rsid w:val="5FD9F9E1"/>
    <w:rsid w:val="5FF93160"/>
    <w:rsid w:val="5FFFA22D"/>
    <w:rsid w:val="601BD3F3"/>
    <w:rsid w:val="601BE7D6"/>
    <w:rsid w:val="60211E1D"/>
    <w:rsid w:val="605D42F1"/>
    <w:rsid w:val="6094A0C7"/>
    <w:rsid w:val="60A2BA74"/>
    <w:rsid w:val="60C3AD06"/>
    <w:rsid w:val="60CB7C9F"/>
    <w:rsid w:val="60E0BB06"/>
    <w:rsid w:val="60F0B0B3"/>
    <w:rsid w:val="60FBA130"/>
    <w:rsid w:val="60FBF49E"/>
    <w:rsid w:val="60FCF41F"/>
    <w:rsid w:val="6100F234"/>
    <w:rsid w:val="612DD5EE"/>
    <w:rsid w:val="612FF54D"/>
    <w:rsid w:val="613F9A53"/>
    <w:rsid w:val="6159C0AF"/>
    <w:rsid w:val="616677F9"/>
    <w:rsid w:val="6178698C"/>
    <w:rsid w:val="619B0CF8"/>
    <w:rsid w:val="61AA6640"/>
    <w:rsid w:val="61AB14B8"/>
    <w:rsid w:val="61AC08A6"/>
    <w:rsid w:val="61D32294"/>
    <w:rsid w:val="61E036FE"/>
    <w:rsid w:val="61E1FD2D"/>
    <w:rsid w:val="61E3BC48"/>
    <w:rsid w:val="61E73A40"/>
    <w:rsid w:val="61EA9A5F"/>
    <w:rsid w:val="61EBD81F"/>
    <w:rsid w:val="61F6177C"/>
    <w:rsid w:val="61FDE6B7"/>
    <w:rsid w:val="6207F200"/>
    <w:rsid w:val="620DD8DD"/>
    <w:rsid w:val="6218D08B"/>
    <w:rsid w:val="621CA450"/>
    <w:rsid w:val="62277291"/>
    <w:rsid w:val="624555A0"/>
    <w:rsid w:val="625580D4"/>
    <w:rsid w:val="626D1754"/>
    <w:rsid w:val="627FE02F"/>
    <w:rsid w:val="628FFC95"/>
    <w:rsid w:val="6293B8A7"/>
    <w:rsid w:val="629F0001"/>
    <w:rsid w:val="62A846D2"/>
    <w:rsid w:val="62ADFDF8"/>
    <w:rsid w:val="62BDDCC4"/>
    <w:rsid w:val="62CC8A15"/>
    <w:rsid w:val="62CE0AEC"/>
    <w:rsid w:val="62D58089"/>
    <w:rsid w:val="62E88666"/>
    <w:rsid w:val="62EEFE77"/>
    <w:rsid w:val="63171553"/>
    <w:rsid w:val="633101C4"/>
    <w:rsid w:val="6344D16C"/>
    <w:rsid w:val="6349366B"/>
    <w:rsid w:val="6359FA5D"/>
    <w:rsid w:val="635C359D"/>
    <w:rsid w:val="636C90ED"/>
    <w:rsid w:val="636DF736"/>
    <w:rsid w:val="63728D64"/>
    <w:rsid w:val="63758FF9"/>
    <w:rsid w:val="639670F8"/>
    <w:rsid w:val="63AA3872"/>
    <w:rsid w:val="63D1F27D"/>
    <w:rsid w:val="63DE6E7D"/>
    <w:rsid w:val="63F9C65C"/>
    <w:rsid w:val="63FB09BA"/>
    <w:rsid w:val="63FCE43D"/>
    <w:rsid w:val="641857E6"/>
    <w:rsid w:val="64225AD2"/>
    <w:rsid w:val="642C7CA2"/>
    <w:rsid w:val="6430E85F"/>
    <w:rsid w:val="64686466"/>
    <w:rsid w:val="64701B09"/>
    <w:rsid w:val="6472C79C"/>
    <w:rsid w:val="6475E929"/>
    <w:rsid w:val="64891AC7"/>
    <w:rsid w:val="64924451"/>
    <w:rsid w:val="64A1D8B2"/>
    <w:rsid w:val="64AA32CD"/>
    <w:rsid w:val="64B6BEB0"/>
    <w:rsid w:val="64B6FFCF"/>
    <w:rsid w:val="64C02962"/>
    <w:rsid w:val="64C6B0FB"/>
    <w:rsid w:val="64D88CB9"/>
    <w:rsid w:val="64FF9EBB"/>
    <w:rsid w:val="650D5777"/>
    <w:rsid w:val="652691F5"/>
    <w:rsid w:val="652A7B32"/>
    <w:rsid w:val="652C9202"/>
    <w:rsid w:val="6546E95D"/>
    <w:rsid w:val="655820D7"/>
    <w:rsid w:val="655F3843"/>
    <w:rsid w:val="656717C2"/>
    <w:rsid w:val="65714824"/>
    <w:rsid w:val="657D7F36"/>
    <w:rsid w:val="6587E9F3"/>
    <w:rsid w:val="659A0179"/>
    <w:rsid w:val="65A14D75"/>
    <w:rsid w:val="65AAB062"/>
    <w:rsid w:val="65ADD8F9"/>
    <w:rsid w:val="65C40667"/>
    <w:rsid w:val="65CF98C2"/>
    <w:rsid w:val="65D8AAD6"/>
    <w:rsid w:val="65E9EBA7"/>
    <w:rsid w:val="65F671C9"/>
    <w:rsid w:val="65FED920"/>
    <w:rsid w:val="66033C54"/>
    <w:rsid w:val="6631E8AA"/>
    <w:rsid w:val="6631F483"/>
    <w:rsid w:val="663ACCA2"/>
    <w:rsid w:val="6658E9ED"/>
    <w:rsid w:val="6672EFEB"/>
    <w:rsid w:val="669A1E9D"/>
    <w:rsid w:val="66A794AF"/>
    <w:rsid w:val="66A9579B"/>
    <w:rsid w:val="66AAAD5F"/>
    <w:rsid w:val="66B5B970"/>
    <w:rsid w:val="66C7BFB1"/>
    <w:rsid w:val="66D1B3FA"/>
    <w:rsid w:val="66D39C22"/>
    <w:rsid w:val="66DE07BC"/>
    <w:rsid w:val="66EFA362"/>
    <w:rsid w:val="66F7EB57"/>
    <w:rsid w:val="66FDB789"/>
    <w:rsid w:val="67127545"/>
    <w:rsid w:val="67165041"/>
    <w:rsid w:val="6722A3F8"/>
    <w:rsid w:val="67477ADD"/>
    <w:rsid w:val="674CB7AB"/>
    <w:rsid w:val="675EC63D"/>
    <w:rsid w:val="678760A6"/>
    <w:rsid w:val="678A68AE"/>
    <w:rsid w:val="67937277"/>
    <w:rsid w:val="67A9045C"/>
    <w:rsid w:val="67AC12D6"/>
    <w:rsid w:val="67B52DF4"/>
    <w:rsid w:val="67BB05F2"/>
    <w:rsid w:val="67C33F22"/>
    <w:rsid w:val="67CA3839"/>
    <w:rsid w:val="67CB965F"/>
    <w:rsid w:val="68148B31"/>
    <w:rsid w:val="6815CA85"/>
    <w:rsid w:val="683977E1"/>
    <w:rsid w:val="683DB3C4"/>
    <w:rsid w:val="6849FC44"/>
    <w:rsid w:val="684AC7AD"/>
    <w:rsid w:val="68505FE9"/>
    <w:rsid w:val="68531D49"/>
    <w:rsid w:val="6868460D"/>
    <w:rsid w:val="687604FE"/>
    <w:rsid w:val="68893B9B"/>
    <w:rsid w:val="68916408"/>
    <w:rsid w:val="68A29AB6"/>
    <w:rsid w:val="68CF94A1"/>
    <w:rsid w:val="68DF486C"/>
    <w:rsid w:val="68F9342D"/>
    <w:rsid w:val="6900079E"/>
    <w:rsid w:val="693170E6"/>
    <w:rsid w:val="6934FADB"/>
    <w:rsid w:val="693A61A0"/>
    <w:rsid w:val="69473924"/>
    <w:rsid w:val="694B3AAE"/>
    <w:rsid w:val="695686C6"/>
    <w:rsid w:val="695762BD"/>
    <w:rsid w:val="6957C93B"/>
    <w:rsid w:val="695FBBAD"/>
    <w:rsid w:val="69885FB7"/>
    <w:rsid w:val="69C1BBA2"/>
    <w:rsid w:val="69D283EF"/>
    <w:rsid w:val="69EC2914"/>
    <w:rsid w:val="6A582888"/>
    <w:rsid w:val="6A5ECF96"/>
    <w:rsid w:val="6A6C2F08"/>
    <w:rsid w:val="6A6E8C2E"/>
    <w:rsid w:val="6A77A682"/>
    <w:rsid w:val="6A8171EF"/>
    <w:rsid w:val="6AAA8785"/>
    <w:rsid w:val="6AB29F71"/>
    <w:rsid w:val="6ACD324D"/>
    <w:rsid w:val="6ACEEB77"/>
    <w:rsid w:val="6ACF49FD"/>
    <w:rsid w:val="6AF41E0D"/>
    <w:rsid w:val="6AFDEFD3"/>
    <w:rsid w:val="6AFF48F8"/>
    <w:rsid w:val="6B17D124"/>
    <w:rsid w:val="6B1B41AB"/>
    <w:rsid w:val="6B23FD04"/>
    <w:rsid w:val="6B24731F"/>
    <w:rsid w:val="6B42F88E"/>
    <w:rsid w:val="6B4E2284"/>
    <w:rsid w:val="6B519BC2"/>
    <w:rsid w:val="6B6DE33C"/>
    <w:rsid w:val="6B80D5B5"/>
    <w:rsid w:val="6B8213C6"/>
    <w:rsid w:val="6B8739BF"/>
    <w:rsid w:val="6B932BFF"/>
    <w:rsid w:val="6B9E7661"/>
    <w:rsid w:val="6BD48AFB"/>
    <w:rsid w:val="6BFB526F"/>
    <w:rsid w:val="6C01E3DF"/>
    <w:rsid w:val="6C107EAD"/>
    <w:rsid w:val="6C14E204"/>
    <w:rsid w:val="6C1DB555"/>
    <w:rsid w:val="6C3003A4"/>
    <w:rsid w:val="6C73AF22"/>
    <w:rsid w:val="6C86E07E"/>
    <w:rsid w:val="6C93ABC7"/>
    <w:rsid w:val="6C98BC7C"/>
    <w:rsid w:val="6CA02284"/>
    <w:rsid w:val="6CA1A711"/>
    <w:rsid w:val="6CA2F003"/>
    <w:rsid w:val="6CB4488B"/>
    <w:rsid w:val="6CC521D9"/>
    <w:rsid w:val="6CCBF5B6"/>
    <w:rsid w:val="6CFA67A2"/>
    <w:rsid w:val="6CFADE96"/>
    <w:rsid w:val="6D0EF400"/>
    <w:rsid w:val="6D1372F7"/>
    <w:rsid w:val="6D16D82A"/>
    <w:rsid w:val="6D1797A8"/>
    <w:rsid w:val="6D208498"/>
    <w:rsid w:val="6D2F970D"/>
    <w:rsid w:val="6D2FAF22"/>
    <w:rsid w:val="6D4FDF40"/>
    <w:rsid w:val="6D63D7E6"/>
    <w:rsid w:val="6D745B74"/>
    <w:rsid w:val="6D86308E"/>
    <w:rsid w:val="6D9997CE"/>
    <w:rsid w:val="6D9FFBBD"/>
    <w:rsid w:val="6DA2A037"/>
    <w:rsid w:val="6DADD4CC"/>
    <w:rsid w:val="6DAEC04D"/>
    <w:rsid w:val="6DBA000E"/>
    <w:rsid w:val="6DC748B0"/>
    <w:rsid w:val="6DDADB14"/>
    <w:rsid w:val="6E0542F9"/>
    <w:rsid w:val="6E09A8AC"/>
    <w:rsid w:val="6E109E54"/>
    <w:rsid w:val="6E305A48"/>
    <w:rsid w:val="6E4916AE"/>
    <w:rsid w:val="6E713EC9"/>
    <w:rsid w:val="6E74E797"/>
    <w:rsid w:val="6E7E0EC0"/>
    <w:rsid w:val="6E8C19C2"/>
    <w:rsid w:val="6EAA2FA0"/>
    <w:rsid w:val="6EB0A282"/>
    <w:rsid w:val="6EB46CA7"/>
    <w:rsid w:val="6EB8DE12"/>
    <w:rsid w:val="6ED3180B"/>
    <w:rsid w:val="6EDFA526"/>
    <w:rsid w:val="6EF72C70"/>
    <w:rsid w:val="6EF7B2E3"/>
    <w:rsid w:val="6F015516"/>
    <w:rsid w:val="6F2CD684"/>
    <w:rsid w:val="6F3A2FE1"/>
    <w:rsid w:val="6F62E55D"/>
    <w:rsid w:val="6F638321"/>
    <w:rsid w:val="6F6CF31B"/>
    <w:rsid w:val="6F712969"/>
    <w:rsid w:val="6F793EA0"/>
    <w:rsid w:val="6F8B9178"/>
    <w:rsid w:val="6F96B54A"/>
    <w:rsid w:val="6F9BDA22"/>
    <w:rsid w:val="6FA31A4E"/>
    <w:rsid w:val="6FB59CD4"/>
    <w:rsid w:val="6FD97DB2"/>
    <w:rsid w:val="6FDAC357"/>
    <w:rsid w:val="6FF13236"/>
    <w:rsid w:val="6FF2B6E7"/>
    <w:rsid w:val="6FF471AC"/>
    <w:rsid w:val="6FF55F40"/>
    <w:rsid w:val="7014095F"/>
    <w:rsid w:val="701ECFCA"/>
    <w:rsid w:val="7020EC4F"/>
    <w:rsid w:val="703516AE"/>
    <w:rsid w:val="703F5364"/>
    <w:rsid w:val="7040CCDE"/>
    <w:rsid w:val="70524D1C"/>
    <w:rsid w:val="7053009C"/>
    <w:rsid w:val="706116DD"/>
    <w:rsid w:val="706C09C9"/>
    <w:rsid w:val="70733961"/>
    <w:rsid w:val="7085F8DD"/>
    <w:rsid w:val="709FB870"/>
    <w:rsid w:val="70AB97BA"/>
    <w:rsid w:val="70C8AF28"/>
    <w:rsid w:val="70D00CAA"/>
    <w:rsid w:val="70D6DABC"/>
    <w:rsid w:val="70E35C56"/>
    <w:rsid w:val="70EE1ADD"/>
    <w:rsid w:val="70FDD5A8"/>
    <w:rsid w:val="71073392"/>
    <w:rsid w:val="7113670C"/>
    <w:rsid w:val="71363358"/>
    <w:rsid w:val="71375B4A"/>
    <w:rsid w:val="7163E47F"/>
    <w:rsid w:val="716D501B"/>
    <w:rsid w:val="719E983B"/>
    <w:rsid w:val="71B8CC5E"/>
    <w:rsid w:val="71F941AC"/>
    <w:rsid w:val="7206AFD1"/>
    <w:rsid w:val="720C1305"/>
    <w:rsid w:val="7211562E"/>
    <w:rsid w:val="721D6C8B"/>
    <w:rsid w:val="7220E0BB"/>
    <w:rsid w:val="72288677"/>
    <w:rsid w:val="7232093B"/>
    <w:rsid w:val="7237118E"/>
    <w:rsid w:val="7243E4BC"/>
    <w:rsid w:val="7245E583"/>
    <w:rsid w:val="7251C984"/>
    <w:rsid w:val="726CDC1F"/>
    <w:rsid w:val="726E9E0B"/>
    <w:rsid w:val="727C45EA"/>
    <w:rsid w:val="728B4640"/>
    <w:rsid w:val="72B05080"/>
    <w:rsid w:val="72C60BA3"/>
    <w:rsid w:val="72CBD5C2"/>
    <w:rsid w:val="72CD4721"/>
    <w:rsid w:val="72DCDE69"/>
    <w:rsid w:val="72EADF40"/>
    <w:rsid w:val="72FDD5C0"/>
    <w:rsid w:val="7301161F"/>
    <w:rsid w:val="73028CF1"/>
    <w:rsid w:val="730C77D1"/>
    <w:rsid w:val="731BE0F6"/>
    <w:rsid w:val="732B56F1"/>
    <w:rsid w:val="73337D9C"/>
    <w:rsid w:val="735D7B42"/>
    <w:rsid w:val="739EE4B4"/>
    <w:rsid w:val="73BDE8AE"/>
    <w:rsid w:val="73D34493"/>
    <w:rsid w:val="73DA84B4"/>
    <w:rsid w:val="73F84175"/>
    <w:rsid w:val="7437C445"/>
    <w:rsid w:val="74452053"/>
    <w:rsid w:val="7458E7F8"/>
    <w:rsid w:val="745B38A2"/>
    <w:rsid w:val="7460D3E6"/>
    <w:rsid w:val="7465304E"/>
    <w:rsid w:val="74695564"/>
    <w:rsid w:val="746AD78D"/>
    <w:rsid w:val="74739ADD"/>
    <w:rsid w:val="749EC4E9"/>
    <w:rsid w:val="74AA0CAA"/>
    <w:rsid w:val="74AD979B"/>
    <w:rsid w:val="74AFD246"/>
    <w:rsid w:val="74B04D73"/>
    <w:rsid w:val="74BA5B3A"/>
    <w:rsid w:val="74CC3E91"/>
    <w:rsid w:val="74CC679E"/>
    <w:rsid w:val="74E24C92"/>
    <w:rsid w:val="74E85588"/>
    <w:rsid w:val="7508C431"/>
    <w:rsid w:val="7511756B"/>
    <w:rsid w:val="75128398"/>
    <w:rsid w:val="7528168E"/>
    <w:rsid w:val="753AA4B9"/>
    <w:rsid w:val="7544266B"/>
    <w:rsid w:val="75468632"/>
    <w:rsid w:val="75572FED"/>
    <w:rsid w:val="7569DDDE"/>
    <w:rsid w:val="75792478"/>
    <w:rsid w:val="757D9A98"/>
    <w:rsid w:val="757F92C3"/>
    <w:rsid w:val="7586D0C5"/>
    <w:rsid w:val="758A6E8E"/>
    <w:rsid w:val="7598FFF5"/>
    <w:rsid w:val="75A67134"/>
    <w:rsid w:val="75BE182B"/>
    <w:rsid w:val="75BF7A89"/>
    <w:rsid w:val="75CA02F8"/>
    <w:rsid w:val="75D5888A"/>
    <w:rsid w:val="75D5AF29"/>
    <w:rsid w:val="75DABE50"/>
    <w:rsid w:val="75EBCCA7"/>
    <w:rsid w:val="76065D38"/>
    <w:rsid w:val="76073326"/>
    <w:rsid w:val="764EC978"/>
    <w:rsid w:val="76524BAC"/>
    <w:rsid w:val="7656E0F6"/>
    <w:rsid w:val="7659530C"/>
    <w:rsid w:val="76836C05"/>
    <w:rsid w:val="7685BD91"/>
    <w:rsid w:val="7688D306"/>
    <w:rsid w:val="769EE7EC"/>
    <w:rsid w:val="76A97DDC"/>
    <w:rsid w:val="76CAE70E"/>
    <w:rsid w:val="76CDA5B4"/>
    <w:rsid w:val="76E99EAD"/>
    <w:rsid w:val="76F030C9"/>
    <w:rsid w:val="76F2F963"/>
    <w:rsid w:val="77053ABD"/>
    <w:rsid w:val="772412E2"/>
    <w:rsid w:val="7759B978"/>
    <w:rsid w:val="775B5824"/>
    <w:rsid w:val="7760ECB4"/>
    <w:rsid w:val="777050B5"/>
    <w:rsid w:val="77AC429C"/>
    <w:rsid w:val="77B07C64"/>
    <w:rsid w:val="77B7399E"/>
    <w:rsid w:val="77BDC8A2"/>
    <w:rsid w:val="77C410D5"/>
    <w:rsid w:val="77DE606B"/>
    <w:rsid w:val="77DF59F0"/>
    <w:rsid w:val="7803FC47"/>
    <w:rsid w:val="78175873"/>
    <w:rsid w:val="7825100A"/>
    <w:rsid w:val="78488833"/>
    <w:rsid w:val="78534E7F"/>
    <w:rsid w:val="785A565E"/>
    <w:rsid w:val="7862A162"/>
    <w:rsid w:val="7871147E"/>
    <w:rsid w:val="787D4FDF"/>
    <w:rsid w:val="7888B250"/>
    <w:rsid w:val="789794EB"/>
    <w:rsid w:val="78A1FDAC"/>
    <w:rsid w:val="78A6FD77"/>
    <w:rsid w:val="78AA09BB"/>
    <w:rsid w:val="78C6D364"/>
    <w:rsid w:val="78CAD9ED"/>
    <w:rsid w:val="78DC23B7"/>
    <w:rsid w:val="78F82AA2"/>
    <w:rsid w:val="79099527"/>
    <w:rsid w:val="7921BAE8"/>
    <w:rsid w:val="79226610"/>
    <w:rsid w:val="793193E5"/>
    <w:rsid w:val="793215DA"/>
    <w:rsid w:val="7944E9FC"/>
    <w:rsid w:val="79472D9C"/>
    <w:rsid w:val="79549300"/>
    <w:rsid w:val="796D5F4F"/>
    <w:rsid w:val="79709F11"/>
    <w:rsid w:val="7971C87F"/>
    <w:rsid w:val="797716B6"/>
    <w:rsid w:val="7982672D"/>
    <w:rsid w:val="7985DD65"/>
    <w:rsid w:val="799795CD"/>
    <w:rsid w:val="79A0B407"/>
    <w:rsid w:val="79A72FEC"/>
    <w:rsid w:val="79AD49D0"/>
    <w:rsid w:val="79BA98DA"/>
    <w:rsid w:val="79C3B604"/>
    <w:rsid w:val="79E40112"/>
    <w:rsid w:val="79E747A5"/>
    <w:rsid w:val="79EF21C1"/>
    <w:rsid w:val="79EFE876"/>
    <w:rsid w:val="79F11B2E"/>
    <w:rsid w:val="7A001167"/>
    <w:rsid w:val="7A028CF5"/>
    <w:rsid w:val="7A0ED370"/>
    <w:rsid w:val="7A4E7028"/>
    <w:rsid w:val="7A505B79"/>
    <w:rsid w:val="7A619723"/>
    <w:rsid w:val="7A61DD00"/>
    <w:rsid w:val="7A695EBE"/>
    <w:rsid w:val="7A7AF68D"/>
    <w:rsid w:val="7A8382D6"/>
    <w:rsid w:val="7A842B6D"/>
    <w:rsid w:val="7A99CBDA"/>
    <w:rsid w:val="7AB9D173"/>
    <w:rsid w:val="7ABC7DAC"/>
    <w:rsid w:val="7ABE20EC"/>
    <w:rsid w:val="7AD753A2"/>
    <w:rsid w:val="7AD7A174"/>
    <w:rsid w:val="7AE64B42"/>
    <w:rsid w:val="7AEB78B9"/>
    <w:rsid w:val="7AEBCC8A"/>
    <w:rsid w:val="7AF5EE06"/>
    <w:rsid w:val="7AFBBCD2"/>
    <w:rsid w:val="7B0D9288"/>
    <w:rsid w:val="7B1643C4"/>
    <w:rsid w:val="7B2F5C56"/>
    <w:rsid w:val="7B3059C3"/>
    <w:rsid w:val="7B453A60"/>
    <w:rsid w:val="7B626F30"/>
    <w:rsid w:val="7B85423C"/>
    <w:rsid w:val="7B8BFE77"/>
    <w:rsid w:val="7B9992B8"/>
    <w:rsid w:val="7BB225C9"/>
    <w:rsid w:val="7BB80137"/>
    <w:rsid w:val="7BC26A31"/>
    <w:rsid w:val="7BC30F43"/>
    <w:rsid w:val="7BCD7274"/>
    <w:rsid w:val="7BEEA427"/>
    <w:rsid w:val="7C185654"/>
    <w:rsid w:val="7C185F04"/>
    <w:rsid w:val="7C194720"/>
    <w:rsid w:val="7C26880F"/>
    <w:rsid w:val="7C2EA81A"/>
    <w:rsid w:val="7C374831"/>
    <w:rsid w:val="7C41BCBB"/>
    <w:rsid w:val="7C430F29"/>
    <w:rsid w:val="7C470CBD"/>
    <w:rsid w:val="7C686E03"/>
    <w:rsid w:val="7C72E374"/>
    <w:rsid w:val="7C83E786"/>
    <w:rsid w:val="7C9729AC"/>
    <w:rsid w:val="7CB1A10E"/>
    <w:rsid w:val="7CE2CD5D"/>
    <w:rsid w:val="7CE44576"/>
    <w:rsid w:val="7CEA02DD"/>
    <w:rsid w:val="7CECF527"/>
    <w:rsid w:val="7D074EC8"/>
    <w:rsid w:val="7D09C0FF"/>
    <w:rsid w:val="7D0B96C1"/>
    <w:rsid w:val="7D1F3654"/>
    <w:rsid w:val="7D24515D"/>
    <w:rsid w:val="7D335C4D"/>
    <w:rsid w:val="7D4C061D"/>
    <w:rsid w:val="7D4FADBB"/>
    <w:rsid w:val="7D5B34BE"/>
    <w:rsid w:val="7D5C5782"/>
    <w:rsid w:val="7D60180C"/>
    <w:rsid w:val="7D664C5F"/>
    <w:rsid w:val="7D692BF0"/>
    <w:rsid w:val="7D807AB7"/>
    <w:rsid w:val="7D87BAD0"/>
    <w:rsid w:val="7D8E9F65"/>
    <w:rsid w:val="7D90A962"/>
    <w:rsid w:val="7DAE34F8"/>
    <w:rsid w:val="7DB4E5E8"/>
    <w:rsid w:val="7DC3C1A6"/>
    <w:rsid w:val="7DC80445"/>
    <w:rsid w:val="7DFCA43B"/>
    <w:rsid w:val="7E07457A"/>
    <w:rsid w:val="7E11354E"/>
    <w:rsid w:val="7E16F27F"/>
    <w:rsid w:val="7E249666"/>
    <w:rsid w:val="7E2D21D1"/>
    <w:rsid w:val="7E2D82C5"/>
    <w:rsid w:val="7E2EF738"/>
    <w:rsid w:val="7E39CDB4"/>
    <w:rsid w:val="7E48D5C6"/>
    <w:rsid w:val="7E536C25"/>
    <w:rsid w:val="7E577101"/>
    <w:rsid w:val="7E5BA1AF"/>
    <w:rsid w:val="7E5F4A68"/>
    <w:rsid w:val="7E6C7B68"/>
    <w:rsid w:val="7E6FFC88"/>
    <w:rsid w:val="7E7351F2"/>
    <w:rsid w:val="7E78E99F"/>
    <w:rsid w:val="7E7F269D"/>
    <w:rsid w:val="7E854CAA"/>
    <w:rsid w:val="7E9C1F0F"/>
    <w:rsid w:val="7EB3F7B0"/>
    <w:rsid w:val="7EC51680"/>
    <w:rsid w:val="7EC7E71F"/>
    <w:rsid w:val="7EE6EC56"/>
    <w:rsid w:val="7F0D3CB9"/>
    <w:rsid w:val="7F24ECB9"/>
    <w:rsid w:val="7F36FA2E"/>
    <w:rsid w:val="7F444DA4"/>
    <w:rsid w:val="7F4BBF87"/>
    <w:rsid w:val="7F52BF0A"/>
    <w:rsid w:val="7F52D7F4"/>
    <w:rsid w:val="7F56218C"/>
    <w:rsid w:val="7F960091"/>
    <w:rsid w:val="7FA827F8"/>
    <w:rsid w:val="7FBEA362"/>
    <w:rsid w:val="7FCB1988"/>
    <w:rsid w:val="7FD6D36A"/>
    <w:rsid w:val="7FD8C894"/>
    <w:rsid w:val="7FE25435"/>
    <w:rsid w:val="7FF09E3E"/>
    <w:rsid w:val="7FF444BE"/>
    <w:rsid w:val="7FF996C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D87C7F1"/>
  <w15:chartTrackingRefBased/>
  <w15:docId w15:val="{BA6B74B6-E8EF-412A-920D-1868E9A3E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DM Sans" w:eastAsiaTheme="minorHAnsi" w:hAnsi="DM Sans" w:cs="Calibr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1E9C"/>
    <w:pPr>
      <w:spacing w:after="200" w:line="240" w:lineRule="auto"/>
    </w:pPr>
    <w:rPr>
      <w:rFonts w:ascii="Arial" w:hAnsi="Arial"/>
    </w:rPr>
  </w:style>
  <w:style w:type="paragraph" w:styleId="Heading1">
    <w:name w:val="heading 1"/>
    <w:basedOn w:val="Normal"/>
    <w:next w:val="Normal"/>
    <w:link w:val="Heading1Char"/>
    <w:uiPriority w:val="9"/>
    <w:qFormat/>
    <w:rsid w:val="00B45630"/>
    <w:pPr>
      <w:keepNext/>
      <w:keepLines/>
      <w:pageBreakBefore/>
      <w:numPr>
        <w:numId w:val="25"/>
      </w:numPr>
      <w:spacing w:after="360"/>
      <w:outlineLvl w:val="0"/>
    </w:pPr>
    <w:rPr>
      <w:rFonts w:asciiTheme="majorHAnsi" w:eastAsiaTheme="majorEastAsia" w:hAnsiTheme="majorHAnsi" w:cstheme="majorBidi"/>
      <w:b/>
      <w:color w:val="374264" w:themeColor="text2"/>
      <w:sz w:val="40"/>
      <w:szCs w:val="32"/>
    </w:rPr>
  </w:style>
  <w:style w:type="paragraph" w:styleId="Heading2">
    <w:name w:val="heading 2"/>
    <w:basedOn w:val="Normal"/>
    <w:next w:val="Normal"/>
    <w:link w:val="Heading2Char"/>
    <w:uiPriority w:val="9"/>
    <w:unhideWhenUsed/>
    <w:qFormat/>
    <w:rsid w:val="00B45630"/>
    <w:pPr>
      <w:keepNext/>
      <w:keepLines/>
      <w:numPr>
        <w:ilvl w:val="1"/>
        <w:numId w:val="25"/>
      </w:numPr>
      <w:spacing w:after="180"/>
      <w:outlineLvl w:val="1"/>
    </w:pPr>
    <w:rPr>
      <w:rFonts w:asciiTheme="majorHAnsi" w:eastAsiaTheme="majorEastAsia" w:hAnsiTheme="majorHAnsi" w:cstheme="majorBidi"/>
      <w:b/>
      <w:color w:val="356A91" w:themeColor="accent1"/>
      <w:sz w:val="32"/>
      <w:szCs w:val="26"/>
    </w:rPr>
  </w:style>
  <w:style w:type="paragraph" w:styleId="Heading3">
    <w:name w:val="heading 3"/>
    <w:basedOn w:val="Normal"/>
    <w:next w:val="Normal"/>
    <w:link w:val="Heading3Char"/>
    <w:uiPriority w:val="9"/>
    <w:unhideWhenUsed/>
    <w:qFormat/>
    <w:rsid w:val="00B45630"/>
    <w:pPr>
      <w:keepNext/>
      <w:keepLines/>
      <w:numPr>
        <w:ilvl w:val="2"/>
        <w:numId w:val="25"/>
      </w:numPr>
      <w:spacing w:after="180"/>
      <w:outlineLvl w:val="2"/>
    </w:pPr>
    <w:rPr>
      <w:rFonts w:asciiTheme="majorHAnsi" w:eastAsiaTheme="majorEastAsia" w:hAnsiTheme="majorHAnsi" w:cstheme="majorBidi"/>
      <w:color w:val="356A91" w:themeColor="accent1"/>
      <w:sz w:val="28"/>
      <w:szCs w:val="24"/>
    </w:rPr>
  </w:style>
  <w:style w:type="paragraph" w:styleId="Heading4">
    <w:name w:val="heading 4"/>
    <w:basedOn w:val="Normal"/>
    <w:next w:val="Normal"/>
    <w:link w:val="Heading4Char"/>
    <w:uiPriority w:val="9"/>
    <w:unhideWhenUsed/>
    <w:qFormat/>
    <w:rsid w:val="00C55B2F"/>
    <w:pPr>
      <w:keepNext/>
      <w:keepLines/>
      <w:spacing w:after="120"/>
      <w:outlineLvl w:val="3"/>
    </w:pPr>
    <w:rPr>
      <w:rFonts w:asciiTheme="majorHAnsi" w:eastAsiaTheme="majorEastAsia" w:hAnsiTheme="majorHAnsi" w:cstheme="majorBidi"/>
      <w:iCs/>
      <w:color w:val="356A91" w:themeColor="accent1"/>
      <w:sz w:val="26"/>
    </w:rPr>
  </w:style>
  <w:style w:type="paragraph" w:styleId="Heading5">
    <w:name w:val="heading 5"/>
    <w:basedOn w:val="Heading4"/>
    <w:next w:val="Normal"/>
    <w:link w:val="Heading5Char"/>
    <w:uiPriority w:val="9"/>
    <w:unhideWhenUsed/>
    <w:qFormat/>
    <w:rsid w:val="009455D3"/>
    <w:pPr>
      <w:outlineLvl w:val="4"/>
    </w:pPr>
    <w:rPr>
      <w:bCs/>
      <w:i/>
      <w:sz w:val="24"/>
    </w:rPr>
  </w:style>
  <w:style w:type="paragraph" w:styleId="Heading6">
    <w:name w:val="heading 6"/>
    <w:aliases w:val="Legal Level 1.,Level 5.1,Level 1,Bp,Numbered Points,level 1 bullet,RR level 6,PIM 6,bullet2,Sub Titles,DO NOT USE_h6,Bullet list,T1,Lev 6,6,Requirement,h6,Heading6,H6,Bullet list1,Bullet list2,Bullet list3,Bullet list4,Bullet list5,sub-dash,s"/>
    <w:basedOn w:val="Normal"/>
    <w:next w:val="Normal"/>
    <w:link w:val="Heading6Char"/>
    <w:unhideWhenUsed/>
    <w:qFormat/>
    <w:rsid w:val="0099029D"/>
    <w:pPr>
      <w:keepNext/>
      <w:keepLines/>
      <w:numPr>
        <w:ilvl w:val="5"/>
        <w:numId w:val="1"/>
      </w:numPr>
      <w:spacing w:before="40" w:after="0"/>
      <w:outlineLvl w:val="5"/>
    </w:pPr>
    <w:rPr>
      <w:rFonts w:asciiTheme="majorHAnsi" w:eastAsiaTheme="majorEastAsia" w:hAnsiTheme="majorHAnsi" w:cstheme="majorBidi"/>
      <w:color w:val="1A3447" w:themeColor="accent1" w:themeShade="7F"/>
    </w:rPr>
  </w:style>
  <w:style w:type="paragraph" w:styleId="Heading7">
    <w:name w:val="heading 7"/>
    <w:aliases w:val="Legal Level 1.1.,Nu,numbered point,RR level 7,PA Appendix Major,Main Body Text,L7,Lev 7,7,ExhibitTitle,Objective,heading7,req3,st,letter list,letter list1,letter list2,letter list3,letter list4,letter list5,letter list6,letter list7,letter li"/>
    <w:basedOn w:val="Normal"/>
    <w:next w:val="Normal"/>
    <w:link w:val="Heading7Char"/>
    <w:qFormat/>
    <w:rsid w:val="001C617B"/>
    <w:pPr>
      <w:numPr>
        <w:ilvl w:val="6"/>
        <w:numId w:val="1"/>
      </w:numPr>
      <w:tabs>
        <w:tab w:val="num" w:pos="1296"/>
      </w:tabs>
      <w:spacing w:before="240" w:after="60"/>
      <w:jc w:val="both"/>
      <w:outlineLvl w:val="6"/>
    </w:pPr>
    <w:rPr>
      <w:rFonts w:ascii="Times New Roman" w:eastAsia="Times New Roman" w:hAnsi="Times New Roman" w:cs="Times New Roman"/>
      <w:sz w:val="24"/>
      <w:szCs w:val="24"/>
      <w:lang w:eastAsia="en-GB"/>
    </w:rPr>
  </w:style>
  <w:style w:type="paragraph" w:styleId="Heading8">
    <w:name w:val="heading 8"/>
    <w:aliases w:val="Legal Level 1.1.1.,N (It),RR level 8,PA Appendix Minor,Lev 8,8,FigureTitle,Condition,requirement,req2,req,action,action1,action2,action3,action4,action5,action6,action7,action8,Center Bold,T8,Appendices Sub-Heading, action, action1, action2"/>
    <w:basedOn w:val="Normal"/>
    <w:next w:val="Normal"/>
    <w:link w:val="Heading8Char"/>
    <w:qFormat/>
    <w:rsid w:val="001C617B"/>
    <w:pPr>
      <w:numPr>
        <w:ilvl w:val="7"/>
        <w:numId w:val="1"/>
      </w:numPr>
      <w:tabs>
        <w:tab w:val="num" w:pos="1440"/>
      </w:tabs>
      <w:spacing w:before="240" w:after="60"/>
      <w:jc w:val="both"/>
      <w:outlineLvl w:val="7"/>
    </w:pPr>
    <w:rPr>
      <w:rFonts w:ascii="Times New Roman" w:eastAsia="Times New Roman" w:hAnsi="Times New Roman" w:cs="Times New Roman"/>
      <w:i/>
      <w:iCs/>
      <w:sz w:val="24"/>
      <w:szCs w:val="24"/>
      <w:lang w:eastAsia="en-GB"/>
    </w:rPr>
  </w:style>
  <w:style w:type="paragraph" w:styleId="Heading9">
    <w:name w:val="heading 9"/>
    <w:basedOn w:val="Normal"/>
    <w:next w:val="Normal"/>
    <w:link w:val="Heading9Char"/>
    <w:qFormat/>
    <w:rsid w:val="001C617B"/>
    <w:pPr>
      <w:numPr>
        <w:ilvl w:val="8"/>
        <w:numId w:val="1"/>
      </w:numPr>
      <w:tabs>
        <w:tab w:val="num" w:pos="1584"/>
      </w:tabs>
      <w:spacing w:before="240" w:after="60"/>
      <w:jc w:val="both"/>
      <w:outlineLvl w:val="8"/>
    </w:pPr>
    <w:rPr>
      <w:rFonts w:eastAsia="Times New Roman" w:cs="Arial"/>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46ED"/>
    <w:rPr>
      <w:rFonts w:asciiTheme="majorHAnsi" w:eastAsiaTheme="majorEastAsia" w:hAnsiTheme="majorHAnsi" w:cstheme="majorBidi"/>
      <w:b/>
      <w:color w:val="374264" w:themeColor="text2"/>
      <w:sz w:val="40"/>
      <w:szCs w:val="32"/>
    </w:rPr>
  </w:style>
  <w:style w:type="character" w:customStyle="1" w:styleId="Heading2Char">
    <w:name w:val="Heading 2 Char"/>
    <w:basedOn w:val="DefaultParagraphFont"/>
    <w:link w:val="Heading2"/>
    <w:uiPriority w:val="9"/>
    <w:rsid w:val="00DC6E99"/>
    <w:rPr>
      <w:rFonts w:asciiTheme="majorHAnsi" w:eastAsiaTheme="majorEastAsia" w:hAnsiTheme="majorHAnsi" w:cstheme="majorBidi"/>
      <w:b/>
      <w:color w:val="356A91" w:themeColor="accent1"/>
      <w:sz w:val="32"/>
      <w:szCs w:val="26"/>
    </w:rPr>
  </w:style>
  <w:style w:type="character" w:customStyle="1" w:styleId="Heading3Char">
    <w:name w:val="Heading 3 Char"/>
    <w:basedOn w:val="DefaultParagraphFont"/>
    <w:link w:val="Heading3"/>
    <w:uiPriority w:val="9"/>
    <w:rsid w:val="00D1661D"/>
    <w:rPr>
      <w:rFonts w:asciiTheme="majorHAnsi" w:eastAsiaTheme="majorEastAsia" w:hAnsiTheme="majorHAnsi" w:cstheme="majorBidi"/>
      <w:color w:val="356A91" w:themeColor="accent1"/>
      <w:sz w:val="28"/>
      <w:szCs w:val="24"/>
    </w:rPr>
  </w:style>
  <w:style w:type="character" w:customStyle="1" w:styleId="Heading4Char">
    <w:name w:val="Heading 4 Char"/>
    <w:basedOn w:val="DefaultParagraphFont"/>
    <w:link w:val="Heading4"/>
    <w:uiPriority w:val="9"/>
    <w:rsid w:val="00C55B2F"/>
    <w:rPr>
      <w:rFonts w:asciiTheme="majorHAnsi" w:eastAsiaTheme="majorEastAsia" w:hAnsiTheme="majorHAnsi" w:cstheme="majorBidi"/>
      <w:iCs/>
      <w:color w:val="356A91" w:themeColor="accent1"/>
      <w:sz w:val="26"/>
    </w:rPr>
  </w:style>
  <w:style w:type="paragraph" w:customStyle="1" w:styleId="bullet1">
    <w:name w:val="bullet 1"/>
    <w:basedOn w:val="Normal"/>
    <w:next w:val="NoSpacing"/>
    <w:rsid w:val="00AD3489"/>
    <w:pPr>
      <w:numPr>
        <w:numId w:val="2"/>
      </w:numPr>
      <w:tabs>
        <w:tab w:val="num" w:pos="360"/>
      </w:tabs>
      <w:spacing w:after="100"/>
      <w:ind w:left="0" w:firstLine="0"/>
    </w:pPr>
  </w:style>
  <w:style w:type="paragraph" w:customStyle="1" w:styleId="bullet2">
    <w:name w:val="bullet 2"/>
    <w:basedOn w:val="bullet1"/>
    <w:rsid w:val="009B40A6"/>
    <w:pPr>
      <w:numPr>
        <w:numId w:val="3"/>
      </w:numPr>
      <w:tabs>
        <w:tab w:val="num" w:pos="360"/>
      </w:tabs>
      <w:ind w:left="0" w:firstLine="0"/>
    </w:pPr>
  </w:style>
  <w:style w:type="paragraph" w:styleId="NoSpacing">
    <w:name w:val="No Spacing"/>
    <w:link w:val="NoSpacingChar"/>
    <w:uiPriority w:val="1"/>
    <w:qFormat/>
    <w:rsid w:val="00066F31"/>
    <w:pPr>
      <w:spacing w:after="0" w:line="240" w:lineRule="auto"/>
    </w:pPr>
    <w:rPr>
      <w:rFonts w:ascii="Arial" w:hAnsi="Arial"/>
    </w:rPr>
  </w:style>
  <w:style w:type="paragraph" w:styleId="Header">
    <w:name w:val="header"/>
    <w:basedOn w:val="Normal"/>
    <w:link w:val="HeaderChar"/>
    <w:uiPriority w:val="99"/>
    <w:unhideWhenUsed/>
    <w:rsid w:val="00E53CBD"/>
    <w:pPr>
      <w:tabs>
        <w:tab w:val="center" w:pos="4513"/>
        <w:tab w:val="right" w:pos="9026"/>
      </w:tabs>
      <w:spacing w:after="0"/>
    </w:pPr>
  </w:style>
  <w:style w:type="character" w:customStyle="1" w:styleId="HeaderChar">
    <w:name w:val="Header Char"/>
    <w:basedOn w:val="DefaultParagraphFont"/>
    <w:link w:val="Header"/>
    <w:uiPriority w:val="99"/>
    <w:rsid w:val="00E53CBD"/>
    <w:rPr>
      <w:rFonts w:ascii="Arial" w:hAnsi="Arial"/>
    </w:rPr>
  </w:style>
  <w:style w:type="paragraph" w:styleId="Footer">
    <w:name w:val="footer"/>
    <w:basedOn w:val="Normal"/>
    <w:link w:val="FooterChar"/>
    <w:uiPriority w:val="99"/>
    <w:unhideWhenUsed/>
    <w:rsid w:val="00E53CBD"/>
    <w:pPr>
      <w:tabs>
        <w:tab w:val="center" w:pos="4513"/>
        <w:tab w:val="right" w:pos="9026"/>
      </w:tabs>
      <w:spacing w:after="0"/>
    </w:pPr>
  </w:style>
  <w:style w:type="character" w:customStyle="1" w:styleId="FooterChar">
    <w:name w:val="Footer Char"/>
    <w:basedOn w:val="DefaultParagraphFont"/>
    <w:link w:val="Footer"/>
    <w:uiPriority w:val="99"/>
    <w:rsid w:val="00E53CBD"/>
    <w:rPr>
      <w:rFonts w:ascii="Arial" w:hAnsi="Arial"/>
    </w:rPr>
  </w:style>
  <w:style w:type="paragraph" w:styleId="TOC1">
    <w:name w:val="toc 1"/>
    <w:basedOn w:val="Normal"/>
    <w:next w:val="Normal"/>
    <w:autoRedefine/>
    <w:uiPriority w:val="39"/>
    <w:unhideWhenUsed/>
    <w:rsid w:val="005A79A1"/>
    <w:pPr>
      <w:keepNext/>
      <w:tabs>
        <w:tab w:val="right" w:leader="dot" w:pos="9016"/>
      </w:tabs>
      <w:spacing w:before="140" w:after="0"/>
      <w:ind w:left="567" w:hanging="567"/>
    </w:pPr>
    <w:rPr>
      <w:b/>
      <w:color w:val="AE2573" w:themeColor="accent5"/>
      <w:sz w:val="26"/>
    </w:rPr>
  </w:style>
  <w:style w:type="paragraph" w:styleId="TOC2">
    <w:name w:val="toc 2"/>
    <w:basedOn w:val="Normal"/>
    <w:next w:val="Normal"/>
    <w:autoRedefine/>
    <w:uiPriority w:val="39"/>
    <w:unhideWhenUsed/>
    <w:rsid w:val="005A79A1"/>
    <w:pPr>
      <w:tabs>
        <w:tab w:val="right" w:leader="dot" w:pos="9016"/>
      </w:tabs>
      <w:spacing w:before="100" w:after="0"/>
      <w:ind w:left="567" w:hanging="567"/>
    </w:pPr>
    <w:rPr>
      <w:b/>
      <w:color w:val="374264" w:themeColor="text2"/>
    </w:rPr>
  </w:style>
  <w:style w:type="character" w:styleId="Hyperlink">
    <w:name w:val="Hyperlink"/>
    <w:basedOn w:val="DefaultParagraphFont"/>
    <w:uiPriority w:val="99"/>
    <w:unhideWhenUsed/>
    <w:rsid w:val="00E53CBD"/>
    <w:rPr>
      <w:color w:val="0563C1" w:themeColor="hyperlink"/>
      <w:u w:val="single"/>
    </w:rPr>
  </w:style>
  <w:style w:type="paragraph" w:styleId="Title">
    <w:name w:val="Title"/>
    <w:basedOn w:val="Normal"/>
    <w:next w:val="Normal"/>
    <w:link w:val="TitleChar"/>
    <w:uiPriority w:val="10"/>
    <w:qFormat/>
    <w:rsid w:val="00CD7229"/>
    <w:pPr>
      <w:spacing w:after="0"/>
      <w:contextualSpacing/>
      <w:jc w:val="center"/>
    </w:pPr>
    <w:rPr>
      <w:rFonts w:asciiTheme="majorHAnsi" w:eastAsiaTheme="majorEastAsia" w:hAnsiTheme="majorHAnsi" w:cstheme="majorBidi"/>
      <w:color w:val="FFFFFF" w:themeColor="accent6"/>
      <w:spacing w:val="-10"/>
      <w:kern w:val="28"/>
      <w:sz w:val="40"/>
      <w:szCs w:val="56"/>
    </w:rPr>
  </w:style>
  <w:style w:type="character" w:customStyle="1" w:styleId="TitleChar">
    <w:name w:val="Title Char"/>
    <w:basedOn w:val="DefaultParagraphFont"/>
    <w:link w:val="Title"/>
    <w:uiPriority w:val="10"/>
    <w:rsid w:val="00CD7229"/>
    <w:rPr>
      <w:rFonts w:asciiTheme="majorHAnsi" w:eastAsiaTheme="majorEastAsia" w:hAnsiTheme="majorHAnsi" w:cstheme="majorBidi"/>
      <w:color w:val="FFFFFF" w:themeColor="accent6"/>
      <w:spacing w:val="-10"/>
      <w:kern w:val="28"/>
      <w:sz w:val="40"/>
      <w:szCs w:val="56"/>
    </w:rPr>
  </w:style>
  <w:style w:type="table" w:styleId="TableGrid">
    <w:name w:val="Table Grid"/>
    <w:basedOn w:val="TableNormal"/>
    <w:uiPriority w:val="39"/>
    <w:rsid w:val="004E699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text">
    <w:name w:val="table text"/>
    <w:basedOn w:val="Normal"/>
    <w:link w:val="tabletextChar"/>
    <w:qFormat/>
    <w:rsid w:val="00616B6F"/>
    <w:pPr>
      <w:spacing w:before="60" w:after="60"/>
    </w:pPr>
    <w:rPr>
      <w:sz w:val="20"/>
    </w:rPr>
  </w:style>
  <w:style w:type="paragraph" w:customStyle="1" w:styleId="Heading2ALT">
    <w:name w:val="Heading 2 ALT"/>
    <w:basedOn w:val="Heading2"/>
    <w:next w:val="Normal"/>
    <w:qFormat/>
    <w:rsid w:val="00B27690"/>
    <w:pPr>
      <w:numPr>
        <w:ilvl w:val="0"/>
        <w:numId w:val="0"/>
      </w:numPr>
    </w:pPr>
    <w:rPr>
      <w:b w:val="0"/>
      <w:bCs/>
    </w:rPr>
  </w:style>
  <w:style w:type="paragraph" w:styleId="TableofFigures">
    <w:name w:val="table of figures"/>
    <w:basedOn w:val="Normal"/>
    <w:next w:val="Normal"/>
    <w:uiPriority w:val="99"/>
    <w:unhideWhenUsed/>
    <w:rsid w:val="00D54DF5"/>
    <w:pPr>
      <w:tabs>
        <w:tab w:val="right" w:leader="dot" w:pos="4455"/>
      </w:tabs>
      <w:spacing w:before="100" w:after="0"/>
      <w:ind w:left="709" w:hanging="709"/>
    </w:pPr>
    <w:rPr>
      <w:noProof/>
      <w:sz w:val="18"/>
    </w:rPr>
  </w:style>
  <w:style w:type="character" w:customStyle="1" w:styleId="Heading5Char">
    <w:name w:val="Heading 5 Char"/>
    <w:basedOn w:val="DefaultParagraphFont"/>
    <w:link w:val="Heading5"/>
    <w:uiPriority w:val="9"/>
    <w:rsid w:val="009455D3"/>
    <w:rPr>
      <w:rFonts w:asciiTheme="majorHAnsi" w:eastAsiaTheme="majorEastAsia" w:hAnsiTheme="majorHAnsi" w:cstheme="majorBidi"/>
      <w:bCs/>
      <w:i/>
      <w:iCs/>
      <w:color w:val="356A91" w:themeColor="accent1"/>
      <w:sz w:val="24"/>
    </w:rPr>
  </w:style>
  <w:style w:type="paragraph" w:customStyle="1" w:styleId="Heading1ALT">
    <w:name w:val="Heading 1 ALT"/>
    <w:basedOn w:val="Heading1"/>
    <w:qFormat/>
    <w:rsid w:val="000846AD"/>
    <w:pPr>
      <w:numPr>
        <w:numId w:val="0"/>
      </w:numPr>
      <w:ind w:left="1134" w:hanging="1134"/>
    </w:pPr>
  </w:style>
  <w:style w:type="character" w:styleId="CommentReference">
    <w:name w:val="annotation reference"/>
    <w:basedOn w:val="DefaultParagraphFont"/>
    <w:uiPriority w:val="99"/>
    <w:unhideWhenUsed/>
    <w:rsid w:val="004C0015"/>
    <w:rPr>
      <w:sz w:val="16"/>
      <w:szCs w:val="16"/>
    </w:rPr>
  </w:style>
  <w:style w:type="paragraph" w:styleId="CommentText">
    <w:name w:val="annotation text"/>
    <w:basedOn w:val="Normal"/>
    <w:link w:val="CommentTextChar"/>
    <w:uiPriority w:val="99"/>
    <w:unhideWhenUsed/>
    <w:rsid w:val="004C0015"/>
    <w:pPr>
      <w:spacing w:before="120" w:after="120"/>
      <w:ind w:left="567"/>
    </w:pPr>
    <w:rPr>
      <w:rFonts w:eastAsia="Times New Roman" w:cs="Times New Roman"/>
      <w:color w:val="808080"/>
      <w:sz w:val="20"/>
      <w:szCs w:val="20"/>
      <w:lang w:eastAsia="en-GB"/>
    </w:rPr>
  </w:style>
  <w:style w:type="character" w:customStyle="1" w:styleId="CommentTextChar">
    <w:name w:val="Comment Text Char"/>
    <w:basedOn w:val="DefaultParagraphFont"/>
    <w:link w:val="CommentText"/>
    <w:uiPriority w:val="99"/>
    <w:rsid w:val="004C0015"/>
    <w:rPr>
      <w:rFonts w:ascii="Arial" w:eastAsia="Times New Roman" w:hAnsi="Arial" w:cs="Times New Roman"/>
      <w:color w:val="808080"/>
      <w:sz w:val="20"/>
      <w:szCs w:val="20"/>
      <w:lang w:eastAsia="en-GB"/>
    </w:rPr>
  </w:style>
  <w:style w:type="numbering" w:customStyle="1" w:styleId="LHPmainheadings1-3">
    <w:name w:val="LHP main headings (1-3)"/>
    <w:uiPriority w:val="99"/>
    <w:rsid w:val="00B45630"/>
    <w:pPr>
      <w:numPr>
        <w:numId w:val="22"/>
      </w:numPr>
    </w:pPr>
  </w:style>
  <w:style w:type="paragraph" w:customStyle="1" w:styleId="tablebulletsLHP">
    <w:name w:val="table bullets LHP"/>
    <w:basedOn w:val="ListParagraph"/>
    <w:qFormat/>
    <w:rsid w:val="00654E3F"/>
    <w:pPr>
      <w:numPr>
        <w:numId w:val="15"/>
      </w:numPr>
      <w:spacing w:before="60" w:after="60"/>
      <w:ind w:left="227" w:hanging="227"/>
      <w:contextualSpacing w:val="0"/>
    </w:pPr>
    <w:rPr>
      <w:rFonts w:ascii="Arial" w:hAnsi="Arial"/>
      <w:sz w:val="20"/>
      <w:szCs w:val="20"/>
    </w:rPr>
  </w:style>
  <w:style w:type="paragraph" w:customStyle="1" w:styleId="tablebullets">
    <w:name w:val="table bullets"/>
    <w:basedOn w:val="tabletext"/>
    <w:qFormat/>
    <w:rsid w:val="00B52105"/>
    <w:pPr>
      <w:numPr>
        <w:numId w:val="4"/>
      </w:numPr>
      <w:spacing w:after="40"/>
    </w:pPr>
  </w:style>
  <w:style w:type="paragraph" w:styleId="Caption">
    <w:name w:val="caption"/>
    <w:basedOn w:val="Normal"/>
    <w:next w:val="Normal"/>
    <w:link w:val="CaptionChar"/>
    <w:unhideWhenUsed/>
    <w:qFormat/>
    <w:rsid w:val="002A4D92"/>
    <w:pPr>
      <w:keepNext/>
      <w:spacing w:after="120"/>
      <w:ind w:left="993" w:hanging="993"/>
    </w:pPr>
    <w:rPr>
      <w:i/>
      <w:iCs/>
      <w:noProof/>
      <w:color w:val="29314A" w:themeColor="text2" w:themeShade="BF"/>
      <w:szCs w:val="18"/>
    </w:rPr>
  </w:style>
  <w:style w:type="character" w:customStyle="1" w:styleId="CaptionChar">
    <w:name w:val="Caption Char"/>
    <w:basedOn w:val="DefaultParagraphFont"/>
    <w:link w:val="Caption"/>
    <w:rsid w:val="002A4D92"/>
    <w:rPr>
      <w:rFonts w:ascii="Arial" w:hAnsi="Arial"/>
      <w:i/>
      <w:iCs/>
      <w:noProof/>
      <w:color w:val="29314A" w:themeColor="text2" w:themeShade="BF"/>
      <w:szCs w:val="18"/>
    </w:rPr>
  </w:style>
  <w:style w:type="paragraph" w:customStyle="1" w:styleId="Style1">
    <w:name w:val="Style1"/>
    <w:basedOn w:val="Heading3"/>
    <w:uiPriority w:val="99"/>
    <w:rsid w:val="00443409"/>
    <w:pPr>
      <w:keepLines w:val="0"/>
      <w:numPr>
        <w:numId w:val="5"/>
      </w:numPr>
      <w:tabs>
        <w:tab w:val="num" w:pos="1277"/>
        <w:tab w:val="num" w:pos="3545"/>
      </w:tabs>
      <w:spacing w:before="240" w:after="120"/>
      <w:ind w:left="1277" w:firstLine="0"/>
    </w:pPr>
    <w:rPr>
      <w:rFonts w:ascii="Tahoma" w:eastAsia="Times New Roman" w:hAnsi="Tahoma" w:cs="Tahoma"/>
      <w:bCs/>
      <w:i/>
      <w:iCs/>
      <w:color w:val="auto"/>
      <w:sz w:val="20"/>
      <w:szCs w:val="20"/>
      <w:lang w:eastAsia="en-GB"/>
    </w:rPr>
  </w:style>
  <w:style w:type="paragraph" w:styleId="FootnoteText">
    <w:name w:val="footnote text"/>
    <w:basedOn w:val="Normal"/>
    <w:link w:val="FootnoteTextChar"/>
    <w:uiPriority w:val="99"/>
    <w:semiHidden/>
    <w:unhideWhenUsed/>
    <w:rsid w:val="006A2C29"/>
    <w:pPr>
      <w:spacing w:after="0"/>
    </w:pPr>
    <w:rPr>
      <w:sz w:val="20"/>
      <w:szCs w:val="20"/>
    </w:rPr>
  </w:style>
  <w:style w:type="character" w:customStyle="1" w:styleId="FootnoteTextChar">
    <w:name w:val="Footnote Text Char"/>
    <w:basedOn w:val="DefaultParagraphFont"/>
    <w:link w:val="FootnoteText"/>
    <w:uiPriority w:val="99"/>
    <w:semiHidden/>
    <w:rsid w:val="006A2C29"/>
    <w:rPr>
      <w:rFonts w:ascii="Arial" w:hAnsi="Arial"/>
      <w:sz w:val="20"/>
      <w:szCs w:val="20"/>
    </w:rPr>
  </w:style>
  <w:style w:type="character" w:styleId="FootnoteReference">
    <w:name w:val="footnote reference"/>
    <w:basedOn w:val="DefaultParagraphFont"/>
    <w:uiPriority w:val="99"/>
    <w:semiHidden/>
    <w:unhideWhenUsed/>
    <w:rsid w:val="006A2C29"/>
    <w:rPr>
      <w:vertAlign w:val="superscript"/>
    </w:rPr>
  </w:style>
  <w:style w:type="character" w:customStyle="1" w:styleId="Heading6Char">
    <w:name w:val="Heading 6 Char"/>
    <w:aliases w:val="Legal Level 1. Char,Level 5.1 Char,Level 1 Char,Bp Char,Numbered Points Char,level 1 bullet Char,RR level 6 Char,PIM 6 Char,bullet2 Char,Sub Titles Char,DO NOT USE_h6 Char,Bullet list Char,T1 Char,Lev 6 Char,6 Char,Requirement Char,s Char"/>
    <w:basedOn w:val="DefaultParagraphFont"/>
    <w:link w:val="Heading6"/>
    <w:rsid w:val="0099029D"/>
    <w:rPr>
      <w:rFonts w:asciiTheme="majorHAnsi" w:eastAsiaTheme="majorEastAsia" w:hAnsiTheme="majorHAnsi" w:cstheme="majorBidi"/>
      <w:color w:val="1A3447" w:themeColor="accent1" w:themeShade="7F"/>
    </w:rPr>
  </w:style>
  <w:style w:type="paragraph" w:customStyle="1" w:styleId="Normal1">
    <w:name w:val="Normal1"/>
    <w:basedOn w:val="Normal"/>
    <w:qFormat/>
    <w:rsid w:val="00A04138"/>
    <w:pPr>
      <w:spacing w:after="180"/>
    </w:pPr>
  </w:style>
  <w:style w:type="paragraph" w:customStyle="1" w:styleId="ALTbullet1">
    <w:name w:val="ALT bullet 1"/>
    <w:basedOn w:val="bullet1"/>
    <w:rsid w:val="004F212E"/>
    <w:pPr>
      <w:ind w:left="426"/>
    </w:pPr>
  </w:style>
  <w:style w:type="paragraph" w:customStyle="1" w:styleId="Heading4ALT">
    <w:name w:val="Heading 4 ALT"/>
    <w:basedOn w:val="Heading4"/>
    <w:qFormat/>
    <w:rsid w:val="00DD4CC8"/>
    <w:pPr>
      <w:shd w:val="clear" w:color="auto" w:fill="F2F2F2" w:themeFill="accent6" w:themeFillShade="F2"/>
    </w:pPr>
  </w:style>
  <w:style w:type="paragraph" w:customStyle="1" w:styleId="Heading0">
    <w:name w:val="Heading 0"/>
    <w:basedOn w:val="Heading1"/>
    <w:rsid w:val="00D81168"/>
    <w:pPr>
      <w:numPr>
        <w:numId w:val="0"/>
      </w:numPr>
      <w:pBdr>
        <w:bottom w:val="single" w:sz="12" w:space="16" w:color="AE2573" w:themeColor="accent5"/>
      </w:pBdr>
      <w:spacing w:before="1200" w:after="240"/>
    </w:pPr>
    <w:rPr>
      <w:color w:val="AE2573" w:themeColor="accent5"/>
      <w:sz w:val="72"/>
    </w:rPr>
  </w:style>
  <w:style w:type="paragraph" w:styleId="TOC3">
    <w:name w:val="toc 3"/>
    <w:basedOn w:val="Normal"/>
    <w:next w:val="Normal"/>
    <w:autoRedefine/>
    <w:uiPriority w:val="39"/>
    <w:unhideWhenUsed/>
    <w:rsid w:val="00566F08"/>
    <w:pPr>
      <w:tabs>
        <w:tab w:val="left" w:pos="1134"/>
        <w:tab w:val="right" w:leader="dot" w:pos="9628"/>
      </w:tabs>
      <w:spacing w:before="60" w:after="0" w:line="228" w:lineRule="auto"/>
      <w:ind w:left="567" w:hanging="567"/>
    </w:pPr>
    <w:rPr>
      <w:sz w:val="18"/>
    </w:rPr>
  </w:style>
  <w:style w:type="paragraph" w:customStyle="1" w:styleId="Appendixtitles">
    <w:name w:val="Appendix titles"/>
    <w:basedOn w:val="Heading2ALT"/>
    <w:rsid w:val="00EB25D9"/>
    <w:rPr>
      <w:sz w:val="28"/>
    </w:rPr>
  </w:style>
  <w:style w:type="paragraph" w:styleId="CommentSubject">
    <w:name w:val="annotation subject"/>
    <w:basedOn w:val="CommentText"/>
    <w:next w:val="CommentText"/>
    <w:link w:val="CommentSubjectChar"/>
    <w:uiPriority w:val="99"/>
    <w:semiHidden/>
    <w:unhideWhenUsed/>
    <w:rsid w:val="006C5661"/>
    <w:pPr>
      <w:spacing w:before="0" w:after="240"/>
      <w:ind w:left="0"/>
    </w:pPr>
    <w:rPr>
      <w:rFonts w:eastAsiaTheme="minorHAnsi" w:cs="Calibri"/>
      <w:b/>
      <w:bCs/>
      <w:color w:val="auto"/>
      <w:lang w:eastAsia="en-US"/>
    </w:rPr>
  </w:style>
  <w:style w:type="character" w:customStyle="1" w:styleId="CommentSubjectChar">
    <w:name w:val="Comment Subject Char"/>
    <w:basedOn w:val="CommentTextChar"/>
    <w:link w:val="CommentSubject"/>
    <w:uiPriority w:val="99"/>
    <w:semiHidden/>
    <w:rsid w:val="006C5661"/>
    <w:rPr>
      <w:rFonts w:ascii="Arial" w:eastAsia="Times New Roman" w:hAnsi="Arial" w:cs="Times New Roman"/>
      <w:b/>
      <w:bCs/>
      <w:color w:val="808080"/>
      <w:sz w:val="20"/>
      <w:szCs w:val="20"/>
      <w:lang w:eastAsia="en-GB"/>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basedOn w:val="DefaultParagraphFont"/>
    <w:link w:val="ListParagraph"/>
    <w:uiPriority w:val="34"/>
    <w:qFormat/>
    <w:locked/>
    <w:rsid w:val="00AF00E5"/>
    <w:rPr>
      <w:rFonts w:asciiTheme="minorHAnsi" w:hAnsiTheme="minorHAnsi"/>
      <w:sz w:val="18"/>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B"/>
    <w:basedOn w:val="Normal"/>
    <w:link w:val="ListParagraphChar"/>
    <w:uiPriority w:val="34"/>
    <w:qFormat/>
    <w:rsid w:val="000171ED"/>
    <w:pPr>
      <w:numPr>
        <w:numId w:val="17"/>
      </w:numPr>
      <w:spacing w:after="0"/>
      <w:contextualSpacing/>
    </w:pPr>
    <w:rPr>
      <w:rFonts w:asciiTheme="minorHAnsi" w:hAnsiTheme="minorHAnsi"/>
      <w:sz w:val="18"/>
    </w:rPr>
  </w:style>
  <w:style w:type="character" w:styleId="FollowedHyperlink">
    <w:name w:val="FollowedHyperlink"/>
    <w:basedOn w:val="DefaultParagraphFont"/>
    <w:uiPriority w:val="99"/>
    <w:semiHidden/>
    <w:unhideWhenUsed/>
    <w:rsid w:val="00695B49"/>
    <w:rPr>
      <w:color w:val="954F72" w:themeColor="followedHyperlink"/>
      <w:u w:val="single"/>
    </w:rPr>
  </w:style>
  <w:style w:type="paragraph" w:customStyle="1" w:styleId="StyleHeading3ParaHeading3h3Centered3Tribalheading3111">
    <w:name w:val="Style Heading 3Para Heading 3h3Centered 3Tribal heading 31.1.1..."/>
    <w:basedOn w:val="Heading3"/>
    <w:rsid w:val="00013A23"/>
    <w:pPr>
      <w:keepLines w:val="0"/>
      <w:tabs>
        <w:tab w:val="num" w:pos="3545"/>
      </w:tabs>
      <w:spacing w:before="120" w:after="120"/>
      <w:ind w:left="360" w:hanging="360"/>
      <w:jc w:val="both"/>
    </w:pPr>
    <w:rPr>
      <w:rFonts w:ascii="Arial" w:eastAsia="Times New Roman" w:hAnsi="Arial" w:cs="Arial"/>
      <w:b/>
      <w:color w:val="auto"/>
      <w:sz w:val="22"/>
      <w:szCs w:val="26"/>
      <w:lang w:eastAsia="en-GB"/>
    </w:rPr>
  </w:style>
  <w:style w:type="character" w:customStyle="1" w:styleId="NoSpacingChar">
    <w:name w:val="No Spacing Char"/>
    <w:basedOn w:val="DefaultParagraphFont"/>
    <w:link w:val="NoSpacing"/>
    <w:uiPriority w:val="1"/>
    <w:rsid w:val="00013A23"/>
    <w:rPr>
      <w:rFonts w:ascii="Arial" w:hAnsi="Arial"/>
    </w:rPr>
  </w:style>
  <w:style w:type="character" w:customStyle="1" w:styleId="Heading7Char">
    <w:name w:val="Heading 7 Char"/>
    <w:aliases w:val="Legal Level 1.1. Char,Nu Char,numbered point Char,RR level 7 Char,PA Appendix Major Char,Main Body Text Char,L7 Char,Lev 7 Char,7 Char,ExhibitTitle Char,Objective Char,heading7 Char,req3 Char,st Char,letter list Char,letter list1 Char"/>
    <w:basedOn w:val="DefaultParagraphFont"/>
    <w:link w:val="Heading7"/>
    <w:rsid w:val="001C617B"/>
    <w:rPr>
      <w:rFonts w:ascii="Times New Roman" w:eastAsia="Times New Roman" w:hAnsi="Times New Roman" w:cs="Times New Roman"/>
      <w:sz w:val="24"/>
      <w:szCs w:val="24"/>
      <w:lang w:eastAsia="en-GB"/>
    </w:rPr>
  </w:style>
  <w:style w:type="character" w:customStyle="1" w:styleId="Heading8Char">
    <w:name w:val="Heading 8 Char"/>
    <w:aliases w:val="Legal Level 1.1.1. Char,N (It) Char,RR level 8 Char,PA Appendix Minor Char,Lev 8 Char,8 Char,FigureTitle Char,Condition Char,requirement Char,req2 Char,req Char,action Char,action1 Char,action2 Char,action3 Char,action4 Char,action5 Char"/>
    <w:basedOn w:val="DefaultParagraphFont"/>
    <w:link w:val="Heading8"/>
    <w:rsid w:val="001C617B"/>
    <w:rPr>
      <w:rFonts w:ascii="Times New Roman" w:eastAsia="Times New Roman" w:hAnsi="Times New Roman" w:cs="Times New Roman"/>
      <w:i/>
      <w:iCs/>
      <w:sz w:val="24"/>
      <w:szCs w:val="24"/>
      <w:lang w:eastAsia="en-GB"/>
    </w:rPr>
  </w:style>
  <w:style w:type="character" w:customStyle="1" w:styleId="Heading9Char">
    <w:name w:val="Heading 9 Char"/>
    <w:basedOn w:val="DefaultParagraphFont"/>
    <w:link w:val="Heading9"/>
    <w:rsid w:val="001C617B"/>
    <w:rPr>
      <w:rFonts w:ascii="Arial" w:eastAsia="Times New Roman" w:hAnsi="Arial" w:cs="Arial"/>
      <w:lang w:eastAsia="en-GB"/>
    </w:rPr>
  </w:style>
  <w:style w:type="paragraph" w:customStyle="1" w:styleId="2Bullet">
    <w:name w:val="2 Bullet"/>
    <w:basedOn w:val="Normal"/>
    <w:uiPriority w:val="99"/>
    <w:rsid w:val="001C617B"/>
    <w:pPr>
      <w:numPr>
        <w:ilvl w:val="1"/>
        <w:numId w:val="6"/>
      </w:numPr>
      <w:tabs>
        <w:tab w:val="left" w:pos="1134"/>
      </w:tabs>
      <w:spacing w:before="120" w:after="120" w:line="240" w:lineRule="atLeast"/>
      <w:jc w:val="both"/>
    </w:pPr>
    <w:rPr>
      <w:rFonts w:eastAsia="Times New Roman" w:cs="Times New Roman"/>
      <w:szCs w:val="24"/>
    </w:rPr>
  </w:style>
  <w:style w:type="paragraph" w:styleId="Revision">
    <w:name w:val="Revision"/>
    <w:hidden/>
    <w:uiPriority w:val="99"/>
    <w:semiHidden/>
    <w:rsid w:val="00AC4F98"/>
    <w:pPr>
      <w:spacing w:after="0" w:line="240" w:lineRule="auto"/>
    </w:pPr>
    <w:rPr>
      <w:rFonts w:ascii="Arial" w:hAnsi="Arial"/>
    </w:rPr>
  </w:style>
  <w:style w:type="paragraph" w:customStyle="1" w:styleId="paragraph">
    <w:name w:val="paragraph"/>
    <w:basedOn w:val="Normal"/>
    <w:rsid w:val="00401354"/>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tabletextChar">
    <w:name w:val="table text Char"/>
    <w:basedOn w:val="DefaultParagraphFont"/>
    <w:link w:val="tabletext"/>
    <w:rsid w:val="00616B6F"/>
    <w:rPr>
      <w:rFonts w:ascii="Arial" w:hAnsi="Arial"/>
      <w:sz w:val="20"/>
    </w:rPr>
  </w:style>
  <w:style w:type="paragraph" w:customStyle="1" w:styleId="tableheading">
    <w:name w:val="table heading"/>
    <w:basedOn w:val="Normal"/>
    <w:qFormat/>
    <w:rsid w:val="00701762"/>
    <w:pPr>
      <w:keepNext/>
      <w:spacing w:before="60" w:after="60"/>
    </w:pPr>
    <w:rPr>
      <w:rFonts w:asciiTheme="majorHAnsi" w:hAnsiTheme="majorHAnsi" w:cstheme="minorBidi"/>
      <w:b/>
      <w:sz w:val="20"/>
    </w:rPr>
  </w:style>
  <w:style w:type="character" w:styleId="Mention">
    <w:name w:val="Mention"/>
    <w:basedOn w:val="DefaultParagraphFont"/>
    <w:uiPriority w:val="99"/>
    <w:unhideWhenUsed/>
    <w:rsid w:val="002B2405"/>
    <w:rPr>
      <w:color w:val="2B579A"/>
      <w:shd w:val="clear" w:color="auto" w:fill="E1DFDD"/>
    </w:rPr>
  </w:style>
  <w:style w:type="paragraph" w:customStyle="1" w:styleId="bullets1">
    <w:name w:val="bullets 1"/>
    <w:basedOn w:val="ListParagraph"/>
    <w:next w:val="NoSpacing"/>
    <w:qFormat/>
    <w:rsid w:val="006A32D8"/>
    <w:pPr>
      <w:numPr>
        <w:numId w:val="21"/>
      </w:numPr>
      <w:spacing w:after="80"/>
      <w:contextualSpacing w:val="0"/>
    </w:pPr>
    <w:rPr>
      <w:rFonts w:cstheme="minorBidi"/>
      <w:sz w:val="22"/>
    </w:rPr>
  </w:style>
  <w:style w:type="character" w:customStyle="1" w:styleId="normaltextrun">
    <w:name w:val="normaltextrun"/>
    <w:basedOn w:val="DefaultParagraphFont"/>
    <w:rsid w:val="003379C6"/>
  </w:style>
  <w:style w:type="character" w:customStyle="1" w:styleId="eop">
    <w:name w:val="eop"/>
    <w:basedOn w:val="DefaultParagraphFont"/>
    <w:rsid w:val="003379C6"/>
  </w:style>
  <w:style w:type="paragraph" w:customStyle="1" w:styleId="reporttitle">
    <w:name w:val="report title"/>
    <w:basedOn w:val="Normal"/>
    <w:rsid w:val="002216CD"/>
    <w:pPr>
      <w:spacing w:after="480"/>
      <w:jc w:val="center"/>
    </w:pPr>
    <w:rPr>
      <w:rFonts w:asciiTheme="minorHAnsi" w:hAnsiTheme="minorHAnsi" w:cstheme="minorBidi"/>
      <w:color w:val="374264" w:themeColor="text2"/>
      <w:sz w:val="56"/>
      <w:szCs w:val="56"/>
    </w:rPr>
  </w:style>
  <w:style w:type="paragraph" w:customStyle="1" w:styleId="datecover">
    <w:name w:val="date (cover)"/>
    <w:basedOn w:val="Normal"/>
    <w:rsid w:val="002216CD"/>
    <w:pPr>
      <w:spacing w:after="480"/>
      <w:jc w:val="center"/>
    </w:pPr>
    <w:rPr>
      <w:rFonts w:asciiTheme="minorHAnsi" w:hAnsiTheme="minorHAnsi" w:cstheme="minorBidi"/>
      <w:color w:val="374264" w:themeColor="text2"/>
      <w:sz w:val="32"/>
      <w:szCs w:val="36"/>
    </w:rPr>
  </w:style>
  <w:style w:type="paragraph" w:customStyle="1" w:styleId="responsibilitybullets">
    <w:name w:val="responsibility bullets"/>
    <w:basedOn w:val="bullets1"/>
    <w:rsid w:val="002216CD"/>
    <w:pPr>
      <w:numPr>
        <w:numId w:val="7"/>
      </w:numPr>
      <w:spacing w:before="40" w:after="40" w:line="247" w:lineRule="auto"/>
    </w:pPr>
    <w:rPr>
      <w:sz w:val="20"/>
      <w:szCs w:val="20"/>
      <w:lang w:bidi="en-GB"/>
    </w:rPr>
  </w:style>
  <w:style w:type="paragraph" w:customStyle="1" w:styleId="TableParagraph">
    <w:name w:val="Table Paragraph"/>
    <w:basedOn w:val="Normal"/>
    <w:uiPriority w:val="1"/>
    <w:qFormat/>
    <w:rsid w:val="00EE5053"/>
    <w:pPr>
      <w:widowControl w:val="0"/>
      <w:autoSpaceDE w:val="0"/>
      <w:autoSpaceDN w:val="0"/>
      <w:spacing w:after="0"/>
      <w:ind w:left="105"/>
    </w:pPr>
    <w:rPr>
      <w:rFonts w:ascii="Arial MT" w:eastAsia="Arial MT" w:hAnsi="Arial MT" w:cs="Arial MT"/>
      <w:lang w:val="en-US"/>
    </w:rPr>
  </w:style>
  <w:style w:type="table" w:styleId="ListTable3-Accent1">
    <w:name w:val="List Table 3 Accent 1"/>
    <w:basedOn w:val="TableNormal"/>
    <w:uiPriority w:val="48"/>
    <w:rsid w:val="00E44BFE"/>
    <w:pPr>
      <w:spacing w:after="0" w:line="240" w:lineRule="auto"/>
    </w:pPr>
    <w:rPr>
      <w:rFonts w:ascii="Calibri Light" w:hAnsi="Calibri Light" w:cstheme="minorBidi"/>
    </w:rPr>
    <w:tblPr>
      <w:tblStyleRowBandSize w:val="1"/>
      <w:tblStyleColBandSize w:val="1"/>
      <w:tblInd w:w="0" w:type="nil"/>
      <w:tblBorders>
        <w:top w:val="single" w:sz="4" w:space="0" w:color="356A91" w:themeColor="accent1"/>
        <w:left w:val="single" w:sz="4" w:space="0" w:color="356A91" w:themeColor="accent1"/>
        <w:bottom w:val="single" w:sz="4" w:space="0" w:color="356A91" w:themeColor="accent1"/>
        <w:right w:val="single" w:sz="4" w:space="0" w:color="356A91" w:themeColor="accent1"/>
      </w:tblBorders>
    </w:tblPr>
    <w:tblStylePr w:type="firstRow">
      <w:rPr>
        <w:b/>
        <w:bCs/>
        <w:color w:val="FFFFFF" w:themeColor="background1"/>
      </w:rPr>
      <w:tblPr/>
      <w:tcPr>
        <w:shd w:val="clear" w:color="auto" w:fill="356A91" w:themeFill="accent1"/>
      </w:tcPr>
    </w:tblStylePr>
    <w:tblStylePr w:type="lastRow">
      <w:rPr>
        <w:b/>
        <w:bCs/>
      </w:rPr>
      <w:tblPr/>
      <w:tcPr>
        <w:tcBorders>
          <w:top w:val="double" w:sz="4" w:space="0" w:color="356A91"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356A91" w:themeColor="accent1"/>
          <w:right w:val="single" w:sz="4" w:space="0" w:color="356A91" w:themeColor="accent1"/>
        </w:tcBorders>
      </w:tcPr>
    </w:tblStylePr>
    <w:tblStylePr w:type="band1Horz">
      <w:tblPr/>
      <w:tcPr>
        <w:tcBorders>
          <w:top w:val="single" w:sz="4" w:space="0" w:color="356A91" w:themeColor="accent1"/>
          <w:bottom w:val="single" w:sz="4" w:space="0" w:color="356A91"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356A91" w:themeColor="accent1"/>
          <w:left w:val="nil"/>
        </w:tcBorders>
      </w:tcPr>
    </w:tblStylePr>
    <w:tblStylePr w:type="swCell">
      <w:tblPr/>
      <w:tcPr>
        <w:tcBorders>
          <w:top w:val="double" w:sz="4" w:space="0" w:color="356A91" w:themeColor="accent1"/>
          <w:right w:val="nil"/>
        </w:tcBorders>
      </w:tcPr>
    </w:tblStylePr>
  </w:style>
  <w:style w:type="paragraph" w:customStyle="1" w:styleId="Bullets">
    <w:name w:val="Bullets"/>
    <w:basedOn w:val="bullet1"/>
    <w:rsid w:val="00454639"/>
    <w:pPr>
      <w:numPr>
        <w:numId w:val="8"/>
      </w:numPr>
      <w:autoSpaceDN w:val="0"/>
    </w:pPr>
    <w:rPr>
      <w:rFonts w:ascii="Calibri" w:eastAsia="DM Sans" w:hAnsi="Calibri"/>
    </w:rPr>
  </w:style>
  <w:style w:type="paragraph" w:customStyle="1" w:styleId="Subbullet">
    <w:name w:val="Sub bullet"/>
    <w:basedOn w:val="bullet2"/>
    <w:rsid w:val="00454639"/>
    <w:pPr>
      <w:numPr>
        <w:numId w:val="18"/>
      </w:numPr>
      <w:autoSpaceDN w:val="0"/>
    </w:pPr>
    <w:rPr>
      <w:rFonts w:ascii="Calibri" w:eastAsia="DM Sans" w:hAnsi="Calibri"/>
    </w:rPr>
  </w:style>
  <w:style w:type="numbering" w:customStyle="1" w:styleId="LFO15">
    <w:name w:val="LFO15"/>
    <w:basedOn w:val="NoList"/>
    <w:rsid w:val="00454639"/>
    <w:pPr>
      <w:numPr>
        <w:numId w:val="11"/>
      </w:numPr>
    </w:pPr>
  </w:style>
  <w:style w:type="numbering" w:customStyle="1" w:styleId="LFO18">
    <w:name w:val="LFO18"/>
    <w:basedOn w:val="NoList"/>
    <w:rsid w:val="00454639"/>
    <w:pPr>
      <w:numPr>
        <w:numId w:val="12"/>
      </w:numPr>
    </w:pPr>
  </w:style>
  <w:style w:type="numbering" w:customStyle="1" w:styleId="LFO25">
    <w:name w:val="LFO25"/>
    <w:basedOn w:val="NoList"/>
    <w:rsid w:val="00454639"/>
    <w:pPr>
      <w:numPr>
        <w:numId w:val="9"/>
      </w:numPr>
    </w:pPr>
  </w:style>
  <w:style w:type="numbering" w:customStyle="1" w:styleId="LFO16">
    <w:name w:val="LFO16"/>
    <w:basedOn w:val="NoList"/>
    <w:rsid w:val="004B3BB1"/>
    <w:pPr>
      <w:numPr>
        <w:numId w:val="19"/>
      </w:numPr>
    </w:pPr>
  </w:style>
  <w:style w:type="numbering" w:customStyle="1" w:styleId="WWOutlineListStyle3">
    <w:name w:val="WW_OutlineListStyle_3"/>
    <w:basedOn w:val="NoList"/>
    <w:rsid w:val="00E07486"/>
    <w:pPr>
      <w:numPr>
        <w:numId w:val="10"/>
      </w:numPr>
    </w:pPr>
  </w:style>
  <w:style w:type="paragraph" w:styleId="BodyText">
    <w:name w:val="Body Text"/>
    <w:basedOn w:val="Normal"/>
    <w:link w:val="BodyTextChar"/>
    <w:rsid w:val="00E07486"/>
    <w:pPr>
      <w:numPr>
        <w:numId w:val="28"/>
      </w:numPr>
      <w:suppressAutoHyphens/>
      <w:autoSpaceDN w:val="0"/>
      <w:spacing w:after="120"/>
      <w:textAlignment w:val="baseline"/>
    </w:pPr>
    <w:rPr>
      <w:rFonts w:eastAsia="Times New Roman" w:cs="Times New Roman"/>
      <w:sz w:val="24"/>
      <w:szCs w:val="24"/>
    </w:rPr>
  </w:style>
  <w:style w:type="character" w:customStyle="1" w:styleId="BodyTextChar">
    <w:name w:val="Body Text Char"/>
    <w:basedOn w:val="DefaultParagraphFont"/>
    <w:link w:val="BodyText"/>
    <w:rsid w:val="00E07486"/>
    <w:rPr>
      <w:rFonts w:ascii="Arial" w:eastAsia="Times New Roman" w:hAnsi="Arial" w:cs="Times New Roman"/>
      <w:sz w:val="24"/>
      <w:szCs w:val="24"/>
    </w:rPr>
  </w:style>
  <w:style w:type="character" w:styleId="UnresolvedMention">
    <w:name w:val="Unresolved Mention"/>
    <w:basedOn w:val="DefaultParagraphFont"/>
    <w:uiPriority w:val="99"/>
    <w:semiHidden/>
    <w:unhideWhenUsed/>
    <w:rsid w:val="007F56F7"/>
    <w:rPr>
      <w:color w:val="605E5C"/>
      <w:shd w:val="clear" w:color="auto" w:fill="E1DFDD"/>
    </w:rPr>
  </w:style>
  <w:style w:type="paragraph" w:styleId="NormalWeb">
    <w:name w:val="Normal (Web)"/>
    <w:basedOn w:val="Normal"/>
    <w:uiPriority w:val="99"/>
    <w:unhideWhenUsed/>
    <w:rsid w:val="00515FCE"/>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bullets2">
    <w:name w:val="bullets 2"/>
    <w:basedOn w:val="bullets1"/>
    <w:next w:val="NoSpacing"/>
    <w:qFormat/>
    <w:rsid w:val="00933404"/>
    <w:pPr>
      <w:numPr>
        <w:ilvl w:val="1"/>
      </w:numPr>
    </w:pPr>
    <w:rPr>
      <w:rFonts w:ascii="Arial" w:eastAsia="Times New Roman" w:hAnsi="Arial" w:cs="Times New Roman"/>
      <w:szCs w:val="24"/>
      <w:lang w:eastAsia="en-GB"/>
    </w:rPr>
  </w:style>
  <w:style w:type="paragraph" w:customStyle="1" w:styleId="bullets3">
    <w:name w:val="bullets 3"/>
    <w:basedOn w:val="bullets2"/>
    <w:next w:val="NoSpacing"/>
    <w:qFormat/>
    <w:rsid w:val="00933404"/>
    <w:pPr>
      <w:numPr>
        <w:ilvl w:val="2"/>
      </w:numPr>
    </w:pPr>
  </w:style>
  <w:style w:type="paragraph" w:customStyle="1" w:styleId="numbernormal">
    <w:name w:val="number normal"/>
    <w:basedOn w:val="ListParagraph"/>
    <w:qFormat/>
    <w:rsid w:val="003306A1"/>
    <w:pPr>
      <w:spacing w:after="200"/>
      <w:ind w:left="709" w:hanging="709"/>
      <w:contextualSpacing w:val="0"/>
    </w:pPr>
    <w:rPr>
      <w:rFonts w:ascii="Arial" w:eastAsia="Times New Roman" w:hAnsi="Arial" w:cs="Times New Roman"/>
      <w:szCs w:val="24"/>
      <w:lang w:eastAsia="en-GB"/>
    </w:rPr>
  </w:style>
  <w:style w:type="numbering" w:customStyle="1" w:styleId="LHPBullets">
    <w:name w:val="LHP Bullets"/>
    <w:uiPriority w:val="99"/>
    <w:rsid w:val="00F03B19"/>
    <w:pPr>
      <w:numPr>
        <w:numId w:val="20"/>
      </w:numPr>
    </w:pPr>
  </w:style>
  <w:style w:type="character" w:styleId="PlaceholderText">
    <w:name w:val="Placeholder Text"/>
    <w:basedOn w:val="DefaultParagraphFont"/>
    <w:uiPriority w:val="99"/>
    <w:semiHidden/>
    <w:rsid w:val="0088345D"/>
    <w:rPr>
      <w:color w:val="808080"/>
    </w:rPr>
  </w:style>
  <w:style w:type="numbering" w:customStyle="1" w:styleId="MainHeadings">
    <w:name w:val="Main Headings"/>
    <w:uiPriority w:val="99"/>
    <w:rsid w:val="0088345D"/>
    <w:pPr>
      <w:numPr>
        <w:numId w:val="13"/>
      </w:numPr>
    </w:pPr>
  </w:style>
  <w:style w:type="numbering" w:customStyle="1" w:styleId="LlantrisatHP">
    <w:name w:val="Llantrisat HP"/>
    <w:uiPriority w:val="99"/>
    <w:rsid w:val="001C0372"/>
    <w:pPr>
      <w:numPr>
        <w:numId w:val="16"/>
      </w:numPr>
    </w:pPr>
  </w:style>
  <w:style w:type="paragraph" w:customStyle="1" w:styleId="priorities">
    <w:name w:val="priorities"/>
    <w:basedOn w:val="Normal"/>
    <w:qFormat/>
    <w:rsid w:val="00ED78B9"/>
    <w:pPr>
      <w:spacing w:before="40" w:after="40"/>
    </w:pPr>
    <w:rPr>
      <w:b/>
      <w:bCs/>
      <w:color w:val="2C4295"/>
    </w:rPr>
  </w:style>
  <w:style w:type="paragraph" w:customStyle="1" w:styleId="pf0">
    <w:name w:val="pf0"/>
    <w:basedOn w:val="Normal"/>
    <w:rsid w:val="00CA6D6F"/>
    <w:pPr>
      <w:spacing w:before="100" w:beforeAutospacing="1" w:after="100" w:afterAutospacing="1"/>
    </w:pPr>
    <w:rPr>
      <w:rFonts w:ascii="Times New Roman" w:eastAsia="Times New Roman" w:hAnsi="Times New Roman" w:cs="Times New Roman"/>
      <w:sz w:val="24"/>
      <w:szCs w:val="24"/>
      <w:lang w:eastAsia="en-GB"/>
    </w:rPr>
  </w:style>
  <w:style w:type="paragraph" w:customStyle="1" w:styleId="tablebullets9pt">
    <w:name w:val="table bullets 9pt"/>
    <w:basedOn w:val="tablebulletsLHP"/>
    <w:qFormat/>
    <w:rsid w:val="006E5618"/>
    <w:rPr>
      <w:sz w:val="18"/>
      <w:szCs w:val="18"/>
    </w:rPr>
  </w:style>
  <w:style w:type="table" w:customStyle="1" w:styleId="TableGrid0">
    <w:name w:val="TableGrid"/>
    <w:rsid w:val="00595566"/>
    <w:pPr>
      <w:spacing w:after="0" w:line="240" w:lineRule="auto"/>
    </w:pPr>
    <w:rPr>
      <w:rFonts w:asciiTheme="minorHAnsi" w:eastAsiaTheme="minorEastAsia" w:hAnsiTheme="minorHAnsi" w:cstheme="minorBidi"/>
      <w:lang w:eastAsia="en-GB"/>
    </w:rPr>
    <w:tblPr>
      <w:tblCellMar>
        <w:top w:w="0" w:type="dxa"/>
        <w:left w:w="0" w:type="dxa"/>
        <w:bottom w:w="0" w:type="dxa"/>
        <w:right w:w="0" w:type="dxa"/>
      </w:tblCellMar>
    </w:tblPr>
  </w:style>
  <w:style w:type="paragraph" w:customStyle="1" w:styleId="p1">
    <w:name w:val="p1"/>
    <w:basedOn w:val="Normal"/>
    <w:rsid w:val="00595566"/>
    <w:pPr>
      <w:spacing w:before="100" w:beforeAutospacing="1" w:after="100" w:afterAutospacing="1"/>
    </w:pPr>
    <w:rPr>
      <w:rFonts w:ascii="Calibri" w:hAnsi="Calibri"/>
      <w:lang w:eastAsia="en-GB"/>
    </w:rPr>
  </w:style>
  <w:style w:type="paragraph" w:customStyle="1" w:styleId="p2">
    <w:name w:val="p2"/>
    <w:basedOn w:val="Normal"/>
    <w:rsid w:val="00595566"/>
    <w:pPr>
      <w:spacing w:before="100" w:beforeAutospacing="1" w:after="100" w:afterAutospacing="1"/>
    </w:pPr>
    <w:rPr>
      <w:rFonts w:ascii="Calibri" w:hAnsi="Calibri"/>
      <w:lang w:eastAsia="en-GB"/>
    </w:rPr>
  </w:style>
  <w:style w:type="paragraph" w:customStyle="1" w:styleId="p3">
    <w:name w:val="p3"/>
    <w:basedOn w:val="Normal"/>
    <w:rsid w:val="00595566"/>
    <w:pPr>
      <w:spacing w:before="100" w:beforeAutospacing="1" w:after="100" w:afterAutospacing="1"/>
    </w:pPr>
    <w:rPr>
      <w:rFonts w:ascii="Calibri" w:hAnsi="Calibri"/>
      <w:lang w:eastAsia="en-GB"/>
    </w:rPr>
  </w:style>
  <w:style w:type="paragraph" w:customStyle="1" w:styleId="p4">
    <w:name w:val="p4"/>
    <w:basedOn w:val="Normal"/>
    <w:rsid w:val="00595566"/>
    <w:pPr>
      <w:spacing w:before="100" w:beforeAutospacing="1" w:after="100" w:afterAutospacing="1"/>
    </w:pPr>
    <w:rPr>
      <w:rFonts w:ascii="Calibri" w:hAnsi="Calibri"/>
      <w:lang w:eastAsia="en-GB"/>
    </w:rPr>
  </w:style>
  <w:style w:type="paragraph" w:customStyle="1" w:styleId="p5">
    <w:name w:val="p5"/>
    <w:basedOn w:val="Normal"/>
    <w:rsid w:val="00595566"/>
    <w:pPr>
      <w:spacing w:before="100" w:beforeAutospacing="1" w:after="100" w:afterAutospacing="1"/>
    </w:pPr>
    <w:rPr>
      <w:rFonts w:ascii="Calibri" w:hAnsi="Calibri"/>
      <w:lang w:eastAsia="en-GB"/>
    </w:rPr>
  </w:style>
  <w:style w:type="table" w:customStyle="1" w:styleId="TableGrid1">
    <w:name w:val="TableGrid1"/>
    <w:rsid w:val="00595566"/>
    <w:pPr>
      <w:spacing w:after="0" w:line="240" w:lineRule="auto"/>
    </w:pPr>
    <w:rPr>
      <w:rFonts w:asciiTheme="minorHAnsi" w:eastAsiaTheme="minorEastAsia" w:hAnsiTheme="minorHAnsi" w:cstheme="minorBidi"/>
      <w:lang w:eastAsia="en-GB"/>
    </w:rPr>
    <w:tblPr>
      <w:tblCellMar>
        <w:top w:w="0" w:type="dxa"/>
        <w:left w:w="0" w:type="dxa"/>
        <w:bottom w:w="0" w:type="dxa"/>
        <w:right w:w="0" w:type="dxa"/>
      </w:tblCellMar>
    </w:tblPr>
  </w:style>
  <w:style w:type="paragraph" w:customStyle="1" w:styleId="normalnumbered">
    <w:name w:val="normal numbered"/>
    <w:basedOn w:val="Normal"/>
    <w:qFormat/>
    <w:rsid w:val="000025E1"/>
    <w:pPr>
      <w:spacing w:after="180"/>
      <w:ind w:left="992" w:hanging="992"/>
    </w:pPr>
  </w:style>
  <w:style w:type="paragraph" w:customStyle="1" w:styleId="notestoberemovedoncompletion">
    <w:name w:val="notes (to be removed on completion)"/>
    <w:basedOn w:val="Normal"/>
    <w:next w:val="NoSpacing"/>
    <w:rsid w:val="00F81EC8"/>
    <w:pPr>
      <w:shd w:val="clear" w:color="auto" w:fill="F2F2F2" w:themeFill="accent6" w:themeFillShade="F2"/>
      <w:spacing w:after="120"/>
    </w:pPr>
    <w:rPr>
      <w:rFonts w:asciiTheme="majorHAnsi" w:hAnsiTheme="majorHAnsi" w:cstheme="minorBidi"/>
      <w:i/>
      <w:color w:val="FF0000"/>
    </w:rPr>
  </w:style>
  <w:style w:type="numbering" w:customStyle="1" w:styleId="HUEVbullets">
    <w:name w:val="HUEV bullets"/>
    <w:uiPriority w:val="99"/>
    <w:rsid w:val="00F81EC8"/>
    <w:pPr>
      <w:numPr>
        <w:numId w:val="14"/>
      </w:numPr>
    </w:pPr>
  </w:style>
  <w:style w:type="character" w:customStyle="1" w:styleId="SubtitleChar">
    <w:name w:val="Subtitle Char"/>
    <w:basedOn w:val="DefaultParagraphFont"/>
    <w:link w:val="Subtitle"/>
    <w:uiPriority w:val="11"/>
    <w:rsid w:val="001640ED"/>
    <w:rPr>
      <w:rFonts w:ascii="Arial" w:eastAsiaTheme="minorEastAsia" w:hAnsi="Arial" w:cstheme="majorEastAsia"/>
      <w:color w:val="2A96FF"/>
      <w:sz w:val="28"/>
      <w:szCs w:val="28"/>
    </w:rPr>
  </w:style>
  <w:style w:type="paragraph" w:styleId="Subtitle">
    <w:name w:val="Subtitle"/>
    <w:basedOn w:val="Normal"/>
    <w:next w:val="Normal"/>
    <w:link w:val="SubtitleChar"/>
    <w:uiPriority w:val="11"/>
    <w:qFormat/>
    <w:rsid w:val="09E16D90"/>
    <w:rPr>
      <w:rFonts w:eastAsiaTheme="minorEastAsia" w:cstheme="majorEastAsia"/>
      <w:color w:val="2A96FF"/>
      <w:sz w:val="28"/>
      <w:szCs w:val="28"/>
    </w:rPr>
  </w:style>
  <w:style w:type="character" w:customStyle="1" w:styleId="SubtitleChar1">
    <w:name w:val="Subtitle Char1"/>
    <w:basedOn w:val="DefaultParagraphFont"/>
    <w:uiPriority w:val="11"/>
    <w:rsid w:val="001640ED"/>
    <w:rPr>
      <w:rFonts w:asciiTheme="minorHAnsi" w:eastAsiaTheme="minorEastAsia" w:hAnsiTheme="minorHAnsi" w:cstheme="minorBidi"/>
      <w:color w:val="2C97FF" w:themeColor="text1" w:themeTint="A5"/>
      <w:spacing w:val="15"/>
    </w:rPr>
  </w:style>
  <w:style w:type="numbering" w:customStyle="1" w:styleId="LHPbullets0">
    <w:name w:val="LHP bullets"/>
    <w:uiPriority w:val="99"/>
    <w:rsid w:val="00851B29"/>
    <w:pPr>
      <w:numPr>
        <w:numId w:val="21"/>
      </w:numPr>
    </w:pPr>
  </w:style>
  <w:style w:type="paragraph" w:customStyle="1" w:styleId="H3alt">
    <w:name w:val="H3 alt"/>
    <w:basedOn w:val="Heading3"/>
    <w:qFormat/>
    <w:rsid w:val="00521D89"/>
    <w:pPr>
      <w:numPr>
        <w:ilvl w:val="0"/>
        <w:numId w:val="0"/>
      </w:numPr>
      <w:shd w:val="clear" w:color="auto" w:fill="E6F0F6"/>
    </w:pPr>
    <w:rPr>
      <w:color w:val="auto"/>
    </w:rPr>
  </w:style>
  <w:style w:type="paragraph" w:styleId="BalloonText">
    <w:name w:val="Balloon Text"/>
    <w:basedOn w:val="Normal"/>
    <w:link w:val="BalloonTextChar"/>
    <w:uiPriority w:val="99"/>
    <w:semiHidden/>
    <w:unhideWhenUsed/>
    <w:rsid w:val="00AC256F"/>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256F"/>
    <w:rPr>
      <w:rFonts w:ascii="Segoe UI" w:hAnsi="Segoe UI" w:cs="Segoe UI"/>
      <w:sz w:val="18"/>
      <w:szCs w:val="18"/>
    </w:rPr>
  </w:style>
  <w:style w:type="character" w:styleId="Strong">
    <w:name w:val="Strong"/>
    <w:basedOn w:val="DefaultParagraphFont"/>
    <w:uiPriority w:val="22"/>
    <w:qFormat/>
    <w:rsid w:val="0058024A"/>
    <w:rPr>
      <w:b/>
      <w:bCs/>
    </w:rPr>
  </w:style>
  <w:style w:type="character" w:styleId="Emphasis">
    <w:name w:val="Emphasis"/>
    <w:basedOn w:val="DefaultParagraphFont"/>
    <w:uiPriority w:val="20"/>
    <w:qFormat/>
    <w:rsid w:val="00042B5D"/>
    <w:rPr>
      <w:i/>
      <w:iCs/>
    </w:rPr>
  </w:style>
  <w:style w:type="numbering" w:customStyle="1" w:styleId="LHPmainheadings1-31">
    <w:name w:val="LHP main headings (1-3)1"/>
    <w:rsid w:val="00D0101F"/>
  </w:style>
  <w:style w:type="numbering" w:customStyle="1" w:styleId="LHPbullets1">
    <w:name w:val="LHP bullets1"/>
    <w:rsid w:val="00D0101F"/>
  </w:style>
  <w:style w:type="paragraph" w:styleId="Quote">
    <w:name w:val="Quote"/>
    <w:basedOn w:val="Normal"/>
    <w:next w:val="Normal"/>
    <w:link w:val="QuoteChar"/>
    <w:uiPriority w:val="29"/>
    <w:qFormat/>
    <w:rsid w:val="000710B6"/>
    <w:pPr>
      <w:spacing w:before="160"/>
      <w:jc w:val="center"/>
    </w:pPr>
    <w:rPr>
      <w:i/>
      <w:iCs/>
      <w:color w:val="0A87FF" w:themeColor="text1" w:themeTint="BF"/>
    </w:rPr>
  </w:style>
  <w:style w:type="character" w:customStyle="1" w:styleId="QuoteChar">
    <w:name w:val="Quote Char"/>
    <w:basedOn w:val="DefaultParagraphFont"/>
    <w:link w:val="Quote"/>
    <w:uiPriority w:val="29"/>
    <w:rsid w:val="000710B6"/>
    <w:rPr>
      <w:rFonts w:ascii="Arial" w:hAnsi="Arial"/>
      <w:i/>
      <w:iCs/>
      <w:color w:val="0A87FF" w:themeColor="text1" w:themeTint="BF"/>
    </w:rPr>
  </w:style>
  <w:style w:type="character" w:styleId="IntenseEmphasis">
    <w:name w:val="Intense Emphasis"/>
    <w:basedOn w:val="DefaultParagraphFont"/>
    <w:uiPriority w:val="21"/>
    <w:qFormat/>
    <w:rsid w:val="000710B6"/>
    <w:rPr>
      <w:i/>
      <w:iCs/>
      <w:color w:val="274E6C" w:themeColor="accent1" w:themeShade="BF"/>
    </w:rPr>
  </w:style>
  <w:style w:type="paragraph" w:styleId="IntenseQuote">
    <w:name w:val="Intense Quote"/>
    <w:basedOn w:val="Normal"/>
    <w:next w:val="Normal"/>
    <w:link w:val="IntenseQuoteChar"/>
    <w:uiPriority w:val="30"/>
    <w:qFormat/>
    <w:rsid w:val="000710B6"/>
    <w:pPr>
      <w:pBdr>
        <w:top w:val="single" w:sz="4" w:space="10" w:color="274E6C" w:themeColor="accent1" w:themeShade="BF"/>
        <w:bottom w:val="single" w:sz="4" w:space="10" w:color="274E6C" w:themeColor="accent1" w:themeShade="BF"/>
      </w:pBdr>
      <w:spacing w:before="360" w:after="360"/>
      <w:ind w:left="864" w:right="864"/>
      <w:jc w:val="center"/>
    </w:pPr>
    <w:rPr>
      <w:i/>
      <w:iCs/>
      <w:color w:val="274E6C" w:themeColor="accent1" w:themeShade="BF"/>
    </w:rPr>
  </w:style>
  <w:style w:type="character" w:customStyle="1" w:styleId="IntenseQuoteChar">
    <w:name w:val="Intense Quote Char"/>
    <w:basedOn w:val="DefaultParagraphFont"/>
    <w:link w:val="IntenseQuote"/>
    <w:uiPriority w:val="30"/>
    <w:rsid w:val="000710B6"/>
    <w:rPr>
      <w:rFonts w:ascii="Arial" w:hAnsi="Arial"/>
      <w:i/>
      <w:iCs/>
      <w:color w:val="274E6C" w:themeColor="accent1" w:themeShade="BF"/>
    </w:rPr>
  </w:style>
  <w:style w:type="character" w:styleId="IntenseReference">
    <w:name w:val="Intense Reference"/>
    <w:basedOn w:val="DefaultParagraphFont"/>
    <w:uiPriority w:val="32"/>
    <w:qFormat/>
    <w:rsid w:val="000710B6"/>
    <w:rPr>
      <w:b/>
      <w:bCs/>
      <w:smallCaps/>
      <w:color w:val="274E6C" w:themeColor="accent1" w:themeShade="BF"/>
      <w:spacing w:val="5"/>
    </w:rPr>
  </w:style>
  <w:style w:type="paragraph" w:customStyle="1" w:styleId="letteredlist">
    <w:name w:val="lettered list"/>
    <w:basedOn w:val="ListParagraph"/>
    <w:qFormat/>
    <w:rsid w:val="00AB6A4C"/>
    <w:pPr>
      <w:numPr>
        <w:ilvl w:val="1"/>
        <w:numId w:val="28"/>
      </w:numPr>
      <w:spacing w:after="120"/>
      <w:contextualSpacing w:val="0"/>
    </w:pPr>
    <w:rPr>
      <w:rFonts w:eastAsia="Times New Roman"/>
      <w:sz w:val="22"/>
      <w:szCs w:val="28"/>
    </w:rPr>
  </w:style>
  <w:style w:type="numbering" w:customStyle="1" w:styleId="lettered">
    <w:name w:val="lettered"/>
    <w:uiPriority w:val="99"/>
    <w:rsid w:val="00AB6A4C"/>
    <w:pPr>
      <w:numPr>
        <w:numId w:val="2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401542">
      <w:bodyDiv w:val="1"/>
      <w:marLeft w:val="0"/>
      <w:marRight w:val="0"/>
      <w:marTop w:val="0"/>
      <w:marBottom w:val="0"/>
      <w:divBdr>
        <w:top w:val="none" w:sz="0" w:space="0" w:color="auto"/>
        <w:left w:val="none" w:sz="0" w:space="0" w:color="auto"/>
        <w:bottom w:val="none" w:sz="0" w:space="0" w:color="auto"/>
        <w:right w:val="none" w:sz="0" w:space="0" w:color="auto"/>
      </w:divBdr>
    </w:div>
    <w:div w:id="59520659">
      <w:bodyDiv w:val="1"/>
      <w:marLeft w:val="0"/>
      <w:marRight w:val="0"/>
      <w:marTop w:val="0"/>
      <w:marBottom w:val="0"/>
      <w:divBdr>
        <w:top w:val="none" w:sz="0" w:space="0" w:color="auto"/>
        <w:left w:val="none" w:sz="0" w:space="0" w:color="auto"/>
        <w:bottom w:val="none" w:sz="0" w:space="0" w:color="auto"/>
        <w:right w:val="none" w:sz="0" w:space="0" w:color="auto"/>
      </w:divBdr>
      <w:divsChild>
        <w:div w:id="196163659">
          <w:marLeft w:val="446"/>
          <w:marRight w:val="0"/>
          <w:marTop w:val="0"/>
          <w:marBottom w:val="0"/>
          <w:divBdr>
            <w:top w:val="none" w:sz="0" w:space="0" w:color="auto"/>
            <w:left w:val="none" w:sz="0" w:space="0" w:color="auto"/>
            <w:bottom w:val="none" w:sz="0" w:space="0" w:color="auto"/>
            <w:right w:val="none" w:sz="0" w:space="0" w:color="auto"/>
          </w:divBdr>
        </w:div>
        <w:div w:id="295377905">
          <w:marLeft w:val="446"/>
          <w:marRight w:val="0"/>
          <w:marTop w:val="0"/>
          <w:marBottom w:val="0"/>
          <w:divBdr>
            <w:top w:val="none" w:sz="0" w:space="0" w:color="auto"/>
            <w:left w:val="none" w:sz="0" w:space="0" w:color="auto"/>
            <w:bottom w:val="none" w:sz="0" w:space="0" w:color="auto"/>
            <w:right w:val="none" w:sz="0" w:space="0" w:color="auto"/>
          </w:divBdr>
        </w:div>
        <w:div w:id="2145585924">
          <w:marLeft w:val="446"/>
          <w:marRight w:val="0"/>
          <w:marTop w:val="0"/>
          <w:marBottom w:val="0"/>
          <w:divBdr>
            <w:top w:val="none" w:sz="0" w:space="0" w:color="auto"/>
            <w:left w:val="none" w:sz="0" w:space="0" w:color="auto"/>
            <w:bottom w:val="none" w:sz="0" w:space="0" w:color="auto"/>
            <w:right w:val="none" w:sz="0" w:space="0" w:color="auto"/>
          </w:divBdr>
        </w:div>
      </w:divsChild>
    </w:div>
    <w:div w:id="81606312">
      <w:bodyDiv w:val="1"/>
      <w:marLeft w:val="0"/>
      <w:marRight w:val="0"/>
      <w:marTop w:val="0"/>
      <w:marBottom w:val="0"/>
      <w:divBdr>
        <w:top w:val="none" w:sz="0" w:space="0" w:color="auto"/>
        <w:left w:val="none" w:sz="0" w:space="0" w:color="auto"/>
        <w:bottom w:val="none" w:sz="0" w:space="0" w:color="auto"/>
        <w:right w:val="none" w:sz="0" w:space="0" w:color="auto"/>
      </w:divBdr>
      <w:divsChild>
        <w:div w:id="893002265">
          <w:marLeft w:val="446"/>
          <w:marRight w:val="0"/>
          <w:marTop w:val="0"/>
          <w:marBottom w:val="0"/>
          <w:divBdr>
            <w:top w:val="none" w:sz="0" w:space="0" w:color="auto"/>
            <w:left w:val="none" w:sz="0" w:space="0" w:color="auto"/>
            <w:bottom w:val="none" w:sz="0" w:space="0" w:color="auto"/>
            <w:right w:val="none" w:sz="0" w:space="0" w:color="auto"/>
          </w:divBdr>
        </w:div>
        <w:div w:id="1166748895">
          <w:marLeft w:val="446"/>
          <w:marRight w:val="0"/>
          <w:marTop w:val="0"/>
          <w:marBottom w:val="0"/>
          <w:divBdr>
            <w:top w:val="none" w:sz="0" w:space="0" w:color="auto"/>
            <w:left w:val="none" w:sz="0" w:space="0" w:color="auto"/>
            <w:bottom w:val="none" w:sz="0" w:space="0" w:color="auto"/>
            <w:right w:val="none" w:sz="0" w:space="0" w:color="auto"/>
          </w:divBdr>
        </w:div>
        <w:div w:id="1373387058">
          <w:marLeft w:val="446"/>
          <w:marRight w:val="0"/>
          <w:marTop w:val="0"/>
          <w:marBottom w:val="0"/>
          <w:divBdr>
            <w:top w:val="none" w:sz="0" w:space="0" w:color="auto"/>
            <w:left w:val="none" w:sz="0" w:space="0" w:color="auto"/>
            <w:bottom w:val="none" w:sz="0" w:space="0" w:color="auto"/>
            <w:right w:val="none" w:sz="0" w:space="0" w:color="auto"/>
          </w:divBdr>
        </w:div>
        <w:div w:id="1711605723">
          <w:marLeft w:val="446"/>
          <w:marRight w:val="0"/>
          <w:marTop w:val="0"/>
          <w:marBottom w:val="0"/>
          <w:divBdr>
            <w:top w:val="none" w:sz="0" w:space="0" w:color="auto"/>
            <w:left w:val="none" w:sz="0" w:space="0" w:color="auto"/>
            <w:bottom w:val="none" w:sz="0" w:space="0" w:color="auto"/>
            <w:right w:val="none" w:sz="0" w:space="0" w:color="auto"/>
          </w:divBdr>
        </w:div>
        <w:div w:id="2103529603">
          <w:marLeft w:val="446"/>
          <w:marRight w:val="0"/>
          <w:marTop w:val="0"/>
          <w:marBottom w:val="0"/>
          <w:divBdr>
            <w:top w:val="none" w:sz="0" w:space="0" w:color="auto"/>
            <w:left w:val="none" w:sz="0" w:space="0" w:color="auto"/>
            <w:bottom w:val="none" w:sz="0" w:space="0" w:color="auto"/>
            <w:right w:val="none" w:sz="0" w:space="0" w:color="auto"/>
          </w:divBdr>
        </w:div>
      </w:divsChild>
    </w:div>
    <w:div w:id="132410680">
      <w:bodyDiv w:val="1"/>
      <w:marLeft w:val="0"/>
      <w:marRight w:val="0"/>
      <w:marTop w:val="0"/>
      <w:marBottom w:val="0"/>
      <w:divBdr>
        <w:top w:val="none" w:sz="0" w:space="0" w:color="auto"/>
        <w:left w:val="none" w:sz="0" w:space="0" w:color="auto"/>
        <w:bottom w:val="none" w:sz="0" w:space="0" w:color="auto"/>
        <w:right w:val="none" w:sz="0" w:space="0" w:color="auto"/>
      </w:divBdr>
    </w:div>
    <w:div w:id="163055698">
      <w:bodyDiv w:val="1"/>
      <w:marLeft w:val="0"/>
      <w:marRight w:val="0"/>
      <w:marTop w:val="0"/>
      <w:marBottom w:val="0"/>
      <w:divBdr>
        <w:top w:val="none" w:sz="0" w:space="0" w:color="auto"/>
        <w:left w:val="none" w:sz="0" w:space="0" w:color="auto"/>
        <w:bottom w:val="none" w:sz="0" w:space="0" w:color="auto"/>
        <w:right w:val="none" w:sz="0" w:space="0" w:color="auto"/>
      </w:divBdr>
    </w:div>
    <w:div w:id="197671199">
      <w:bodyDiv w:val="1"/>
      <w:marLeft w:val="0"/>
      <w:marRight w:val="0"/>
      <w:marTop w:val="0"/>
      <w:marBottom w:val="0"/>
      <w:divBdr>
        <w:top w:val="none" w:sz="0" w:space="0" w:color="auto"/>
        <w:left w:val="none" w:sz="0" w:space="0" w:color="auto"/>
        <w:bottom w:val="none" w:sz="0" w:space="0" w:color="auto"/>
        <w:right w:val="none" w:sz="0" w:space="0" w:color="auto"/>
      </w:divBdr>
    </w:div>
    <w:div w:id="237448004">
      <w:bodyDiv w:val="1"/>
      <w:marLeft w:val="0"/>
      <w:marRight w:val="0"/>
      <w:marTop w:val="0"/>
      <w:marBottom w:val="0"/>
      <w:divBdr>
        <w:top w:val="none" w:sz="0" w:space="0" w:color="auto"/>
        <w:left w:val="none" w:sz="0" w:space="0" w:color="auto"/>
        <w:bottom w:val="none" w:sz="0" w:space="0" w:color="auto"/>
        <w:right w:val="none" w:sz="0" w:space="0" w:color="auto"/>
      </w:divBdr>
    </w:div>
    <w:div w:id="238712129">
      <w:bodyDiv w:val="1"/>
      <w:marLeft w:val="0"/>
      <w:marRight w:val="0"/>
      <w:marTop w:val="0"/>
      <w:marBottom w:val="0"/>
      <w:divBdr>
        <w:top w:val="none" w:sz="0" w:space="0" w:color="auto"/>
        <w:left w:val="none" w:sz="0" w:space="0" w:color="auto"/>
        <w:bottom w:val="none" w:sz="0" w:space="0" w:color="auto"/>
        <w:right w:val="none" w:sz="0" w:space="0" w:color="auto"/>
      </w:divBdr>
    </w:div>
    <w:div w:id="320740532">
      <w:bodyDiv w:val="1"/>
      <w:marLeft w:val="0"/>
      <w:marRight w:val="0"/>
      <w:marTop w:val="0"/>
      <w:marBottom w:val="0"/>
      <w:divBdr>
        <w:top w:val="none" w:sz="0" w:space="0" w:color="auto"/>
        <w:left w:val="none" w:sz="0" w:space="0" w:color="auto"/>
        <w:bottom w:val="none" w:sz="0" w:space="0" w:color="auto"/>
        <w:right w:val="none" w:sz="0" w:space="0" w:color="auto"/>
      </w:divBdr>
    </w:div>
    <w:div w:id="337805104">
      <w:bodyDiv w:val="1"/>
      <w:marLeft w:val="0"/>
      <w:marRight w:val="0"/>
      <w:marTop w:val="0"/>
      <w:marBottom w:val="0"/>
      <w:divBdr>
        <w:top w:val="none" w:sz="0" w:space="0" w:color="auto"/>
        <w:left w:val="none" w:sz="0" w:space="0" w:color="auto"/>
        <w:bottom w:val="none" w:sz="0" w:space="0" w:color="auto"/>
        <w:right w:val="none" w:sz="0" w:space="0" w:color="auto"/>
      </w:divBdr>
    </w:div>
    <w:div w:id="338701919">
      <w:bodyDiv w:val="1"/>
      <w:marLeft w:val="0"/>
      <w:marRight w:val="0"/>
      <w:marTop w:val="0"/>
      <w:marBottom w:val="0"/>
      <w:divBdr>
        <w:top w:val="none" w:sz="0" w:space="0" w:color="auto"/>
        <w:left w:val="none" w:sz="0" w:space="0" w:color="auto"/>
        <w:bottom w:val="none" w:sz="0" w:space="0" w:color="auto"/>
        <w:right w:val="none" w:sz="0" w:space="0" w:color="auto"/>
      </w:divBdr>
    </w:div>
    <w:div w:id="344526786">
      <w:bodyDiv w:val="1"/>
      <w:marLeft w:val="0"/>
      <w:marRight w:val="0"/>
      <w:marTop w:val="0"/>
      <w:marBottom w:val="0"/>
      <w:divBdr>
        <w:top w:val="none" w:sz="0" w:space="0" w:color="auto"/>
        <w:left w:val="none" w:sz="0" w:space="0" w:color="auto"/>
        <w:bottom w:val="none" w:sz="0" w:space="0" w:color="auto"/>
        <w:right w:val="none" w:sz="0" w:space="0" w:color="auto"/>
      </w:divBdr>
    </w:div>
    <w:div w:id="348723477">
      <w:bodyDiv w:val="1"/>
      <w:marLeft w:val="0"/>
      <w:marRight w:val="0"/>
      <w:marTop w:val="0"/>
      <w:marBottom w:val="0"/>
      <w:divBdr>
        <w:top w:val="none" w:sz="0" w:space="0" w:color="auto"/>
        <w:left w:val="none" w:sz="0" w:space="0" w:color="auto"/>
        <w:bottom w:val="none" w:sz="0" w:space="0" w:color="auto"/>
        <w:right w:val="none" w:sz="0" w:space="0" w:color="auto"/>
      </w:divBdr>
    </w:div>
    <w:div w:id="410077732">
      <w:bodyDiv w:val="1"/>
      <w:marLeft w:val="0"/>
      <w:marRight w:val="0"/>
      <w:marTop w:val="0"/>
      <w:marBottom w:val="0"/>
      <w:divBdr>
        <w:top w:val="none" w:sz="0" w:space="0" w:color="auto"/>
        <w:left w:val="none" w:sz="0" w:space="0" w:color="auto"/>
        <w:bottom w:val="none" w:sz="0" w:space="0" w:color="auto"/>
        <w:right w:val="none" w:sz="0" w:space="0" w:color="auto"/>
      </w:divBdr>
    </w:div>
    <w:div w:id="421145488">
      <w:bodyDiv w:val="1"/>
      <w:marLeft w:val="0"/>
      <w:marRight w:val="0"/>
      <w:marTop w:val="0"/>
      <w:marBottom w:val="0"/>
      <w:divBdr>
        <w:top w:val="none" w:sz="0" w:space="0" w:color="auto"/>
        <w:left w:val="none" w:sz="0" w:space="0" w:color="auto"/>
        <w:bottom w:val="none" w:sz="0" w:space="0" w:color="auto"/>
        <w:right w:val="none" w:sz="0" w:space="0" w:color="auto"/>
      </w:divBdr>
    </w:div>
    <w:div w:id="467674272">
      <w:bodyDiv w:val="1"/>
      <w:marLeft w:val="0"/>
      <w:marRight w:val="0"/>
      <w:marTop w:val="0"/>
      <w:marBottom w:val="0"/>
      <w:divBdr>
        <w:top w:val="none" w:sz="0" w:space="0" w:color="auto"/>
        <w:left w:val="none" w:sz="0" w:space="0" w:color="auto"/>
        <w:bottom w:val="none" w:sz="0" w:space="0" w:color="auto"/>
        <w:right w:val="none" w:sz="0" w:space="0" w:color="auto"/>
      </w:divBdr>
    </w:div>
    <w:div w:id="502168526">
      <w:bodyDiv w:val="1"/>
      <w:marLeft w:val="0"/>
      <w:marRight w:val="0"/>
      <w:marTop w:val="0"/>
      <w:marBottom w:val="0"/>
      <w:divBdr>
        <w:top w:val="none" w:sz="0" w:space="0" w:color="auto"/>
        <w:left w:val="none" w:sz="0" w:space="0" w:color="auto"/>
        <w:bottom w:val="none" w:sz="0" w:space="0" w:color="auto"/>
        <w:right w:val="none" w:sz="0" w:space="0" w:color="auto"/>
      </w:divBdr>
    </w:div>
    <w:div w:id="506795251">
      <w:bodyDiv w:val="1"/>
      <w:marLeft w:val="0"/>
      <w:marRight w:val="0"/>
      <w:marTop w:val="0"/>
      <w:marBottom w:val="0"/>
      <w:divBdr>
        <w:top w:val="none" w:sz="0" w:space="0" w:color="auto"/>
        <w:left w:val="none" w:sz="0" w:space="0" w:color="auto"/>
        <w:bottom w:val="none" w:sz="0" w:space="0" w:color="auto"/>
        <w:right w:val="none" w:sz="0" w:space="0" w:color="auto"/>
      </w:divBdr>
    </w:div>
    <w:div w:id="540093021">
      <w:bodyDiv w:val="1"/>
      <w:marLeft w:val="0"/>
      <w:marRight w:val="0"/>
      <w:marTop w:val="0"/>
      <w:marBottom w:val="0"/>
      <w:divBdr>
        <w:top w:val="none" w:sz="0" w:space="0" w:color="auto"/>
        <w:left w:val="none" w:sz="0" w:space="0" w:color="auto"/>
        <w:bottom w:val="none" w:sz="0" w:space="0" w:color="auto"/>
        <w:right w:val="none" w:sz="0" w:space="0" w:color="auto"/>
      </w:divBdr>
    </w:div>
    <w:div w:id="555048535">
      <w:bodyDiv w:val="1"/>
      <w:marLeft w:val="0"/>
      <w:marRight w:val="0"/>
      <w:marTop w:val="0"/>
      <w:marBottom w:val="0"/>
      <w:divBdr>
        <w:top w:val="none" w:sz="0" w:space="0" w:color="auto"/>
        <w:left w:val="none" w:sz="0" w:space="0" w:color="auto"/>
        <w:bottom w:val="none" w:sz="0" w:space="0" w:color="auto"/>
        <w:right w:val="none" w:sz="0" w:space="0" w:color="auto"/>
      </w:divBdr>
    </w:div>
    <w:div w:id="648023620">
      <w:bodyDiv w:val="1"/>
      <w:marLeft w:val="0"/>
      <w:marRight w:val="0"/>
      <w:marTop w:val="0"/>
      <w:marBottom w:val="0"/>
      <w:divBdr>
        <w:top w:val="none" w:sz="0" w:space="0" w:color="auto"/>
        <w:left w:val="none" w:sz="0" w:space="0" w:color="auto"/>
        <w:bottom w:val="none" w:sz="0" w:space="0" w:color="auto"/>
        <w:right w:val="none" w:sz="0" w:space="0" w:color="auto"/>
      </w:divBdr>
    </w:div>
    <w:div w:id="662440444">
      <w:bodyDiv w:val="1"/>
      <w:marLeft w:val="0"/>
      <w:marRight w:val="0"/>
      <w:marTop w:val="0"/>
      <w:marBottom w:val="0"/>
      <w:divBdr>
        <w:top w:val="none" w:sz="0" w:space="0" w:color="auto"/>
        <w:left w:val="none" w:sz="0" w:space="0" w:color="auto"/>
        <w:bottom w:val="none" w:sz="0" w:space="0" w:color="auto"/>
        <w:right w:val="none" w:sz="0" w:space="0" w:color="auto"/>
      </w:divBdr>
      <w:divsChild>
        <w:div w:id="1080562416">
          <w:marLeft w:val="446"/>
          <w:marRight w:val="0"/>
          <w:marTop w:val="0"/>
          <w:marBottom w:val="0"/>
          <w:divBdr>
            <w:top w:val="none" w:sz="0" w:space="0" w:color="auto"/>
            <w:left w:val="none" w:sz="0" w:space="0" w:color="auto"/>
            <w:bottom w:val="none" w:sz="0" w:space="0" w:color="auto"/>
            <w:right w:val="none" w:sz="0" w:space="0" w:color="auto"/>
          </w:divBdr>
        </w:div>
        <w:div w:id="1736707571">
          <w:marLeft w:val="446"/>
          <w:marRight w:val="0"/>
          <w:marTop w:val="0"/>
          <w:marBottom w:val="0"/>
          <w:divBdr>
            <w:top w:val="none" w:sz="0" w:space="0" w:color="auto"/>
            <w:left w:val="none" w:sz="0" w:space="0" w:color="auto"/>
            <w:bottom w:val="none" w:sz="0" w:space="0" w:color="auto"/>
            <w:right w:val="none" w:sz="0" w:space="0" w:color="auto"/>
          </w:divBdr>
        </w:div>
        <w:div w:id="1769423698">
          <w:marLeft w:val="446"/>
          <w:marRight w:val="0"/>
          <w:marTop w:val="0"/>
          <w:marBottom w:val="0"/>
          <w:divBdr>
            <w:top w:val="none" w:sz="0" w:space="0" w:color="auto"/>
            <w:left w:val="none" w:sz="0" w:space="0" w:color="auto"/>
            <w:bottom w:val="none" w:sz="0" w:space="0" w:color="auto"/>
            <w:right w:val="none" w:sz="0" w:space="0" w:color="auto"/>
          </w:divBdr>
        </w:div>
      </w:divsChild>
    </w:div>
    <w:div w:id="684022355">
      <w:bodyDiv w:val="1"/>
      <w:marLeft w:val="0"/>
      <w:marRight w:val="0"/>
      <w:marTop w:val="0"/>
      <w:marBottom w:val="0"/>
      <w:divBdr>
        <w:top w:val="none" w:sz="0" w:space="0" w:color="auto"/>
        <w:left w:val="none" w:sz="0" w:space="0" w:color="auto"/>
        <w:bottom w:val="none" w:sz="0" w:space="0" w:color="auto"/>
        <w:right w:val="none" w:sz="0" w:space="0" w:color="auto"/>
      </w:divBdr>
    </w:div>
    <w:div w:id="804930711">
      <w:bodyDiv w:val="1"/>
      <w:marLeft w:val="0"/>
      <w:marRight w:val="0"/>
      <w:marTop w:val="0"/>
      <w:marBottom w:val="0"/>
      <w:divBdr>
        <w:top w:val="none" w:sz="0" w:space="0" w:color="auto"/>
        <w:left w:val="none" w:sz="0" w:space="0" w:color="auto"/>
        <w:bottom w:val="none" w:sz="0" w:space="0" w:color="auto"/>
        <w:right w:val="none" w:sz="0" w:space="0" w:color="auto"/>
      </w:divBdr>
    </w:div>
    <w:div w:id="845637369">
      <w:bodyDiv w:val="1"/>
      <w:marLeft w:val="0"/>
      <w:marRight w:val="0"/>
      <w:marTop w:val="0"/>
      <w:marBottom w:val="0"/>
      <w:divBdr>
        <w:top w:val="none" w:sz="0" w:space="0" w:color="auto"/>
        <w:left w:val="none" w:sz="0" w:space="0" w:color="auto"/>
        <w:bottom w:val="none" w:sz="0" w:space="0" w:color="auto"/>
        <w:right w:val="none" w:sz="0" w:space="0" w:color="auto"/>
      </w:divBdr>
      <w:divsChild>
        <w:div w:id="35745217">
          <w:marLeft w:val="446"/>
          <w:marRight w:val="0"/>
          <w:marTop w:val="0"/>
          <w:marBottom w:val="0"/>
          <w:divBdr>
            <w:top w:val="none" w:sz="0" w:space="0" w:color="auto"/>
            <w:left w:val="none" w:sz="0" w:space="0" w:color="auto"/>
            <w:bottom w:val="none" w:sz="0" w:space="0" w:color="auto"/>
            <w:right w:val="none" w:sz="0" w:space="0" w:color="auto"/>
          </w:divBdr>
        </w:div>
        <w:div w:id="244843978">
          <w:marLeft w:val="446"/>
          <w:marRight w:val="0"/>
          <w:marTop w:val="0"/>
          <w:marBottom w:val="0"/>
          <w:divBdr>
            <w:top w:val="none" w:sz="0" w:space="0" w:color="auto"/>
            <w:left w:val="none" w:sz="0" w:space="0" w:color="auto"/>
            <w:bottom w:val="none" w:sz="0" w:space="0" w:color="auto"/>
            <w:right w:val="none" w:sz="0" w:space="0" w:color="auto"/>
          </w:divBdr>
        </w:div>
        <w:div w:id="530803230">
          <w:marLeft w:val="446"/>
          <w:marRight w:val="0"/>
          <w:marTop w:val="0"/>
          <w:marBottom w:val="0"/>
          <w:divBdr>
            <w:top w:val="none" w:sz="0" w:space="0" w:color="auto"/>
            <w:left w:val="none" w:sz="0" w:space="0" w:color="auto"/>
            <w:bottom w:val="none" w:sz="0" w:space="0" w:color="auto"/>
            <w:right w:val="none" w:sz="0" w:space="0" w:color="auto"/>
          </w:divBdr>
        </w:div>
        <w:div w:id="1856185403">
          <w:marLeft w:val="446"/>
          <w:marRight w:val="0"/>
          <w:marTop w:val="0"/>
          <w:marBottom w:val="0"/>
          <w:divBdr>
            <w:top w:val="none" w:sz="0" w:space="0" w:color="auto"/>
            <w:left w:val="none" w:sz="0" w:space="0" w:color="auto"/>
            <w:bottom w:val="none" w:sz="0" w:space="0" w:color="auto"/>
            <w:right w:val="none" w:sz="0" w:space="0" w:color="auto"/>
          </w:divBdr>
        </w:div>
        <w:div w:id="2029016151">
          <w:marLeft w:val="446"/>
          <w:marRight w:val="0"/>
          <w:marTop w:val="0"/>
          <w:marBottom w:val="0"/>
          <w:divBdr>
            <w:top w:val="none" w:sz="0" w:space="0" w:color="auto"/>
            <w:left w:val="none" w:sz="0" w:space="0" w:color="auto"/>
            <w:bottom w:val="none" w:sz="0" w:space="0" w:color="auto"/>
            <w:right w:val="none" w:sz="0" w:space="0" w:color="auto"/>
          </w:divBdr>
        </w:div>
      </w:divsChild>
    </w:div>
    <w:div w:id="903489148">
      <w:bodyDiv w:val="1"/>
      <w:marLeft w:val="0"/>
      <w:marRight w:val="0"/>
      <w:marTop w:val="0"/>
      <w:marBottom w:val="0"/>
      <w:divBdr>
        <w:top w:val="none" w:sz="0" w:space="0" w:color="auto"/>
        <w:left w:val="none" w:sz="0" w:space="0" w:color="auto"/>
        <w:bottom w:val="none" w:sz="0" w:space="0" w:color="auto"/>
        <w:right w:val="none" w:sz="0" w:space="0" w:color="auto"/>
      </w:divBdr>
    </w:div>
    <w:div w:id="920479968">
      <w:bodyDiv w:val="1"/>
      <w:marLeft w:val="0"/>
      <w:marRight w:val="0"/>
      <w:marTop w:val="0"/>
      <w:marBottom w:val="0"/>
      <w:divBdr>
        <w:top w:val="none" w:sz="0" w:space="0" w:color="auto"/>
        <w:left w:val="none" w:sz="0" w:space="0" w:color="auto"/>
        <w:bottom w:val="none" w:sz="0" w:space="0" w:color="auto"/>
        <w:right w:val="none" w:sz="0" w:space="0" w:color="auto"/>
      </w:divBdr>
      <w:divsChild>
        <w:div w:id="926187276">
          <w:marLeft w:val="446"/>
          <w:marRight w:val="0"/>
          <w:marTop w:val="0"/>
          <w:marBottom w:val="0"/>
          <w:divBdr>
            <w:top w:val="none" w:sz="0" w:space="0" w:color="auto"/>
            <w:left w:val="none" w:sz="0" w:space="0" w:color="auto"/>
            <w:bottom w:val="none" w:sz="0" w:space="0" w:color="auto"/>
            <w:right w:val="none" w:sz="0" w:space="0" w:color="auto"/>
          </w:divBdr>
        </w:div>
        <w:div w:id="2033336876">
          <w:marLeft w:val="446"/>
          <w:marRight w:val="0"/>
          <w:marTop w:val="0"/>
          <w:marBottom w:val="0"/>
          <w:divBdr>
            <w:top w:val="none" w:sz="0" w:space="0" w:color="auto"/>
            <w:left w:val="none" w:sz="0" w:space="0" w:color="auto"/>
            <w:bottom w:val="none" w:sz="0" w:space="0" w:color="auto"/>
            <w:right w:val="none" w:sz="0" w:space="0" w:color="auto"/>
          </w:divBdr>
        </w:div>
      </w:divsChild>
    </w:div>
    <w:div w:id="1033380501">
      <w:bodyDiv w:val="1"/>
      <w:marLeft w:val="0"/>
      <w:marRight w:val="0"/>
      <w:marTop w:val="0"/>
      <w:marBottom w:val="0"/>
      <w:divBdr>
        <w:top w:val="none" w:sz="0" w:space="0" w:color="auto"/>
        <w:left w:val="none" w:sz="0" w:space="0" w:color="auto"/>
        <w:bottom w:val="none" w:sz="0" w:space="0" w:color="auto"/>
        <w:right w:val="none" w:sz="0" w:space="0" w:color="auto"/>
      </w:divBdr>
    </w:div>
    <w:div w:id="1100226068">
      <w:bodyDiv w:val="1"/>
      <w:marLeft w:val="0"/>
      <w:marRight w:val="0"/>
      <w:marTop w:val="0"/>
      <w:marBottom w:val="0"/>
      <w:divBdr>
        <w:top w:val="none" w:sz="0" w:space="0" w:color="auto"/>
        <w:left w:val="none" w:sz="0" w:space="0" w:color="auto"/>
        <w:bottom w:val="none" w:sz="0" w:space="0" w:color="auto"/>
        <w:right w:val="none" w:sz="0" w:space="0" w:color="auto"/>
      </w:divBdr>
    </w:div>
    <w:div w:id="1162237637">
      <w:bodyDiv w:val="1"/>
      <w:marLeft w:val="0"/>
      <w:marRight w:val="0"/>
      <w:marTop w:val="0"/>
      <w:marBottom w:val="0"/>
      <w:divBdr>
        <w:top w:val="none" w:sz="0" w:space="0" w:color="auto"/>
        <w:left w:val="none" w:sz="0" w:space="0" w:color="auto"/>
        <w:bottom w:val="none" w:sz="0" w:space="0" w:color="auto"/>
        <w:right w:val="none" w:sz="0" w:space="0" w:color="auto"/>
      </w:divBdr>
      <w:divsChild>
        <w:div w:id="1254704022">
          <w:marLeft w:val="0"/>
          <w:marRight w:val="0"/>
          <w:marTop w:val="0"/>
          <w:marBottom w:val="0"/>
          <w:divBdr>
            <w:top w:val="none" w:sz="0" w:space="0" w:color="auto"/>
            <w:left w:val="none" w:sz="0" w:space="0" w:color="auto"/>
            <w:bottom w:val="none" w:sz="0" w:space="0" w:color="auto"/>
            <w:right w:val="none" w:sz="0" w:space="0" w:color="auto"/>
          </w:divBdr>
        </w:div>
        <w:div w:id="1600261473">
          <w:marLeft w:val="0"/>
          <w:marRight w:val="0"/>
          <w:marTop w:val="0"/>
          <w:marBottom w:val="0"/>
          <w:divBdr>
            <w:top w:val="none" w:sz="0" w:space="0" w:color="auto"/>
            <w:left w:val="none" w:sz="0" w:space="0" w:color="auto"/>
            <w:bottom w:val="none" w:sz="0" w:space="0" w:color="auto"/>
            <w:right w:val="none" w:sz="0" w:space="0" w:color="auto"/>
          </w:divBdr>
        </w:div>
      </w:divsChild>
    </w:div>
    <w:div w:id="1171679588">
      <w:bodyDiv w:val="1"/>
      <w:marLeft w:val="0"/>
      <w:marRight w:val="0"/>
      <w:marTop w:val="0"/>
      <w:marBottom w:val="0"/>
      <w:divBdr>
        <w:top w:val="none" w:sz="0" w:space="0" w:color="auto"/>
        <w:left w:val="none" w:sz="0" w:space="0" w:color="auto"/>
        <w:bottom w:val="none" w:sz="0" w:space="0" w:color="auto"/>
        <w:right w:val="none" w:sz="0" w:space="0" w:color="auto"/>
      </w:divBdr>
    </w:div>
    <w:div w:id="1224029481">
      <w:bodyDiv w:val="1"/>
      <w:marLeft w:val="0"/>
      <w:marRight w:val="0"/>
      <w:marTop w:val="0"/>
      <w:marBottom w:val="0"/>
      <w:divBdr>
        <w:top w:val="none" w:sz="0" w:space="0" w:color="auto"/>
        <w:left w:val="none" w:sz="0" w:space="0" w:color="auto"/>
        <w:bottom w:val="none" w:sz="0" w:space="0" w:color="auto"/>
        <w:right w:val="none" w:sz="0" w:space="0" w:color="auto"/>
      </w:divBdr>
      <w:divsChild>
        <w:div w:id="1155535305">
          <w:marLeft w:val="446"/>
          <w:marRight w:val="0"/>
          <w:marTop w:val="0"/>
          <w:marBottom w:val="0"/>
          <w:divBdr>
            <w:top w:val="none" w:sz="0" w:space="0" w:color="auto"/>
            <w:left w:val="none" w:sz="0" w:space="0" w:color="auto"/>
            <w:bottom w:val="none" w:sz="0" w:space="0" w:color="auto"/>
            <w:right w:val="none" w:sz="0" w:space="0" w:color="auto"/>
          </w:divBdr>
        </w:div>
      </w:divsChild>
    </w:div>
    <w:div w:id="1303929502">
      <w:bodyDiv w:val="1"/>
      <w:marLeft w:val="0"/>
      <w:marRight w:val="0"/>
      <w:marTop w:val="0"/>
      <w:marBottom w:val="0"/>
      <w:divBdr>
        <w:top w:val="none" w:sz="0" w:space="0" w:color="auto"/>
        <w:left w:val="none" w:sz="0" w:space="0" w:color="auto"/>
        <w:bottom w:val="none" w:sz="0" w:space="0" w:color="auto"/>
        <w:right w:val="none" w:sz="0" w:space="0" w:color="auto"/>
      </w:divBdr>
    </w:div>
    <w:div w:id="1304893948">
      <w:bodyDiv w:val="1"/>
      <w:marLeft w:val="0"/>
      <w:marRight w:val="0"/>
      <w:marTop w:val="0"/>
      <w:marBottom w:val="0"/>
      <w:divBdr>
        <w:top w:val="none" w:sz="0" w:space="0" w:color="auto"/>
        <w:left w:val="none" w:sz="0" w:space="0" w:color="auto"/>
        <w:bottom w:val="none" w:sz="0" w:space="0" w:color="auto"/>
        <w:right w:val="none" w:sz="0" w:space="0" w:color="auto"/>
      </w:divBdr>
    </w:div>
    <w:div w:id="1335451702">
      <w:bodyDiv w:val="1"/>
      <w:marLeft w:val="0"/>
      <w:marRight w:val="0"/>
      <w:marTop w:val="0"/>
      <w:marBottom w:val="0"/>
      <w:divBdr>
        <w:top w:val="none" w:sz="0" w:space="0" w:color="auto"/>
        <w:left w:val="none" w:sz="0" w:space="0" w:color="auto"/>
        <w:bottom w:val="none" w:sz="0" w:space="0" w:color="auto"/>
        <w:right w:val="none" w:sz="0" w:space="0" w:color="auto"/>
      </w:divBdr>
    </w:div>
    <w:div w:id="1362510178">
      <w:bodyDiv w:val="1"/>
      <w:marLeft w:val="0"/>
      <w:marRight w:val="0"/>
      <w:marTop w:val="0"/>
      <w:marBottom w:val="0"/>
      <w:divBdr>
        <w:top w:val="none" w:sz="0" w:space="0" w:color="auto"/>
        <w:left w:val="none" w:sz="0" w:space="0" w:color="auto"/>
        <w:bottom w:val="none" w:sz="0" w:space="0" w:color="auto"/>
        <w:right w:val="none" w:sz="0" w:space="0" w:color="auto"/>
      </w:divBdr>
    </w:div>
    <w:div w:id="1374497319">
      <w:bodyDiv w:val="1"/>
      <w:marLeft w:val="0"/>
      <w:marRight w:val="0"/>
      <w:marTop w:val="0"/>
      <w:marBottom w:val="0"/>
      <w:divBdr>
        <w:top w:val="none" w:sz="0" w:space="0" w:color="auto"/>
        <w:left w:val="none" w:sz="0" w:space="0" w:color="auto"/>
        <w:bottom w:val="none" w:sz="0" w:space="0" w:color="auto"/>
        <w:right w:val="none" w:sz="0" w:space="0" w:color="auto"/>
      </w:divBdr>
      <w:divsChild>
        <w:div w:id="46229033">
          <w:marLeft w:val="446"/>
          <w:marRight w:val="0"/>
          <w:marTop w:val="0"/>
          <w:marBottom w:val="0"/>
          <w:divBdr>
            <w:top w:val="none" w:sz="0" w:space="0" w:color="auto"/>
            <w:left w:val="none" w:sz="0" w:space="0" w:color="auto"/>
            <w:bottom w:val="none" w:sz="0" w:space="0" w:color="auto"/>
            <w:right w:val="none" w:sz="0" w:space="0" w:color="auto"/>
          </w:divBdr>
        </w:div>
      </w:divsChild>
    </w:div>
    <w:div w:id="1414204030">
      <w:bodyDiv w:val="1"/>
      <w:marLeft w:val="0"/>
      <w:marRight w:val="0"/>
      <w:marTop w:val="0"/>
      <w:marBottom w:val="0"/>
      <w:divBdr>
        <w:top w:val="none" w:sz="0" w:space="0" w:color="auto"/>
        <w:left w:val="none" w:sz="0" w:space="0" w:color="auto"/>
        <w:bottom w:val="none" w:sz="0" w:space="0" w:color="auto"/>
        <w:right w:val="none" w:sz="0" w:space="0" w:color="auto"/>
      </w:divBdr>
    </w:div>
    <w:div w:id="1423647301">
      <w:bodyDiv w:val="1"/>
      <w:marLeft w:val="0"/>
      <w:marRight w:val="0"/>
      <w:marTop w:val="0"/>
      <w:marBottom w:val="0"/>
      <w:divBdr>
        <w:top w:val="none" w:sz="0" w:space="0" w:color="auto"/>
        <w:left w:val="none" w:sz="0" w:space="0" w:color="auto"/>
        <w:bottom w:val="none" w:sz="0" w:space="0" w:color="auto"/>
        <w:right w:val="none" w:sz="0" w:space="0" w:color="auto"/>
      </w:divBdr>
    </w:div>
    <w:div w:id="1436560530">
      <w:bodyDiv w:val="1"/>
      <w:marLeft w:val="0"/>
      <w:marRight w:val="0"/>
      <w:marTop w:val="0"/>
      <w:marBottom w:val="0"/>
      <w:divBdr>
        <w:top w:val="none" w:sz="0" w:space="0" w:color="auto"/>
        <w:left w:val="none" w:sz="0" w:space="0" w:color="auto"/>
        <w:bottom w:val="none" w:sz="0" w:space="0" w:color="auto"/>
        <w:right w:val="none" w:sz="0" w:space="0" w:color="auto"/>
      </w:divBdr>
    </w:div>
    <w:div w:id="1827672501">
      <w:bodyDiv w:val="1"/>
      <w:marLeft w:val="0"/>
      <w:marRight w:val="0"/>
      <w:marTop w:val="0"/>
      <w:marBottom w:val="0"/>
      <w:divBdr>
        <w:top w:val="none" w:sz="0" w:space="0" w:color="auto"/>
        <w:left w:val="none" w:sz="0" w:space="0" w:color="auto"/>
        <w:bottom w:val="none" w:sz="0" w:space="0" w:color="auto"/>
        <w:right w:val="none" w:sz="0" w:space="0" w:color="auto"/>
      </w:divBdr>
      <w:divsChild>
        <w:div w:id="1325162375">
          <w:marLeft w:val="446"/>
          <w:marRight w:val="0"/>
          <w:marTop w:val="0"/>
          <w:marBottom w:val="0"/>
          <w:divBdr>
            <w:top w:val="none" w:sz="0" w:space="0" w:color="auto"/>
            <w:left w:val="none" w:sz="0" w:space="0" w:color="auto"/>
            <w:bottom w:val="none" w:sz="0" w:space="0" w:color="auto"/>
            <w:right w:val="none" w:sz="0" w:space="0" w:color="auto"/>
          </w:divBdr>
        </w:div>
        <w:div w:id="1582447026">
          <w:marLeft w:val="446"/>
          <w:marRight w:val="0"/>
          <w:marTop w:val="0"/>
          <w:marBottom w:val="0"/>
          <w:divBdr>
            <w:top w:val="none" w:sz="0" w:space="0" w:color="auto"/>
            <w:left w:val="none" w:sz="0" w:space="0" w:color="auto"/>
            <w:bottom w:val="none" w:sz="0" w:space="0" w:color="auto"/>
            <w:right w:val="none" w:sz="0" w:space="0" w:color="auto"/>
          </w:divBdr>
        </w:div>
      </w:divsChild>
    </w:div>
    <w:div w:id="1837374938">
      <w:bodyDiv w:val="1"/>
      <w:marLeft w:val="0"/>
      <w:marRight w:val="0"/>
      <w:marTop w:val="0"/>
      <w:marBottom w:val="0"/>
      <w:divBdr>
        <w:top w:val="none" w:sz="0" w:space="0" w:color="auto"/>
        <w:left w:val="none" w:sz="0" w:space="0" w:color="auto"/>
        <w:bottom w:val="none" w:sz="0" w:space="0" w:color="auto"/>
        <w:right w:val="none" w:sz="0" w:space="0" w:color="auto"/>
      </w:divBdr>
    </w:div>
    <w:div w:id="1843736739">
      <w:bodyDiv w:val="1"/>
      <w:marLeft w:val="0"/>
      <w:marRight w:val="0"/>
      <w:marTop w:val="0"/>
      <w:marBottom w:val="0"/>
      <w:divBdr>
        <w:top w:val="none" w:sz="0" w:space="0" w:color="auto"/>
        <w:left w:val="none" w:sz="0" w:space="0" w:color="auto"/>
        <w:bottom w:val="none" w:sz="0" w:space="0" w:color="auto"/>
        <w:right w:val="none" w:sz="0" w:space="0" w:color="auto"/>
      </w:divBdr>
      <w:divsChild>
        <w:div w:id="1227910475">
          <w:marLeft w:val="446"/>
          <w:marRight w:val="0"/>
          <w:marTop w:val="0"/>
          <w:marBottom w:val="0"/>
          <w:divBdr>
            <w:top w:val="none" w:sz="0" w:space="0" w:color="auto"/>
            <w:left w:val="none" w:sz="0" w:space="0" w:color="auto"/>
            <w:bottom w:val="none" w:sz="0" w:space="0" w:color="auto"/>
            <w:right w:val="none" w:sz="0" w:space="0" w:color="auto"/>
          </w:divBdr>
        </w:div>
      </w:divsChild>
    </w:div>
    <w:div w:id="1871183927">
      <w:bodyDiv w:val="1"/>
      <w:marLeft w:val="0"/>
      <w:marRight w:val="0"/>
      <w:marTop w:val="0"/>
      <w:marBottom w:val="0"/>
      <w:divBdr>
        <w:top w:val="none" w:sz="0" w:space="0" w:color="auto"/>
        <w:left w:val="none" w:sz="0" w:space="0" w:color="auto"/>
        <w:bottom w:val="none" w:sz="0" w:space="0" w:color="auto"/>
        <w:right w:val="none" w:sz="0" w:space="0" w:color="auto"/>
      </w:divBdr>
    </w:div>
    <w:div w:id="1881164045">
      <w:bodyDiv w:val="1"/>
      <w:marLeft w:val="0"/>
      <w:marRight w:val="0"/>
      <w:marTop w:val="0"/>
      <w:marBottom w:val="0"/>
      <w:divBdr>
        <w:top w:val="none" w:sz="0" w:space="0" w:color="auto"/>
        <w:left w:val="none" w:sz="0" w:space="0" w:color="auto"/>
        <w:bottom w:val="none" w:sz="0" w:space="0" w:color="auto"/>
        <w:right w:val="none" w:sz="0" w:space="0" w:color="auto"/>
      </w:divBdr>
    </w:div>
    <w:div w:id="1920286598">
      <w:bodyDiv w:val="1"/>
      <w:marLeft w:val="0"/>
      <w:marRight w:val="0"/>
      <w:marTop w:val="0"/>
      <w:marBottom w:val="0"/>
      <w:divBdr>
        <w:top w:val="none" w:sz="0" w:space="0" w:color="auto"/>
        <w:left w:val="none" w:sz="0" w:space="0" w:color="auto"/>
        <w:bottom w:val="none" w:sz="0" w:space="0" w:color="auto"/>
        <w:right w:val="none" w:sz="0" w:space="0" w:color="auto"/>
      </w:divBdr>
    </w:div>
    <w:div w:id="1931036591">
      <w:bodyDiv w:val="1"/>
      <w:marLeft w:val="0"/>
      <w:marRight w:val="0"/>
      <w:marTop w:val="0"/>
      <w:marBottom w:val="0"/>
      <w:divBdr>
        <w:top w:val="none" w:sz="0" w:space="0" w:color="auto"/>
        <w:left w:val="none" w:sz="0" w:space="0" w:color="auto"/>
        <w:bottom w:val="none" w:sz="0" w:space="0" w:color="auto"/>
        <w:right w:val="none" w:sz="0" w:space="0" w:color="auto"/>
      </w:divBdr>
    </w:div>
    <w:div w:id="1969309929">
      <w:bodyDiv w:val="1"/>
      <w:marLeft w:val="0"/>
      <w:marRight w:val="0"/>
      <w:marTop w:val="0"/>
      <w:marBottom w:val="0"/>
      <w:divBdr>
        <w:top w:val="none" w:sz="0" w:space="0" w:color="auto"/>
        <w:left w:val="none" w:sz="0" w:space="0" w:color="auto"/>
        <w:bottom w:val="none" w:sz="0" w:space="0" w:color="auto"/>
        <w:right w:val="none" w:sz="0" w:space="0" w:color="auto"/>
      </w:divBdr>
    </w:div>
    <w:div w:id="2007980316">
      <w:bodyDiv w:val="1"/>
      <w:marLeft w:val="0"/>
      <w:marRight w:val="0"/>
      <w:marTop w:val="0"/>
      <w:marBottom w:val="0"/>
      <w:divBdr>
        <w:top w:val="none" w:sz="0" w:space="0" w:color="auto"/>
        <w:left w:val="none" w:sz="0" w:space="0" w:color="auto"/>
        <w:bottom w:val="none" w:sz="0" w:space="0" w:color="auto"/>
        <w:right w:val="none" w:sz="0" w:space="0" w:color="auto"/>
      </w:divBdr>
      <w:divsChild>
        <w:div w:id="1182087402">
          <w:marLeft w:val="446"/>
          <w:marRight w:val="0"/>
          <w:marTop w:val="0"/>
          <w:marBottom w:val="0"/>
          <w:divBdr>
            <w:top w:val="none" w:sz="0" w:space="0" w:color="auto"/>
            <w:left w:val="none" w:sz="0" w:space="0" w:color="auto"/>
            <w:bottom w:val="none" w:sz="0" w:space="0" w:color="auto"/>
            <w:right w:val="none" w:sz="0" w:space="0" w:color="auto"/>
          </w:divBdr>
        </w:div>
      </w:divsChild>
    </w:div>
    <w:div w:id="2138911526">
      <w:bodyDiv w:val="1"/>
      <w:marLeft w:val="0"/>
      <w:marRight w:val="0"/>
      <w:marTop w:val="0"/>
      <w:marBottom w:val="0"/>
      <w:divBdr>
        <w:top w:val="none" w:sz="0" w:space="0" w:color="auto"/>
        <w:left w:val="none" w:sz="0" w:space="0" w:color="auto"/>
        <w:bottom w:val="none" w:sz="0" w:space="0" w:color="auto"/>
        <w:right w:val="none" w:sz="0" w:space="0" w:color="auto"/>
      </w:divBdr>
    </w:div>
    <w:div w:id="2139831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svg"/><Relationship Id="rId21" Type="http://schemas.openxmlformats.org/officeDocument/2006/relationships/footer" Target="footer4.xml"/><Relationship Id="rId34" Type="http://schemas.openxmlformats.org/officeDocument/2006/relationships/image" Target="media/image17.svg"/><Relationship Id="rId42" Type="http://schemas.openxmlformats.org/officeDocument/2006/relationships/image" Target="media/image25.png"/><Relationship Id="rId47" Type="http://schemas.openxmlformats.org/officeDocument/2006/relationships/image" Target="media/image30.jpg"/><Relationship Id="rId50" Type="http://schemas.openxmlformats.org/officeDocument/2006/relationships/image" Target="media/image33.png"/><Relationship Id="rId55" Type="http://schemas.openxmlformats.org/officeDocument/2006/relationships/footer" Target="footer5.xml"/><Relationship Id="rId63" Type="http://schemas.openxmlformats.org/officeDocument/2006/relationships/image" Target="media/image39.png"/><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2.png"/><Relationship Id="rId11" Type="http://schemas.openxmlformats.org/officeDocument/2006/relationships/image" Target="media/image1.png"/><Relationship Id="rId24" Type="http://schemas.openxmlformats.org/officeDocument/2006/relationships/image" Target="media/image7.svg"/><Relationship Id="rId32" Type="http://schemas.openxmlformats.org/officeDocument/2006/relationships/image" Target="media/image15.sv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hyperlink" Target="https://www.england.nhs.uk/ahp/greener-ahp-hub/understanding-environmental-sustainability/building-on-what-we-already-do/" TargetMode="External"/><Relationship Id="rId58" Type="http://schemas.openxmlformats.org/officeDocument/2006/relationships/hyperlink" Target="https://www.england.nhs.uk/publication/nhs-net-zero-building-standards/" TargetMode="External"/><Relationship Id="rId66" Type="http://schemas.openxmlformats.org/officeDocument/2006/relationships/footer" Target="footer7.xml"/><Relationship Id="rId5" Type="http://schemas.openxmlformats.org/officeDocument/2006/relationships/numbering" Target="numbering.xml"/><Relationship Id="rId61" Type="http://schemas.openxmlformats.org/officeDocument/2006/relationships/image" Target="media/image37.emf"/><Relationship Id="rId19" Type="http://schemas.openxmlformats.org/officeDocument/2006/relationships/footer" Target="footer3.xml"/><Relationship Id="rId14" Type="http://schemas.openxmlformats.org/officeDocument/2006/relationships/footer" Target="footer1.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sv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footer" Target="footer6.xml"/><Relationship Id="rId64" Type="http://schemas.openxmlformats.org/officeDocument/2006/relationships/image" Target="media/image40.png"/><Relationship Id="rId8" Type="http://schemas.openxmlformats.org/officeDocument/2006/relationships/webSettings" Target="webSettings.xml"/><Relationship Id="rId51" Type="http://schemas.openxmlformats.org/officeDocument/2006/relationships/hyperlink" Target="https://111.wales.nhs.uk/Waitingtimes/" TargetMode="Externa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jpg"/><Relationship Id="rId59" Type="http://schemas.openxmlformats.org/officeDocument/2006/relationships/image" Target="media/image35.png"/><Relationship Id="rId67" Type="http://schemas.openxmlformats.org/officeDocument/2006/relationships/fontTable" Target="fontTable.xml"/><Relationship Id="rId20" Type="http://schemas.openxmlformats.org/officeDocument/2006/relationships/header" Target="header5.xml"/><Relationship Id="rId41" Type="http://schemas.openxmlformats.org/officeDocument/2006/relationships/image" Target="media/image24.png"/><Relationship Id="rId54" Type="http://schemas.openxmlformats.org/officeDocument/2006/relationships/header" Target="header6.xml"/><Relationship Id="rId62" Type="http://schemas.openxmlformats.org/officeDocument/2006/relationships/image" Target="media/image38.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image" Target="media/image6.png"/><Relationship Id="rId28" Type="http://schemas.openxmlformats.org/officeDocument/2006/relationships/image" Target="media/image11.svg"/><Relationship Id="rId36" Type="http://schemas.openxmlformats.org/officeDocument/2006/relationships/image" Target="media/image19.svg"/><Relationship Id="rId49" Type="http://schemas.openxmlformats.org/officeDocument/2006/relationships/image" Target="media/image32.png"/><Relationship Id="rId57" Type="http://schemas.openxmlformats.org/officeDocument/2006/relationships/image" Target="media/image34.png"/><Relationship Id="rId10" Type="http://schemas.openxmlformats.org/officeDocument/2006/relationships/endnotes" Target="endnotes.xml"/><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hyperlink" Target="https://www.benenden.co.uk/newsroom/time-off-work-gp-survey/" TargetMode="External"/><Relationship Id="rId60" Type="http://schemas.openxmlformats.org/officeDocument/2006/relationships/image" Target="media/image36.png"/><Relationship Id="rId65" Type="http://schemas.openxmlformats.org/officeDocument/2006/relationships/header" Target="header7.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header" Target="header4.xml"/><Relationship Id="rId39" Type="http://schemas.openxmlformats.org/officeDocument/2006/relationships/image" Target="media/image22.png"/></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er5.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1" Type="http://schemas.openxmlformats.org/officeDocument/2006/relationships/hyperlink" Target="https://iris.who.int/handle/10665/42735" TargetMode="External"/></Relationships>
</file>

<file path=word/theme/theme1.xml><?xml version="1.0" encoding="utf-8"?>
<a:theme xmlns:a="http://schemas.openxmlformats.org/drawingml/2006/main" name="NHS Blues">
  <a:themeElements>
    <a:clrScheme name="HD UHB">
      <a:dk1>
        <a:srgbClr val="005EB8"/>
      </a:dk1>
      <a:lt1>
        <a:srgbClr val="FFFFFF"/>
      </a:lt1>
      <a:dk2>
        <a:srgbClr val="374264"/>
      </a:dk2>
      <a:lt2>
        <a:srgbClr val="41B6E6"/>
      </a:lt2>
      <a:accent1>
        <a:srgbClr val="356A91"/>
      </a:accent1>
      <a:accent2>
        <a:srgbClr val="00A499"/>
      </a:accent2>
      <a:accent3>
        <a:srgbClr val="92BAD6"/>
      </a:accent3>
      <a:accent4>
        <a:srgbClr val="DBE8F1"/>
      </a:accent4>
      <a:accent5>
        <a:srgbClr val="AE2573"/>
      </a:accent5>
      <a:accent6>
        <a:srgbClr val="FFFFFF"/>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4b668be5418b731451c5918b8b1991e2">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72ccc6079197fc9043ea0d8255caedda"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B2D614-E8C1-4F3C-8020-93BF7D3DBE95}">
  <ds:schemaRefs>
    <ds:schemaRef ds:uri="http://schemas.microsoft.com/sharepoint/v3/contenttype/forms"/>
  </ds:schemaRefs>
</ds:datastoreItem>
</file>

<file path=customXml/itemProps2.xml><?xml version="1.0" encoding="utf-8"?>
<ds:datastoreItem xmlns:ds="http://schemas.openxmlformats.org/officeDocument/2006/customXml" ds:itemID="{FB90689D-CB39-4720-BF7C-6AEFAA2DF4FA}"/>
</file>

<file path=customXml/itemProps3.xml><?xml version="1.0" encoding="utf-8"?>
<ds:datastoreItem xmlns:ds="http://schemas.openxmlformats.org/officeDocument/2006/customXml" ds:itemID="{A46D1C70-D575-4B20-9DE3-D0C097C50140}">
  <ds:schemaRefs>
    <ds:schemaRef ds:uri="http://schemas.microsoft.com/office/2006/metadata/properties"/>
    <ds:schemaRef ds:uri="http://schemas.microsoft.com/office/infopath/2007/PartnerControls"/>
    <ds:schemaRef ds:uri="93c03e44-efec-4cd8-b5e7-c71a5f50a3b7"/>
    <ds:schemaRef ds:uri="17a64c03-9091-4683-859e-b36daf889281"/>
  </ds:schemaRefs>
</ds:datastoreItem>
</file>

<file path=customXml/itemProps4.xml><?xml version="1.0" encoding="utf-8"?>
<ds:datastoreItem xmlns:ds="http://schemas.openxmlformats.org/officeDocument/2006/customXml" ds:itemID="{E4F8027C-3A5E-46E9-8FA1-5428A69DB5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133</Pages>
  <Words>48241</Words>
  <Characters>274976</Characters>
  <Application>Microsoft Office Word</Application>
  <DocSecurity>4</DocSecurity>
  <Lines>2291</Lines>
  <Paragraphs>645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322572</CharactersWithSpaces>
  <SharedDoc>false</SharedDoc>
  <HLinks>
    <vt:vector size="912" baseType="variant">
      <vt:variant>
        <vt:i4>7864442</vt:i4>
      </vt:variant>
      <vt:variant>
        <vt:i4>549</vt:i4>
      </vt:variant>
      <vt:variant>
        <vt:i4>0</vt:i4>
      </vt:variant>
      <vt:variant>
        <vt:i4>5</vt:i4>
      </vt:variant>
      <vt:variant>
        <vt:lpwstr>https://www.england.nhs.uk/publication/nhs-net-zero-building-standards/</vt:lpwstr>
      </vt:variant>
      <vt:variant>
        <vt:lpwstr/>
      </vt:variant>
      <vt:variant>
        <vt:i4>2228340</vt:i4>
      </vt:variant>
      <vt:variant>
        <vt:i4>516</vt:i4>
      </vt:variant>
      <vt:variant>
        <vt:i4>0</vt:i4>
      </vt:variant>
      <vt:variant>
        <vt:i4>5</vt:i4>
      </vt:variant>
      <vt:variant>
        <vt:lpwstr>https://www.england.nhs.uk/ahp/greener-ahp-hub/understanding-environmental-sustainability/building-on-what-we-already-do/</vt:lpwstr>
      </vt:variant>
      <vt:variant>
        <vt:lpwstr>:~:text=For%20example%2C%20the%20average%20carbon,in%20a%20high%20intensity%20ward.</vt:lpwstr>
      </vt:variant>
      <vt:variant>
        <vt:i4>5832707</vt:i4>
      </vt:variant>
      <vt:variant>
        <vt:i4>513</vt:i4>
      </vt:variant>
      <vt:variant>
        <vt:i4>0</vt:i4>
      </vt:variant>
      <vt:variant>
        <vt:i4>5</vt:i4>
      </vt:variant>
      <vt:variant>
        <vt:lpwstr>https://www.benenden.co.uk/newsroom/time-off-work-gp-survey/</vt:lpwstr>
      </vt:variant>
      <vt:variant>
        <vt:lpwstr/>
      </vt:variant>
      <vt:variant>
        <vt:i4>2031709</vt:i4>
      </vt:variant>
      <vt:variant>
        <vt:i4>510</vt:i4>
      </vt:variant>
      <vt:variant>
        <vt:i4>0</vt:i4>
      </vt:variant>
      <vt:variant>
        <vt:i4>5</vt:i4>
      </vt:variant>
      <vt:variant>
        <vt:lpwstr>https://111.wales.nhs.uk/Waitingtimes/</vt:lpwstr>
      </vt:variant>
      <vt:variant>
        <vt:lpwstr>:~:text=The%20key%20objectives%20are%20to%20ensure%20that:&amp;text=95%25%20of%20patients%20referred%20will%20start%20their%20treatment%20within%2026%20weeks;&amp;text=All%20patients%20whose%20care%20is,within%20maximum%20of%2036%20weeks;</vt:lpwstr>
      </vt:variant>
      <vt:variant>
        <vt:i4>2031709</vt:i4>
      </vt:variant>
      <vt:variant>
        <vt:i4>507</vt:i4>
      </vt:variant>
      <vt:variant>
        <vt:i4>0</vt:i4>
      </vt:variant>
      <vt:variant>
        <vt:i4>5</vt:i4>
      </vt:variant>
      <vt:variant>
        <vt:lpwstr>https://111.wales.nhs.uk/Waitingtimes/</vt:lpwstr>
      </vt:variant>
      <vt:variant>
        <vt:lpwstr>:~:text=The%20key%20objectives%20are%20to%20ensure%20that:&amp;text=95%25%20of%20patients%20referred%20will%20start%20their%20treatment%20within%2026%20weeks;&amp;text=All%20patients%20whose%20care%20is,within%20maximum%20of%2036%20weeks;</vt:lpwstr>
      </vt:variant>
      <vt:variant>
        <vt:i4>1900606</vt:i4>
      </vt:variant>
      <vt:variant>
        <vt:i4>434</vt:i4>
      </vt:variant>
      <vt:variant>
        <vt:i4>0</vt:i4>
      </vt:variant>
      <vt:variant>
        <vt:i4>5</vt:i4>
      </vt:variant>
      <vt:variant>
        <vt:lpwstr/>
      </vt:variant>
      <vt:variant>
        <vt:lpwstr>_Toc198222539</vt:lpwstr>
      </vt:variant>
      <vt:variant>
        <vt:i4>1900606</vt:i4>
      </vt:variant>
      <vt:variant>
        <vt:i4>431</vt:i4>
      </vt:variant>
      <vt:variant>
        <vt:i4>0</vt:i4>
      </vt:variant>
      <vt:variant>
        <vt:i4>5</vt:i4>
      </vt:variant>
      <vt:variant>
        <vt:lpwstr/>
      </vt:variant>
      <vt:variant>
        <vt:lpwstr>_Toc198222538</vt:lpwstr>
      </vt:variant>
      <vt:variant>
        <vt:i4>1900606</vt:i4>
      </vt:variant>
      <vt:variant>
        <vt:i4>428</vt:i4>
      </vt:variant>
      <vt:variant>
        <vt:i4>0</vt:i4>
      </vt:variant>
      <vt:variant>
        <vt:i4>5</vt:i4>
      </vt:variant>
      <vt:variant>
        <vt:lpwstr/>
      </vt:variant>
      <vt:variant>
        <vt:lpwstr>_Toc198222537</vt:lpwstr>
      </vt:variant>
      <vt:variant>
        <vt:i4>1900606</vt:i4>
      </vt:variant>
      <vt:variant>
        <vt:i4>425</vt:i4>
      </vt:variant>
      <vt:variant>
        <vt:i4>0</vt:i4>
      </vt:variant>
      <vt:variant>
        <vt:i4>5</vt:i4>
      </vt:variant>
      <vt:variant>
        <vt:lpwstr/>
      </vt:variant>
      <vt:variant>
        <vt:lpwstr>_Toc198222536</vt:lpwstr>
      </vt:variant>
      <vt:variant>
        <vt:i4>1900606</vt:i4>
      </vt:variant>
      <vt:variant>
        <vt:i4>422</vt:i4>
      </vt:variant>
      <vt:variant>
        <vt:i4>0</vt:i4>
      </vt:variant>
      <vt:variant>
        <vt:i4>5</vt:i4>
      </vt:variant>
      <vt:variant>
        <vt:lpwstr/>
      </vt:variant>
      <vt:variant>
        <vt:lpwstr>_Toc198222535</vt:lpwstr>
      </vt:variant>
      <vt:variant>
        <vt:i4>1900606</vt:i4>
      </vt:variant>
      <vt:variant>
        <vt:i4>419</vt:i4>
      </vt:variant>
      <vt:variant>
        <vt:i4>0</vt:i4>
      </vt:variant>
      <vt:variant>
        <vt:i4>5</vt:i4>
      </vt:variant>
      <vt:variant>
        <vt:lpwstr/>
      </vt:variant>
      <vt:variant>
        <vt:lpwstr>_Toc198222534</vt:lpwstr>
      </vt:variant>
      <vt:variant>
        <vt:i4>1900606</vt:i4>
      </vt:variant>
      <vt:variant>
        <vt:i4>416</vt:i4>
      </vt:variant>
      <vt:variant>
        <vt:i4>0</vt:i4>
      </vt:variant>
      <vt:variant>
        <vt:i4>5</vt:i4>
      </vt:variant>
      <vt:variant>
        <vt:lpwstr/>
      </vt:variant>
      <vt:variant>
        <vt:lpwstr>_Toc198222533</vt:lpwstr>
      </vt:variant>
      <vt:variant>
        <vt:i4>1900606</vt:i4>
      </vt:variant>
      <vt:variant>
        <vt:i4>413</vt:i4>
      </vt:variant>
      <vt:variant>
        <vt:i4>0</vt:i4>
      </vt:variant>
      <vt:variant>
        <vt:i4>5</vt:i4>
      </vt:variant>
      <vt:variant>
        <vt:lpwstr/>
      </vt:variant>
      <vt:variant>
        <vt:lpwstr>_Toc198222532</vt:lpwstr>
      </vt:variant>
      <vt:variant>
        <vt:i4>1900606</vt:i4>
      </vt:variant>
      <vt:variant>
        <vt:i4>410</vt:i4>
      </vt:variant>
      <vt:variant>
        <vt:i4>0</vt:i4>
      </vt:variant>
      <vt:variant>
        <vt:i4>5</vt:i4>
      </vt:variant>
      <vt:variant>
        <vt:lpwstr/>
      </vt:variant>
      <vt:variant>
        <vt:lpwstr>_Toc198222531</vt:lpwstr>
      </vt:variant>
      <vt:variant>
        <vt:i4>1900606</vt:i4>
      </vt:variant>
      <vt:variant>
        <vt:i4>407</vt:i4>
      </vt:variant>
      <vt:variant>
        <vt:i4>0</vt:i4>
      </vt:variant>
      <vt:variant>
        <vt:i4>5</vt:i4>
      </vt:variant>
      <vt:variant>
        <vt:lpwstr/>
      </vt:variant>
      <vt:variant>
        <vt:lpwstr>_Toc198222530</vt:lpwstr>
      </vt:variant>
      <vt:variant>
        <vt:i4>1835070</vt:i4>
      </vt:variant>
      <vt:variant>
        <vt:i4>404</vt:i4>
      </vt:variant>
      <vt:variant>
        <vt:i4>0</vt:i4>
      </vt:variant>
      <vt:variant>
        <vt:i4>5</vt:i4>
      </vt:variant>
      <vt:variant>
        <vt:lpwstr/>
      </vt:variant>
      <vt:variant>
        <vt:lpwstr>_Toc198222529</vt:lpwstr>
      </vt:variant>
      <vt:variant>
        <vt:i4>1835070</vt:i4>
      </vt:variant>
      <vt:variant>
        <vt:i4>401</vt:i4>
      </vt:variant>
      <vt:variant>
        <vt:i4>0</vt:i4>
      </vt:variant>
      <vt:variant>
        <vt:i4>5</vt:i4>
      </vt:variant>
      <vt:variant>
        <vt:lpwstr/>
      </vt:variant>
      <vt:variant>
        <vt:lpwstr>_Toc198222528</vt:lpwstr>
      </vt:variant>
      <vt:variant>
        <vt:i4>1835070</vt:i4>
      </vt:variant>
      <vt:variant>
        <vt:i4>398</vt:i4>
      </vt:variant>
      <vt:variant>
        <vt:i4>0</vt:i4>
      </vt:variant>
      <vt:variant>
        <vt:i4>5</vt:i4>
      </vt:variant>
      <vt:variant>
        <vt:lpwstr/>
      </vt:variant>
      <vt:variant>
        <vt:lpwstr>_Toc198222527</vt:lpwstr>
      </vt:variant>
      <vt:variant>
        <vt:i4>1835070</vt:i4>
      </vt:variant>
      <vt:variant>
        <vt:i4>395</vt:i4>
      </vt:variant>
      <vt:variant>
        <vt:i4>0</vt:i4>
      </vt:variant>
      <vt:variant>
        <vt:i4>5</vt:i4>
      </vt:variant>
      <vt:variant>
        <vt:lpwstr/>
      </vt:variant>
      <vt:variant>
        <vt:lpwstr>_Toc198222526</vt:lpwstr>
      </vt:variant>
      <vt:variant>
        <vt:i4>1835070</vt:i4>
      </vt:variant>
      <vt:variant>
        <vt:i4>392</vt:i4>
      </vt:variant>
      <vt:variant>
        <vt:i4>0</vt:i4>
      </vt:variant>
      <vt:variant>
        <vt:i4>5</vt:i4>
      </vt:variant>
      <vt:variant>
        <vt:lpwstr/>
      </vt:variant>
      <vt:variant>
        <vt:lpwstr>_Toc198222525</vt:lpwstr>
      </vt:variant>
      <vt:variant>
        <vt:i4>1835070</vt:i4>
      </vt:variant>
      <vt:variant>
        <vt:i4>389</vt:i4>
      </vt:variant>
      <vt:variant>
        <vt:i4>0</vt:i4>
      </vt:variant>
      <vt:variant>
        <vt:i4>5</vt:i4>
      </vt:variant>
      <vt:variant>
        <vt:lpwstr/>
      </vt:variant>
      <vt:variant>
        <vt:lpwstr>_Toc198222524</vt:lpwstr>
      </vt:variant>
      <vt:variant>
        <vt:i4>1835070</vt:i4>
      </vt:variant>
      <vt:variant>
        <vt:i4>386</vt:i4>
      </vt:variant>
      <vt:variant>
        <vt:i4>0</vt:i4>
      </vt:variant>
      <vt:variant>
        <vt:i4>5</vt:i4>
      </vt:variant>
      <vt:variant>
        <vt:lpwstr/>
      </vt:variant>
      <vt:variant>
        <vt:lpwstr>_Toc198222523</vt:lpwstr>
      </vt:variant>
      <vt:variant>
        <vt:i4>1835070</vt:i4>
      </vt:variant>
      <vt:variant>
        <vt:i4>383</vt:i4>
      </vt:variant>
      <vt:variant>
        <vt:i4>0</vt:i4>
      </vt:variant>
      <vt:variant>
        <vt:i4>5</vt:i4>
      </vt:variant>
      <vt:variant>
        <vt:lpwstr/>
      </vt:variant>
      <vt:variant>
        <vt:lpwstr>_Toc198222522</vt:lpwstr>
      </vt:variant>
      <vt:variant>
        <vt:i4>1835070</vt:i4>
      </vt:variant>
      <vt:variant>
        <vt:i4>380</vt:i4>
      </vt:variant>
      <vt:variant>
        <vt:i4>0</vt:i4>
      </vt:variant>
      <vt:variant>
        <vt:i4>5</vt:i4>
      </vt:variant>
      <vt:variant>
        <vt:lpwstr/>
      </vt:variant>
      <vt:variant>
        <vt:lpwstr>_Toc198222521</vt:lpwstr>
      </vt:variant>
      <vt:variant>
        <vt:i4>1835070</vt:i4>
      </vt:variant>
      <vt:variant>
        <vt:i4>377</vt:i4>
      </vt:variant>
      <vt:variant>
        <vt:i4>0</vt:i4>
      </vt:variant>
      <vt:variant>
        <vt:i4>5</vt:i4>
      </vt:variant>
      <vt:variant>
        <vt:lpwstr/>
      </vt:variant>
      <vt:variant>
        <vt:lpwstr>_Toc198222520</vt:lpwstr>
      </vt:variant>
      <vt:variant>
        <vt:i4>1572925</vt:i4>
      </vt:variant>
      <vt:variant>
        <vt:i4>371</vt:i4>
      </vt:variant>
      <vt:variant>
        <vt:i4>0</vt:i4>
      </vt:variant>
      <vt:variant>
        <vt:i4>5</vt:i4>
      </vt:variant>
      <vt:variant>
        <vt:lpwstr/>
      </vt:variant>
      <vt:variant>
        <vt:lpwstr>_Toc198217530</vt:lpwstr>
      </vt:variant>
      <vt:variant>
        <vt:i4>1638461</vt:i4>
      </vt:variant>
      <vt:variant>
        <vt:i4>368</vt:i4>
      </vt:variant>
      <vt:variant>
        <vt:i4>0</vt:i4>
      </vt:variant>
      <vt:variant>
        <vt:i4>5</vt:i4>
      </vt:variant>
      <vt:variant>
        <vt:lpwstr/>
      </vt:variant>
      <vt:variant>
        <vt:lpwstr>_Toc198217529</vt:lpwstr>
      </vt:variant>
      <vt:variant>
        <vt:i4>1638461</vt:i4>
      </vt:variant>
      <vt:variant>
        <vt:i4>365</vt:i4>
      </vt:variant>
      <vt:variant>
        <vt:i4>0</vt:i4>
      </vt:variant>
      <vt:variant>
        <vt:i4>5</vt:i4>
      </vt:variant>
      <vt:variant>
        <vt:lpwstr/>
      </vt:variant>
      <vt:variant>
        <vt:lpwstr>_Toc198217528</vt:lpwstr>
      </vt:variant>
      <vt:variant>
        <vt:i4>1638461</vt:i4>
      </vt:variant>
      <vt:variant>
        <vt:i4>362</vt:i4>
      </vt:variant>
      <vt:variant>
        <vt:i4>0</vt:i4>
      </vt:variant>
      <vt:variant>
        <vt:i4>5</vt:i4>
      </vt:variant>
      <vt:variant>
        <vt:lpwstr/>
      </vt:variant>
      <vt:variant>
        <vt:lpwstr>_Toc198217527</vt:lpwstr>
      </vt:variant>
      <vt:variant>
        <vt:i4>1638461</vt:i4>
      </vt:variant>
      <vt:variant>
        <vt:i4>359</vt:i4>
      </vt:variant>
      <vt:variant>
        <vt:i4>0</vt:i4>
      </vt:variant>
      <vt:variant>
        <vt:i4>5</vt:i4>
      </vt:variant>
      <vt:variant>
        <vt:lpwstr/>
      </vt:variant>
      <vt:variant>
        <vt:lpwstr>_Toc198217526</vt:lpwstr>
      </vt:variant>
      <vt:variant>
        <vt:i4>1638461</vt:i4>
      </vt:variant>
      <vt:variant>
        <vt:i4>356</vt:i4>
      </vt:variant>
      <vt:variant>
        <vt:i4>0</vt:i4>
      </vt:variant>
      <vt:variant>
        <vt:i4>5</vt:i4>
      </vt:variant>
      <vt:variant>
        <vt:lpwstr/>
      </vt:variant>
      <vt:variant>
        <vt:lpwstr>_Toc198217525</vt:lpwstr>
      </vt:variant>
      <vt:variant>
        <vt:i4>1638461</vt:i4>
      </vt:variant>
      <vt:variant>
        <vt:i4>353</vt:i4>
      </vt:variant>
      <vt:variant>
        <vt:i4>0</vt:i4>
      </vt:variant>
      <vt:variant>
        <vt:i4>5</vt:i4>
      </vt:variant>
      <vt:variant>
        <vt:lpwstr/>
      </vt:variant>
      <vt:variant>
        <vt:lpwstr>_Toc198217524</vt:lpwstr>
      </vt:variant>
      <vt:variant>
        <vt:i4>1638461</vt:i4>
      </vt:variant>
      <vt:variant>
        <vt:i4>350</vt:i4>
      </vt:variant>
      <vt:variant>
        <vt:i4>0</vt:i4>
      </vt:variant>
      <vt:variant>
        <vt:i4>5</vt:i4>
      </vt:variant>
      <vt:variant>
        <vt:lpwstr/>
      </vt:variant>
      <vt:variant>
        <vt:lpwstr>_Toc198217523</vt:lpwstr>
      </vt:variant>
      <vt:variant>
        <vt:i4>1638461</vt:i4>
      </vt:variant>
      <vt:variant>
        <vt:i4>347</vt:i4>
      </vt:variant>
      <vt:variant>
        <vt:i4>0</vt:i4>
      </vt:variant>
      <vt:variant>
        <vt:i4>5</vt:i4>
      </vt:variant>
      <vt:variant>
        <vt:lpwstr/>
      </vt:variant>
      <vt:variant>
        <vt:lpwstr>_Toc198217522</vt:lpwstr>
      </vt:variant>
      <vt:variant>
        <vt:i4>1638461</vt:i4>
      </vt:variant>
      <vt:variant>
        <vt:i4>344</vt:i4>
      </vt:variant>
      <vt:variant>
        <vt:i4>0</vt:i4>
      </vt:variant>
      <vt:variant>
        <vt:i4>5</vt:i4>
      </vt:variant>
      <vt:variant>
        <vt:lpwstr/>
      </vt:variant>
      <vt:variant>
        <vt:lpwstr>_Toc198217521</vt:lpwstr>
      </vt:variant>
      <vt:variant>
        <vt:i4>1638461</vt:i4>
      </vt:variant>
      <vt:variant>
        <vt:i4>341</vt:i4>
      </vt:variant>
      <vt:variant>
        <vt:i4>0</vt:i4>
      </vt:variant>
      <vt:variant>
        <vt:i4>5</vt:i4>
      </vt:variant>
      <vt:variant>
        <vt:lpwstr/>
      </vt:variant>
      <vt:variant>
        <vt:lpwstr>_Toc198217520</vt:lpwstr>
      </vt:variant>
      <vt:variant>
        <vt:i4>1703997</vt:i4>
      </vt:variant>
      <vt:variant>
        <vt:i4>338</vt:i4>
      </vt:variant>
      <vt:variant>
        <vt:i4>0</vt:i4>
      </vt:variant>
      <vt:variant>
        <vt:i4>5</vt:i4>
      </vt:variant>
      <vt:variant>
        <vt:lpwstr/>
      </vt:variant>
      <vt:variant>
        <vt:lpwstr>_Toc198217519</vt:lpwstr>
      </vt:variant>
      <vt:variant>
        <vt:i4>1703997</vt:i4>
      </vt:variant>
      <vt:variant>
        <vt:i4>335</vt:i4>
      </vt:variant>
      <vt:variant>
        <vt:i4>0</vt:i4>
      </vt:variant>
      <vt:variant>
        <vt:i4>5</vt:i4>
      </vt:variant>
      <vt:variant>
        <vt:lpwstr/>
      </vt:variant>
      <vt:variant>
        <vt:lpwstr>_Toc198217518</vt:lpwstr>
      </vt:variant>
      <vt:variant>
        <vt:i4>1703997</vt:i4>
      </vt:variant>
      <vt:variant>
        <vt:i4>332</vt:i4>
      </vt:variant>
      <vt:variant>
        <vt:i4>0</vt:i4>
      </vt:variant>
      <vt:variant>
        <vt:i4>5</vt:i4>
      </vt:variant>
      <vt:variant>
        <vt:lpwstr/>
      </vt:variant>
      <vt:variant>
        <vt:lpwstr>_Toc198217517</vt:lpwstr>
      </vt:variant>
      <vt:variant>
        <vt:i4>1703997</vt:i4>
      </vt:variant>
      <vt:variant>
        <vt:i4>329</vt:i4>
      </vt:variant>
      <vt:variant>
        <vt:i4>0</vt:i4>
      </vt:variant>
      <vt:variant>
        <vt:i4>5</vt:i4>
      </vt:variant>
      <vt:variant>
        <vt:lpwstr/>
      </vt:variant>
      <vt:variant>
        <vt:lpwstr>_Toc198217516</vt:lpwstr>
      </vt:variant>
      <vt:variant>
        <vt:i4>1703997</vt:i4>
      </vt:variant>
      <vt:variant>
        <vt:i4>326</vt:i4>
      </vt:variant>
      <vt:variant>
        <vt:i4>0</vt:i4>
      </vt:variant>
      <vt:variant>
        <vt:i4>5</vt:i4>
      </vt:variant>
      <vt:variant>
        <vt:lpwstr/>
      </vt:variant>
      <vt:variant>
        <vt:lpwstr>_Toc198217515</vt:lpwstr>
      </vt:variant>
      <vt:variant>
        <vt:i4>1703997</vt:i4>
      </vt:variant>
      <vt:variant>
        <vt:i4>323</vt:i4>
      </vt:variant>
      <vt:variant>
        <vt:i4>0</vt:i4>
      </vt:variant>
      <vt:variant>
        <vt:i4>5</vt:i4>
      </vt:variant>
      <vt:variant>
        <vt:lpwstr/>
      </vt:variant>
      <vt:variant>
        <vt:lpwstr>_Toc198217514</vt:lpwstr>
      </vt:variant>
      <vt:variant>
        <vt:i4>1703997</vt:i4>
      </vt:variant>
      <vt:variant>
        <vt:i4>320</vt:i4>
      </vt:variant>
      <vt:variant>
        <vt:i4>0</vt:i4>
      </vt:variant>
      <vt:variant>
        <vt:i4>5</vt:i4>
      </vt:variant>
      <vt:variant>
        <vt:lpwstr/>
      </vt:variant>
      <vt:variant>
        <vt:lpwstr>_Toc198217513</vt:lpwstr>
      </vt:variant>
      <vt:variant>
        <vt:i4>1703997</vt:i4>
      </vt:variant>
      <vt:variant>
        <vt:i4>317</vt:i4>
      </vt:variant>
      <vt:variant>
        <vt:i4>0</vt:i4>
      </vt:variant>
      <vt:variant>
        <vt:i4>5</vt:i4>
      </vt:variant>
      <vt:variant>
        <vt:lpwstr/>
      </vt:variant>
      <vt:variant>
        <vt:lpwstr>_Toc198217512</vt:lpwstr>
      </vt:variant>
      <vt:variant>
        <vt:i4>1703997</vt:i4>
      </vt:variant>
      <vt:variant>
        <vt:i4>314</vt:i4>
      </vt:variant>
      <vt:variant>
        <vt:i4>0</vt:i4>
      </vt:variant>
      <vt:variant>
        <vt:i4>5</vt:i4>
      </vt:variant>
      <vt:variant>
        <vt:lpwstr/>
      </vt:variant>
      <vt:variant>
        <vt:lpwstr>_Toc198217511</vt:lpwstr>
      </vt:variant>
      <vt:variant>
        <vt:i4>1703997</vt:i4>
      </vt:variant>
      <vt:variant>
        <vt:i4>311</vt:i4>
      </vt:variant>
      <vt:variant>
        <vt:i4>0</vt:i4>
      </vt:variant>
      <vt:variant>
        <vt:i4>5</vt:i4>
      </vt:variant>
      <vt:variant>
        <vt:lpwstr/>
      </vt:variant>
      <vt:variant>
        <vt:lpwstr>_Toc198217510</vt:lpwstr>
      </vt:variant>
      <vt:variant>
        <vt:i4>1769533</vt:i4>
      </vt:variant>
      <vt:variant>
        <vt:i4>308</vt:i4>
      </vt:variant>
      <vt:variant>
        <vt:i4>0</vt:i4>
      </vt:variant>
      <vt:variant>
        <vt:i4>5</vt:i4>
      </vt:variant>
      <vt:variant>
        <vt:lpwstr/>
      </vt:variant>
      <vt:variant>
        <vt:lpwstr>_Toc198217509</vt:lpwstr>
      </vt:variant>
      <vt:variant>
        <vt:i4>1769533</vt:i4>
      </vt:variant>
      <vt:variant>
        <vt:i4>305</vt:i4>
      </vt:variant>
      <vt:variant>
        <vt:i4>0</vt:i4>
      </vt:variant>
      <vt:variant>
        <vt:i4>5</vt:i4>
      </vt:variant>
      <vt:variant>
        <vt:lpwstr/>
      </vt:variant>
      <vt:variant>
        <vt:lpwstr>_Toc198217508</vt:lpwstr>
      </vt:variant>
      <vt:variant>
        <vt:i4>1769533</vt:i4>
      </vt:variant>
      <vt:variant>
        <vt:i4>302</vt:i4>
      </vt:variant>
      <vt:variant>
        <vt:i4>0</vt:i4>
      </vt:variant>
      <vt:variant>
        <vt:i4>5</vt:i4>
      </vt:variant>
      <vt:variant>
        <vt:lpwstr/>
      </vt:variant>
      <vt:variant>
        <vt:lpwstr>_Toc198217507</vt:lpwstr>
      </vt:variant>
      <vt:variant>
        <vt:i4>1769533</vt:i4>
      </vt:variant>
      <vt:variant>
        <vt:i4>299</vt:i4>
      </vt:variant>
      <vt:variant>
        <vt:i4>0</vt:i4>
      </vt:variant>
      <vt:variant>
        <vt:i4>5</vt:i4>
      </vt:variant>
      <vt:variant>
        <vt:lpwstr/>
      </vt:variant>
      <vt:variant>
        <vt:lpwstr>_Toc198217506</vt:lpwstr>
      </vt:variant>
      <vt:variant>
        <vt:i4>1769533</vt:i4>
      </vt:variant>
      <vt:variant>
        <vt:i4>296</vt:i4>
      </vt:variant>
      <vt:variant>
        <vt:i4>0</vt:i4>
      </vt:variant>
      <vt:variant>
        <vt:i4>5</vt:i4>
      </vt:variant>
      <vt:variant>
        <vt:lpwstr/>
      </vt:variant>
      <vt:variant>
        <vt:lpwstr>_Toc198217505</vt:lpwstr>
      </vt:variant>
      <vt:variant>
        <vt:i4>1769533</vt:i4>
      </vt:variant>
      <vt:variant>
        <vt:i4>293</vt:i4>
      </vt:variant>
      <vt:variant>
        <vt:i4>0</vt:i4>
      </vt:variant>
      <vt:variant>
        <vt:i4>5</vt:i4>
      </vt:variant>
      <vt:variant>
        <vt:lpwstr/>
      </vt:variant>
      <vt:variant>
        <vt:lpwstr>_Toc198217504</vt:lpwstr>
      </vt:variant>
      <vt:variant>
        <vt:i4>1769533</vt:i4>
      </vt:variant>
      <vt:variant>
        <vt:i4>290</vt:i4>
      </vt:variant>
      <vt:variant>
        <vt:i4>0</vt:i4>
      </vt:variant>
      <vt:variant>
        <vt:i4>5</vt:i4>
      </vt:variant>
      <vt:variant>
        <vt:lpwstr/>
      </vt:variant>
      <vt:variant>
        <vt:lpwstr>_Toc198217503</vt:lpwstr>
      </vt:variant>
      <vt:variant>
        <vt:i4>1769533</vt:i4>
      </vt:variant>
      <vt:variant>
        <vt:i4>287</vt:i4>
      </vt:variant>
      <vt:variant>
        <vt:i4>0</vt:i4>
      </vt:variant>
      <vt:variant>
        <vt:i4>5</vt:i4>
      </vt:variant>
      <vt:variant>
        <vt:lpwstr/>
      </vt:variant>
      <vt:variant>
        <vt:lpwstr>_Toc198217502</vt:lpwstr>
      </vt:variant>
      <vt:variant>
        <vt:i4>1769533</vt:i4>
      </vt:variant>
      <vt:variant>
        <vt:i4>284</vt:i4>
      </vt:variant>
      <vt:variant>
        <vt:i4>0</vt:i4>
      </vt:variant>
      <vt:variant>
        <vt:i4>5</vt:i4>
      </vt:variant>
      <vt:variant>
        <vt:lpwstr/>
      </vt:variant>
      <vt:variant>
        <vt:lpwstr>_Toc198217501</vt:lpwstr>
      </vt:variant>
      <vt:variant>
        <vt:i4>1769533</vt:i4>
      </vt:variant>
      <vt:variant>
        <vt:i4>281</vt:i4>
      </vt:variant>
      <vt:variant>
        <vt:i4>0</vt:i4>
      </vt:variant>
      <vt:variant>
        <vt:i4>5</vt:i4>
      </vt:variant>
      <vt:variant>
        <vt:lpwstr/>
      </vt:variant>
      <vt:variant>
        <vt:lpwstr>_Toc198217500</vt:lpwstr>
      </vt:variant>
      <vt:variant>
        <vt:i4>1179708</vt:i4>
      </vt:variant>
      <vt:variant>
        <vt:i4>278</vt:i4>
      </vt:variant>
      <vt:variant>
        <vt:i4>0</vt:i4>
      </vt:variant>
      <vt:variant>
        <vt:i4>5</vt:i4>
      </vt:variant>
      <vt:variant>
        <vt:lpwstr/>
      </vt:variant>
      <vt:variant>
        <vt:lpwstr>_Toc198217499</vt:lpwstr>
      </vt:variant>
      <vt:variant>
        <vt:i4>1179708</vt:i4>
      </vt:variant>
      <vt:variant>
        <vt:i4>275</vt:i4>
      </vt:variant>
      <vt:variant>
        <vt:i4>0</vt:i4>
      </vt:variant>
      <vt:variant>
        <vt:i4>5</vt:i4>
      </vt:variant>
      <vt:variant>
        <vt:lpwstr/>
      </vt:variant>
      <vt:variant>
        <vt:lpwstr>_Toc198217498</vt:lpwstr>
      </vt:variant>
      <vt:variant>
        <vt:i4>1179708</vt:i4>
      </vt:variant>
      <vt:variant>
        <vt:i4>272</vt:i4>
      </vt:variant>
      <vt:variant>
        <vt:i4>0</vt:i4>
      </vt:variant>
      <vt:variant>
        <vt:i4>5</vt:i4>
      </vt:variant>
      <vt:variant>
        <vt:lpwstr/>
      </vt:variant>
      <vt:variant>
        <vt:lpwstr>_Toc198217497</vt:lpwstr>
      </vt:variant>
      <vt:variant>
        <vt:i4>1179708</vt:i4>
      </vt:variant>
      <vt:variant>
        <vt:i4>269</vt:i4>
      </vt:variant>
      <vt:variant>
        <vt:i4>0</vt:i4>
      </vt:variant>
      <vt:variant>
        <vt:i4>5</vt:i4>
      </vt:variant>
      <vt:variant>
        <vt:lpwstr/>
      </vt:variant>
      <vt:variant>
        <vt:lpwstr>_Toc198217496</vt:lpwstr>
      </vt:variant>
      <vt:variant>
        <vt:i4>1179708</vt:i4>
      </vt:variant>
      <vt:variant>
        <vt:i4>266</vt:i4>
      </vt:variant>
      <vt:variant>
        <vt:i4>0</vt:i4>
      </vt:variant>
      <vt:variant>
        <vt:i4>5</vt:i4>
      </vt:variant>
      <vt:variant>
        <vt:lpwstr/>
      </vt:variant>
      <vt:variant>
        <vt:lpwstr>_Toc198217495</vt:lpwstr>
      </vt:variant>
      <vt:variant>
        <vt:i4>1179708</vt:i4>
      </vt:variant>
      <vt:variant>
        <vt:i4>263</vt:i4>
      </vt:variant>
      <vt:variant>
        <vt:i4>0</vt:i4>
      </vt:variant>
      <vt:variant>
        <vt:i4>5</vt:i4>
      </vt:variant>
      <vt:variant>
        <vt:lpwstr/>
      </vt:variant>
      <vt:variant>
        <vt:lpwstr>_Toc198217494</vt:lpwstr>
      </vt:variant>
      <vt:variant>
        <vt:i4>1179708</vt:i4>
      </vt:variant>
      <vt:variant>
        <vt:i4>260</vt:i4>
      </vt:variant>
      <vt:variant>
        <vt:i4>0</vt:i4>
      </vt:variant>
      <vt:variant>
        <vt:i4>5</vt:i4>
      </vt:variant>
      <vt:variant>
        <vt:lpwstr/>
      </vt:variant>
      <vt:variant>
        <vt:lpwstr>_Toc198217493</vt:lpwstr>
      </vt:variant>
      <vt:variant>
        <vt:i4>1179708</vt:i4>
      </vt:variant>
      <vt:variant>
        <vt:i4>257</vt:i4>
      </vt:variant>
      <vt:variant>
        <vt:i4>0</vt:i4>
      </vt:variant>
      <vt:variant>
        <vt:i4>5</vt:i4>
      </vt:variant>
      <vt:variant>
        <vt:lpwstr/>
      </vt:variant>
      <vt:variant>
        <vt:lpwstr>_Toc198217492</vt:lpwstr>
      </vt:variant>
      <vt:variant>
        <vt:i4>1179708</vt:i4>
      </vt:variant>
      <vt:variant>
        <vt:i4>254</vt:i4>
      </vt:variant>
      <vt:variant>
        <vt:i4>0</vt:i4>
      </vt:variant>
      <vt:variant>
        <vt:i4>5</vt:i4>
      </vt:variant>
      <vt:variant>
        <vt:lpwstr/>
      </vt:variant>
      <vt:variant>
        <vt:lpwstr>_Toc198217491</vt:lpwstr>
      </vt:variant>
      <vt:variant>
        <vt:i4>1835069</vt:i4>
      </vt:variant>
      <vt:variant>
        <vt:i4>248</vt:i4>
      </vt:variant>
      <vt:variant>
        <vt:i4>0</vt:i4>
      </vt:variant>
      <vt:variant>
        <vt:i4>5</vt:i4>
      </vt:variant>
      <vt:variant>
        <vt:lpwstr/>
      </vt:variant>
      <vt:variant>
        <vt:lpwstr>_Toc198222622</vt:lpwstr>
      </vt:variant>
      <vt:variant>
        <vt:i4>1835069</vt:i4>
      </vt:variant>
      <vt:variant>
        <vt:i4>245</vt:i4>
      </vt:variant>
      <vt:variant>
        <vt:i4>0</vt:i4>
      </vt:variant>
      <vt:variant>
        <vt:i4>5</vt:i4>
      </vt:variant>
      <vt:variant>
        <vt:lpwstr/>
      </vt:variant>
      <vt:variant>
        <vt:lpwstr>_Toc198222621</vt:lpwstr>
      </vt:variant>
      <vt:variant>
        <vt:i4>1835069</vt:i4>
      </vt:variant>
      <vt:variant>
        <vt:i4>242</vt:i4>
      </vt:variant>
      <vt:variant>
        <vt:i4>0</vt:i4>
      </vt:variant>
      <vt:variant>
        <vt:i4>5</vt:i4>
      </vt:variant>
      <vt:variant>
        <vt:lpwstr/>
      </vt:variant>
      <vt:variant>
        <vt:lpwstr>_Toc198222620</vt:lpwstr>
      </vt:variant>
      <vt:variant>
        <vt:i4>2031677</vt:i4>
      </vt:variant>
      <vt:variant>
        <vt:i4>239</vt:i4>
      </vt:variant>
      <vt:variant>
        <vt:i4>0</vt:i4>
      </vt:variant>
      <vt:variant>
        <vt:i4>5</vt:i4>
      </vt:variant>
      <vt:variant>
        <vt:lpwstr/>
      </vt:variant>
      <vt:variant>
        <vt:lpwstr>_Toc198222619</vt:lpwstr>
      </vt:variant>
      <vt:variant>
        <vt:i4>2031677</vt:i4>
      </vt:variant>
      <vt:variant>
        <vt:i4>236</vt:i4>
      </vt:variant>
      <vt:variant>
        <vt:i4>0</vt:i4>
      </vt:variant>
      <vt:variant>
        <vt:i4>5</vt:i4>
      </vt:variant>
      <vt:variant>
        <vt:lpwstr/>
      </vt:variant>
      <vt:variant>
        <vt:lpwstr>_Toc198222618</vt:lpwstr>
      </vt:variant>
      <vt:variant>
        <vt:i4>2031677</vt:i4>
      </vt:variant>
      <vt:variant>
        <vt:i4>233</vt:i4>
      </vt:variant>
      <vt:variant>
        <vt:i4>0</vt:i4>
      </vt:variant>
      <vt:variant>
        <vt:i4>5</vt:i4>
      </vt:variant>
      <vt:variant>
        <vt:lpwstr/>
      </vt:variant>
      <vt:variant>
        <vt:lpwstr>_Toc198222617</vt:lpwstr>
      </vt:variant>
      <vt:variant>
        <vt:i4>2031677</vt:i4>
      </vt:variant>
      <vt:variant>
        <vt:i4>230</vt:i4>
      </vt:variant>
      <vt:variant>
        <vt:i4>0</vt:i4>
      </vt:variant>
      <vt:variant>
        <vt:i4>5</vt:i4>
      </vt:variant>
      <vt:variant>
        <vt:lpwstr/>
      </vt:variant>
      <vt:variant>
        <vt:lpwstr>_Toc198222616</vt:lpwstr>
      </vt:variant>
      <vt:variant>
        <vt:i4>2031677</vt:i4>
      </vt:variant>
      <vt:variant>
        <vt:i4>227</vt:i4>
      </vt:variant>
      <vt:variant>
        <vt:i4>0</vt:i4>
      </vt:variant>
      <vt:variant>
        <vt:i4>5</vt:i4>
      </vt:variant>
      <vt:variant>
        <vt:lpwstr/>
      </vt:variant>
      <vt:variant>
        <vt:lpwstr>_Toc198222615</vt:lpwstr>
      </vt:variant>
      <vt:variant>
        <vt:i4>2031677</vt:i4>
      </vt:variant>
      <vt:variant>
        <vt:i4>224</vt:i4>
      </vt:variant>
      <vt:variant>
        <vt:i4>0</vt:i4>
      </vt:variant>
      <vt:variant>
        <vt:i4>5</vt:i4>
      </vt:variant>
      <vt:variant>
        <vt:lpwstr/>
      </vt:variant>
      <vt:variant>
        <vt:lpwstr>_Toc198222614</vt:lpwstr>
      </vt:variant>
      <vt:variant>
        <vt:i4>2031677</vt:i4>
      </vt:variant>
      <vt:variant>
        <vt:i4>221</vt:i4>
      </vt:variant>
      <vt:variant>
        <vt:i4>0</vt:i4>
      </vt:variant>
      <vt:variant>
        <vt:i4>5</vt:i4>
      </vt:variant>
      <vt:variant>
        <vt:lpwstr/>
      </vt:variant>
      <vt:variant>
        <vt:lpwstr>_Toc198222613</vt:lpwstr>
      </vt:variant>
      <vt:variant>
        <vt:i4>2031677</vt:i4>
      </vt:variant>
      <vt:variant>
        <vt:i4>218</vt:i4>
      </vt:variant>
      <vt:variant>
        <vt:i4>0</vt:i4>
      </vt:variant>
      <vt:variant>
        <vt:i4>5</vt:i4>
      </vt:variant>
      <vt:variant>
        <vt:lpwstr/>
      </vt:variant>
      <vt:variant>
        <vt:lpwstr>_Toc198222612</vt:lpwstr>
      </vt:variant>
      <vt:variant>
        <vt:i4>2031677</vt:i4>
      </vt:variant>
      <vt:variant>
        <vt:i4>215</vt:i4>
      </vt:variant>
      <vt:variant>
        <vt:i4>0</vt:i4>
      </vt:variant>
      <vt:variant>
        <vt:i4>5</vt:i4>
      </vt:variant>
      <vt:variant>
        <vt:lpwstr/>
      </vt:variant>
      <vt:variant>
        <vt:lpwstr>_Toc198222611</vt:lpwstr>
      </vt:variant>
      <vt:variant>
        <vt:i4>2031677</vt:i4>
      </vt:variant>
      <vt:variant>
        <vt:i4>212</vt:i4>
      </vt:variant>
      <vt:variant>
        <vt:i4>0</vt:i4>
      </vt:variant>
      <vt:variant>
        <vt:i4>5</vt:i4>
      </vt:variant>
      <vt:variant>
        <vt:lpwstr/>
      </vt:variant>
      <vt:variant>
        <vt:lpwstr>_Toc198222610</vt:lpwstr>
      </vt:variant>
      <vt:variant>
        <vt:i4>1966141</vt:i4>
      </vt:variant>
      <vt:variant>
        <vt:i4>209</vt:i4>
      </vt:variant>
      <vt:variant>
        <vt:i4>0</vt:i4>
      </vt:variant>
      <vt:variant>
        <vt:i4>5</vt:i4>
      </vt:variant>
      <vt:variant>
        <vt:lpwstr/>
      </vt:variant>
      <vt:variant>
        <vt:lpwstr>_Toc198222609</vt:lpwstr>
      </vt:variant>
      <vt:variant>
        <vt:i4>1966141</vt:i4>
      </vt:variant>
      <vt:variant>
        <vt:i4>206</vt:i4>
      </vt:variant>
      <vt:variant>
        <vt:i4>0</vt:i4>
      </vt:variant>
      <vt:variant>
        <vt:i4>5</vt:i4>
      </vt:variant>
      <vt:variant>
        <vt:lpwstr/>
      </vt:variant>
      <vt:variant>
        <vt:lpwstr>_Toc198222608</vt:lpwstr>
      </vt:variant>
      <vt:variant>
        <vt:i4>1966141</vt:i4>
      </vt:variant>
      <vt:variant>
        <vt:i4>203</vt:i4>
      </vt:variant>
      <vt:variant>
        <vt:i4>0</vt:i4>
      </vt:variant>
      <vt:variant>
        <vt:i4>5</vt:i4>
      </vt:variant>
      <vt:variant>
        <vt:lpwstr/>
      </vt:variant>
      <vt:variant>
        <vt:lpwstr>_Toc198222607</vt:lpwstr>
      </vt:variant>
      <vt:variant>
        <vt:i4>1966141</vt:i4>
      </vt:variant>
      <vt:variant>
        <vt:i4>200</vt:i4>
      </vt:variant>
      <vt:variant>
        <vt:i4>0</vt:i4>
      </vt:variant>
      <vt:variant>
        <vt:i4>5</vt:i4>
      </vt:variant>
      <vt:variant>
        <vt:lpwstr/>
      </vt:variant>
      <vt:variant>
        <vt:lpwstr>_Toc198222606</vt:lpwstr>
      </vt:variant>
      <vt:variant>
        <vt:i4>1966141</vt:i4>
      </vt:variant>
      <vt:variant>
        <vt:i4>197</vt:i4>
      </vt:variant>
      <vt:variant>
        <vt:i4>0</vt:i4>
      </vt:variant>
      <vt:variant>
        <vt:i4>5</vt:i4>
      </vt:variant>
      <vt:variant>
        <vt:lpwstr/>
      </vt:variant>
      <vt:variant>
        <vt:lpwstr>_Toc198222605</vt:lpwstr>
      </vt:variant>
      <vt:variant>
        <vt:i4>1966141</vt:i4>
      </vt:variant>
      <vt:variant>
        <vt:i4>194</vt:i4>
      </vt:variant>
      <vt:variant>
        <vt:i4>0</vt:i4>
      </vt:variant>
      <vt:variant>
        <vt:i4>5</vt:i4>
      </vt:variant>
      <vt:variant>
        <vt:lpwstr/>
      </vt:variant>
      <vt:variant>
        <vt:lpwstr>_Toc198222604</vt:lpwstr>
      </vt:variant>
      <vt:variant>
        <vt:i4>1966141</vt:i4>
      </vt:variant>
      <vt:variant>
        <vt:i4>191</vt:i4>
      </vt:variant>
      <vt:variant>
        <vt:i4>0</vt:i4>
      </vt:variant>
      <vt:variant>
        <vt:i4>5</vt:i4>
      </vt:variant>
      <vt:variant>
        <vt:lpwstr/>
      </vt:variant>
      <vt:variant>
        <vt:lpwstr>_Toc198222603</vt:lpwstr>
      </vt:variant>
      <vt:variant>
        <vt:i4>1966141</vt:i4>
      </vt:variant>
      <vt:variant>
        <vt:i4>188</vt:i4>
      </vt:variant>
      <vt:variant>
        <vt:i4>0</vt:i4>
      </vt:variant>
      <vt:variant>
        <vt:i4>5</vt:i4>
      </vt:variant>
      <vt:variant>
        <vt:lpwstr/>
      </vt:variant>
      <vt:variant>
        <vt:lpwstr>_Toc198222602</vt:lpwstr>
      </vt:variant>
      <vt:variant>
        <vt:i4>1966141</vt:i4>
      </vt:variant>
      <vt:variant>
        <vt:i4>185</vt:i4>
      </vt:variant>
      <vt:variant>
        <vt:i4>0</vt:i4>
      </vt:variant>
      <vt:variant>
        <vt:i4>5</vt:i4>
      </vt:variant>
      <vt:variant>
        <vt:lpwstr/>
      </vt:variant>
      <vt:variant>
        <vt:lpwstr>_Toc198222601</vt:lpwstr>
      </vt:variant>
      <vt:variant>
        <vt:i4>1966141</vt:i4>
      </vt:variant>
      <vt:variant>
        <vt:i4>182</vt:i4>
      </vt:variant>
      <vt:variant>
        <vt:i4>0</vt:i4>
      </vt:variant>
      <vt:variant>
        <vt:i4>5</vt:i4>
      </vt:variant>
      <vt:variant>
        <vt:lpwstr/>
      </vt:variant>
      <vt:variant>
        <vt:lpwstr>_Toc198222600</vt:lpwstr>
      </vt:variant>
      <vt:variant>
        <vt:i4>1507390</vt:i4>
      </vt:variant>
      <vt:variant>
        <vt:i4>179</vt:i4>
      </vt:variant>
      <vt:variant>
        <vt:i4>0</vt:i4>
      </vt:variant>
      <vt:variant>
        <vt:i4>5</vt:i4>
      </vt:variant>
      <vt:variant>
        <vt:lpwstr/>
      </vt:variant>
      <vt:variant>
        <vt:lpwstr>_Toc198222599</vt:lpwstr>
      </vt:variant>
      <vt:variant>
        <vt:i4>1507390</vt:i4>
      </vt:variant>
      <vt:variant>
        <vt:i4>176</vt:i4>
      </vt:variant>
      <vt:variant>
        <vt:i4>0</vt:i4>
      </vt:variant>
      <vt:variant>
        <vt:i4>5</vt:i4>
      </vt:variant>
      <vt:variant>
        <vt:lpwstr/>
      </vt:variant>
      <vt:variant>
        <vt:lpwstr>_Toc198222598</vt:lpwstr>
      </vt:variant>
      <vt:variant>
        <vt:i4>1507390</vt:i4>
      </vt:variant>
      <vt:variant>
        <vt:i4>173</vt:i4>
      </vt:variant>
      <vt:variant>
        <vt:i4>0</vt:i4>
      </vt:variant>
      <vt:variant>
        <vt:i4>5</vt:i4>
      </vt:variant>
      <vt:variant>
        <vt:lpwstr/>
      </vt:variant>
      <vt:variant>
        <vt:lpwstr>_Toc198222597</vt:lpwstr>
      </vt:variant>
      <vt:variant>
        <vt:i4>1507390</vt:i4>
      </vt:variant>
      <vt:variant>
        <vt:i4>170</vt:i4>
      </vt:variant>
      <vt:variant>
        <vt:i4>0</vt:i4>
      </vt:variant>
      <vt:variant>
        <vt:i4>5</vt:i4>
      </vt:variant>
      <vt:variant>
        <vt:lpwstr/>
      </vt:variant>
      <vt:variant>
        <vt:lpwstr>_Toc198222596</vt:lpwstr>
      </vt:variant>
      <vt:variant>
        <vt:i4>1507390</vt:i4>
      </vt:variant>
      <vt:variant>
        <vt:i4>167</vt:i4>
      </vt:variant>
      <vt:variant>
        <vt:i4>0</vt:i4>
      </vt:variant>
      <vt:variant>
        <vt:i4>5</vt:i4>
      </vt:variant>
      <vt:variant>
        <vt:lpwstr/>
      </vt:variant>
      <vt:variant>
        <vt:lpwstr>_Toc198222595</vt:lpwstr>
      </vt:variant>
      <vt:variant>
        <vt:i4>1507390</vt:i4>
      </vt:variant>
      <vt:variant>
        <vt:i4>164</vt:i4>
      </vt:variant>
      <vt:variant>
        <vt:i4>0</vt:i4>
      </vt:variant>
      <vt:variant>
        <vt:i4>5</vt:i4>
      </vt:variant>
      <vt:variant>
        <vt:lpwstr/>
      </vt:variant>
      <vt:variant>
        <vt:lpwstr>_Toc198222594</vt:lpwstr>
      </vt:variant>
      <vt:variant>
        <vt:i4>1507390</vt:i4>
      </vt:variant>
      <vt:variant>
        <vt:i4>161</vt:i4>
      </vt:variant>
      <vt:variant>
        <vt:i4>0</vt:i4>
      </vt:variant>
      <vt:variant>
        <vt:i4>5</vt:i4>
      </vt:variant>
      <vt:variant>
        <vt:lpwstr/>
      </vt:variant>
      <vt:variant>
        <vt:lpwstr>_Toc198222593</vt:lpwstr>
      </vt:variant>
      <vt:variant>
        <vt:i4>1507390</vt:i4>
      </vt:variant>
      <vt:variant>
        <vt:i4>158</vt:i4>
      </vt:variant>
      <vt:variant>
        <vt:i4>0</vt:i4>
      </vt:variant>
      <vt:variant>
        <vt:i4>5</vt:i4>
      </vt:variant>
      <vt:variant>
        <vt:lpwstr/>
      </vt:variant>
      <vt:variant>
        <vt:lpwstr>_Toc198222592</vt:lpwstr>
      </vt:variant>
      <vt:variant>
        <vt:i4>1507390</vt:i4>
      </vt:variant>
      <vt:variant>
        <vt:i4>155</vt:i4>
      </vt:variant>
      <vt:variant>
        <vt:i4>0</vt:i4>
      </vt:variant>
      <vt:variant>
        <vt:i4>5</vt:i4>
      </vt:variant>
      <vt:variant>
        <vt:lpwstr/>
      </vt:variant>
      <vt:variant>
        <vt:lpwstr>_Toc198222591</vt:lpwstr>
      </vt:variant>
      <vt:variant>
        <vt:i4>1507390</vt:i4>
      </vt:variant>
      <vt:variant>
        <vt:i4>152</vt:i4>
      </vt:variant>
      <vt:variant>
        <vt:i4>0</vt:i4>
      </vt:variant>
      <vt:variant>
        <vt:i4>5</vt:i4>
      </vt:variant>
      <vt:variant>
        <vt:lpwstr/>
      </vt:variant>
      <vt:variant>
        <vt:lpwstr>_Toc198222590</vt:lpwstr>
      </vt:variant>
      <vt:variant>
        <vt:i4>1441854</vt:i4>
      </vt:variant>
      <vt:variant>
        <vt:i4>149</vt:i4>
      </vt:variant>
      <vt:variant>
        <vt:i4>0</vt:i4>
      </vt:variant>
      <vt:variant>
        <vt:i4>5</vt:i4>
      </vt:variant>
      <vt:variant>
        <vt:lpwstr/>
      </vt:variant>
      <vt:variant>
        <vt:lpwstr>_Toc198222589</vt:lpwstr>
      </vt:variant>
      <vt:variant>
        <vt:i4>1441854</vt:i4>
      </vt:variant>
      <vt:variant>
        <vt:i4>146</vt:i4>
      </vt:variant>
      <vt:variant>
        <vt:i4>0</vt:i4>
      </vt:variant>
      <vt:variant>
        <vt:i4>5</vt:i4>
      </vt:variant>
      <vt:variant>
        <vt:lpwstr/>
      </vt:variant>
      <vt:variant>
        <vt:lpwstr>_Toc198222588</vt:lpwstr>
      </vt:variant>
      <vt:variant>
        <vt:i4>1441854</vt:i4>
      </vt:variant>
      <vt:variant>
        <vt:i4>143</vt:i4>
      </vt:variant>
      <vt:variant>
        <vt:i4>0</vt:i4>
      </vt:variant>
      <vt:variant>
        <vt:i4>5</vt:i4>
      </vt:variant>
      <vt:variant>
        <vt:lpwstr/>
      </vt:variant>
      <vt:variant>
        <vt:lpwstr>_Toc198222587</vt:lpwstr>
      </vt:variant>
      <vt:variant>
        <vt:i4>1441854</vt:i4>
      </vt:variant>
      <vt:variant>
        <vt:i4>140</vt:i4>
      </vt:variant>
      <vt:variant>
        <vt:i4>0</vt:i4>
      </vt:variant>
      <vt:variant>
        <vt:i4>5</vt:i4>
      </vt:variant>
      <vt:variant>
        <vt:lpwstr/>
      </vt:variant>
      <vt:variant>
        <vt:lpwstr>_Toc198222586</vt:lpwstr>
      </vt:variant>
      <vt:variant>
        <vt:i4>1441854</vt:i4>
      </vt:variant>
      <vt:variant>
        <vt:i4>137</vt:i4>
      </vt:variant>
      <vt:variant>
        <vt:i4>0</vt:i4>
      </vt:variant>
      <vt:variant>
        <vt:i4>5</vt:i4>
      </vt:variant>
      <vt:variant>
        <vt:lpwstr/>
      </vt:variant>
      <vt:variant>
        <vt:lpwstr>_Toc198222585</vt:lpwstr>
      </vt:variant>
      <vt:variant>
        <vt:i4>1441854</vt:i4>
      </vt:variant>
      <vt:variant>
        <vt:i4>134</vt:i4>
      </vt:variant>
      <vt:variant>
        <vt:i4>0</vt:i4>
      </vt:variant>
      <vt:variant>
        <vt:i4>5</vt:i4>
      </vt:variant>
      <vt:variant>
        <vt:lpwstr/>
      </vt:variant>
      <vt:variant>
        <vt:lpwstr>_Toc198222584</vt:lpwstr>
      </vt:variant>
      <vt:variant>
        <vt:i4>1441854</vt:i4>
      </vt:variant>
      <vt:variant>
        <vt:i4>131</vt:i4>
      </vt:variant>
      <vt:variant>
        <vt:i4>0</vt:i4>
      </vt:variant>
      <vt:variant>
        <vt:i4>5</vt:i4>
      </vt:variant>
      <vt:variant>
        <vt:lpwstr/>
      </vt:variant>
      <vt:variant>
        <vt:lpwstr>_Toc198222583</vt:lpwstr>
      </vt:variant>
      <vt:variant>
        <vt:i4>1441854</vt:i4>
      </vt:variant>
      <vt:variant>
        <vt:i4>128</vt:i4>
      </vt:variant>
      <vt:variant>
        <vt:i4>0</vt:i4>
      </vt:variant>
      <vt:variant>
        <vt:i4>5</vt:i4>
      </vt:variant>
      <vt:variant>
        <vt:lpwstr/>
      </vt:variant>
      <vt:variant>
        <vt:lpwstr>_Toc198222582</vt:lpwstr>
      </vt:variant>
      <vt:variant>
        <vt:i4>1441854</vt:i4>
      </vt:variant>
      <vt:variant>
        <vt:i4>125</vt:i4>
      </vt:variant>
      <vt:variant>
        <vt:i4>0</vt:i4>
      </vt:variant>
      <vt:variant>
        <vt:i4>5</vt:i4>
      </vt:variant>
      <vt:variant>
        <vt:lpwstr/>
      </vt:variant>
      <vt:variant>
        <vt:lpwstr>_Toc198222581</vt:lpwstr>
      </vt:variant>
      <vt:variant>
        <vt:i4>1441854</vt:i4>
      </vt:variant>
      <vt:variant>
        <vt:i4>122</vt:i4>
      </vt:variant>
      <vt:variant>
        <vt:i4>0</vt:i4>
      </vt:variant>
      <vt:variant>
        <vt:i4>5</vt:i4>
      </vt:variant>
      <vt:variant>
        <vt:lpwstr/>
      </vt:variant>
      <vt:variant>
        <vt:lpwstr>_Toc198222580</vt:lpwstr>
      </vt:variant>
      <vt:variant>
        <vt:i4>1638462</vt:i4>
      </vt:variant>
      <vt:variant>
        <vt:i4>119</vt:i4>
      </vt:variant>
      <vt:variant>
        <vt:i4>0</vt:i4>
      </vt:variant>
      <vt:variant>
        <vt:i4>5</vt:i4>
      </vt:variant>
      <vt:variant>
        <vt:lpwstr/>
      </vt:variant>
      <vt:variant>
        <vt:lpwstr>_Toc198222579</vt:lpwstr>
      </vt:variant>
      <vt:variant>
        <vt:i4>1638462</vt:i4>
      </vt:variant>
      <vt:variant>
        <vt:i4>116</vt:i4>
      </vt:variant>
      <vt:variant>
        <vt:i4>0</vt:i4>
      </vt:variant>
      <vt:variant>
        <vt:i4>5</vt:i4>
      </vt:variant>
      <vt:variant>
        <vt:lpwstr/>
      </vt:variant>
      <vt:variant>
        <vt:lpwstr>_Toc198222578</vt:lpwstr>
      </vt:variant>
      <vt:variant>
        <vt:i4>1638462</vt:i4>
      </vt:variant>
      <vt:variant>
        <vt:i4>113</vt:i4>
      </vt:variant>
      <vt:variant>
        <vt:i4>0</vt:i4>
      </vt:variant>
      <vt:variant>
        <vt:i4>5</vt:i4>
      </vt:variant>
      <vt:variant>
        <vt:lpwstr/>
      </vt:variant>
      <vt:variant>
        <vt:lpwstr>_Toc198222577</vt:lpwstr>
      </vt:variant>
      <vt:variant>
        <vt:i4>1638462</vt:i4>
      </vt:variant>
      <vt:variant>
        <vt:i4>110</vt:i4>
      </vt:variant>
      <vt:variant>
        <vt:i4>0</vt:i4>
      </vt:variant>
      <vt:variant>
        <vt:i4>5</vt:i4>
      </vt:variant>
      <vt:variant>
        <vt:lpwstr/>
      </vt:variant>
      <vt:variant>
        <vt:lpwstr>_Toc198222576</vt:lpwstr>
      </vt:variant>
      <vt:variant>
        <vt:i4>1638462</vt:i4>
      </vt:variant>
      <vt:variant>
        <vt:i4>107</vt:i4>
      </vt:variant>
      <vt:variant>
        <vt:i4>0</vt:i4>
      </vt:variant>
      <vt:variant>
        <vt:i4>5</vt:i4>
      </vt:variant>
      <vt:variant>
        <vt:lpwstr/>
      </vt:variant>
      <vt:variant>
        <vt:lpwstr>_Toc198222575</vt:lpwstr>
      </vt:variant>
      <vt:variant>
        <vt:i4>1638462</vt:i4>
      </vt:variant>
      <vt:variant>
        <vt:i4>104</vt:i4>
      </vt:variant>
      <vt:variant>
        <vt:i4>0</vt:i4>
      </vt:variant>
      <vt:variant>
        <vt:i4>5</vt:i4>
      </vt:variant>
      <vt:variant>
        <vt:lpwstr/>
      </vt:variant>
      <vt:variant>
        <vt:lpwstr>_Toc198222574</vt:lpwstr>
      </vt:variant>
      <vt:variant>
        <vt:i4>1638462</vt:i4>
      </vt:variant>
      <vt:variant>
        <vt:i4>101</vt:i4>
      </vt:variant>
      <vt:variant>
        <vt:i4>0</vt:i4>
      </vt:variant>
      <vt:variant>
        <vt:i4>5</vt:i4>
      </vt:variant>
      <vt:variant>
        <vt:lpwstr/>
      </vt:variant>
      <vt:variant>
        <vt:lpwstr>_Toc198222573</vt:lpwstr>
      </vt:variant>
      <vt:variant>
        <vt:i4>1638462</vt:i4>
      </vt:variant>
      <vt:variant>
        <vt:i4>98</vt:i4>
      </vt:variant>
      <vt:variant>
        <vt:i4>0</vt:i4>
      </vt:variant>
      <vt:variant>
        <vt:i4>5</vt:i4>
      </vt:variant>
      <vt:variant>
        <vt:lpwstr/>
      </vt:variant>
      <vt:variant>
        <vt:lpwstr>_Toc198222572</vt:lpwstr>
      </vt:variant>
      <vt:variant>
        <vt:i4>1638462</vt:i4>
      </vt:variant>
      <vt:variant>
        <vt:i4>95</vt:i4>
      </vt:variant>
      <vt:variant>
        <vt:i4>0</vt:i4>
      </vt:variant>
      <vt:variant>
        <vt:i4>5</vt:i4>
      </vt:variant>
      <vt:variant>
        <vt:lpwstr/>
      </vt:variant>
      <vt:variant>
        <vt:lpwstr>_Toc198222571</vt:lpwstr>
      </vt:variant>
      <vt:variant>
        <vt:i4>1638462</vt:i4>
      </vt:variant>
      <vt:variant>
        <vt:i4>92</vt:i4>
      </vt:variant>
      <vt:variant>
        <vt:i4>0</vt:i4>
      </vt:variant>
      <vt:variant>
        <vt:i4>5</vt:i4>
      </vt:variant>
      <vt:variant>
        <vt:lpwstr/>
      </vt:variant>
      <vt:variant>
        <vt:lpwstr>_Toc198222570</vt:lpwstr>
      </vt:variant>
      <vt:variant>
        <vt:i4>1572926</vt:i4>
      </vt:variant>
      <vt:variant>
        <vt:i4>89</vt:i4>
      </vt:variant>
      <vt:variant>
        <vt:i4>0</vt:i4>
      </vt:variant>
      <vt:variant>
        <vt:i4>5</vt:i4>
      </vt:variant>
      <vt:variant>
        <vt:lpwstr/>
      </vt:variant>
      <vt:variant>
        <vt:lpwstr>_Toc198222569</vt:lpwstr>
      </vt:variant>
      <vt:variant>
        <vt:i4>1572926</vt:i4>
      </vt:variant>
      <vt:variant>
        <vt:i4>86</vt:i4>
      </vt:variant>
      <vt:variant>
        <vt:i4>0</vt:i4>
      </vt:variant>
      <vt:variant>
        <vt:i4>5</vt:i4>
      </vt:variant>
      <vt:variant>
        <vt:lpwstr/>
      </vt:variant>
      <vt:variant>
        <vt:lpwstr>_Toc198222568</vt:lpwstr>
      </vt:variant>
      <vt:variant>
        <vt:i4>1572926</vt:i4>
      </vt:variant>
      <vt:variant>
        <vt:i4>83</vt:i4>
      </vt:variant>
      <vt:variant>
        <vt:i4>0</vt:i4>
      </vt:variant>
      <vt:variant>
        <vt:i4>5</vt:i4>
      </vt:variant>
      <vt:variant>
        <vt:lpwstr/>
      </vt:variant>
      <vt:variant>
        <vt:lpwstr>_Toc198222567</vt:lpwstr>
      </vt:variant>
      <vt:variant>
        <vt:i4>1572926</vt:i4>
      </vt:variant>
      <vt:variant>
        <vt:i4>80</vt:i4>
      </vt:variant>
      <vt:variant>
        <vt:i4>0</vt:i4>
      </vt:variant>
      <vt:variant>
        <vt:i4>5</vt:i4>
      </vt:variant>
      <vt:variant>
        <vt:lpwstr/>
      </vt:variant>
      <vt:variant>
        <vt:lpwstr>_Toc198222566</vt:lpwstr>
      </vt:variant>
      <vt:variant>
        <vt:i4>1572926</vt:i4>
      </vt:variant>
      <vt:variant>
        <vt:i4>77</vt:i4>
      </vt:variant>
      <vt:variant>
        <vt:i4>0</vt:i4>
      </vt:variant>
      <vt:variant>
        <vt:i4>5</vt:i4>
      </vt:variant>
      <vt:variant>
        <vt:lpwstr/>
      </vt:variant>
      <vt:variant>
        <vt:lpwstr>_Toc198222565</vt:lpwstr>
      </vt:variant>
      <vt:variant>
        <vt:i4>1572926</vt:i4>
      </vt:variant>
      <vt:variant>
        <vt:i4>74</vt:i4>
      </vt:variant>
      <vt:variant>
        <vt:i4>0</vt:i4>
      </vt:variant>
      <vt:variant>
        <vt:i4>5</vt:i4>
      </vt:variant>
      <vt:variant>
        <vt:lpwstr/>
      </vt:variant>
      <vt:variant>
        <vt:lpwstr>_Toc198222564</vt:lpwstr>
      </vt:variant>
      <vt:variant>
        <vt:i4>1572926</vt:i4>
      </vt:variant>
      <vt:variant>
        <vt:i4>71</vt:i4>
      </vt:variant>
      <vt:variant>
        <vt:i4>0</vt:i4>
      </vt:variant>
      <vt:variant>
        <vt:i4>5</vt:i4>
      </vt:variant>
      <vt:variant>
        <vt:lpwstr/>
      </vt:variant>
      <vt:variant>
        <vt:lpwstr>_Toc198222563</vt:lpwstr>
      </vt:variant>
      <vt:variant>
        <vt:i4>1572926</vt:i4>
      </vt:variant>
      <vt:variant>
        <vt:i4>68</vt:i4>
      </vt:variant>
      <vt:variant>
        <vt:i4>0</vt:i4>
      </vt:variant>
      <vt:variant>
        <vt:i4>5</vt:i4>
      </vt:variant>
      <vt:variant>
        <vt:lpwstr/>
      </vt:variant>
      <vt:variant>
        <vt:lpwstr>_Toc198222562</vt:lpwstr>
      </vt:variant>
      <vt:variant>
        <vt:i4>1572926</vt:i4>
      </vt:variant>
      <vt:variant>
        <vt:i4>65</vt:i4>
      </vt:variant>
      <vt:variant>
        <vt:i4>0</vt:i4>
      </vt:variant>
      <vt:variant>
        <vt:i4>5</vt:i4>
      </vt:variant>
      <vt:variant>
        <vt:lpwstr/>
      </vt:variant>
      <vt:variant>
        <vt:lpwstr>_Toc198222561</vt:lpwstr>
      </vt:variant>
      <vt:variant>
        <vt:i4>1572926</vt:i4>
      </vt:variant>
      <vt:variant>
        <vt:i4>62</vt:i4>
      </vt:variant>
      <vt:variant>
        <vt:i4>0</vt:i4>
      </vt:variant>
      <vt:variant>
        <vt:i4>5</vt:i4>
      </vt:variant>
      <vt:variant>
        <vt:lpwstr/>
      </vt:variant>
      <vt:variant>
        <vt:lpwstr>_Toc198222560</vt:lpwstr>
      </vt:variant>
      <vt:variant>
        <vt:i4>1769534</vt:i4>
      </vt:variant>
      <vt:variant>
        <vt:i4>59</vt:i4>
      </vt:variant>
      <vt:variant>
        <vt:i4>0</vt:i4>
      </vt:variant>
      <vt:variant>
        <vt:i4>5</vt:i4>
      </vt:variant>
      <vt:variant>
        <vt:lpwstr/>
      </vt:variant>
      <vt:variant>
        <vt:lpwstr>_Toc198222559</vt:lpwstr>
      </vt:variant>
      <vt:variant>
        <vt:i4>1769534</vt:i4>
      </vt:variant>
      <vt:variant>
        <vt:i4>56</vt:i4>
      </vt:variant>
      <vt:variant>
        <vt:i4>0</vt:i4>
      </vt:variant>
      <vt:variant>
        <vt:i4>5</vt:i4>
      </vt:variant>
      <vt:variant>
        <vt:lpwstr/>
      </vt:variant>
      <vt:variant>
        <vt:lpwstr>_Toc198222558</vt:lpwstr>
      </vt:variant>
      <vt:variant>
        <vt:i4>1769534</vt:i4>
      </vt:variant>
      <vt:variant>
        <vt:i4>53</vt:i4>
      </vt:variant>
      <vt:variant>
        <vt:i4>0</vt:i4>
      </vt:variant>
      <vt:variant>
        <vt:i4>5</vt:i4>
      </vt:variant>
      <vt:variant>
        <vt:lpwstr/>
      </vt:variant>
      <vt:variant>
        <vt:lpwstr>_Toc198222557</vt:lpwstr>
      </vt:variant>
      <vt:variant>
        <vt:i4>1769534</vt:i4>
      </vt:variant>
      <vt:variant>
        <vt:i4>50</vt:i4>
      </vt:variant>
      <vt:variant>
        <vt:i4>0</vt:i4>
      </vt:variant>
      <vt:variant>
        <vt:i4>5</vt:i4>
      </vt:variant>
      <vt:variant>
        <vt:lpwstr/>
      </vt:variant>
      <vt:variant>
        <vt:lpwstr>_Toc198222556</vt:lpwstr>
      </vt:variant>
      <vt:variant>
        <vt:i4>1769534</vt:i4>
      </vt:variant>
      <vt:variant>
        <vt:i4>47</vt:i4>
      </vt:variant>
      <vt:variant>
        <vt:i4>0</vt:i4>
      </vt:variant>
      <vt:variant>
        <vt:i4>5</vt:i4>
      </vt:variant>
      <vt:variant>
        <vt:lpwstr/>
      </vt:variant>
      <vt:variant>
        <vt:lpwstr>_Toc198222555</vt:lpwstr>
      </vt:variant>
      <vt:variant>
        <vt:i4>1769534</vt:i4>
      </vt:variant>
      <vt:variant>
        <vt:i4>44</vt:i4>
      </vt:variant>
      <vt:variant>
        <vt:i4>0</vt:i4>
      </vt:variant>
      <vt:variant>
        <vt:i4>5</vt:i4>
      </vt:variant>
      <vt:variant>
        <vt:lpwstr/>
      </vt:variant>
      <vt:variant>
        <vt:lpwstr>_Toc198222554</vt:lpwstr>
      </vt:variant>
      <vt:variant>
        <vt:i4>1769534</vt:i4>
      </vt:variant>
      <vt:variant>
        <vt:i4>41</vt:i4>
      </vt:variant>
      <vt:variant>
        <vt:i4>0</vt:i4>
      </vt:variant>
      <vt:variant>
        <vt:i4>5</vt:i4>
      </vt:variant>
      <vt:variant>
        <vt:lpwstr/>
      </vt:variant>
      <vt:variant>
        <vt:lpwstr>_Toc198222553</vt:lpwstr>
      </vt:variant>
      <vt:variant>
        <vt:i4>1769534</vt:i4>
      </vt:variant>
      <vt:variant>
        <vt:i4>38</vt:i4>
      </vt:variant>
      <vt:variant>
        <vt:i4>0</vt:i4>
      </vt:variant>
      <vt:variant>
        <vt:i4>5</vt:i4>
      </vt:variant>
      <vt:variant>
        <vt:lpwstr/>
      </vt:variant>
      <vt:variant>
        <vt:lpwstr>_Toc198222552</vt:lpwstr>
      </vt:variant>
      <vt:variant>
        <vt:i4>1769534</vt:i4>
      </vt:variant>
      <vt:variant>
        <vt:i4>35</vt:i4>
      </vt:variant>
      <vt:variant>
        <vt:i4>0</vt:i4>
      </vt:variant>
      <vt:variant>
        <vt:i4>5</vt:i4>
      </vt:variant>
      <vt:variant>
        <vt:lpwstr/>
      </vt:variant>
      <vt:variant>
        <vt:lpwstr>_Toc198222551</vt:lpwstr>
      </vt:variant>
      <vt:variant>
        <vt:i4>1769534</vt:i4>
      </vt:variant>
      <vt:variant>
        <vt:i4>32</vt:i4>
      </vt:variant>
      <vt:variant>
        <vt:i4>0</vt:i4>
      </vt:variant>
      <vt:variant>
        <vt:i4>5</vt:i4>
      </vt:variant>
      <vt:variant>
        <vt:lpwstr/>
      </vt:variant>
      <vt:variant>
        <vt:lpwstr>_Toc198222550</vt:lpwstr>
      </vt:variant>
      <vt:variant>
        <vt:i4>1703998</vt:i4>
      </vt:variant>
      <vt:variant>
        <vt:i4>29</vt:i4>
      </vt:variant>
      <vt:variant>
        <vt:i4>0</vt:i4>
      </vt:variant>
      <vt:variant>
        <vt:i4>5</vt:i4>
      </vt:variant>
      <vt:variant>
        <vt:lpwstr/>
      </vt:variant>
      <vt:variant>
        <vt:lpwstr>_Toc198222549</vt:lpwstr>
      </vt:variant>
      <vt:variant>
        <vt:i4>1703998</vt:i4>
      </vt:variant>
      <vt:variant>
        <vt:i4>26</vt:i4>
      </vt:variant>
      <vt:variant>
        <vt:i4>0</vt:i4>
      </vt:variant>
      <vt:variant>
        <vt:i4>5</vt:i4>
      </vt:variant>
      <vt:variant>
        <vt:lpwstr/>
      </vt:variant>
      <vt:variant>
        <vt:lpwstr>_Toc198222548</vt:lpwstr>
      </vt:variant>
      <vt:variant>
        <vt:i4>1703998</vt:i4>
      </vt:variant>
      <vt:variant>
        <vt:i4>23</vt:i4>
      </vt:variant>
      <vt:variant>
        <vt:i4>0</vt:i4>
      </vt:variant>
      <vt:variant>
        <vt:i4>5</vt:i4>
      </vt:variant>
      <vt:variant>
        <vt:lpwstr/>
      </vt:variant>
      <vt:variant>
        <vt:lpwstr>_Toc198222547</vt:lpwstr>
      </vt:variant>
      <vt:variant>
        <vt:i4>1703998</vt:i4>
      </vt:variant>
      <vt:variant>
        <vt:i4>20</vt:i4>
      </vt:variant>
      <vt:variant>
        <vt:i4>0</vt:i4>
      </vt:variant>
      <vt:variant>
        <vt:i4>5</vt:i4>
      </vt:variant>
      <vt:variant>
        <vt:lpwstr/>
      </vt:variant>
      <vt:variant>
        <vt:lpwstr>_Toc198222546</vt:lpwstr>
      </vt:variant>
      <vt:variant>
        <vt:i4>1703998</vt:i4>
      </vt:variant>
      <vt:variant>
        <vt:i4>17</vt:i4>
      </vt:variant>
      <vt:variant>
        <vt:i4>0</vt:i4>
      </vt:variant>
      <vt:variant>
        <vt:i4>5</vt:i4>
      </vt:variant>
      <vt:variant>
        <vt:lpwstr/>
      </vt:variant>
      <vt:variant>
        <vt:lpwstr>_Toc198222545</vt:lpwstr>
      </vt:variant>
      <vt:variant>
        <vt:i4>1703998</vt:i4>
      </vt:variant>
      <vt:variant>
        <vt:i4>14</vt:i4>
      </vt:variant>
      <vt:variant>
        <vt:i4>0</vt:i4>
      </vt:variant>
      <vt:variant>
        <vt:i4>5</vt:i4>
      </vt:variant>
      <vt:variant>
        <vt:lpwstr/>
      </vt:variant>
      <vt:variant>
        <vt:lpwstr>_Toc198222544</vt:lpwstr>
      </vt:variant>
      <vt:variant>
        <vt:i4>1703998</vt:i4>
      </vt:variant>
      <vt:variant>
        <vt:i4>11</vt:i4>
      </vt:variant>
      <vt:variant>
        <vt:i4>0</vt:i4>
      </vt:variant>
      <vt:variant>
        <vt:i4>5</vt:i4>
      </vt:variant>
      <vt:variant>
        <vt:lpwstr/>
      </vt:variant>
      <vt:variant>
        <vt:lpwstr>_Toc198222543</vt:lpwstr>
      </vt:variant>
      <vt:variant>
        <vt:i4>1703998</vt:i4>
      </vt:variant>
      <vt:variant>
        <vt:i4>8</vt:i4>
      </vt:variant>
      <vt:variant>
        <vt:i4>0</vt:i4>
      </vt:variant>
      <vt:variant>
        <vt:i4>5</vt:i4>
      </vt:variant>
      <vt:variant>
        <vt:lpwstr/>
      </vt:variant>
      <vt:variant>
        <vt:lpwstr>_Toc198222542</vt:lpwstr>
      </vt:variant>
      <vt:variant>
        <vt:i4>1703998</vt:i4>
      </vt:variant>
      <vt:variant>
        <vt:i4>5</vt:i4>
      </vt:variant>
      <vt:variant>
        <vt:i4>0</vt:i4>
      </vt:variant>
      <vt:variant>
        <vt:i4>5</vt:i4>
      </vt:variant>
      <vt:variant>
        <vt:lpwstr/>
      </vt:variant>
      <vt:variant>
        <vt:lpwstr>_Toc198222541</vt:lpwstr>
      </vt:variant>
      <vt:variant>
        <vt:i4>1703998</vt:i4>
      </vt:variant>
      <vt:variant>
        <vt:i4>2</vt:i4>
      </vt:variant>
      <vt:variant>
        <vt:i4>0</vt:i4>
      </vt:variant>
      <vt:variant>
        <vt:i4>5</vt:i4>
      </vt:variant>
      <vt:variant>
        <vt:lpwstr/>
      </vt:variant>
      <vt:variant>
        <vt:lpwstr>_Toc198222540</vt:lpwstr>
      </vt:variant>
      <vt:variant>
        <vt:i4>7864376</vt:i4>
      </vt:variant>
      <vt:variant>
        <vt:i4>0</vt:i4>
      </vt:variant>
      <vt:variant>
        <vt:i4>0</vt:i4>
      </vt:variant>
      <vt:variant>
        <vt:i4>5</vt:i4>
      </vt:variant>
      <vt:variant>
        <vt:lpwstr>https://iris.who.int/handle/10665/42735</vt:lpwstr>
      </vt:variant>
      <vt:variant>
        <vt:lpwstr/>
      </vt:variant>
      <vt:variant>
        <vt:i4>5570673</vt:i4>
      </vt:variant>
      <vt:variant>
        <vt:i4>6</vt:i4>
      </vt:variant>
      <vt:variant>
        <vt:i4>0</vt:i4>
      </vt:variant>
      <vt:variant>
        <vt:i4>5</vt:i4>
      </vt:variant>
      <vt:variant>
        <vt:lpwstr>mailto:j.davis@archus.uk.com</vt:lpwstr>
      </vt:variant>
      <vt:variant>
        <vt:lpwstr/>
      </vt:variant>
      <vt:variant>
        <vt:i4>5570673</vt:i4>
      </vt:variant>
      <vt:variant>
        <vt:i4>3</vt:i4>
      </vt:variant>
      <vt:variant>
        <vt:i4>0</vt:i4>
      </vt:variant>
      <vt:variant>
        <vt:i4>5</vt:i4>
      </vt:variant>
      <vt:variant>
        <vt:lpwstr>mailto:j.davis@archus.uk.com</vt:lpwstr>
      </vt:variant>
      <vt:variant>
        <vt:lpwstr/>
      </vt:variant>
      <vt:variant>
        <vt:i4>7536688</vt:i4>
      </vt:variant>
      <vt:variant>
        <vt:i4>0</vt:i4>
      </vt:variant>
      <vt:variant>
        <vt:i4>0</vt:i4>
      </vt:variant>
      <vt:variant>
        <vt:i4>5</vt:i4>
      </vt:variant>
      <vt:variant>
        <vt:lpwstr>https://shapingourfuturewellbeing.com/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 Leeder</dc:creator>
  <cp:keywords/>
  <dc:description/>
  <cp:lastModifiedBy>Rosie Cavill (CTM UHB - Strategic and Operational Planning)</cp:lastModifiedBy>
  <cp:revision>2</cp:revision>
  <cp:lastPrinted>2025-05-21T15:04:00Z</cp:lastPrinted>
  <dcterms:created xsi:type="dcterms:W3CDTF">2025-11-17T08:18:00Z</dcterms:created>
  <dcterms:modified xsi:type="dcterms:W3CDTF">2025-11-17T08:18:00Z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docLang">
    <vt:lpwstr>en</vt:lpwstr>
  </property>
  <property fmtid="{D5CDD505-2E9C-101B-9397-08002B2CF9AE}" pid="4" name="ContentTypeId">
    <vt:lpwstr>0x0101002DFC843046FE254DA12AAE87A7A56BB1</vt:lpwstr>
  </property>
</Properties>
</file>