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628516172"/>
        <w:docPartObj>
          <w:docPartGallery w:val="Cover Pages"/>
          <w:docPartUnique/>
        </w:docPartObj>
      </w:sdtPr>
      <w:sdtEndPr/>
      <w:sdtContent>
        <w:p w:rsidR="00427718" w:rsidRDefault="00427718">
          <w:r>
            <w:rPr>
              <w:noProof/>
            </w:rPr>
            <mc:AlternateContent>
              <mc:Choice Requires="wps">
                <w:drawing>
                  <wp:anchor distT="45720" distB="45720" distL="114300" distR="114300" simplePos="0" relativeHeight="251692032" behindDoc="1" locked="0" layoutInCell="1" allowOverlap="1" wp14:anchorId="4A82E1D9" wp14:editId="72580BA3">
                    <wp:simplePos x="0" y="0"/>
                    <wp:positionH relativeFrom="column">
                      <wp:posOffset>-923925</wp:posOffset>
                    </wp:positionH>
                    <wp:positionV relativeFrom="paragraph">
                      <wp:posOffset>-154940</wp:posOffset>
                    </wp:positionV>
                    <wp:extent cx="6619875" cy="647700"/>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647700"/>
                            </a:xfrm>
                            <a:prstGeom prst="rect">
                              <a:avLst/>
                            </a:prstGeom>
                            <a:solidFill>
                              <a:srgbClr val="FFFFFF"/>
                            </a:solidFill>
                            <a:ln w="9525">
                              <a:noFill/>
                              <a:miter lim="800000"/>
                              <a:headEnd/>
                              <a:tailEnd/>
                            </a:ln>
                          </wps:spPr>
                          <wps:txbx>
                            <w:txbxContent>
                              <w:p w:rsidR="00080F6C" w:rsidRPr="00276F08" w:rsidRDefault="00080F6C" w:rsidP="0069676A">
                                <w:pPr>
                                  <w:jc w:val="center"/>
                                  <w:rPr>
                                    <w:b/>
                                  </w:rPr>
                                </w:pPr>
                                <w:r w:rsidRPr="00276F08">
                                  <w:rPr>
                                    <w:b/>
                                  </w:rPr>
                                  <w:t>Cardiff and Vale University Health Board Business Case</w:t>
                                </w:r>
                              </w:p>
                              <w:p w:rsidR="00080F6C" w:rsidRDefault="00080F6C" w:rsidP="0069676A">
                                <w:pPr>
                                  <w:jc w:val="center"/>
                                  <w:rPr>
                                    <w:i/>
                                  </w:rPr>
                                </w:pPr>
                                <w:r>
                                  <w:rPr>
                                    <w:i/>
                                  </w:rPr>
                                  <w:t>F</w:t>
                                </w:r>
                                <w:r w:rsidRPr="00276F08">
                                  <w:rPr>
                                    <w:i/>
                                  </w:rPr>
                                  <w:t xml:space="preserve">or revenue investment proposals greater than £75,000 </w:t>
                                </w:r>
                              </w:p>
                              <w:p w:rsidR="00080F6C" w:rsidRPr="001A20C0" w:rsidRDefault="00080F6C" w:rsidP="0069676A">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rsidR="00080F6C" w:rsidRDefault="00080F6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A82E1D9" id="_x0000_t202" coordsize="21600,21600" o:spt="202" path="m,l,21600r21600,l21600,xe">
                    <v:stroke joinstyle="miter"/>
                    <v:path gradientshapeok="t" o:connecttype="rect"/>
                  </v:shapetype>
                  <v:shape id="Text Box 2" o:spid="_x0000_s1026" type="#_x0000_t202" style="position:absolute;margin-left:-72.75pt;margin-top:-12.2pt;width:521.25pt;height:51pt;z-index:-2516244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" stroked="f">
                    <v:textbox>
                      <w:txbxContent>
                        <w:p w:rsidR="00080F6C" w:rsidRPr="00276F08" w:rsidRDefault="00080F6C" w:rsidP="0069676A">
                          <w:pPr>
                            <w:jc w:val="center"/>
                            <w:rPr>
                              <w:b/>
                            </w:rPr>
                          </w:pPr>
                          <w:r w:rsidRPr="00276F08">
                            <w:rPr>
                              <w:b/>
                            </w:rPr>
                            <w:t>Cardiff and Vale University Health Board Business Case</w:t>
                          </w:r>
                        </w:p>
                        <w:p w:rsidR="00080F6C" w:rsidRDefault="00080F6C" w:rsidP="0069676A">
                          <w:pPr>
                            <w:jc w:val="center"/>
                            <w:rPr>
                              <w:i/>
                            </w:rPr>
                          </w:pPr>
                          <w:r>
                            <w:rPr>
                              <w:i/>
                            </w:rPr>
                            <w:t>F</w:t>
                          </w:r>
                          <w:r w:rsidRPr="00276F08">
                            <w:rPr>
                              <w:i/>
                            </w:rPr>
                            <w:t xml:space="preserve">or revenue investment proposals greater than £75,000 </w:t>
                          </w:r>
                        </w:p>
                        <w:p w:rsidR="00080F6C" w:rsidRPr="001A20C0" w:rsidRDefault="00080F6C" w:rsidP="0069676A">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rsidR="00080F6C" w:rsidRDefault="00080F6C"/>
                      </w:txbxContent>
                    </v:textbox>
                  </v:shape>
                </w:pict>
              </mc:Fallback>
            </mc:AlternateContent>
          </w:r>
        </w:p>
        <w:p w:rsidR="00427718" w:rsidRDefault="00427718"/>
        <w:tbl>
          <w:tblPr>
            <w:tblStyle w:val="TableGrid"/>
            <w:tblpPr w:leftFromText="180" w:rightFromText="180" w:vertAnchor="text" w:horzAnchor="margin" w:tblpY="381"/>
            <w:tblW w:w="0" w:type="auto"/>
            <w:tblLook w:val="04A0" w:firstRow="1" w:lastRow="0" w:firstColumn="1" w:lastColumn="0" w:noHBand="0" w:noVBand="1"/>
          </w:tblPr>
          <w:tblGrid>
            <w:gridCol w:w="3442"/>
            <w:gridCol w:w="4848"/>
          </w:tblGrid>
          <w:tr w:rsidR="003C1C6E" w:rsidTr="002A5B4D">
            <w:trPr>
              <w:trHeight w:val="422"/>
            </w:trPr>
            <w:tc>
              <w:tcPr>
                <w:tcW w:w="3442" w:type="dxa"/>
                <w:shd w:val="clear" w:color="auto" w:fill="D9D9D9" w:themeFill="background1" w:themeFillShade="D9"/>
                <w:vAlign w:val="center"/>
              </w:tcPr>
              <w:p w:rsidR="003C1C6E" w:rsidRPr="009E3F27" w:rsidRDefault="003C1C6E" w:rsidP="002A5B4D">
                <w:pPr>
                  <w:jc w:val="center"/>
                  <w:rPr>
                    <w:b/>
                    <w:bCs/>
                    <w:iCs/>
                  </w:rPr>
                </w:pPr>
                <w:r>
                  <w:rPr>
                    <w:b/>
                    <w:bCs/>
                    <w:iCs/>
                  </w:rPr>
                  <w:t>Title</w:t>
                </w:r>
              </w:p>
            </w:tc>
            <w:tc>
              <w:tcPr>
                <w:tcW w:w="4848" w:type="dxa"/>
                <w:vAlign w:val="center"/>
              </w:tcPr>
              <w:p w:rsidR="00573649" w:rsidRDefault="005569E5" w:rsidP="002A5B4D">
                <w:pPr>
                  <w:jc w:val="center"/>
                </w:pPr>
                <w:r w:rsidRPr="005569E5">
                  <w:t>Wellbeing Hub@</w:t>
                </w:r>
                <w:r w:rsidR="005154BB" w:rsidRPr="005569E5">
                  <w:t xml:space="preserve">Parkview </w:t>
                </w:r>
              </w:p>
              <w:p w:rsidR="003C1C6E" w:rsidRPr="005569E5" w:rsidRDefault="005154BB" w:rsidP="002A5B4D">
                <w:pPr>
                  <w:jc w:val="center"/>
                </w:pPr>
                <w:r w:rsidRPr="005569E5">
                  <w:t>Full Business Case</w:t>
                </w:r>
                <w:r w:rsidR="00573649">
                  <w:t xml:space="preserve"> (FBC) Approval</w:t>
                </w:r>
              </w:p>
            </w:tc>
          </w:tr>
          <w:tr w:rsidR="003C1C6E" w:rsidTr="002A5B4D">
            <w:tc>
              <w:tcPr>
                <w:tcW w:w="3442" w:type="dxa"/>
                <w:shd w:val="clear" w:color="auto" w:fill="D9D9D9" w:themeFill="background1" w:themeFillShade="D9"/>
                <w:vAlign w:val="center"/>
              </w:tcPr>
              <w:p w:rsidR="003C1C6E" w:rsidRDefault="003C1C6E" w:rsidP="002A5B4D">
                <w:pPr>
                  <w:jc w:val="center"/>
                  <w:rPr>
                    <w:b/>
                    <w:bCs/>
                    <w:iCs/>
                  </w:rPr>
                </w:pPr>
                <w:r w:rsidRPr="00276F08">
                  <w:rPr>
                    <w:b/>
                  </w:rPr>
                  <w:t>Clinical /Service Board or Department</w:t>
                </w:r>
              </w:p>
            </w:tc>
            <w:tc>
              <w:tcPr>
                <w:tcW w:w="4848" w:type="dxa"/>
                <w:vAlign w:val="center"/>
              </w:tcPr>
              <w:p w:rsidR="003C1C6E" w:rsidRPr="005569E5" w:rsidRDefault="005569E5" w:rsidP="002A5B4D">
                <w:pPr>
                  <w:jc w:val="center"/>
                </w:pPr>
                <w:r w:rsidRPr="005569E5">
                  <w:t>PCIC</w:t>
                </w:r>
              </w:p>
            </w:tc>
          </w:tr>
        </w:tbl>
        <w:p w:rsidR="00427718" w:rsidRDefault="00427718"/>
        <w:p w:rsidR="00427718" w:rsidRDefault="00427718"/>
        <w:tbl>
          <w:tblPr>
            <w:tblStyle w:val="TableGrid"/>
            <w:tblW w:w="0" w:type="auto"/>
            <w:tblLook w:val="04A0" w:firstRow="1" w:lastRow="0" w:firstColumn="1" w:lastColumn="0" w:noHBand="0" w:noVBand="1"/>
          </w:tblPr>
          <w:tblGrid>
            <w:gridCol w:w="3397"/>
            <w:gridCol w:w="4893"/>
          </w:tblGrid>
          <w:tr w:rsidR="000F08E7" w:rsidTr="00EE4F58">
            <w:tc>
              <w:tcPr>
                <w:tcW w:w="3397" w:type="dxa"/>
                <w:tcBorders>
                  <w:bottom w:val="single" w:sz="4" w:space="0" w:color="000000" w:themeColor="text1"/>
                </w:tcBorders>
                <w:shd w:val="clear" w:color="auto" w:fill="D9D9D9" w:themeFill="background1" w:themeFillShade="D9"/>
              </w:tcPr>
              <w:p w:rsidR="000F08E7" w:rsidRPr="003C1C6E" w:rsidRDefault="000F08E7" w:rsidP="003C1C6E">
                <w:pPr>
                  <w:jc w:val="center"/>
                  <w:rPr>
                    <w:b/>
                    <w:bCs/>
                  </w:rPr>
                </w:pPr>
                <w:r w:rsidRPr="003C1C6E">
                  <w:rPr>
                    <w:b/>
                    <w:bCs/>
                  </w:rPr>
                  <w:t>Expected funding source</w:t>
                </w:r>
                <w:r w:rsidR="00A45A49">
                  <w:rPr>
                    <w:b/>
                    <w:bCs/>
                  </w:rPr>
                  <w:t xml:space="preserve"> (highlight/delete as appropriate)</w:t>
                </w:r>
              </w:p>
            </w:tc>
            <w:tc>
              <w:tcPr>
                <w:tcW w:w="4893" w:type="dxa"/>
                <w:tcBorders>
                  <w:bottom w:val="single" w:sz="4" w:space="0" w:color="000000" w:themeColor="text1"/>
                </w:tcBorders>
                <w:vAlign w:val="center"/>
              </w:tcPr>
              <w:p w:rsidR="003A1147" w:rsidRDefault="003A1147" w:rsidP="00382F2F">
                <w:pPr>
                  <w:jc w:val="center"/>
                </w:pPr>
              </w:p>
              <w:p w:rsidR="003C1C6E" w:rsidRDefault="003A1147" w:rsidP="00382F2F">
                <w:pPr>
                  <w:jc w:val="center"/>
                </w:pPr>
                <w:r>
                  <w:t xml:space="preserve">Capital - </w:t>
                </w:r>
                <w:r w:rsidR="003C1C6E">
                  <w:t>National Programme (</w:t>
                </w:r>
                <w:r w:rsidR="005569E5">
                  <w:t>IRCF</w:t>
                </w:r>
                <w:r w:rsidR="003C1C6E">
                  <w:t>)</w:t>
                </w:r>
              </w:p>
              <w:p w:rsidR="003A1147" w:rsidRDefault="003A1147" w:rsidP="00382F2F">
                <w:pPr>
                  <w:jc w:val="center"/>
                </w:pPr>
                <w:r>
                  <w:t>Revenue - Health Board</w:t>
                </w:r>
              </w:p>
              <w:p w:rsidR="003A1147" w:rsidRDefault="003A1147" w:rsidP="00CF5460"/>
            </w:tc>
          </w:tr>
          <w:tr w:rsidR="00B2745E" w:rsidTr="00B2745E">
            <w:tc>
              <w:tcPr>
                <w:tcW w:w="8290" w:type="dxa"/>
                <w:gridSpan w:val="2"/>
                <w:shd w:val="clear" w:color="auto" w:fill="FFFFFF" w:themeFill="background1"/>
              </w:tcPr>
              <w:p w:rsidR="00B2745E" w:rsidRPr="00B2745E" w:rsidRDefault="00B2745E" w:rsidP="00B2745E">
                <w:pPr>
                  <w:jc w:val="center"/>
                  <w:rPr>
                    <w:sz w:val="20"/>
                    <w:szCs w:val="20"/>
                  </w:rPr>
                </w:pPr>
                <w:r w:rsidRPr="00B2745E">
                  <w:rPr>
                    <w:color w:val="FF0000"/>
                    <w:sz w:val="20"/>
                    <w:szCs w:val="20"/>
                  </w:rPr>
                  <w:t xml:space="preserve">Where a business case is </w:t>
                </w:r>
                <w:proofErr w:type="gramStart"/>
                <w:r w:rsidR="007525C5" w:rsidRPr="00B2745E">
                  <w:rPr>
                    <w:color w:val="FF0000"/>
                    <w:sz w:val="20"/>
                    <w:szCs w:val="20"/>
                  </w:rPr>
                  <w:t>in regard to</w:t>
                </w:r>
                <w:proofErr w:type="gramEnd"/>
                <w:r w:rsidRPr="00B2745E">
                  <w:rPr>
                    <w:color w:val="FF0000"/>
                    <w:sz w:val="20"/>
                    <w:szCs w:val="20"/>
                  </w:rPr>
                  <w:t xml:space="preserve"> external funding sources this template </w:t>
                </w:r>
                <w:r w:rsidRPr="00B2745E">
                  <w:rPr>
                    <w:b/>
                    <w:color w:val="FF0000"/>
                    <w:sz w:val="20"/>
                    <w:szCs w:val="20"/>
                  </w:rPr>
                  <w:t>must</w:t>
                </w:r>
                <w:r w:rsidRPr="00B2745E">
                  <w:rPr>
                    <w:color w:val="FF0000"/>
                    <w:sz w:val="20"/>
                    <w:szCs w:val="20"/>
                  </w:rPr>
                  <w:t xml:space="preserve"> be used unless the source of funding requires their own template to be used.</w:t>
                </w:r>
              </w:p>
            </w:tc>
          </w:tr>
        </w:tbl>
        <w:tbl>
          <w:tblPr>
            <w:tblStyle w:val="TableGrid"/>
            <w:tblpPr w:leftFromText="180" w:rightFromText="180" w:vertAnchor="text" w:horzAnchor="margin" w:tblpY="300"/>
            <w:tblW w:w="0" w:type="auto"/>
            <w:tblLook w:val="04A0" w:firstRow="1" w:lastRow="0" w:firstColumn="1" w:lastColumn="0" w:noHBand="0" w:noVBand="1"/>
          </w:tblPr>
          <w:tblGrid>
            <w:gridCol w:w="3428"/>
            <w:gridCol w:w="4862"/>
          </w:tblGrid>
          <w:tr w:rsidR="003C1C6E" w:rsidTr="2F0801C2">
            <w:tc>
              <w:tcPr>
                <w:tcW w:w="8290" w:type="dxa"/>
                <w:gridSpan w:val="2"/>
                <w:shd w:val="clear" w:color="auto" w:fill="D9D9D9" w:themeFill="background1" w:themeFillShade="D9"/>
              </w:tcPr>
              <w:p w:rsidR="003C1C6E" w:rsidRDefault="003C1C6E" w:rsidP="003C1C6E">
                <w:pPr>
                  <w:jc w:val="center"/>
                  <w:rPr>
                    <w:b/>
                    <w:bCs/>
                  </w:rPr>
                </w:pPr>
                <w:r>
                  <w:rPr>
                    <w:b/>
                    <w:bCs/>
                  </w:rPr>
                  <w:t>Approval and scrutiny route</w:t>
                </w:r>
              </w:p>
              <w:p w:rsidR="003C1C6E" w:rsidRDefault="003C1C6E" w:rsidP="003C1C6E">
                <w:pPr>
                  <w:jc w:val="center"/>
                </w:pPr>
              </w:p>
            </w:tc>
          </w:tr>
          <w:tr w:rsidR="003C1C6E" w:rsidTr="2F0801C2">
            <w:tc>
              <w:tcPr>
                <w:tcW w:w="3428" w:type="dxa"/>
              </w:tcPr>
              <w:p w:rsidR="003C1C6E" w:rsidRPr="00DA55A3" w:rsidRDefault="003C1C6E" w:rsidP="003C1C6E">
                <w:pPr>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senior team?</w:t>
                </w:r>
              </w:p>
            </w:tc>
            <w:tc>
              <w:tcPr>
                <w:tcW w:w="4862" w:type="dxa"/>
              </w:tcPr>
              <w:p w:rsidR="003C1C6E" w:rsidRDefault="005569E5" w:rsidP="2F0801C2">
                <w:r>
                  <w:t xml:space="preserve">16/06/25 </w:t>
                </w:r>
                <w:r w:rsidR="009612F4">
                  <w:t>–</w:t>
                </w:r>
                <w:r>
                  <w:t xml:space="preserve"> CMG</w:t>
                </w:r>
              </w:p>
              <w:p w:rsidR="009612F4" w:rsidRDefault="00922E29" w:rsidP="009612F4">
                <w:r>
                  <w:t xml:space="preserve">25/06/25 - </w:t>
                </w:r>
                <w:r w:rsidR="009612F4">
                  <w:t xml:space="preserve">PCIC SMT </w:t>
                </w:r>
              </w:p>
              <w:p w:rsidR="009612F4" w:rsidRDefault="009612F4" w:rsidP="005569E5"/>
            </w:tc>
          </w:tr>
          <w:tr w:rsidR="003C1C6E" w:rsidTr="2F0801C2">
            <w:tc>
              <w:tcPr>
                <w:tcW w:w="3428" w:type="dxa"/>
              </w:tcPr>
              <w:p w:rsidR="003C1C6E" w:rsidRPr="00DA55A3" w:rsidRDefault="003C1C6E" w:rsidP="003C1C6E">
                <w:pPr>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finance and workforce business partners?</w:t>
                </w:r>
              </w:p>
            </w:tc>
            <w:tc>
              <w:tcPr>
                <w:tcW w:w="4862" w:type="dxa"/>
              </w:tcPr>
              <w:p w:rsidR="005569E5" w:rsidRDefault="005569E5" w:rsidP="005569E5">
                <w:r>
                  <w:t>Chris Mark</w:t>
                </w:r>
                <w:r w:rsidR="007F73EA">
                  <w:t>a</w:t>
                </w:r>
                <w:r>
                  <w:t>l</w:t>
                </w:r>
                <w:r w:rsidR="007F73EA">
                  <w:t xml:space="preserve">l, Assistant </w:t>
                </w:r>
                <w:r w:rsidR="00E74B42">
                  <w:t>Director of Finance</w:t>
                </w:r>
              </w:p>
              <w:p w:rsidR="003C1C6E" w:rsidRDefault="003C1C6E" w:rsidP="2F0801C2">
                <w:pPr>
                  <w:rPr>
                    <w:highlight w:val="red"/>
                  </w:rPr>
                </w:pPr>
              </w:p>
            </w:tc>
          </w:tr>
          <w:tr w:rsidR="003C1C6E" w:rsidTr="2F0801C2">
            <w:tc>
              <w:tcPr>
                <w:tcW w:w="3428" w:type="dxa"/>
              </w:tcPr>
              <w:p w:rsidR="003C1C6E" w:rsidRPr="00B2745E" w:rsidRDefault="00B2745E" w:rsidP="003C1C6E">
                <w:pPr>
                  <w:rPr>
                    <w:bCs/>
                  </w:rPr>
                </w:pPr>
                <w:r>
                  <w:rPr>
                    <w:b/>
                    <w:bCs/>
                  </w:rPr>
                  <w:t xml:space="preserve">Clinical Boards: </w:t>
                </w:r>
                <w:r w:rsidR="003C1C6E" w:rsidRPr="00B2745E">
                  <w:rPr>
                    <w:bCs/>
                  </w:rPr>
                  <w:t>Has the COOs office signed off this document?</w:t>
                </w:r>
              </w:p>
              <w:p w:rsidR="00B2745E" w:rsidRPr="005569E5" w:rsidRDefault="00B2745E" w:rsidP="003C1C6E">
                <w:pPr>
                  <w:rPr>
                    <w:i/>
                    <w:iCs/>
                  </w:rPr>
                </w:pPr>
              </w:p>
              <w:p w:rsidR="003C1C6E" w:rsidRPr="00DA55A3" w:rsidRDefault="00B2745E" w:rsidP="00B2745E">
                <w:pPr>
                  <w:rPr>
                    <w:b/>
                    <w:bCs/>
                  </w:rPr>
                </w:pPr>
                <w:r w:rsidRPr="00B2745E">
                  <w:rPr>
                    <w:b/>
                    <w:bCs/>
                  </w:rPr>
                  <w:t xml:space="preserve">Corporate Departments: </w:t>
                </w:r>
                <w:r w:rsidRPr="00B2745E">
                  <w:rPr>
                    <w:bCs/>
                  </w:rPr>
                  <w:t>Has the relevant Executive sponsor signed o</w:t>
                </w:r>
                <w:r w:rsidR="000D4C75">
                  <w:rPr>
                    <w:bCs/>
                  </w:rPr>
                  <w:t>f</w:t>
                </w:r>
                <w:r w:rsidRPr="00B2745E">
                  <w:rPr>
                    <w:bCs/>
                  </w:rPr>
                  <w:t>f this document?</w:t>
                </w:r>
              </w:p>
            </w:tc>
            <w:tc>
              <w:tcPr>
                <w:tcW w:w="4862" w:type="dxa"/>
              </w:tcPr>
              <w:p w:rsidR="00B2745E" w:rsidRDefault="337B5E4C" w:rsidP="61250F41">
                <w:r>
                  <w:t>Please add name and signature of either</w:t>
                </w:r>
              </w:p>
              <w:p w:rsidR="00B2745E" w:rsidRDefault="00B2745E" w:rsidP="61250F41"/>
              <w:p w:rsidR="00B2745E" w:rsidRDefault="00733967" w:rsidP="61250F41">
                <w:r>
                  <w:t xml:space="preserve">Adam Wright (On behalf of </w:t>
                </w:r>
                <w:r w:rsidR="007E7CB5" w:rsidRPr="00AD10A9">
                  <w:t>Paul Bostock (</w:t>
                </w:r>
                <w:r w:rsidR="337B5E4C" w:rsidRPr="00AD10A9">
                  <w:t>COO</w:t>
                </w:r>
                <w:r w:rsidR="007E7CB5" w:rsidRPr="00AD10A9">
                  <w:t>)</w:t>
                </w:r>
                <w:r>
                  <w:t>) 24/06/2025</w:t>
                </w:r>
              </w:p>
              <w:p w:rsidR="00B2745E" w:rsidRDefault="00B2745E" w:rsidP="61250F41"/>
              <w:p w:rsidR="00B2745E" w:rsidRDefault="00A94FFB" w:rsidP="61250F41">
                <w:r>
                  <w:t>Catherine Phillips (</w:t>
                </w:r>
                <w:r w:rsidR="337B5E4C">
                  <w:t>Executive sponsor</w:t>
                </w:r>
                <w:r>
                  <w:t>)</w:t>
                </w:r>
                <w:r w:rsidR="005C7E5F">
                  <w:t xml:space="preserve"> TBC</w:t>
                </w:r>
              </w:p>
            </w:tc>
          </w:tr>
        </w:tbl>
        <w:p w:rsidR="000F08E7" w:rsidRDefault="000F08E7"/>
        <w:sdt>
          <w:sdtPr>
            <w:rPr>
              <w:rFonts w:ascii="Arial" w:eastAsia="Times New Roman" w:hAnsi="Arial" w:cs="Times New Roman"/>
              <w:color w:val="auto"/>
              <w:sz w:val="24"/>
              <w:szCs w:val="24"/>
              <w:lang w:val="en-GB" w:eastAsia="en-GB"/>
            </w:rPr>
            <w:id w:val="233286944"/>
            <w:docPartObj>
              <w:docPartGallery w:val="Table of Contents"/>
              <w:docPartUnique/>
            </w:docPartObj>
          </w:sdtPr>
          <w:sdtEndPr>
            <w:rPr>
              <w:b/>
              <w:bCs/>
              <w:noProof/>
            </w:rPr>
          </w:sdtEndPr>
          <w:sdtContent>
            <w:p w:rsidR="00427718" w:rsidRDefault="00427718">
              <w:pPr>
                <w:pStyle w:val="TOCHeading"/>
              </w:pPr>
              <w:r>
                <w:t>Contents</w:t>
              </w:r>
            </w:p>
            <w:p w:rsidR="005F7185" w:rsidRDefault="00427718">
              <w:pPr>
                <w:pStyle w:val="TOC1"/>
                <w:tabs>
                  <w:tab w:val="left" w:pos="480"/>
                  <w:tab w:val="right" w:leader="dot" w:pos="8303"/>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02972552" w:history="1">
                <w:r w:rsidR="005F7185" w:rsidRPr="003C5575">
                  <w:rPr>
                    <w:rStyle w:val="Hyperlink"/>
                    <w:noProof/>
                  </w:rPr>
                  <w:t>1.</w:t>
                </w:r>
                <w:r w:rsidR="005F7185">
                  <w:rPr>
                    <w:rFonts w:asciiTheme="minorHAnsi" w:eastAsiaTheme="minorEastAsia" w:hAnsiTheme="minorHAnsi" w:cstheme="minorBidi"/>
                    <w:noProof/>
                    <w:kern w:val="2"/>
                    <w14:ligatures w14:val="standardContextual"/>
                  </w:rPr>
                  <w:tab/>
                </w:r>
                <w:r w:rsidR="005F7185" w:rsidRPr="003C5575">
                  <w:rPr>
                    <w:rStyle w:val="Hyperlink"/>
                    <w:noProof/>
                  </w:rPr>
                  <w:t>Executive Summary</w:t>
                </w:r>
                <w:r w:rsidR="005F7185">
                  <w:rPr>
                    <w:noProof/>
                    <w:webHidden/>
                  </w:rPr>
                  <w:tab/>
                </w:r>
                <w:r w:rsidR="005F7185">
                  <w:rPr>
                    <w:noProof/>
                    <w:webHidden/>
                  </w:rPr>
                  <w:fldChar w:fldCharType="begin"/>
                </w:r>
                <w:r w:rsidR="005F7185">
                  <w:rPr>
                    <w:noProof/>
                    <w:webHidden/>
                  </w:rPr>
                  <w:instrText xml:space="preserve"> PAGEREF _Toc202972552 \h </w:instrText>
                </w:r>
                <w:r w:rsidR="005F7185">
                  <w:rPr>
                    <w:noProof/>
                    <w:webHidden/>
                  </w:rPr>
                </w:r>
                <w:r w:rsidR="005F7185">
                  <w:rPr>
                    <w:noProof/>
                    <w:webHidden/>
                  </w:rPr>
                  <w:fldChar w:fldCharType="separate"/>
                </w:r>
                <w:r w:rsidR="005F7185">
                  <w:rPr>
                    <w:noProof/>
                    <w:webHidden/>
                  </w:rPr>
                  <w:t>1</w:t>
                </w:r>
                <w:r w:rsidR="005F7185">
                  <w:rPr>
                    <w:noProof/>
                    <w:webHidden/>
                  </w:rPr>
                  <w:fldChar w:fldCharType="end"/>
                </w:r>
              </w:hyperlink>
            </w:p>
            <w:p w:rsidR="005F7185" w:rsidRDefault="005F7185">
              <w:pPr>
                <w:pStyle w:val="TOC1"/>
                <w:tabs>
                  <w:tab w:val="left" w:pos="480"/>
                  <w:tab w:val="right" w:leader="dot" w:pos="8303"/>
                </w:tabs>
                <w:rPr>
                  <w:rFonts w:asciiTheme="minorHAnsi" w:eastAsiaTheme="minorEastAsia" w:hAnsiTheme="minorHAnsi" w:cstheme="minorBidi"/>
                  <w:noProof/>
                  <w:kern w:val="2"/>
                  <w14:ligatures w14:val="standardContextual"/>
                </w:rPr>
              </w:pPr>
              <w:hyperlink w:anchor="_Toc202972553" w:history="1">
                <w:r w:rsidRPr="003C5575">
                  <w:rPr>
                    <w:rStyle w:val="Hyperlink"/>
                    <w:rFonts w:cstheme="majorHAnsi"/>
                    <w:noProof/>
                  </w:rPr>
                  <w:t>2.</w:t>
                </w:r>
                <w:r>
                  <w:rPr>
                    <w:rFonts w:asciiTheme="minorHAnsi" w:eastAsiaTheme="minorEastAsia" w:hAnsiTheme="minorHAnsi" w:cstheme="minorBidi"/>
                    <w:noProof/>
                    <w:kern w:val="2"/>
                    <w14:ligatures w14:val="standardContextual"/>
                  </w:rPr>
                  <w:tab/>
                </w:r>
                <w:r w:rsidRPr="003C5575">
                  <w:rPr>
                    <w:rStyle w:val="Hyperlink"/>
                    <w:rFonts w:cstheme="majorHAnsi"/>
                    <w:noProof/>
                  </w:rPr>
                  <w:t>Introduction and Background</w:t>
                </w:r>
                <w:r>
                  <w:rPr>
                    <w:noProof/>
                    <w:webHidden/>
                  </w:rPr>
                  <w:tab/>
                </w:r>
                <w:r>
                  <w:rPr>
                    <w:noProof/>
                    <w:webHidden/>
                  </w:rPr>
                  <w:fldChar w:fldCharType="begin"/>
                </w:r>
                <w:r>
                  <w:rPr>
                    <w:noProof/>
                    <w:webHidden/>
                  </w:rPr>
                  <w:instrText xml:space="preserve"> PAGEREF _Toc202972553 \h </w:instrText>
                </w:r>
                <w:r>
                  <w:rPr>
                    <w:noProof/>
                    <w:webHidden/>
                  </w:rPr>
                </w:r>
                <w:r>
                  <w:rPr>
                    <w:noProof/>
                    <w:webHidden/>
                  </w:rPr>
                  <w:fldChar w:fldCharType="separate"/>
                </w:r>
                <w:r>
                  <w:rPr>
                    <w:noProof/>
                    <w:webHidden/>
                  </w:rPr>
                  <w:t>2</w:t>
                </w:r>
                <w:r>
                  <w:rPr>
                    <w:noProof/>
                    <w:webHidden/>
                  </w:rPr>
                  <w:fldChar w:fldCharType="end"/>
                </w:r>
              </w:hyperlink>
            </w:p>
            <w:p w:rsidR="005F7185" w:rsidRDefault="005F7185">
              <w:pPr>
                <w:pStyle w:val="TOC1"/>
                <w:tabs>
                  <w:tab w:val="left" w:pos="480"/>
                  <w:tab w:val="right" w:leader="dot" w:pos="8303"/>
                </w:tabs>
                <w:rPr>
                  <w:rFonts w:asciiTheme="minorHAnsi" w:eastAsiaTheme="minorEastAsia" w:hAnsiTheme="minorHAnsi" w:cstheme="minorBidi"/>
                  <w:noProof/>
                  <w:kern w:val="2"/>
                  <w14:ligatures w14:val="standardContextual"/>
                </w:rPr>
              </w:pPr>
              <w:hyperlink w:anchor="_Toc202972554" w:history="1">
                <w:r w:rsidRPr="003C5575">
                  <w:rPr>
                    <w:rStyle w:val="Hyperlink"/>
                    <w:rFonts w:cstheme="majorHAnsi"/>
                    <w:noProof/>
                  </w:rPr>
                  <w:t>3.</w:t>
                </w:r>
                <w:r>
                  <w:rPr>
                    <w:rFonts w:asciiTheme="minorHAnsi" w:eastAsiaTheme="minorEastAsia" w:hAnsiTheme="minorHAnsi" w:cstheme="minorBidi"/>
                    <w:noProof/>
                    <w:kern w:val="2"/>
                    <w14:ligatures w14:val="standardContextual"/>
                  </w:rPr>
                  <w:tab/>
                </w:r>
                <w:r w:rsidRPr="003C5575">
                  <w:rPr>
                    <w:rStyle w:val="Hyperlink"/>
                    <w:rFonts w:cstheme="majorHAnsi"/>
                    <w:noProof/>
                  </w:rPr>
                  <w:t>Strategic Context – Alignment to UHB strategic direction</w:t>
                </w:r>
                <w:r>
                  <w:rPr>
                    <w:noProof/>
                    <w:webHidden/>
                  </w:rPr>
                  <w:tab/>
                </w:r>
                <w:r>
                  <w:rPr>
                    <w:noProof/>
                    <w:webHidden/>
                  </w:rPr>
                  <w:fldChar w:fldCharType="begin"/>
                </w:r>
                <w:r>
                  <w:rPr>
                    <w:noProof/>
                    <w:webHidden/>
                  </w:rPr>
                  <w:instrText xml:space="preserve"> PAGEREF _Toc202972554 \h </w:instrText>
                </w:r>
                <w:r>
                  <w:rPr>
                    <w:noProof/>
                    <w:webHidden/>
                  </w:rPr>
                </w:r>
                <w:r>
                  <w:rPr>
                    <w:noProof/>
                    <w:webHidden/>
                  </w:rPr>
                  <w:fldChar w:fldCharType="separate"/>
                </w:r>
                <w:r>
                  <w:rPr>
                    <w:noProof/>
                    <w:webHidden/>
                  </w:rPr>
                  <w:t>3</w:t>
                </w:r>
                <w:r>
                  <w:rPr>
                    <w:noProof/>
                    <w:webHidden/>
                  </w:rPr>
                  <w:fldChar w:fldCharType="end"/>
                </w:r>
              </w:hyperlink>
            </w:p>
            <w:p w:rsidR="005F7185" w:rsidRDefault="005F7185">
              <w:pPr>
                <w:pStyle w:val="TOC1"/>
                <w:tabs>
                  <w:tab w:val="left" w:pos="480"/>
                  <w:tab w:val="right" w:leader="dot" w:pos="8303"/>
                </w:tabs>
                <w:rPr>
                  <w:rFonts w:asciiTheme="minorHAnsi" w:eastAsiaTheme="minorEastAsia" w:hAnsiTheme="minorHAnsi" w:cstheme="minorBidi"/>
                  <w:noProof/>
                  <w:kern w:val="2"/>
                  <w14:ligatures w14:val="standardContextual"/>
                </w:rPr>
              </w:pPr>
              <w:hyperlink w:anchor="_Toc202972555" w:history="1">
                <w:r w:rsidRPr="003C5575">
                  <w:rPr>
                    <w:rStyle w:val="Hyperlink"/>
                    <w:rFonts w:cs="Arial"/>
                    <w:noProof/>
                  </w:rPr>
                  <w:t>4.</w:t>
                </w:r>
                <w:r>
                  <w:rPr>
                    <w:rFonts w:asciiTheme="minorHAnsi" w:eastAsiaTheme="minorEastAsia" w:hAnsiTheme="minorHAnsi" w:cstheme="minorBidi"/>
                    <w:noProof/>
                    <w:kern w:val="2"/>
                    <w14:ligatures w14:val="standardContextual"/>
                  </w:rPr>
                  <w:tab/>
                </w:r>
                <w:r w:rsidRPr="003C5575">
                  <w:rPr>
                    <w:rStyle w:val="Hyperlink"/>
                    <w:rFonts w:cs="Arial"/>
                    <w:noProof/>
                  </w:rPr>
                  <w:t>Summary current service provision and case for change</w:t>
                </w:r>
                <w:r>
                  <w:rPr>
                    <w:noProof/>
                    <w:webHidden/>
                  </w:rPr>
                  <w:tab/>
                </w:r>
                <w:r>
                  <w:rPr>
                    <w:noProof/>
                    <w:webHidden/>
                  </w:rPr>
                  <w:fldChar w:fldCharType="begin"/>
                </w:r>
                <w:r>
                  <w:rPr>
                    <w:noProof/>
                    <w:webHidden/>
                  </w:rPr>
                  <w:instrText xml:space="preserve"> PAGEREF _Toc202972555 \h </w:instrText>
                </w:r>
                <w:r>
                  <w:rPr>
                    <w:noProof/>
                    <w:webHidden/>
                  </w:rPr>
                </w:r>
                <w:r>
                  <w:rPr>
                    <w:noProof/>
                    <w:webHidden/>
                  </w:rPr>
                  <w:fldChar w:fldCharType="separate"/>
                </w:r>
                <w:r>
                  <w:rPr>
                    <w:noProof/>
                    <w:webHidden/>
                  </w:rPr>
                  <w:t>4</w:t>
                </w:r>
                <w:r>
                  <w:rPr>
                    <w:noProof/>
                    <w:webHidden/>
                  </w:rPr>
                  <w:fldChar w:fldCharType="end"/>
                </w:r>
              </w:hyperlink>
            </w:p>
            <w:p w:rsidR="005F7185" w:rsidRDefault="005F7185">
              <w:pPr>
                <w:pStyle w:val="TOC1"/>
                <w:tabs>
                  <w:tab w:val="left" w:pos="480"/>
                  <w:tab w:val="right" w:leader="dot" w:pos="8303"/>
                </w:tabs>
                <w:rPr>
                  <w:rFonts w:asciiTheme="minorHAnsi" w:eastAsiaTheme="minorEastAsia" w:hAnsiTheme="minorHAnsi" w:cstheme="minorBidi"/>
                  <w:noProof/>
                  <w:kern w:val="2"/>
                  <w14:ligatures w14:val="standardContextual"/>
                </w:rPr>
              </w:pPr>
              <w:hyperlink w:anchor="_Toc202972556" w:history="1">
                <w:r w:rsidRPr="003C5575">
                  <w:rPr>
                    <w:rStyle w:val="Hyperlink"/>
                    <w:rFonts w:cs="Arial"/>
                    <w:noProof/>
                  </w:rPr>
                  <w:t>5.</w:t>
                </w:r>
                <w:r>
                  <w:rPr>
                    <w:rFonts w:asciiTheme="minorHAnsi" w:eastAsiaTheme="minorEastAsia" w:hAnsiTheme="minorHAnsi" w:cstheme="minorBidi"/>
                    <w:noProof/>
                    <w:kern w:val="2"/>
                    <w14:ligatures w14:val="standardContextual"/>
                  </w:rPr>
                  <w:tab/>
                </w:r>
                <w:r w:rsidRPr="003C5575">
                  <w:rPr>
                    <w:rStyle w:val="Hyperlink"/>
                    <w:rFonts w:cs="Arial"/>
                    <w:noProof/>
                  </w:rPr>
                  <w:t xml:space="preserve">Case of change - </w:t>
                </w:r>
                <w:r w:rsidRPr="003C5575">
                  <w:rPr>
                    <w:rStyle w:val="Hyperlink"/>
                    <w:rFonts w:cs="Arial"/>
                    <w:i/>
                    <w:iCs/>
                    <w:noProof/>
                  </w:rPr>
                  <w:t>The evidence</w:t>
                </w:r>
                <w:r>
                  <w:rPr>
                    <w:noProof/>
                    <w:webHidden/>
                  </w:rPr>
                  <w:tab/>
                </w:r>
                <w:r>
                  <w:rPr>
                    <w:noProof/>
                    <w:webHidden/>
                  </w:rPr>
                  <w:fldChar w:fldCharType="begin"/>
                </w:r>
                <w:r>
                  <w:rPr>
                    <w:noProof/>
                    <w:webHidden/>
                  </w:rPr>
                  <w:instrText xml:space="preserve"> PAGEREF _Toc202972556 \h </w:instrText>
                </w:r>
                <w:r>
                  <w:rPr>
                    <w:noProof/>
                    <w:webHidden/>
                  </w:rPr>
                </w:r>
                <w:r>
                  <w:rPr>
                    <w:noProof/>
                    <w:webHidden/>
                  </w:rPr>
                  <w:fldChar w:fldCharType="separate"/>
                </w:r>
                <w:r>
                  <w:rPr>
                    <w:noProof/>
                    <w:webHidden/>
                  </w:rPr>
                  <w:t>5</w:t>
                </w:r>
                <w:r>
                  <w:rPr>
                    <w:noProof/>
                    <w:webHidden/>
                  </w:rPr>
                  <w:fldChar w:fldCharType="end"/>
                </w:r>
              </w:hyperlink>
            </w:p>
            <w:p w:rsidR="005F7185" w:rsidRDefault="005F7185">
              <w:pPr>
                <w:pStyle w:val="TOC1"/>
                <w:tabs>
                  <w:tab w:val="left" w:pos="480"/>
                  <w:tab w:val="right" w:leader="dot" w:pos="8303"/>
                </w:tabs>
                <w:rPr>
                  <w:rFonts w:asciiTheme="minorHAnsi" w:eastAsiaTheme="minorEastAsia" w:hAnsiTheme="minorHAnsi" w:cstheme="minorBidi"/>
                  <w:noProof/>
                  <w:kern w:val="2"/>
                  <w14:ligatures w14:val="standardContextual"/>
                </w:rPr>
              </w:pPr>
              <w:hyperlink w:anchor="_Toc202972557" w:history="1">
                <w:r w:rsidRPr="003C5575">
                  <w:rPr>
                    <w:rStyle w:val="Hyperlink"/>
                    <w:rFonts w:cs="Arial"/>
                    <w:noProof/>
                  </w:rPr>
                  <w:t>6.</w:t>
                </w:r>
                <w:r>
                  <w:rPr>
                    <w:rFonts w:asciiTheme="minorHAnsi" w:eastAsiaTheme="minorEastAsia" w:hAnsiTheme="minorHAnsi" w:cstheme="minorBidi"/>
                    <w:noProof/>
                    <w:kern w:val="2"/>
                    <w14:ligatures w14:val="standardContextual"/>
                  </w:rPr>
                  <w:tab/>
                </w:r>
                <w:r w:rsidRPr="003C5575">
                  <w:rPr>
                    <w:rStyle w:val="Hyperlink"/>
                    <w:rFonts w:cs="Arial"/>
                    <w:noProof/>
                  </w:rPr>
                  <w:t>Option Appraisal</w:t>
                </w:r>
                <w:r>
                  <w:rPr>
                    <w:noProof/>
                    <w:webHidden/>
                  </w:rPr>
                  <w:tab/>
                </w:r>
                <w:r>
                  <w:rPr>
                    <w:noProof/>
                    <w:webHidden/>
                  </w:rPr>
                  <w:fldChar w:fldCharType="begin"/>
                </w:r>
                <w:r>
                  <w:rPr>
                    <w:noProof/>
                    <w:webHidden/>
                  </w:rPr>
                  <w:instrText xml:space="preserve"> PAGEREF _Toc202972557 \h </w:instrText>
                </w:r>
                <w:r>
                  <w:rPr>
                    <w:noProof/>
                    <w:webHidden/>
                  </w:rPr>
                </w:r>
                <w:r>
                  <w:rPr>
                    <w:noProof/>
                    <w:webHidden/>
                  </w:rPr>
                  <w:fldChar w:fldCharType="separate"/>
                </w:r>
                <w:r>
                  <w:rPr>
                    <w:noProof/>
                    <w:webHidden/>
                  </w:rPr>
                  <w:t>7</w:t>
                </w:r>
                <w:r>
                  <w:rPr>
                    <w:noProof/>
                    <w:webHidden/>
                  </w:rPr>
                  <w:fldChar w:fldCharType="end"/>
                </w:r>
              </w:hyperlink>
            </w:p>
            <w:p w:rsidR="005F7185" w:rsidRDefault="005F7185">
              <w:pPr>
                <w:pStyle w:val="TOC2"/>
                <w:tabs>
                  <w:tab w:val="left" w:pos="960"/>
                  <w:tab w:val="right" w:leader="dot" w:pos="8303"/>
                </w:tabs>
                <w:rPr>
                  <w:rFonts w:asciiTheme="minorHAnsi" w:eastAsiaTheme="minorEastAsia" w:hAnsiTheme="minorHAnsi" w:cstheme="minorBidi"/>
                  <w:noProof/>
                  <w:kern w:val="2"/>
                  <w14:ligatures w14:val="standardContextual"/>
                </w:rPr>
              </w:pPr>
              <w:hyperlink w:anchor="_Toc202972558" w:history="1">
                <w:r w:rsidRPr="003C5575">
                  <w:rPr>
                    <w:rStyle w:val="Hyperlink"/>
                    <w:rFonts w:cs="Arial"/>
                    <w:noProof/>
                  </w:rPr>
                  <w:t>7.1</w:t>
                </w:r>
                <w:r>
                  <w:rPr>
                    <w:rFonts w:asciiTheme="minorHAnsi" w:eastAsiaTheme="minorEastAsia" w:hAnsiTheme="minorHAnsi" w:cstheme="minorBidi"/>
                    <w:noProof/>
                    <w:kern w:val="2"/>
                    <w14:ligatures w14:val="standardContextual"/>
                  </w:rPr>
                  <w:tab/>
                </w:r>
                <w:r w:rsidRPr="003C5575">
                  <w:rPr>
                    <w:rStyle w:val="Hyperlink"/>
                    <w:rFonts w:cs="Arial"/>
                    <w:noProof/>
                  </w:rPr>
                  <w:t>Benefits</w:t>
                </w:r>
                <w:r>
                  <w:rPr>
                    <w:noProof/>
                    <w:webHidden/>
                  </w:rPr>
                  <w:tab/>
                </w:r>
                <w:r>
                  <w:rPr>
                    <w:noProof/>
                    <w:webHidden/>
                  </w:rPr>
                  <w:fldChar w:fldCharType="begin"/>
                </w:r>
                <w:r>
                  <w:rPr>
                    <w:noProof/>
                    <w:webHidden/>
                  </w:rPr>
                  <w:instrText xml:space="preserve"> PAGEREF _Toc202972558 \h </w:instrText>
                </w:r>
                <w:r>
                  <w:rPr>
                    <w:noProof/>
                    <w:webHidden/>
                  </w:rPr>
                </w:r>
                <w:r>
                  <w:rPr>
                    <w:noProof/>
                    <w:webHidden/>
                  </w:rPr>
                  <w:fldChar w:fldCharType="separate"/>
                </w:r>
                <w:r>
                  <w:rPr>
                    <w:noProof/>
                    <w:webHidden/>
                  </w:rPr>
                  <w:t>8</w:t>
                </w:r>
                <w:r>
                  <w:rPr>
                    <w:noProof/>
                    <w:webHidden/>
                  </w:rPr>
                  <w:fldChar w:fldCharType="end"/>
                </w:r>
              </w:hyperlink>
            </w:p>
            <w:p w:rsidR="005F7185" w:rsidRDefault="005F7185">
              <w:pPr>
                <w:pStyle w:val="TOC2"/>
                <w:tabs>
                  <w:tab w:val="right" w:leader="dot" w:pos="8303"/>
                </w:tabs>
                <w:rPr>
                  <w:rFonts w:asciiTheme="minorHAnsi" w:eastAsiaTheme="minorEastAsia" w:hAnsiTheme="minorHAnsi" w:cstheme="minorBidi"/>
                  <w:noProof/>
                  <w:kern w:val="2"/>
                  <w14:ligatures w14:val="standardContextual"/>
                </w:rPr>
              </w:pPr>
              <w:hyperlink w:anchor="_Toc202972559" w:history="1">
                <w:r w:rsidRPr="003C5575">
                  <w:rPr>
                    <w:rStyle w:val="Hyperlink"/>
                    <w:rFonts w:cs="Arial"/>
                    <w:noProof/>
                  </w:rPr>
                  <w:t>7.2 Risks</w:t>
                </w:r>
                <w:r>
                  <w:rPr>
                    <w:noProof/>
                    <w:webHidden/>
                  </w:rPr>
                  <w:tab/>
                </w:r>
                <w:r>
                  <w:rPr>
                    <w:noProof/>
                    <w:webHidden/>
                  </w:rPr>
                  <w:fldChar w:fldCharType="begin"/>
                </w:r>
                <w:r>
                  <w:rPr>
                    <w:noProof/>
                    <w:webHidden/>
                  </w:rPr>
                  <w:instrText xml:space="preserve"> PAGEREF _Toc202972559 \h </w:instrText>
                </w:r>
                <w:r>
                  <w:rPr>
                    <w:noProof/>
                    <w:webHidden/>
                  </w:rPr>
                </w:r>
                <w:r>
                  <w:rPr>
                    <w:noProof/>
                    <w:webHidden/>
                  </w:rPr>
                  <w:fldChar w:fldCharType="separate"/>
                </w:r>
                <w:r>
                  <w:rPr>
                    <w:noProof/>
                    <w:webHidden/>
                  </w:rPr>
                  <w:t>8</w:t>
                </w:r>
                <w:r>
                  <w:rPr>
                    <w:noProof/>
                    <w:webHidden/>
                  </w:rPr>
                  <w:fldChar w:fldCharType="end"/>
                </w:r>
              </w:hyperlink>
            </w:p>
            <w:p w:rsidR="005F7185" w:rsidRDefault="005F7185">
              <w:pPr>
                <w:pStyle w:val="TOC2"/>
                <w:tabs>
                  <w:tab w:val="right" w:leader="dot" w:pos="8303"/>
                </w:tabs>
                <w:rPr>
                  <w:rFonts w:asciiTheme="minorHAnsi" w:eastAsiaTheme="minorEastAsia" w:hAnsiTheme="minorHAnsi" w:cstheme="minorBidi"/>
                  <w:noProof/>
                  <w:kern w:val="2"/>
                  <w14:ligatures w14:val="standardContextual"/>
                </w:rPr>
              </w:pPr>
              <w:hyperlink w:anchor="_Toc202972560" w:history="1">
                <w:r w:rsidRPr="003C5575">
                  <w:rPr>
                    <w:rStyle w:val="Hyperlink"/>
                    <w:rFonts w:cs="Arial"/>
                    <w:noProof/>
                  </w:rPr>
                  <w:t>7.3 Total Cost - Resource Implications and Affordability</w:t>
                </w:r>
                <w:r>
                  <w:rPr>
                    <w:noProof/>
                    <w:webHidden/>
                  </w:rPr>
                  <w:tab/>
                </w:r>
                <w:r>
                  <w:rPr>
                    <w:noProof/>
                    <w:webHidden/>
                  </w:rPr>
                  <w:fldChar w:fldCharType="begin"/>
                </w:r>
                <w:r>
                  <w:rPr>
                    <w:noProof/>
                    <w:webHidden/>
                  </w:rPr>
                  <w:instrText xml:space="preserve"> PAGEREF _Toc202972560 \h </w:instrText>
                </w:r>
                <w:r>
                  <w:rPr>
                    <w:noProof/>
                    <w:webHidden/>
                  </w:rPr>
                </w:r>
                <w:r>
                  <w:rPr>
                    <w:noProof/>
                    <w:webHidden/>
                  </w:rPr>
                  <w:fldChar w:fldCharType="separate"/>
                </w:r>
                <w:r>
                  <w:rPr>
                    <w:noProof/>
                    <w:webHidden/>
                  </w:rPr>
                  <w:t>8</w:t>
                </w:r>
                <w:r>
                  <w:rPr>
                    <w:noProof/>
                    <w:webHidden/>
                  </w:rPr>
                  <w:fldChar w:fldCharType="end"/>
                </w:r>
              </w:hyperlink>
            </w:p>
            <w:p w:rsidR="005F7185" w:rsidRDefault="005F7185">
              <w:pPr>
                <w:pStyle w:val="TOC2"/>
                <w:tabs>
                  <w:tab w:val="right" w:leader="dot" w:pos="8303"/>
                </w:tabs>
                <w:rPr>
                  <w:rFonts w:asciiTheme="minorHAnsi" w:eastAsiaTheme="minorEastAsia" w:hAnsiTheme="minorHAnsi" w:cstheme="minorBidi"/>
                  <w:noProof/>
                  <w:kern w:val="2"/>
                  <w14:ligatures w14:val="standardContextual"/>
                </w:rPr>
              </w:pPr>
              <w:hyperlink w:anchor="_Toc202972561" w:history="1">
                <w:r w:rsidRPr="003C5575">
                  <w:rPr>
                    <w:rStyle w:val="Hyperlink"/>
                    <w:rFonts w:cs="Arial"/>
                    <w:noProof/>
                  </w:rPr>
                  <w:t>Annex a:  FBC Executive Summary</w:t>
                </w:r>
                <w:r>
                  <w:rPr>
                    <w:noProof/>
                    <w:webHidden/>
                  </w:rPr>
                  <w:tab/>
                </w:r>
                <w:r>
                  <w:rPr>
                    <w:noProof/>
                    <w:webHidden/>
                  </w:rPr>
                  <w:fldChar w:fldCharType="begin"/>
                </w:r>
                <w:r>
                  <w:rPr>
                    <w:noProof/>
                    <w:webHidden/>
                  </w:rPr>
                  <w:instrText xml:space="preserve"> PAGEREF _Toc202972561 \h </w:instrText>
                </w:r>
                <w:r>
                  <w:rPr>
                    <w:noProof/>
                    <w:webHidden/>
                  </w:rPr>
                </w:r>
                <w:r>
                  <w:rPr>
                    <w:noProof/>
                    <w:webHidden/>
                  </w:rPr>
                  <w:fldChar w:fldCharType="separate"/>
                </w:r>
                <w:r>
                  <w:rPr>
                    <w:noProof/>
                    <w:webHidden/>
                  </w:rPr>
                  <w:t>9</w:t>
                </w:r>
                <w:r>
                  <w:rPr>
                    <w:noProof/>
                    <w:webHidden/>
                  </w:rPr>
                  <w:fldChar w:fldCharType="end"/>
                </w:r>
              </w:hyperlink>
            </w:p>
            <w:p w:rsidR="005F7185" w:rsidRDefault="005F7185">
              <w:pPr>
                <w:pStyle w:val="TOC2"/>
                <w:tabs>
                  <w:tab w:val="right" w:leader="dot" w:pos="8303"/>
                </w:tabs>
                <w:rPr>
                  <w:rFonts w:asciiTheme="minorHAnsi" w:eastAsiaTheme="minorEastAsia" w:hAnsiTheme="minorHAnsi" w:cstheme="minorBidi"/>
                  <w:noProof/>
                  <w:kern w:val="2"/>
                  <w14:ligatures w14:val="standardContextual"/>
                </w:rPr>
              </w:pPr>
              <w:hyperlink w:anchor="_Toc202972562" w:history="1">
                <w:r w:rsidRPr="003C5575">
                  <w:rPr>
                    <w:rStyle w:val="Hyperlink"/>
                    <w:rFonts w:cs="Arial"/>
                    <w:noProof/>
                  </w:rPr>
                  <w:t>Annex b:  Service Specification</w:t>
                </w:r>
                <w:r>
                  <w:rPr>
                    <w:noProof/>
                    <w:webHidden/>
                  </w:rPr>
                  <w:tab/>
                </w:r>
                <w:r>
                  <w:rPr>
                    <w:noProof/>
                    <w:webHidden/>
                  </w:rPr>
                  <w:fldChar w:fldCharType="begin"/>
                </w:r>
                <w:r>
                  <w:rPr>
                    <w:noProof/>
                    <w:webHidden/>
                  </w:rPr>
                  <w:instrText xml:space="preserve"> PAGEREF _Toc202972562 \h </w:instrText>
                </w:r>
                <w:r>
                  <w:rPr>
                    <w:noProof/>
                    <w:webHidden/>
                  </w:rPr>
                </w:r>
                <w:r>
                  <w:rPr>
                    <w:noProof/>
                    <w:webHidden/>
                  </w:rPr>
                  <w:fldChar w:fldCharType="separate"/>
                </w:r>
                <w:r>
                  <w:rPr>
                    <w:noProof/>
                    <w:webHidden/>
                  </w:rPr>
                  <w:t>10</w:t>
                </w:r>
                <w:r>
                  <w:rPr>
                    <w:noProof/>
                    <w:webHidden/>
                  </w:rPr>
                  <w:fldChar w:fldCharType="end"/>
                </w:r>
              </w:hyperlink>
            </w:p>
            <w:p w:rsidR="005F7185" w:rsidRDefault="005F7185">
              <w:pPr>
                <w:pStyle w:val="TOC2"/>
                <w:tabs>
                  <w:tab w:val="right" w:leader="dot" w:pos="8303"/>
                </w:tabs>
                <w:rPr>
                  <w:rFonts w:asciiTheme="minorHAnsi" w:eastAsiaTheme="minorEastAsia" w:hAnsiTheme="minorHAnsi" w:cstheme="minorBidi"/>
                  <w:noProof/>
                  <w:kern w:val="2"/>
                  <w14:ligatures w14:val="standardContextual"/>
                </w:rPr>
              </w:pPr>
              <w:hyperlink w:anchor="_Toc202972563" w:history="1">
                <w:r w:rsidRPr="003C5575">
                  <w:rPr>
                    <w:rStyle w:val="Hyperlink"/>
                    <w:rFonts w:cs="Arial"/>
                    <w:noProof/>
                  </w:rPr>
                  <w:t>Annex c:  Revenue Summary</w:t>
                </w:r>
                <w:r>
                  <w:rPr>
                    <w:noProof/>
                    <w:webHidden/>
                  </w:rPr>
                  <w:tab/>
                </w:r>
                <w:r>
                  <w:rPr>
                    <w:noProof/>
                    <w:webHidden/>
                  </w:rPr>
                  <w:fldChar w:fldCharType="begin"/>
                </w:r>
                <w:r>
                  <w:rPr>
                    <w:noProof/>
                    <w:webHidden/>
                  </w:rPr>
                  <w:instrText xml:space="preserve"> PAGEREF _Toc202972563 \h </w:instrText>
                </w:r>
                <w:r>
                  <w:rPr>
                    <w:noProof/>
                    <w:webHidden/>
                  </w:rPr>
                </w:r>
                <w:r>
                  <w:rPr>
                    <w:noProof/>
                    <w:webHidden/>
                  </w:rPr>
                  <w:fldChar w:fldCharType="separate"/>
                </w:r>
                <w:r>
                  <w:rPr>
                    <w:noProof/>
                    <w:webHidden/>
                  </w:rPr>
                  <w:t>10</w:t>
                </w:r>
                <w:r>
                  <w:rPr>
                    <w:noProof/>
                    <w:webHidden/>
                  </w:rPr>
                  <w:fldChar w:fldCharType="end"/>
                </w:r>
              </w:hyperlink>
            </w:p>
            <w:p w:rsidR="005F7185" w:rsidRDefault="005F7185">
              <w:pPr>
                <w:pStyle w:val="TOC2"/>
                <w:tabs>
                  <w:tab w:val="right" w:leader="dot" w:pos="8303"/>
                </w:tabs>
                <w:rPr>
                  <w:rFonts w:asciiTheme="minorHAnsi" w:eastAsiaTheme="minorEastAsia" w:hAnsiTheme="minorHAnsi" w:cstheme="minorBidi"/>
                  <w:noProof/>
                  <w:kern w:val="2"/>
                  <w14:ligatures w14:val="standardContextual"/>
                </w:rPr>
              </w:pPr>
              <w:hyperlink w:anchor="_Toc202972564" w:history="1">
                <w:r w:rsidRPr="003C5575">
                  <w:rPr>
                    <w:rStyle w:val="Hyperlink"/>
                    <w:rFonts w:cs="Arial"/>
                    <w:bCs/>
                    <w:noProof/>
                  </w:rPr>
                  <w:t xml:space="preserve">Annex d: </w:t>
                </w:r>
                <w:r w:rsidRPr="003C5575">
                  <w:rPr>
                    <w:rStyle w:val="Hyperlink"/>
                    <w:rFonts w:cs="Arial"/>
                    <w:noProof/>
                  </w:rPr>
                  <w:t>Capital Charges Summary</w:t>
                </w:r>
                <w:r>
                  <w:rPr>
                    <w:noProof/>
                    <w:webHidden/>
                  </w:rPr>
                  <w:tab/>
                </w:r>
                <w:r>
                  <w:rPr>
                    <w:noProof/>
                    <w:webHidden/>
                  </w:rPr>
                  <w:fldChar w:fldCharType="begin"/>
                </w:r>
                <w:r>
                  <w:rPr>
                    <w:noProof/>
                    <w:webHidden/>
                  </w:rPr>
                  <w:instrText xml:space="preserve"> PAGEREF _Toc202972564 \h </w:instrText>
                </w:r>
                <w:r>
                  <w:rPr>
                    <w:noProof/>
                    <w:webHidden/>
                  </w:rPr>
                </w:r>
                <w:r>
                  <w:rPr>
                    <w:noProof/>
                    <w:webHidden/>
                  </w:rPr>
                  <w:fldChar w:fldCharType="separate"/>
                </w:r>
                <w:r>
                  <w:rPr>
                    <w:noProof/>
                    <w:webHidden/>
                  </w:rPr>
                  <w:t>12</w:t>
                </w:r>
                <w:r>
                  <w:rPr>
                    <w:noProof/>
                    <w:webHidden/>
                  </w:rPr>
                  <w:fldChar w:fldCharType="end"/>
                </w:r>
              </w:hyperlink>
            </w:p>
            <w:p w:rsidR="005F7185" w:rsidRDefault="005F7185">
              <w:pPr>
                <w:pStyle w:val="TOC2"/>
                <w:tabs>
                  <w:tab w:val="right" w:leader="dot" w:pos="8303"/>
                </w:tabs>
                <w:rPr>
                  <w:rFonts w:asciiTheme="minorHAnsi" w:eastAsiaTheme="minorEastAsia" w:hAnsiTheme="minorHAnsi" w:cstheme="minorBidi"/>
                  <w:noProof/>
                  <w:kern w:val="2"/>
                  <w14:ligatures w14:val="standardContextual"/>
                </w:rPr>
              </w:pPr>
              <w:hyperlink w:anchor="_Toc202972565" w:history="1">
                <w:r w:rsidRPr="003C5575">
                  <w:rPr>
                    <w:rStyle w:val="Hyperlink"/>
                    <w:rFonts w:cs="Arial"/>
                    <w:noProof/>
                  </w:rPr>
                  <w:t>Annex e: Capital Costs Summary</w:t>
                </w:r>
                <w:r>
                  <w:rPr>
                    <w:noProof/>
                    <w:webHidden/>
                  </w:rPr>
                  <w:tab/>
                </w:r>
                <w:r>
                  <w:rPr>
                    <w:noProof/>
                    <w:webHidden/>
                  </w:rPr>
                  <w:fldChar w:fldCharType="begin"/>
                </w:r>
                <w:r>
                  <w:rPr>
                    <w:noProof/>
                    <w:webHidden/>
                  </w:rPr>
                  <w:instrText xml:space="preserve"> PAGEREF _Toc202972565 \h </w:instrText>
                </w:r>
                <w:r>
                  <w:rPr>
                    <w:noProof/>
                    <w:webHidden/>
                  </w:rPr>
                </w:r>
                <w:r>
                  <w:rPr>
                    <w:noProof/>
                    <w:webHidden/>
                  </w:rPr>
                  <w:fldChar w:fldCharType="separate"/>
                </w:r>
                <w:r>
                  <w:rPr>
                    <w:noProof/>
                    <w:webHidden/>
                  </w:rPr>
                  <w:t>13</w:t>
                </w:r>
                <w:r>
                  <w:rPr>
                    <w:noProof/>
                    <w:webHidden/>
                  </w:rPr>
                  <w:fldChar w:fldCharType="end"/>
                </w:r>
              </w:hyperlink>
            </w:p>
            <w:p w:rsidR="005F7185" w:rsidRDefault="005F7185">
              <w:pPr>
                <w:pStyle w:val="TOC2"/>
                <w:tabs>
                  <w:tab w:val="right" w:leader="dot" w:pos="8303"/>
                </w:tabs>
                <w:rPr>
                  <w:rFonts w:asciiTheme="minorHAnsi" w:eastAsiaTheme="minorEastAsia" w:hAnsiTheme="minorHAnsi" w:cstheme="minorBidi"/>
                  <w:noProof/>
                  <w:kern w:val="2"/>
                  <w14:ligatures w14:val="standardContextual"/>
                </w:rPr>
              </w:pPr>
              <w:hyperlink w:anchor="_Toc202972566" w:history="1">
                <w:r w:rsidRPr="003C5575">
                  <w:rPr>
                    <w:rStyle w:val="Hyperlink"/>
                    <w:rFonts w:cs="Arial"/>
                    <w:noProof/>
                  </w:rPr>
                  <w:t>Annex f: IG submission deadlines</w:t>
                </w:r>
                <w:r>
                  <w:rPr>
                    <w:noProof/>
                    <w:webHidden/>
                  </w:rPr>
                  <w:tab/>
                </w:r>
                <w:r>
                  <w:rPr>
                    <w:noProof/>
                    <w:webHidden/>
                  </w:rPr>
                  <w:fldChar w:fldCharType="begin"/>
                </w:r>
                <w:r>
                  <w:rPr>
                    <w:noProof/>
                    <w:webHidden/>
                  </w:rPr>
                  <w:instrText xml:space="preserve"> PAGEREF _Toc202972566 \h </w:instrText>
                </w:r>
                <w:r>
                  <w:rPr>
                    <w:noProof/>
                    <w:webHidden/>
                  </w:rPr>
                </w:r>
                <w:r>
                  <w:rPr>
                    <w:noProof/>
                    <w:webHidden/>
                  </w:rPr>
                  <w:fldChar w:fldCharType="separate"/>
                </w:r>
                <w:r>
                  <w:rPr>
                    <w:noProof/>
                    <w:webHidden/>
                  </w:rPr>
                  <w:t>14</w:t>
                </w:r>
                <w:r>
                  <w:rPr>
                    <w:noProof/>
                    <w:webHidden/>
                  </w:rPr>
                  <w:fldChar w:fldCharType="end"/>
                </w:r>
              </w:hyperlink>
            </w:p>
            <w:p w:rsidR="00427718" w:rsidRDefault="00427718">
              <w:r>
                <w:rPr>
                  <w:b/>
                  <w:bCs/>
                  <w:noProof/>
                </w:rPr>
                <w:fldChar w:fldCharType="end"/>
              </w:r>
            </w:p>
          </w:sdtContent>
        </w:sdt>
        <w:p w:rsidR="0069676A" w:rsidRDefault="00264705"/>
      </w:sdtContent>
    </w:sdt>
    <w:p w:rsidR="00A97987" w:rsidRPr="00427718" w:rsidRDefault="00472958" w:rsidP="000406C6">
      <w:pPr>
        <w:pStyle w:val="Heading1"/>
        <w:numPr>
          <w:ilvl w:val="0"/>
          <w:numId w:val="2"/>
        </w:numPr>
        <w:ind w:left="142"/>
        <w:rPr>
          <w:sz w:val="28"/>
          <w:szCs w:val="28"/>
        </w:rPr>
      </w:pPr>
      <w:bookmarkStart w:id="0" w:name="_Toc98945731"/>
      <w:bookmarkStart w:id="1" w:name="_Toc98946145"/>
      <w:bookmarkStart w:id="2" w:name="_Toc202972552"/>
      <w:r w:rsidRPr="00427718">
        <w:rPr>
          <w:sz w:val="28"/>
          <w:szCs w:val="28"/>
        </w:rPr>
        <w:t>Executive S</w:t>
      </w:r>
      <w:r w:rsidR="00A97987" w:rsidRPr="00427718">
        <w:rPr>
          <w:sz w:val="28"/>
          <w:szCs w:val="28"/>
        </w:rPr>
        <w:t>ummary</w:t>
      </w:r>
      <w:bookmarkEnd w:id="0"/>
      <w:bookmarkEnd w:id="1"/>
      <w:bookmarkEnd w:id="2"/>
    </w:p>
    <w:p w:rsidR="005E5515" w:rsidRDefault="005E5515" w:rsidP="2F0801C2"/>
    <w:p w:rsidR="0060023C" w:rsidRDefault="00860AB5" w:rsidP="0060023C">
      <w:pPr>
        <w:jc w:val="both"/>
        <w:rPr>
          <w:rFonts w:eastAsia="MS Mincho" w:cs="Arial"/>
          <w:noProof/>
          <w:color w:val="000000" w:themeColor="text1"/>
          <w:sz w:val="22"/>
          <w:szCs w:val="22"/>
          <w:lang w:val="en-US"/>
          <w14:ligatures w14:val="standardContextual"/>
        </w:rPr>
      </w:pPr>
      <w:r w:rsidRPr="004019E4">
        <w:rPr>
          <w:rFonts w:eastAsia="MS Mincho" w:cs="Arial"/>
          <w:noProof/>
          <w:color w:val="000000" w:themeColor="text1"/>
          <w:sz w:val="22"/>
          <w:szCs w:val="22"/>
          <w:lang w:val="en-US"/>
          <w14:ligatures w14:val="standardContextual"/>
        </w:rPr>
        <w:t>The</w:t>
      </w:r>
      <w:r w:rsidR="005E5515" w:rsidRPr="004019E4">
        <w:rPr>
          <w:rFonts w:eastAsia="MS Mincho" w:cs="Arial"/>
          <w:noProof/>
          <w:color w:val="000000" w:themeColor="text1"/>
          <w:sz w:val="22"/>
          <w:szCs w:val="22"/>
          <w:lang w:val="en-US"/>
          <w14:ligatures w14:val="standardContextual"/>
        </w:rPr>
        <w:t xml:space="preserve"> development of a Wellbeing Hub at Park View</w:t>
      </w:r>
      <w:r w:rsidR="0060023C">
        <w:rPr>
          <w:rFonts w:eastAsia="MS Mincho" w:cs="Arial"/>
          <w:noProof/>
          <w:color w:val="000000" w:themeColor="text1"/>
          <w:sz w:val="22"/>
          <w:szCs w:val="22"/>
          <w:lang w:val="en-US"/>
          <w14:ligatures w14:val="standardContextual"/>
        </w:rPr>
        <w:t xml:space="preserve">  </w:t>
      </w:r>
      <w:r w:rsidR="00127766">
        <w:rPr>
          <w:rFonts w:eastAsia="MS Mincho" w:cs="Arial"/>
          <w:noProof/>
          <w:color w:val="000000" w:themeColor="text1"/>
          <w:sz w:val="22"/>
          <w:szCs w:val="22"/>
          <w:lang w:val="en-US"/>
          <w14:ligatures w14:val="standardContextual"/>
        </w:rPr>
        <w:t>is b</w:t>
      </w:r>
      <w:r w:rsidR="0060023C" w:rsidRPr="00732A1F">
        <w:rPr>
          <w:rFonts w:eastAsia="MS Mincho" w:cs="Arial"/>
          <w:noProof/>
          <w:color w:val="000000" w:themeColor="text1"/>
          <w:sz w:val="22"/>
          <w:szCs w:val="22"/>
          <w:lang w:val="en-US"/>
          <w14:ligatures w14:val="standardContextual"/>
        </w:rPr>
        <w:t>ased upon the assessment undertaken by the Health Board, alongside Public Health Wales, to support the SOFW:IOC Programme Business Case (PBC)</w:t>
      </w:r>
      <w:r w:rsidR="007525C5">
        <w:rPr>
          <w:rFonts w:eastAsia="MS Mincho" w:cs="Arial"/>
          <w:noProof/>
          <w:color w:val="000000" w:themeColor="text1"/>
          <w:sz w:val="22"/>
          <w:szCs w:val="22"/>
          <w:lang w:val="en-US"/>
          <w14:ligatures w14:val="standardContextual"/>
        </w:rPr>
        <w:t xml:space="preserve">, which was </w:t>
      </w:r>
      <w:r w:rsidR="0060023C" w:rsidRPr="00732A1F">
        <w:rPr>
          <w:rFonts w:eastAsia="MS Mincho" w:cs="Arial"/>
          <w:noProof/>
          <w:color w:val="000000" w:themeColor="text1"/>
          <w:sz w:val="22"/>
          <w:szCs w:val="22"/>
          <w:lang w:val="en-US"/>
          <w14:ligatures w14:val="standardContextual"/>
        </w:rPr>
        <w:t>endorsed by Welsh Government in August 2019</w:t>
      </w:r>
      <w:r w:rsidR="00DC5E0D">
        <w:rPr>
          <w:rFonts w:eastAsia="MS Mincho" w:cs="Arial"/>
          <w:noProof/>
          <w:color w:val="000000" w:themeColor="text1"/>
          <w:sz w:val="22"/>
          <w:szCs w:val="22"/>
          <w:lang w:val="en-US"/>
          <w14:ligatures w14:val="standardContextual"/>
        </w:rPr>
        <w:t>.</w:t>
      </w:r>
      <w:r w:rsidR="0060023C" w:rsidRPr="00732A1F">
        <w:rPr>
          <w:rFonts w:eastAsia="MS Mincho" w:cs="Arial"/>
          <w:noProof/>
          <w:color w:val="000000" w:themeColor="text1"/>
          <w:sz w:val="22"/>
          <w:szCs w:val="22"/>
          <w:lang w:val="en-US"/>
          <w14:ligatures w14:val="standardContextual"/>
        </w:rPr>
        <w:t xml:space="preserve"> </w:t>
      </w:r>
    </w:p>
    <w:p w:rsidR="00DC5E0D" w:rsidRDefault="00DC5E0D" w:rsidP="0060023C">
      <w:pPr>
        <w:jc w:val="both"/>
        <w:rPr>
          <w:rFonts w:eastAsia="MS Mincho" w:cs="Arial"/>
          <w:noProof/>
          <w:color w:val="000000" w:themeColor="text1"/>
          <w:sz w:val="22"/>
          <w:szCs w:val="22"/>
          <w:lang w:val="en-US"/>
          <w14:ligatures w14:val="standardContextual"/>
        </w:rPr>
      </w:pPr>
    </w:p>
    <w:p w:rsidR="00DC5E0D" w:rsidRPr="002A5B4D" w:rsidRDefault="00DC5E0D" w:rsidP="00DC5E0D">
      <w:pPr>
        <w:pStyle w:val="BodyText1"/>
      </w:pPr>
      <w:r w:rsidRPr="00AD10A9">
        <w:t xml:space="preserve">As an organisation, we have </w:t>
      </w:r>
      <w:r>
        <w:t>co-produced a set of Strategic Shifts to deliver upon our vision over the next three years, which will see us transform:</w:t>
      </w:r>
    </w:p>
    <w:p w:rsidR="00DC5E0D" w:rsidRPr="002A5B4D" w:rsidRDefault="00DC5E0D" w:rsidP="00DC5E0D">
      <w:pPr>
        <w:pStyle w:val="Bullet1"/>
        <w:numPr>
          <w:ilvl w:val="0"/>
          <w:numId w:val="19"/>
        </w:numPr>
      </w:pPr>
      <w:r w:rsidRPr="002A5B4D">
        <w:t>From an organisation shaped around illness and injury to one purposefully designed to enable equitable health and wellbeing</w:t>
      </w:r>
      <w:r>
        <w:t>;</w:t>
      </w:r>
    </w:p>
    <w:p w:rsidR="00DC5E0D" w:rsidRPr="002A5B4D" w:rsidRDefault="00DC5E0D" w:rsidP="00DC5E0D">
      <w:pPr>
        <w:pStyle w:val="Bullet1"/>
        <w:numPr>
          <w:ilvl w:val="0"/>
          <w:numId w:val="19"/>
        </w:numPr>
      </w:pPr>
      <w:r w:rsidRPr="002A5B4D">
        <w:t>From variable quality of care and experience to utterly consistent quality and outcomes for all</w:t>
      </w:r>
      <w:r>
        <w:t>;</w:t>
      </w:r>
    </w:p>
    <w:p w:rsidR="00DC5E0D" w:rsidRDefault="00DC5E0D" w:rsidP="00DC5E0D">
      <w:pPr>
        <w:pStyle w:val="Bullet1"/>
        <w:numPr>
          <w:ilvl w:val="0"/>
          <w:numId w:val="19"/>
        </w:numPr>
      </w:pPr>
      <w:r w:rsidRPr="002A5B4D">
        <w:t>From analogue buildings to digitally connected people and places</w:t>
      </w:r>
      <w:r>
        <w:t>;</w:t>
      </w:r>
    </w:p>
    <w:p w:rsidR="00DC5E0D" w:rsidRPr="00DC5E0D" w:rsidRDefault="00DC5E0D" w:rsidP="00CF5460">
      <w:pPr>
        <w:pStyle w:val="Bullet1"/>
        <w:numPr>
          <w:ilvl w:val="0"/>
          <w:numId w:val="19"/>
        </w:numPr>
        <w:rPr>
          <w:rFonts w:cs="Arial"/>
          <w:szCs w:val="22"/>
        </w:rPr>
      </w:pPr>
      <w:r>
        <w:t>From firefighting today to planning for a sustainable tomorrow.</w:t>
      </w:r>
    </w:p>
    <w:p w:rsidR="0060023C" w:rsidRDefault="0060023C" w:rsidP="002F461D">
      <w:pPr>
        <w:jc w:val="both"/>
        <w:rPr>
          <w:rFonts w:eastAsia="MS Mincho" w:cs="Arial"/>
          <w:noProof/>
          <w:color w:val="000000" w:themeColor="text1"/>
          <w:sz w:val="22"/>
          <w:szCs w:val="22"/>
          <w:lang w:val="en-US"/>
          <w14:ligatures w14:val="standardContextual"/>
        </w:rPr>
      </w:pPr>
    </w:p>
    <w:p w:rsidR="00573649" w:rsidRDefault="00DC5E0D" w:rsidP="002F461D">
      <w:pPr>
        <w:jc w:val="both"/>
        <w:rPr>
          <w:rFonts w:eastAsia="MS Mincho" w:cs="Arial"/>
          <w:noProof/>
          <w:color w:val="000000" w:themeColor="text1"/>
          <w:sz w:val="22"/>
          <w:szCs w:val="22"/>
          <w:lang w:val="en-US"/>
          <w14:ligatures w14:val="standardContextual"/>
        </w:rPr>
      </w:pPr>
      <w:r w:rsidRPr="00732A1F">
        <w:rPr>
          <w:rFonts w:eastAsia="MS Mincho" w:cs="Arial"/>
          <w:noProof/>
          <w:color w:val="000000" w:themeColor="text1"/>
          <w:sz w:val="22"/>
          <w:szCs w:val="22"/>
          <w:lang w:val="en-US"/>
          <w14:ligatures w14:val="standardContextual"/>
        </w:rPr>
        <w:t xml:space="preserve">The development </w:t>
      </w:r>
      <w:r w:rsidR="00573649">
        <w:rPr>
          <w:rFonts w:eastAsia="MS Mincho" w:cs="Arial"/>
          <w:noProof/>
          <w:color w:val="000000" w:themeColor="text1"/>
          <w:sz w:val="22"/>
          <w:szCs w:val="22"/>
          <w:lang w:val="en-US"/>
          <w14:ligatures w14:val="standardContextual"/>
        </w:rPr>
        <w:t>of the Wellbeing Hub at</w:t>
      </w:r>
      <w:r w:rsidRPr="00732A1F">
        <w:rPr>
          <w:rFonts w:eastAsia="MS Mincho" w:cs="Arial"/>
          <w:noProof/>
          <w:color w:val="000000" w:themeColor="text1"/>
          <w:sz w:val="22"/>
          <w:szCs w:val="22"/>
          <w:lang w:val="en-US"/>
          <w14:ligatures w14:val="standardContextual"/>
        </w:rPr>
        <w:t xml:space="preserve"> Park View </w:t>
      </w:r>
      <w:r w:rsidR="00573649">
        <w:rPr>
          <w:rFonts w:eastAsia="MS Mincho" w:cs="Arial"/>
          <w:noProof/>
          <w:color w:val="000000" w:themeColor="text1"/>
          <w:sz w:val="22"/>
          <w:szCs w:val="22"/>
          <w:lang w:val="en-US"/>
          <w14:ligatures w14:val="standardContextual"/>
        </w:rPr>
        <w:t xml:space="preserve">will </w:t>
      </w:r>
      <w:r w:rsidRPr="00732A1F">
        <w:rPr>
          <w:rFonts w:eastAsia="MS Mincho" w:cs="Arial"/>
          <w:noProof/>
          <w:color w:val="000000" w:themeColor="text1"/>
          <w:sz w:val="22"/>
          <w:szCs w:val="22"/>
          <w:lang w:val="en-US"/>
          <w14:ligatures w14:val="standardContextual"/>
        </w:rPr>
        <w:t xml:space="preserve">provide the infrastructure </w:t>
      </w:r>
      <w:r w:rsidR="007525C5">
        <w:rPr>
          <w:rFonts w:eastAsia="MS Mincho" w:cs="Arial"/>
          <w:noProof/>
          <w:color w:val="000000" w:themeColor="text1"/>
          <w:sz w:val="22"/>
          <w:szCs w:val="22"/>
          <w:lang w:val="en-US"/>
          <w14:ligatures w14:val="standardContextual"/>
        </w:rPr>
        <w:t xml:space="preserve">and a whole system opportunity to realign services towards a community by design approach, enabling </w:t>
      </w:r>
      <w:r w:rsidRPr="00732A1F">
        <w:rPr>
          <w:rFonts w:eastAsia="MS Mincho" w:cs="Arial"/>
          <w:noProof/>
          <w:color w:val="000000" w:themeColor="text1"/>
          <w:sz w:val="22"/>
          <w:szCs w:val="22"/>
          <w:lang w:val="en-US"/>
          <w14:ligatures w14:val="standardContextual"/>
        </w:rPr>
        <w:t>the shift of health care services into the community and the delivery of a range of integrated services with other statutory and third sector services</w:t>
      </w:r>
      <w:r w:rsidR="002970A6">
        <w:rPr>
          <w:rFonts w:eastAsia="MS Mincho" w:cs="Arial"/>
          <w:noProof/>
          <w:color w:val="000000" w:themeColor="text1"/>
          <w:sz w:val="22"/>
          <w:szCs w:val="22"/>
          <w:lang w:val="en-US"/>
          <w14:ligatures w14:val="standardContextual"/>
        </w:rPr>
        <w:t>, aligned to our ambition to become an Integrated Community Care System</w:t>
      </w:r>
      <w:r w:rsidR="001A6123">
        <w:rPr>
          <w:rFonts w:eastAsia="MS Mincho" w:cs="Arial"/>
          <w:noProof/>
          <w:color w:val="000000" w:themeColor="text1"/>
          <w:sz w:val="22"/>
          <w:szCs w:val="22"/>
          <w:lang w:val="en-US"/>
          <w14:ligatures w14:val="standardContextual"/>
        </w:rPr>
        <w:t xml:space="preserve"> (ICCS)</w:t>
      </w:r>
      <w:r w:rsidRPr="00732A1F">
        <w:rPr>
          <w:rFonts w:eastAsia="MS Mincho" w:cs="Arial"/>
          <w:noProof/>
          <w:color w:val="000000" w:themeColor="text1"/>
          <w:sz w:val="22"/>
          <w:szCs w:val="22"/>
          <w:lang w:val="en-US"/>
          <w14:ligatures w14:val="standardContextual"/>
        </w:rPr>
        <w:t xml:space="preserve">. </w:t>
      </w:r>
    </w:p>
    <w:p w:rsidR="00573649" w:rsidRDefault="00573649" w:rsidP="002F461D">
      <w:pPr>
        <w:jc w:val="both"/>
        <w:rPr>
          <w:rFonts w:eastAsia="MS Mincho" w:cs="Arial"/>
          <w:noProof/>
          <w:color w:val="000000" w:themeColor="text1"/>
          <w:sz w:val="22"/>
          <w:szCs w:val="22"/>
          <w:lang w:val="en-US"/>
          <w14:ligatures w14:val="standardContextual"/>
        </w:rPr>
      </w:pPr>
    </w:p>
    <w:p w:rsidR="007525C5" w:rsidRDefault="002970A6" w:rsidP="002970A6">
      <w:pPr>
        <w:pStyle w:val="BodyText1"/>
      </w:pPr>
      <w:r>
        <w:t xml:space="preserve">This paper seeks approval of the Full Business Case (FBC), which is the preferred option </w:t>
      </w:r>
      <w:r w:rsidR="007525C5">
        <w:t>for a</w:t>
      </w:r>
      <w:r>
        <w:t xml:space="preserve"> maximim scope community-based facility,</w:t>
      </w:r>
      <w:r w:rsidR="007525C5">
        <w:t xml:space="preserve"> which</w:t>
      </w:r>
      <w:r>
        <w:t xml:space="preserve"> </w:t>
      </w:r>
      <w:r w:rsidR="007525C5" w:rsidRPr="00732A1F">
        <w:rPr>
          <w:rFonts w:cs="Arial"/>
          <w:szCs w:val="22"/>
        </w:rPr>
        <w:t>support</w:t>
      </w:r>
      <w:r w:rsidR="007525C5">
        <w:rPr>
          <w:rFonts w:cs="Arial"/>
          <w:szCs w:val="22"/>
        </w:rPr>
        <w:t>s</w:t>
      </w:r>
      <w:r w:rsidR="007525C5" w:rsidRPr="00732A1F">
        <w:rPr>
          <w:rFonts w:cs="Arial"/>
          <w:szCs w:val="22"/>
        </w:rPr>
        <w:t xml:space="preserve"> </w:t>
      </w:r>
      <w:r w:rsidR="007525C5">
        <w:rPr>
          <w:rFonts w:cs="Arial"/>
          <w:szCs w:val="22"/>
        </w:rPr>
        <w:t xml:space="preserve">the sustainability of </w:t>
      </w:r>
      <w:r w:rsidR="007525C5" w:rsidRPr="00732A1F">
        <w:rPr>
          <w:rFonts w:cs="Arial"/>
          <w:szCs w:val="22"/>
        </w:rPr>
        <w:t>General Medical Services (GMS) but also provide</w:t>
      </w:r>
      <w:r w:rsidR="007525C5">
        <w:rPr>
          <w:rFonts w:cs="Arial"/>
          <w:szCs w:val="22"/>
        </w:rPr>
        <w:t>s</w:t>
      </w:r>
      <w:r w:rsidR="007525C5" w:rsidRPr="00732A1F">
        <w:rPr>
          <w:rFonts w:cs="Arial"/>
          <w:szCs w:val="22"/>
        </w:rPr>
        <w:t xml:space="preserve"> better access to </w:t>
      </w:r>
      <w:r w:rsidR="001E2014">
        <w:rPr>
          <w:rFonts w:cs="Arial"/>
          <w:szCs w:val="22"/>
        </w:rPr>
        <w:t>care and support</w:t>
      </w:r>
      <w:r w:rsidR="007525C5" w:rsidRPr="00732A1F">
        <w:rPr>
          <w:rFonts w:cs="Arial"/>
          <w:szCs w:val="22"/>
        </w:rPr>
        <w:t xml:space="preserve"> for the </w:t>
      </w:r>
      <w:r w:rsidR="007525C5">
        <w:rPr>
          <w:rFonts w:cs="Arial"/>
          <w:szCs w:val="22"/>
        </w:rPr>
        <w:t>local</w:t>
      </w:r>
      <w:r w:rsidR="007525C5" w:rsidRPr="00732A1F">
        <w:rPr>
          <w:rFonts w:cs="Arial"/>
          <w:szCs w:val="22"/>
        </w:rPr>
        <w:t xml:space="preserve"> population</w:t>
      </w:r>
      <w:r w:rsidR="007525C5">
        <w:rPr>
          <w:rFonts w:cs="Arial"/>
          <w:szCs w:val="22"/>
        </w:rPr>
        <w:t xml:space="preserve">, </w:t>
      </w:r>
      <w:r w:rsidR="007525C5" w:rsidRPr="00732A1F">
        <w:rPr>
          <w:rFonts w:cs="Arial"/>
          <w:szCs w:val="22"/>
        </w:rPr>
        <w:t xml:space="preserve">as local services </w:t>
      </w:r>
      <w:r w:rsidR="007525C5">
        <w:rPr>
          <w:rFonts w:cs="Arial"/>
          <w:szCs w:val="22"/>
        </w:rPr>
        <w:t>remain</w:t>
      </w:r>
      <w:r w:rsidR="007525C5" w:rsidRPr="00732A1F">
        <w:rPr>
          <w:rFonts w:cs="Arial"/>
          <w:szCs w:val="22"/>
        </w:rPr>
        <w:t xml:space="preserve"> dispersed since the closure of the original Park View Health Centre in 2018</w:t>
      </w:r>
      <w:r w:rsidR="007525C5">
        <w:rPr>
          <w:rFonts w:cs="Arial"/>
          <w:szCs w:val="22"/>
        </w:rPr>
        <w:t>. In addition</w:t>
      </w:r>
      <w:r w:rsidR="001E2014">
        <w:rPr>
          <w:rFonts w:cs="Arial"/>
          <w:szCs w:val="22"/>
        </w:rPr>
        <w:t>,</w:t>
      </w:r>
      <w:r w:rsidR="007525C5">
        <w:rPr>
          <w:rFonts w:cs="Arial"/>
          <w:szCs w:val="22"/>
        </w:rPr>
        <w:t xml:space="preserve"> the Hub will support our reponse to planned population growth, enabling the further </w:t>
      </w:r>
      <w:r w:rsidR="007525C5" w:rsidRPr="00573649">
        <w:rPr>
          <w:rFonts w:cs="Arial"/>
          <w:szCs w:val="22"/>
          <w:lang w:val="en-GB"/>
        </w:rPr>
        <w:t>development of integrated wellbeing solutions and the adoption of new ways of</w:t>
      </w:r>
      <w:r w:rsidR="007525C5">
        <w:rPr>
          <w:rFonts w:cs="Arial"/>
          <w:szCs w:val="22"/>
        </w:rPr>
        <w:t xml:space="preserve"> </w:t>
      </w:r>
      <w:r w:rsidR="007525C5" w:rsidRPr="00573649">
        <w:rPr>
          <w:rFonts w:cs="Arial"/>
          <w:szCs w:val="22"/>
          <w:lang w:val="en-GB"/>
        </w:rPr>
        <w:t>working.</w:t>
      </w:r>
      <w:r w:rsidR="007525C5">
        <w:rPr>
          <w:rFonts w:cs="Arial"/>
          <w:szCs w:val="22"/>
        </w:rPr>
        <w:t xml:space="preserve"> </w:t>
      </w:r>
      <w:r w:rsidR="007525C5" w:rsidRPr="00732A1F">
        <w:rPr>
          <w:rFonts w:cs="Arial"/>
          <w:szCs w:val="22"/>
        </w:rPr>
        <w:t>Th</w:t>
      </w:r>
      <w:r w:rsidR="007525C5">
        <w:rPr>
          <w:rFonts w:cs="Arial"/>
          <w:szCs w:val="22"/>
        </w:rPr>
        <w:t xml:space="preserve">is development provides an </w:t>
      </w:r>
      <w:r w:rsidR="007525C5" w:rsidRPr="00732A1F">
        <w:rPr>
          <w:rFonts w:cs="Arial"/>
          <w:szCs w:val="22"/>
        </w:rPr>
        <w:t>exciting opportunity to work collaboratively with partners to create a more holistic approach to the delivery of health and wellbeing services in an area of high deprivation due to the location of an existing facility in the area, namely the Ely and Caerau Community Hub, run by Cardiff Council.</w:t>
      </w:r>
    </w:p>
    <w:p w:rsidR="007525C5" w:rsidRDefault="007525C5" w:rsidP="002970A6">
      <w:pPr>
        <w:pStyle w:val="BodyText1"/>
      </w:pPr>
    </w:p>
    <w:p w:rsidR="002970A6" w:rsidRDefault="002970A6" w:rsidP="002970A6">
      <w:pPr>
        <w:pStyle w:val="BodyText1"/>
      </w:pPr>
      <w:r w:rsidRPr="00FD382A">
        <w:t>The ex</w:t>
      </w:r>
      <w:r w:rsidR="007525C5" w:rsidRPr="00FD382A">
        <w:t>e</w:t>
      </w:r>
      <w:r w:rsidRPr="00FD382A">
        <w:t>c</w:t>
      </w:r>
      <w:r w:rsidR="007525C5" w:rsidRPr="00FD382A">
        <w:t>u</w:t>
      </w:r>
      <w:r w:rsidRPr="00FD382A">
        <w:t xml:space="preserve">tive summary of the FBC can be found at </w:t>
      </w:r>
      <w:r w:rsidR="00DD2B1B" w:rsidRPr="00CF5460">
        <w:rPr>
          <w:b/>
          <w:bCs/>
        </w:rPr>
        <w:t>Annex</w:t>
      </w:r>
      <w:r w:rsidRPr="00CF5460">
        <w:rPr>
          <w:b/>
          <w:bCs/>
        </w:rPr>
        <w:t xml:space="preserve"> a</w:t>
      </w:r>
      <w:r w:rsidRPr="00FD382A">
        <w:t>.</w:t>
      </w:r>
    </w:p>
    <w:p w:rsidR="0060023C" w:rsidRDefault="0060023C" w:rsidP="002F461D">
      <w:pPr>
        <w:pStyle w:val="BodyText1"/>
      </w:pPr>
    </w:p>
    <w:p w:rsidR="0060023C" w:rsidRPr="00CF5460" w:rsidRDefault="0060023C" w:rsidP="0060023C">
      <w:pPr>
        <w:rPr>
          <w:rFonts w:eastAsia="MS Mincho" w:cs="Arial"/>
          <w:noProof/>
          <w:color w:val="000000" w:themeColor="text1"/>
          <w:sz w:val="22"/>
          <w:szCs w:val="22"/>
          <w:lang w:val="en-US"/>
          <w14:ligatures w14:val="standardContextual"/>
        </w:rPr>
      </w:pPr>
      <w:r w:rsidRPr="00CF5460">
        <w:rPr>
          <w:rFonts w:eastAsia="MS Mincho" w:cs="Arial"/>
          <w:noProof/>
          <w:color w:val="000000" w:themeColor="text1"/>
          <w:sz w:val="22"/>
          <w:szCs w:val="22"/>
          <w:lang w:val="en-US"/>
          <w14:ligatures w14:val="standardContextual"/>
        </w:rPr>
        <w:t>The Wellbeing Hub will include:</w:t>
      </w:r>
    </w:p>
    <w:p w:rsidR="0060023C" w:rsidRPr="00CF5460" w:rsidRDefault="0060023C" w:rsidP="0060023C">
      <w:pPr>
        <w:rPr>
          <w:rFonts w:eastAsia="MS Mincho" w:cs="Arial"/>
          <w:noProof/>
          <w:color w:val="000000" w:themeColor="text1"/>
          <w:sz w:val="22"/>
          <w:szCs w:val="22"/>
          <w:lang w:val="en-US"/>
          <w14:ligatures w14:val="standardContextual"/>
        </w:rPr>
      </w:pPr>
    </w:p>
    <w:p w:rsidR="0060023C" w:rsidRPr="00CF5460" w:rsidRDefault="0060023C" w:rsidP="0060023C">
      <w:pPr>
        <w:pStyle w:val="ListParagraph"/>
        <w:numPr>
          <w:ilvl w:val="0"/>
          <w:numId w:val="38"/>
        </w:numPr>
        <w:jc w:val="both"/>
        <w:rPr>
          <w:rFonts w:eastAsia="MS Mincho" w:cs="Arial"/>
          <w:noProof/>
          <w:color w:val="000000" w:themeColor="text1"/>
          <w:sz w:val="22"/>
          <w:szCs w:val="22"/>
          <w:lang w:val="en-US"/>
          <w14:ligatures w14:val="standardContextual"/>
        </w:rPr>
      </w:pPr>
      <w:r w:rsidRPr="00CF5460">
        <w:rPr>
          <w:rFonts w:eastAsia="MS Mincho" w:cs="Arial"/>
          <w:noProof/>
          <w:color w:val="000000" w:themeColor="text1"/>
          <w:sz w:val="22"/>
          <w:szCs w:val="22"/>
          <w:lang w:val="en-US"/>
          <w14:ligatures w14:val="standardContextual"/>
        </w:rPr>
        <w:t>Wellbeing facilities including group/ community rooms, a teaching kitchen and information/ advice area. These spaces, in collaboration with existing facilities within the adjoining Community Hub, will support health, local authority and third sector groups to deliver wellbeing advice, education, support and signposting that can be personalised to support independence in the local community</w:t>
      </w:r>
    </w:p>
    <w:p w:rsidR="0060023C" w:rsidRPr="00CF5460" w:rsidRDefault="0060023C" w:rsidP="0060023C">
      <w:pPr>
        <w:pStyle w:val="ListParagraph"/>
        <w:numPr>
          <w:ilvl w:val="0"/>
          <w:numId w:val="38"/>
        </w:numPr>
        <w:jc w:val="both"/>
        <w:rPr>
          <w:rFonts w:eastAsia="MS Mincho" w:cs="Arial"/>
          <w:noProof/>
          <w:color w:val="000000" w:themeColor="text1"/>
          <w:sz w:val="22"/>
          <w:szCs w:val="22"/>
          <w:lang w:val="en-US"/>
          <w14:ligatures w14:val="standardContextual"/>
        </w:rPr>
      </w:pPr>
      <w:r w:rsidRPr="00CF5460">
        <w:rPr>
          <w:rFonts w:eastAsia="MS Mincho" w:cs="Arial"/>
          <w:noProof/>
          <w:color w:val="000000" w:themeColor="text1"/>
          <w:sz w:val="22"/>
          <w:szCs w:val="22"/>
          <w:lang w:val="en-US"/>
          <w14:ligatures w14:val="standardContextual"/>
        </w:rPr>
        <w:t>Re-instated Park View Health Centre services that are currently fragmented and dispersed across the locality such as diabetic eye screening services, podiatry clinics, community wound, stop smoking, AAA and continence clinics, learning disability services, district nurse treatments and community dental services</w:t>
      </w:r>
    </w:p>
    <w:p w:rsidR="0060023C" w:rsidRPr="00CF5460" w:rsidRDefault="0060023C" w:rsidP="0060023C">
      <w:pPr>
        <w:pStyle w:val="ListParagraph"/>
        <w:numPr>
          <w:ilvl w:val="0"/>
          <w:numId w:val="38"/>
        </w:numPr>
        <w:jc w:val="both"/>
        <w:rPr>
          <w:rFonts w:eastAsia="MS Mincho" w:cs="Arial"/>
          <w:noProof/>
          <w:color w:val="000000" w:themeColor="text1"/>
          <w:sz w:val="22"/>
          <w:szCs w:val="22"/>
          <w:lang w:val="en-US"/>
          <w14:ligatures w14:val="standardContextual"/>
        </w:rPr>
      </w:pPr>
      <w:r w:rsidRPr="00CF5460">
        <w:rPr>
          <w:rFonts w:eastAsia="MS Mincho" w:cs="Arial"/>
          <w:noProof/>
          <w:color w:val="000000" w:themeColor="text1"/>
          <w:sz w:val="22"/>
          <w:szCs w:val="22"/>
          <w:lang w:val="en-US"/>
          <w14:ligatures w14:val="standardContextual"/>
        </w:rPr>
        <w:t>Access to an increased range of clinics for the locality such as dietetic clinics, sexual health clinics and child health clinics including access to health visitors, community paediatricians, child therapies and primary mental health</w:t>
      </w:r>
    </w:p>
    <w:p w:rsidR="0060023C" w:rsidRPr="00CF5460" w:rsidRDefault="0060023C" w:rsidP="0060023C">
      <w:pPr>
        <w:pStyle w:val="ListParagraph"/>
        <w:numPr>
          <w:ilvl w:val="0"/>
          <w:numId w:val="38"/>
        </w:numPr>
        <w:jc w:val="both"/>
        <w:rPr>
          <w:rFonts w:eastAsia="MS Mincho" w:cs="Arial"/>
          <w:noProof/>
          <w:color w:val="000000" w:themeColor="text1"/>
          <w:sz w:val="22"/>
          <w:szCs w:val="22"/>
          <w:lang w:val="en-US"/>
          <w14:ligatures w14:val="standardContextual"/>
        </w:rPr>
      </w:pPr>
      <w:r w:rsidRPr="00CF5460">
        <w:rPr>
          <w:rFonts w:eastAsia="MS Mincho" w:cs="Arial"/>
          <w:noProof/>
          <w:color w:val="000000" w:themeColor="text1"/>
          <w:sz w:val="22"/>
          <w:szCs w:val="22"/>
          <w:lang w:val="en-US"/>
          <w14:ligatures w14:val="standardContextual"/>
        </w:rPr>
        <w:t>A re-provision of Westway Surgery providing a wide range of GMS services and in-practice hosted clinics</w:t>
      </w:r>
    </w:p>
    <w:p w:rsidR="0060023C" w:rsidRPr="00CF5460" w:rsidRDefault="0060023C" w:rsidP="0060023C">
      <w:pPr>
        <w:pStyle w:val="ListParagraph"/>
        <w:numPr>
          <w:ilvl w:val="0"/>
          <w:numId w:val="38"/>
        </w:numPr>
        <w:jc w:val="both"/>
        <w:rPr>
          <w:rFonts w:eastAsia="MS Mincho" w:cs="Arial"/>
          <w:noProof/>
          <w:color w:val="000000" w:themeColor="text1"/>
          <w:sz w:val="22"/>
          <w:szCs w:val="22"/>
          <w:lang w:val="en-US"/>
          <w14:ligatures w14:val="standardContextual"/>
        </w:rPr>
      </w:pPr>
      <w:r w:rsidRPr="00CF5460">
        <w:rPr>
          <w:rFonts w:eastAsia="MS Mincho" w:cs="Arial"/>
          <w:noProof/>
          <w:color w:val="000000" w:themeColor="text1"/>
          <w:sz w:val="22"/>
          <w:szCs w:val="22"/>
          <w:lang w:val="en-US"/>
          <w14:ligatures w14:val="standardContextual"/>
        </w:rPr>
        <w:t>Access to a new range of specialised health clinics delivering seamless care closer to home along with proactive improvement of health and wellbeing services including access to cardiology clinics, antenatal and maternity clinics, primary mental health support services (PMHSS), falls prevention services as well as wider cluster support services such as community mental health teams, IRIS/ Domestic abuse support, phlebotomy services and dementia / memory clinics</w:t>
      </w:r>
    </w:p>
    <w:p w:rsidR="0060023C" w:rsidRPr="005C3B9C" w:rsidRDefault="0060023C" w:rsidP="00CF5460">
      <w:pPr>
        <w:pStyle w:val="ListParagraph"/>
        <w:numPr>
          <w:ilvl w:val="0"/>
          <w:numId w:val="38"/>
        </w:numPr>
        <w:jc w:val="both"/>
        <w:rPr>
          <w:rFonts w:cs="Arial"/>
          <w:szCs w:val="22"/>
        </w:rPr>
      </w:pPr>
      <w:r w:rsidRPr="00CF5460">
        <w:rPr>
          <w:rFonts w:eastAsia="MS Mincho" w:cs="Arial"/>
          <w:noProof/>
          <w:color w:val="000000" w:themeColor="text1"/>
          <w:sz w:val="22"/>
          <w:szCs w:val="22"/>
          <w:lang w:val="en-US"/>
          <w14:ligatures w14:val="standardContextual"/>
        </w:rPr>
        <w:t>Office and administrative facilities to support team working, which will be evidence driven, using lessons learned from Health Board and partners’ experience of delivering merged services.</w:t>
      </w:r>
    </w:p>
    <w:p w:rsidR="002F461D" w:rsidRDefault="002F461D" w:rsidP="002F461D">
      <w:pPr>
        <w:pStyle w:val="BodyText1"/>
      </w:pPr>
    </w:p>
    <w:p w:rsidR="005F7185" w:rsidRDefault="005F7185" w:rsidP="002F461D">
      <w:pPr>
        <w:pStyle w:val="BodyText1"/>
      </w:pPr>
      <w:r>
        <w:t xml:space="preserve">Further details of </w:t>
      </w:r>
      <w:r w:rsidR="007525C5">
        <w:t xml:space="preserve">the </w:t>
      </w:r>
      <w:r>
        <w:t xml:space="preserve">service scope for the Wellbeing Hub can be found at </w:t>
      </w:r>
      <w:r w:rsidR="00DD2B1B">
        <w:rPr>
          <w:b/>
          <w:bCs/>
        </w:rPr>
        <w:t>Annex</w:t>
      </w:r>
      <w:r w:rsidRPr="00CF5460">
        <w:rPr>
          <w:b/>
          <w:bCs/>
        </w:rPr>
        <w:t xml:space="preserve"> b</w:t>
      </w:r>
      <w:r w:rsidR="002970A6" w:rsidRPr="00CF5460">
        <w:rPr>
          <w:b/>
          <w:bCs/>
        </w:rPr>
        <w:t>.</w:t>
      </w:r>
      <w:r w:rsidR="002970A6">
        <w:t xml:space="preserve"> The current scope is</w:t>
      </w:r>
      <w:r>
        <w:t xml:space="preserve"> based on</w:t>
      </w:r>
      <w:r w:rsidR="002970A6">
        <w:t xml:space="preserve"> an</w:t>
      </w:r>
      <w:r>
        <w:t xml:space="preserve"> agreed </w:t>
      </w:r>
      <w:r w:rsidR="002970A6">
        <w:t xml:space="preserve">set of </w:t>
      </w:r>
      <w:r>
        <w:t>priorities and facilities req</w:t>
      </w:r>
      <w:r w:rsidR="002970A6">
        <w:t>u</w:t>
      </w:r>
      <w:r>
        <w:t>ired</w:t>
      </w:r>
      <w:r w:rsidR="002970A6">
        <w:t>, whi</w:t>
      </w:r>
      <w:r w:rsidR="007525C5">
        <w:t>c</w:t>
      </w:r>
      <w:r w:rsidR="002970A6">
        <w:t xml:space="preserve">h will </w:t>
      </w:r>
      <w:r>
        <w:t>continue to be refined by the project team to ensure</w:t>
      </w:r>
      <w:r w:rsidR="002970A6">
        <w:t xml:space="preserve"> a</w:t>
      </w:r>
      <w:r>
        <w:t xml:space="preserve"> continued fit in line with </w:t>
      </w:r>
      <w:r w:rsidR="002970A6">
        <w:t xml:space="preserve">population </w:t>
      </w:r>
      <w:r>
        <w:t>need</w:t>
      </w:r>
      <w:r w:rsidR="002970A6">
        <w:t>s</w:t>
      </w:r>
      <w:r>
        <w:t xml:space="preserve">. </w:t>
      </w:r>
    </w:p>
    <w:p w:rsidR="002F461D" w:rsidRDefault="002F461D" w:rsidP="002F461D">
      <w:pPr>
        <w:pStyle w:val="BodyText1"/>
      </w:pPr>
    </w:p>
    <w:p w:rsidR="009F2C44" w:rsidRDefault="004C7147" w:rsidP="002F461D">
      <w:pPr>
        <w:pStyle w:val="BodyText1"/>
      </w:pPr>
      <w:r>
        <w:t>The FBC</w:t>
      </w:r>
      <w:r w:rsidR="00D36F15">
        <w:t xml:space="preserve"> is fully compliant with the key principles of Priority 1 of the Health and Social Care Integration and Rebalancing Capital Fund (IRCF) </w:t>
      </w:r>
      <w:r w:rsidR="0028187E">
        <w:t>(</w:t>
      </w:r>
      <w:r w:rsidR="00D36F15">
        <w:t xml:space="preserve">Development of integrated health and social care hubs and centres </w:t>
      </w:r>
      <w:r w:rsidR="006751CB">
        <w:t>for capital investment</w:t>
      </w:r>
      <w:r w:rsidR="0028187E">
        <w:t>)</w:t>
      </w:r>
      <w:r w:rsidR="006751CB">
        <w:t>.</w:t>
      </w:r>
    </w:p>
    <w:p w:rsidR="002F461D" w:rsidRPr="002A5B4D" w:rsidRDefault="002F461D" w:rsidP="002F461D">
      <w:pPr>
        <w:pStyle w:val="BodyText1"/>
      </w:pPr>
    </w:p>
    <w:p w:rsidR="009F2C44" w:rsidRDefault="00DD2B1B" w:rsidP="002F461D">
      <w:pPr>
        <w:pStyle w:val="BodyText1"/>
      </w:pPr>
      <w:r>
        <w:t xml:space="preserve">It </w:t>
      </w:r>
      <w:r w:rsidR="009F2C44">
        <w:t>reaffirms that the reviews of national, regional or local strategies undertaken at the Programme Business Case and Outline Business Case stage are still relevant.  Where appropriate these have been updated in the Full Busines Case.</w:t>
      </w:r>
    </w:p>
    <w:p w:rsidR="002F461D" w:rsidRPr="002F461D" w:rsidRDefault="002F461D" w:rsidP="002F461D">
      <w:pPr>
        <w:pStyle w:val="BodyText1"/>
        <w:rPr>
          <w:sz w:val="20"/>
        </w:rPr>
      </w:pPr>
    </w:p>
    <w:p w:rsidR="002F461D" w:rsidRPr="002A5B4D" w:rsidRDefault="002F461D" w:rsidP="002F461D">
      <w:pPr>
        <w:pStyle w:val="BodyText1"/>
      </w:pPr>
    </w:p>
    <w:tbl>
      <w:tblPr>
        <w:tblStyle w:val="TableGrid"/>
        <w:tblW w:w="835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877"/>
        <w:gridCol w:w="1796"/>
        <w:gridCol w:w="1559"/>
        <w:gridCol w:w="2127"/>
      </w:tblGrid>
      <w:tr w:rsidR="00080F6C" w:rsidRPr="002A5B4D" w:rsidTr="002F461D">
        <w:tc>
          <w:tcPr>
            <w:tcW w:w="2877" w:type="dxa"/>
            <w:vMerge w:val="restart"/>
            <w:shd w:val="pct15" w:color="auto" w:fill="auto"/>
          </w:tcPr>
          <w:p w:rsidR="00080F6C" w:rsidRPr="002A5B4D" w:rsidRDefault="00080F6C" w:rsidP="00276F08">
            <w:pPr>
              <w:rPr>
                <w:rFonts w:cs="Arial"/>
                <w:b/>
                <w:i/>
                <w:sz w:val="20"/>
                <w:szCs w:val="20"/>
              </w:rPr>
            </w:pPr>
            <w:r w:rsidRPr="002A5B4D">
              <w:rPr>
                <w:rFonts w:cs="Arial"/>
                <w:b/>
                <w:sz w:val="20"/>
                <w:szCs w:val="20"/>
              </w:rPr>
              <w:t>Annual Revenue Requirement</w:t>
            </w:r>
          </w:p>
        </w:tc>
        <w:tc>
          <w:tcPr>
            <w:tcW w:w="1796" w:type="dxa"/>
            <w:shd w:val="pct15" w:color="auto" w:fill="auto"/>
          </w:tcPr>
          <w:p w:rsidR="002F461D" w:rsidRDefault="00080F6C" w:rsidP="00276F08">
            <w:pPr>
              <w:rPr>
                <w:rFonts w:cs="Arial"/>
                <w:b/>
                <w:sz w:val="20"/>
                <w:szCs w:val="20"/>
              </w:rPr>
            </w:pPr>
            <w:r>
              <w:rPr>
                <w:rFonts w:cs="Arial"/>
                <w:b/>
                <w:sz w:val="20"/>
                <w:szCs w:val="20"/>
              </w:rPr>
              <w:t xml:space="preserve">FBC </w:t>
            </w:r>
          </w:p>
          <w:p w:rsidR="00080F6C" w:rsidRPr="002A5B4D" w:rsidRDefault="00080F6C" w:rsidP="00276F08">
            <w:pPr>
              <w:rPr>
                <w:rFonts w:cs="Arial"/>
                <w:b/>
                <w:sz w:val="20"/>
                <w:szCs w:val="20"/>
              </w:rPr>
            </w:pPr>
            <w:r w:rsidRPr="002A5B4D">
              <w:rPr>
                <w:rFonts w:cs="Arial"/>
                <w:b/>
                <w:sz w:val="20"/>
                <w:szCs w:val="20"/>
              </w:rPr>
              <w:t>Current Year (£)</w:t>
            </w:r>
          </w:p>
        </w:tc>
        <w:tc>
          <w:tcPr>
            <w:tcW w:w="1559" w:type="dxa"/>
            <w:shd w:val="pct15" w:color="auto" w:fill="auto"/>
          </w:tcPr>
          <w:p w:rsidR="00080F6C" w:rsidRPr="002A5B4D" w:rsidRDefault="002F461D" w:rsidP="00276F08">
            <w:pPr>
              <w:rPr>
                <w:rFonts w:cs="Arial"/>
                <w:b/>
                <w:sz w:val="20"/>
                <w:szCs w:val="20"/>
              </w:rPr>
            </w:pPr>
            <w:r>
              <w:rPr>
                <w:rFonts w:cs="Arial"/>
                <w:b/>
                <w:sz w:val="20"/>
                <w:szCs w:val="20"/>
              </w:rPr>
              <w:t xml:space="preserve">FBC </w:t>
            </w:r>
            <w:r w:rsidR="00080F6C" w:rsidRPr="002A5B4D">
              <w:rPr>
                <w:rFonts w:cs="Arial"/>
                <w:b/>
                <w:sz w:val="20"/>
                <w:szCs w:val="20"/>
              </w:rPr>
              <w:t>Recurrent (£)</w:t>
            </w:r>
          </w:p>
        </w:tc>
        <w:tc>
          <w:tcPr>
            <w:tcW w:w="2127" w:type="dxa"/>
            <w:shd w:val="clear" w:color="auto" w:fill="EAF1DD" w:themeFill="accent3" w:themeFillTint="33"/>
          </w:tcPr>
          <w:p w:rsidR="00080F6C" w:rsidRPr="002F461D" w:rsidRDefault="00080F6C" w:rsidP="00276F08">
            <w:pPr>
              <w:rPr>
                <w:rFonts w:cs="Arial"/>
                <w:i/>
                <w:sz w:val="20"/>
                <w:szCs w:val="20"/>
              </w:rPr>
            </w:pPr>
            <w:r w:rsidRPr="002F461D">
              <w:rPr>
                <w:rFonts w:cs="Arial"/>
                <w:i/>
                <w:sz w:val="20"/>
                <w:szCs w:val="20"/>
              </w:rPr>
              <w:t>OBC approved costs (£)</w:t>
            </w:r>
          </w:p>
        </w:tc>
      </w:tr>
      <w:tr w:rsidR="00080F6C" w:rsidRPr="002A5B4D" w:rsidTr="002F461D">
        <w:tc>
          <w:tcPr>
            <w:tcW w:w="2877" w:type="dxa"/>
            <w:vMerge/>
            <w:shd w:val="pct15" w:color="auto" w:fill="auto"/>
          </w:tcPr>
          <w:p w:rsidR="00080F6C" w:rsidRPr="002A5B4D" w:rsidRDefault="00080F6C" w:rsidP="00276F08">
            <w:pPr>
              <w:rPr>
                <w:rFonts w:cs="Arial"/>
                <w:b/>
                <w:sz w:val="20"/>
                <w:szCs w:val="20"/>
              </w:rPr>
            </w:pPr>
          </w:p>
        </w:tc>
        <w:tc>
          <w:tcPr>
            <w:tcW w:w="1796" w:type="dxa"/>
          </w:tcPr>
          <w:p w:rsidR="00080F6C" w:rsidRPr="002A5B4D" w:rsidRDefault="00080F6C" w:rsidP="00276F08">
            <w:pPr>
              <w:rPr>
                <w:rFonts w:cs="Arial"/>
                <w:sz w:val="20"/>
                <w:szCs w:val="20"/>
              </w:rPr>
            </w:pPr>
            <w:r>
              <w:rPr>
                <w:rFonts w:cs="Arial"/>
                <w:sz w:val="20"/>
                <w:szCs w:val="20"/>
              </w:rPr>
              <w:t>0.0m</w:t>
            </w:r>
          </w:p>
        </w:tc>
        <w:tc>
          <w:tcPr>
            <w:tcW w:w="1559" w:type="dxa"/>
          </w:tcPr>
          <w:p w:rsidR="00080F6C" w:rsidRPr="002A5B4D" w:rsidRDefault="00080F6C" w:rsidP="00276F08">
            <w:pPr>
              <w:rPr>
                <w:rFonts w:cs="Arial"/>
                <w:sz w:val="20"/>
                <w:szCs w:val="20"/>
              </w:rPr>
            </w:pPr>
            <w:r>
              <w:rPr>
                <w:rFonts w:cs="Arial"/>
                <w:sz w:val="20"/>
                <w:szCs w:val="20"/>
              </w:rPr>
              <w:t>0.624m</w:t>
            </w:r>
          </w:p>
        </w:tc>
        <w:tc>
          <w:tcPr>
            <w:tcW w:w="2127" w:type="dxa"/>
            <w:shd w:val="clear" w:color="auto" w:fill="EAF1DD" w:themeFill="accent3" w:themeFillTint="33"/>
          </w:tcPr>
          <w:p w:rsidR="00080F6C" w:rsidRPr="002F461D" w:rsidRDefault="00080F6C" w:rsidP="00276F08">
            <w:pPr>
              <w:rPr>
                <w:rFonts w:cs="Arial"/>
                <w:i/>
                <w:sz w:val="20"/>
                <w:szCs w:val="20"/>
              </w:rPr>
            </w:pPr>
            <w:r w:rsidRPr="002F461D">
              <w:rPr>
                <w:rFonts w:cs="Arial"/>
                <w:i/>
                <w:sz w:val="20"/>
                <w:szCs w:val="20"/>
              </w:rPr>
              <w:t>0.676m</w:t>
            </w:r>
            <w:r w:rsidR="002F461D">
              <w:rPr>
                <w:rFonts w:cs="Arial"/>
                <w:i/>
                <w:sz w:val="20"/>
                <w:szCs w:val="20"/>
              </w:rPr>
              <w:t xml:space="preserve"> (Revenue)</w:t>
            </w:r>
          </w:p>
        </w:tc>
      </w:tr>
      <w:tr w:rsidR="00080F6C" w:rsidRPr="002A5B4D" w:rsidTr="002F461D">
        <w:tc>
          <w:tcPr>
            <w:tcW w:w="2877" w:type="dxa"/>
            <w:shd w:val="pct15" w:color="auto" w:fill="auto"/>
          </w:tcPr>
          <w:p w:rsidR="00080F6C" w:rsidRPr="002A5B4D" w:rsidRDefault="00080F6C" w:rsidP="00276F08">
            <w:pPr>
              <w:rPr>
                <w:rFonts w:cs="Arial"/>
                <w:b/>
                <w:i/>
                <w:sz w:val="20"/>
                <w:szCs w:val="20"/>
              </w:rPr>
            </w:pPr>
            <w:r w:rsidRPr="002A5B4D">
              <w:rPr>
                <w:rFonts w:cs="Arial"/>
                <w:b/>
                <w:sz w:val="20"/>
                <w:szCs w:val="20"/>
              </w:rPr>
              <w:t>Capital Requirement (£)</w:t>
            </w:r>
          </w:p>
        </w:tc>
        <w:tc>
          <w:tcPr>
            <w:tcW w:w="3355" w:type="dxa"/>
            <w:gridSpan w:val="2"/>
          </w:tcPr>
          <w:p w:rsidR="00080F6C" w:rsidRPr="002A5B4D" w:rsidRDefault="00080F6C" w:rsidP="00276F08">
            <w:pPr>
              <w:rPr>
                <w:rFonts w:cs="Arial"/>
                <w:sz w:val="20"/>
                <w:szCs w:val="20"/>
              </w:rPr>
            </w:pPr>
            <w:r w:rsidRPr="002A5B4D">
              <w:rPr>
                <w:rFonts w:cs="Arial"/>
                <w:sz w:val="20"/>
                <w:szCs w:val="20"/>
              </w:rPr>
              <w:t>36.8M</w:t>
            </w:r>
          </w:p>
        </w:tc>
        <w:tc>
          <w:tcPr>
            <w:tcW w:w="2127" w:type="dxa"/>
            <w:shd w:val="clear" w:color="auto" w:fill="EAF1DD" w:themeFill="accent3" w:themeFillTint="33"/>
          </w:tcPr>
          <w:p w:rsidR="00080F6C" w:rsidRPr="002F461D" w:rsidRDefault="00080F6C" w:rsidP="00276F08">
            <w:pPr>
              <w:rPr>
                <w:rFonts w:cs="Arial"/>
                <w:i/>
                <w:sz w:val="20"/>
                <w:szCs w:val="20"/>
              </w:rPr>
            </w:pPr>
            <w:r w:rsidRPr="002F461D">
              <w:rPr>
                <w:rFonts w:cs="Arial"/>
                <w:i/>
                <w:sz w:val="20"/>
                <w:szCs w:val="20"/>
              </w:rPr>
              <w:t>21.415</w:t>
            </w:r>
            <w:r w:rsidR="00FF0329" w:rsidRPr="002F461D">
              <w:rPr>
                <w:rFonts w:cs="Arial"/>
                <w:i/>
                <w:sz w:val="20"/>
                <w:szCs w:val="20"/>
              </w:rPr>
              <w:t>M</w:t>
            </w:r>
            <w:r w:rsidR="002F461D">
              <w:rPr>
                <w:rFonts w:cs="Arial"/>
                <w:i/>
                <w:sz w:val="20"/>
                <w:szCs w:val="20"/>
              </w:rPr>
              <w:t xml:space="preserve"> (Capital)</w:t>
            </w:r>
          </w:p>
        </w:tc>
      </w:tr>
    </w:tbl>
    <w:p w:rsidR="002F461D" w:rsidRDefault="002F461D" w:rsidP="002F461D">
      <w:pPr>
        <w:pStyle w:val="BodyText1"/>
      </w:pPr>
      <w:bookmarkStart w:id="3" w:name="_Toc98945732"/>
      <w:bookmarkStart w:id="4" w:name="_Toc98946146"/>
    </w:p>
    <w:p w:rsidR="005F6435" w:rsidRPr="00667C1D" w:rsidRDefault="005F6435" w:rsidP="005F6435">
      <w:pPr>
        <w:rPr>
          <w:rFonts w:cs="Arial"/>
          <w:sz w:val="22"/>
          <w:szCs w:val="22"/>
        </w:rPr>
      </w:pPr>
      <w:r w:rsidRPr="00667C1D">
        <w:rPr>
          <w:rFonts w:cs="Arial"/>
          <w:sz w:val="22"/>
          <w:szCs w:val="22"/>
        </w:rPr>
        <w:t xml:space="preserve">The revenue requirement for the </w:t>
      </w:r>
      <w:r w:rsidR="00A4314B">
        <w:rPr>
          <w:rFonts w:cs="Arial"/>
          <w:sz w:val="22"/>
          <w:szCs w:val="22"/>
        </w:rPr>
        <w:t>hub</w:t>
      </w:r>
      <w:r w:rsidR="00345350">
        <w:rPr>
          <w:rFonts w:cs="Arial"/>
          <w:sz w:val="22"/>
          <w:szCs w:val="22"/>
        </w:rPr>
        <w:t xml:space="preserve"> has marginally reduced from OBC, </w:t>
      </w:r>
      <w:r w:rsidR="00354175">
        <w:rPr>
          <w:rFonts w:cs="Arial"/>
          <w:sz w:val="22"/>
          <w:szCs w:val="22"/>
        </w:rPr>
        <w:t>but</w:t>
      </w:r>
      <w:r w:rsidRPr="00667C1D">
        <w:rPr>
          <w:rFonts w:cs="Arial"/>
          <w:sz w:val="22"/>
          <w:szCs w:val="22"/>
        </w:rPr>
        <w:t xml:space="preserve"> is driven by facilities and estates running costs, noting the need to comply with the WG NHS Zero Carbon </w:t>
      </w:r>
      <w:r w:rsidR="008444BD">
        <w:rPr>
          <w:rFonts w:cs="Arial"/>
          <w:sz w:val="22"/>
          <w:szCs w:val="22"/>
        </w:rPr>
        <w:t>strategy</w:t>
      </w:r>
      <w:r w:rsidRPr="00667C1D">
        <w:rPr>
          <w:rFonts w:cs="Arial"/>
          <w:sz w:val="22"/>
          <w:szCs w:val="22"/>
        </w:rPr>
        <w:t xml:space="preserve"> as well. There are </w:t>
      </w:r>
      <w:r>
        <w:rPr>
          <w:rFonts w:cs="Arial"/>
          <w:sz w:val="22"/>
          <w:szCs w:val="22"/>
        </w:rPr>
        <w:t xml:space="preserve">no </w:t>
      </w:r>
      <w:r w:rsidRPr="00667C1D">
        <w:rPr>
          <w:rFonts w:cs="Arial"/>
          <w:sz w:val="22"/>
          <w:szCs w:val="22"/>
        </w:rPr>
        <w:t>additional</w:t>
      </w:r>
      <w:r w:rsidR="00354175">
        <w:rPr>
          <w:rFonts w:cs="Arial"/>
          <w:sz w:val="22"/>
          <w:szCs w:val="22"/>
        </w:rPr>
        <w:t xml:space="preserve"> net</w:t>
      </w:r>
      <w:r w:rsidRPr="00667C1D">
        <w:rPr>
          <w:rFonts w:cs="Arial"/>
          <w:sz w:val="22"/>
          <w:szCs w:val="22"/>
        </w:rPr>
        <w:t xml:space="preserve"> clinical service costs associated with the build. However, a saving from GMS rent and rates is netted down in the £0.624m revenue impact.</w:t>
      </w:r>
    </w:p>
    <w:p w:rsidR="005F6435" w:rsidRPr="00667C1D" w:rsidRDefault="005F6435" w:rsidP="005F6435">
      <w:pPr>
        <w:rPr>
          <w:rFonts w:cs="Arial"/>
          <w:sz w:val="22"/>
          <w:szCs w:val="22"/>
        </w:rPr>
      </w:pPr>
    </w:p>
    <w:p w:rsidR="005F6435" w:rsidRDefault="005F6435" w:rsidP="005F6435">
      <w:pPr>
        <w:rPr>
          <w:rFonts w:cs="Arial"/>
          <w:sz w:val="22"/>
          <w:szCs w:val="22"/>
        </w:rPr>
      </w:pPr>
      <w:r w:rsidRPr="00667C1D">
        <w:rPr>
          <w:rFonts w:cs="Arial"/>
          <w:sz w:val="22"/>
          <w:szCs w:val="22"/>
        </w:rPr>
        <w:t>Capital costs have increased since OBC due to additional works costs with the inclusion of carbon reduction measures and construction market inflation.</w:t>
      </w:r>
      <w:r>
        <w:rPr>
          <w:rFonts w:cs="Arial"/>
          <w:sz w:val="22"/>
          <w:szCs w:val="22"/>
        </w:rPr>
        <w:t xml:space="preserve"> All capital costs would be expected to be funded by Welsh Government, including impairment and ongoing capital charges / depreciation.</w:t>
      </w:r>
    </w:p>
    <w:p w:rsidR="005F6435" w:rsidRDefault="005F6435" w:rsidP="005F6435">
      <w:pPr>
        <w:rPr>
          <w:rFonts w:cs="Arial"/>
          <w:sz w:val="22"/>
          <w:szCs w:val="22"/>
        </w:rPr>
      </w:pPr>
    </w:p>
    <w:p w:rsidR="005F6435" w:rsidRPr="00667C1D" w:rsidRDefault="005F6435" w:rsidP="005F6435">
      <w:pPr>
        <w:rPr>
          <w:rFonts w:cs="Arial"/>
          <w:sz w:val="22"/>
          <w:szCs w:val="22"/>
        </w:rPr>
      </w:pPr>
      <w:r>
        <w:rPr>
          <w:rFonts w:cs="Arial"/>
          <w:sz w:val="22"/>
          <w:szCs w:val="22"/>
        </w:rPr>
        <w:t>The net revenue impact would need to be provided for within the UHB forward financial plan. However, work between CEF and PCIC Boards to mitigate these costs will be ongoing prior to opening the new facility. In addition, the Wellbeing Hub provides capacity and a model to help enable the future benefits realisation from the UHB move towards an ICCS, with the significant return of investment and social value derived from enhanced multi-disciplinary</w:t>
      </w:r>
      <w:r w:rsidR="004210F8">
        <w:rPr>
          <w:rFonts w:cs="Arial"/>
          <w:sz w:val="22"/>
          <w:szCs w:val="22"/>
        </w:rPr>
        <w:t xml:space="preserve">, partnership </w:t>
      </w:r>
      <w:r>
        <w:rPr>
          <w:rFonts w:cs="Arial"/>
          <w:sz w:val="22"/>
          <w:szCs w:val="22"/>
        </w:rPr>
        <w:t>care in the community, avoiding unwarranted medical intervention and hospital admission.</w:t>
      </w:r>
      <w:r w:rsidR="00AE4B88">
        <w:rPr>
          <w:rFonts w:cs="Arial"/>
          <w:sz w:val="22"/>
          <w:szCs w:val="22"/>
        </w:rPr>
        <w:t xml:space="preserve">      </w:t>
      </w:r>
    </w:p>
    <w:p w:rsidR="003F1035" w:rsidRDefault="003F1035" w:rsidP="002F461D">
      <w:pPr>
        <w:pStyle w:val="BodyText1"/>
      </w:pPr>
    </w:p>
    <w:p w:rsidR="007F0BFD" w:rsidRDefault="002F461D" w:rsidP="002F461D">
      <w:pPr>
        <w:pStyle w:val="BodyText1"/>
      </w:pPr>
      <w:r>
        <w:t>The Value</w:t>
      </w:r>
      <w:r w:rsidR="00AE4B88">
        <w:t xml:space="preserve"> and</w:t>
      </w:r>
      <w:r>
        <w:t xml:space="preserve"> Benefit</w:t>
      </w:r>
      <w:r w:rsidR="00AE4B88">
        <w:t>s</w:t>
      </w:r>
      <w:r>
        <w:t xml:space="preserve"> Realiastion Group are asked to support the case for onward submission to the Board with a recommendation to approve and submit to Welsh Government (WG) for £36.801m capital funding from the IRCF.</w:t>
      </w:r>
    </w:p>
    <w:p w:rsidR="00DC5E0D" w:rsidRDefault="00DC5E0D"/>
    <w:p w:rsidR="00DC5E0D" w:rsidRDefault="00DC5E0D">
      <w:pPr>
        <w:rPr>
          <w:rFonts w:eastAsia="MS Mincho"/>
          <w:noProof/>
          <w:color w:val="000000" w:themeColor="text1"/>
          <w:sz w:val="22"/>
          <w:szCs w:val="20"/>
          <w:lang w:val="en-US"/>
          <w14:ligatures w14:val="standardContextual"/>
        </w:rPr>
      </w:pPr>
    </w:p>
    <w:p w:rsidR="005C3B9C" w:rsidRDefault="005C3B9C">
      <w:pPr>
        <w:rPr>
          <w:rFonts w:eastAsia="MS Mincho"/>
          <w:noProof/>
          <w:color w:val="000000" w:themeColor="text1"/>
          <w:sz w:val="22"/>
          <w:szCs w:val="20"/>
          <w:lang w:val="en-US"/>
          <w14:ligatures w14:val="standardContextual"/>
        </w:rPr>
      </w:pPr>
      <w:r>
        <w:br w:type="page"/>
      </w:r>
    </w:p>
    <w:p w:rsidR="00016018" w:rsidRDefault="00016018" w:rsidP="002F461D">
      <w:pPr>
        <w:pStyle w:val="BodyText1"/>
      </w:pPr>
    </w:p>
    <w:p w:rsidR="00A97987" w:rsidRPr="002A5B4D" w:rsidRDefault="00A97987" w:rsidP="000406C6">
      <w:pPr>
        <w:pStyle w:val="Heading1"/>
        <w:numPr>
          <w:ilvl w:val="0"/>
          <w:numId w:val="2"/>
        </w:numPr>
        <w:ind w:left="284"/>
        <w:rPr>
          <w:rFonts w:cstheme="majorHAnsi"/>
          <w:sz w:val="28"/>
          <w:szCs w:val="28"/>
        </w:rPr>
      </w:pPr>
      <w:bookmarkStart w:id="5" w:name="_Toc202972553"/>
      <w:r w:rsidRPr="002A5B4D">
        <w:rPr>
          <w:rFonts w:cstheme="majorHAnsi"/>
          <w:sz w:val="28"/>
          <w:szCs w:val="28"/>
        </w:rPr>
        <w:t>Introduction and Background</w:t>
      </w:r>
      <w:bookmarkEnd w:id="3"/>
      <w:bookmarkEnd w:id="4"/>
      <w:bookmarkEnd w:id="5"/>
    </w:p>
    <w:p w:rsidR="005D0E1D" w:rsidRPr="002A5B4D" w:rsidRDefault="005D0E1D" w:rsidP="005D0E1D">
      <w:pPr>
        <w:rPr>
          <w:rFonts w:cs="Arial"/>
          <w:sz w:val="20"/>
          <w:szCs w:val="20"/>
        </w:rPr>
      </w:pPr>
    </w:p>
    <w:p w:rsidR="00BC1285" w:rsidRPr="00AD10A9" w:rsidRDefault="005154BB" w:rsidP="00B80A2E">
      <w:pPr>
        <w:jc w:val="both"/>
        <w:rPr>
          <w:rFonts w:eastAsia="MS Mincho" w:cs="Arial"/>
          <w:noProof/>
          <w:color w:val="000000" w:themeColor="text1"/>
          <w:sz w:val="22"/>
          <w:szCs w:val="22"/>
          <w:lang w:val="en-US"/>
          <w14:ligatures w14:val="standardContextual"/>
        </w:rPr>
      </w:pPr>
      <w:r w:rsidRPr="00A40024">
        <w:rPr>
          <w:rFonts w:eastAsia="MS Mincho" w:cs="Arial"/>
          <w:noProof/>
          <w:color w:val="000000" w:themeColor="text1"/>
          <w:sz w:val="22"/>
          <w:szCs w:val="22"/>
          <w:lang w:val="en-US"/>
          <w14:ligatures w14:val="standardContextual"/>
        </w:rPr>
        <w:t>The development of the Wellbeing Hub at Parkview has been a priority for a significant period of time</w:t>
      </w:r>
      <w:r w:rsidR="00BC1285" w:rsidRPr="00AD10A9">
        <w:rPr>
          <w:rFonts w:eastAsia="MS Mincho" w:cs="Arial"/>
          <w:noProof/>
          <w:color w:val="000000" w:themeColor="text1"/>
          <w:sz w:val="22"/>
          <w:szCs w:val="22"/>
          <w:lang w:val="en-US"/>
          <w14:ligatures w14:val="standardContextual"/>
        </w:rPr>
        <w:t xml:space="preserve">. </w:t>
      </w:r>
      <w:r w:rsidR="00BC1285" w:rsidRPr="00AD10A9">
        <w:rPr>
          <w:rFonts w:eastAsia="MS Mincho" w:cs="Arial"/>
          <w:noProof/>
          <w:color w:val="000000" w:themeColor="text1"/>
          <w:sz w:val="22"/>
          <w:szCs w:val="22"/>
          <w14:ligatures w14:val="standardContextual"/>
        </w:rPr>
        <w:t>As part of the Shaping our Future Wellbeing in our Community Programme and following a recent strategy refresh, the stated ambition is that by 2035 we will be well on our journey to provide care in the right place, in facilities that are fit for purpose, flexible and promote recovery. </w:t>
      </w:r>
      <w:r w:rsidR="00BC1285" w:rsidRPr="00AD10A9">
        <w:rPr>
          <w:rFonts w:eastAsia="MS Mincho" w:cs="Arial"/>
          <w:noProof/>
          <w:color w:val="000000" w:themeColor="text1"/>
          <w:sz w:val="22"/>
          <w:szCs w:val="22"/>
          <w:lang w:val="en-US"/>
          <w14:ligatures w14:val="standardContextual"/>
        </w:rPr>
        <w:t xml:space="preserve"> </w:t>
      </w:r>
      <w:r w:rsidR="00BC1285" w:rsidRPr="00AD10A9">
        <w:rPr>
          <w:rFonts w:eastAsia="MS Mincho" w:cs="Arial"/>
          <w:noProof/>
          <w:color w:val="000000" w:themeColor="text1"/>
          <w:sz w:val="22"/>
          <w:szCs w:val="22"/>
          <w14:ligatures w14:val="standardContextual"/>
        </w:rPr>
        <w:t>Current trajectories estimate that by 2027, 50% of the population will have access to an integrated wellbeing hub, which will increase to 80% by 2035. </w:t>
      </w:r>
    </w:p>
    <w:p w:rsidR="005154BB" w:rsidRPr="00AD10A9" w:rsidRDefault="00BC1285" w:rsidP="00AD10A9">
      <w:pPr>
        <w:spacing w:line="360" w:lineRule="auto"/>
        <w:jc w:val="both"/>
        <w:rPr>
          <w:rFonts w:cs="Arial"/>
          <w:sz w:val="20"/>
          <w:szCs w:val="20"/>
        </w:rPr>
      </w:pPr>
      <w:r>
        <w:rPr>
          <w:noProof/>
        </w:rPr>
        <w:drawing>
          <wp:inline distT="0" distB="0" distL="0" distR="0" wp14:anchorId="502F2B5E" wp14:editId="20723AEF">
            <wp:extent cx="5270500" cy="3021965"/>
            <wp:effectExtent l="0" t="0" r="6350" b="6985"/>
            <wp:docPr id="430810300" name="Picture 1" descr="Picture 13,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ture 13, Pictur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0500" cy="3021965"/>
                    </a:xfrm>
                    <a:prstGeom prst="rect">
                      <a:avLst/>
                    </a:prstGeom>
                    <a:noFill/>
                    <a:ln>
                      <a:noFill/>
                    </a:ln>
                  </pic:spPr>
                </pic:pic>
              </a:graphicData>
            </a:graphic>
          </wp:inline>
        </w:drawing>
      </w:r>
      <w:r>
        <w:br/>
      </w:r>
    </w:p>
    <w:p w:rsidR="00BC1285" w:rsidRPr="00AD10A9" w:rsidRDefault="00BC1285" w:rsidP="00B80A2E">
      <w:pPr>
        <w:jc w:val="both"/>
        <w:rPr>
          <w:rFonts w:eastAsia="MS Mincho" w:cs="Arial"/>
          <w:noProof/>
          <w:color w:val="000000" w:themeColor="text1"/>
          <w:sz w:val="22"/>
          <w:szCs w:val="22"/>
          <w:lang w:val="en-US"/>
          <w14:ligatures w14:val="standardContextual"/>
        </w:rPr>
      </w:pPr>
      <w:r w:rsidRPr="00AD10A9">
        <w:rPr>
          <w:rFonts w:eastAsia="MS Mincho" w:cs="Arial"/>
          <w:noProof/>
          <w:color w:val="000000" w:themeColor="text1"/>
          <w:sz w:val="22"/>
          <w:szCs w:val="22"/>
          <w:lang w:val="en-US"/>
          <w14:ligatures w14:val="standardContextual"/>
        </w:rPr>
        <w:t>Wellbeing Hubs serve as a vital component in the delivery of the Primary Care Model of Wales,  through enhancing the community infrastructure to enable delivery of integrated services, closer to home, in line with population need through high quality primary care in fit-for-purpose estates and accommodation.</w:t>
      </w:r>
    </w:p>
    <w:p w:rsidR="00BC1285" w:rsidRPr="00AD10A9" w:rsidRDefault="00BC1285" w:rsidP="00B80A2E">
      <w:pPr>
        <w:jc w:val="both"/>
        <w:rPr>
          <w:rFonts w:cs="Arial"/>
          <w:sz w:val="22"/>
          <w:szCs w:val="22"/>
        </w:rPr>
      </w:pPr>
    </w:p>
    <w:p w:rsidR="005154BB" w:rsidRPr="00AD10A9" w:rsidRDefault="005154BB" w:rsidP="00B80A2E">
      <w:pPr>
        <w:jc w:val="both"/>
        <w:rPr>
          <w:rFonts w:cs="Arial"/>
          <w:sz w:val="22"/>
          <w:szCs w:val="22"/>
        </w:rPr>
      </w:pPr>
      <w:r w:rsidRPr="2F0801C2">
        <w:rPr>
          <w:rFonts w:cs="Arial"/>
          <w:sz w:val="22"/>
          <w:szCs w:val="22"/>
        </w:rPr>
        <w:t xml:space="preserve">WG has provisionally allocated IRCF capital funding for the development of the Wellbeing Hub, the proposals and supporting rationale are set out in the draft FBC, required by WG as the final stage of three in WG’s capital investment business case approval process. </w:t>
      </w:r>
    </w:p>
    <w:p w:rsidR="005154BB" w:rsidRPr="00AD10A9" w:rsidRDefault="005154BB" w:rsidP="00B80A2E">
      <w:pPr>
        <w:jc w:val="both"/>
        <w:rPr>
          <w:rFonts w:cs="Arial"/>
          <w:sz w:val="22"/>
          <w:szCs w:val="22"/>
        </w:rPr>
      </w:pPr>
    </w:p>
    <w:p w:rsidR="005154BB" w:rsidRPr="00AD10A9" w:rsidRDefault="009612F4" w:rsidP="00B80A2E">
      <w:pPr>
        <w:jc w:val="both"/>
        <w:rPr>
          <w:rFonts w:cs="Arial"/>
          <w:sz w:val="22"/>
          <w:szCs w:val="22"/>
        </w:rPr>
      </w:pPr>
      <w:r w:rsidRPr="2F0801C2">
        <w:rPr>
          <w:rFonts w:cs="Arial"/>
          <w:sz w:val="22"/>
          <w:szCs w:val="22"/>
        </w:rPr>
        <w:t xml:space="preserve">The UHBs </w:t>
      </w:r>
      <w:r w:rsidR="005154BB" w:rsidRPr="2F0801C2">
        <w:rPr>
          <w:rFonts w:cs="Arial"/>
          <w:sz w:val="22"/>
          <w:szCs w:val="22"/>
        </w:rPr>
        <w:t>C</w:t>
      </w:r>
      <w:r w:rsidRPr="2F0801C2">
        <w:rPr>
          <w:rFonts w:cs="Arial"/>
          <w:sz w:val="22"/>
          <w:szCs w:val="22"/>
        </w:rPr>
        <w:t xml:space="preserve">apital </w:t>
      </w:r>
      <w:r w:rsidR="005154BB" w:rsidRPr="2F0801C2">
        <w:rPr>
          <w:rFonts w:cs="Arial"/>
          <w:sz w:val="22"/>
          <w:szCs w:val="22"/>
        </w:rPr>
        <w:t>M</w:t>
      </w:r>
      <w:r w:rsidRPr="2F0801C2">
        <w:rPr>
          <w:rFonts w:cs="Arial"/>
          <w:sz w:val="22"/>
          <w:szCs w:val="22"/>
        </w:rPr>
        <w:t xml:space="preserve">anagement </w:t>
      </w:r>
      <w:r w:rsidR="005154BB" w:rsidRPr="2F0801C2">
        <w:rPr>
          <w:rFonts w:cs="Arial"/>
          <w:sz w:val="22"/>
          <w:szCs w:val="22"/>
        </w:rPr>
        <w:t>G</w:t>
      </w:r>
      <w:r w:rsidRPr="2F0801C2">
        <w:rPr>
          <w:rFonts w:cs="Arial"/>
          <w:sz w:val="22"/>
          <w:szCs w:val="22"/>
        </w:rPr>
        <w:t>roup</w:t>
      </w:r>
      <w:r w:rsidR="005154BB" w:rsidRPr="2F0801C2">
        <w:rPr>
          <w:rFonts w:cs="Arial"/>
          <w:sz w:val="22"/>
          <w:szCs w:val="22"/>
        </w:rPr>
        <w:t xml:space="preserve"> </w:t>
      </w:r>
      <w:r w:rsidRPr="2F0801C2">
        <w:rPr>
          <w:rFonts w:cs="Arial"/>
          <w:sz w:val="22"/>
          <w:szCs w:val="22"/>
        </w:rPr>
        <w:t xml:space="preserve">(CMG) </w:t>
      </w:r>
      <w:r w:rsidR="005154BB" w:rsidRPr="2F0801C2">
        <w:rPr>
          <w:rFonts w:cs="Arial"/>
          <w:sz w:val="22"/>
          <w:szCs w:val="22"/>
        </w:rPr>
        <w:t>has received regular progress reports on both the Programme and Projects throughout the development of this scheme.</w:t>
      </w:r>
    </w:p>
    <w:p w:rsidR="00FF7EA7" w:rsidRPr="00AD10A9" w:rsidRDefault="00FF7EA7" w:rsidP="00B80A2E">
      <w:pPr>
        <w:jc w:val="both"/>
        <w:rPr>
          <w:rFonts w:cs="Arial"/>
          <w:sz w:val="22"/>
          <w:szCs w:val="22"/>
        </w:rPr>
      </w:pPr>
    </w:p>
    <w:p w:rsidR="005C3B9C" w:rsidRDefault="00FF7EA7" w:rsidP="00B80A2E">
      <w:pPr>
        <w:jc w:val="both"/>
        <w:rPr>
          <w:rFonts w:eastAsia="MS Mincho" w:cs="Arial"/>
          <w:noProof/>
          <w:color w:val="000000" w:themeColor="text1"/>
          <w:sz w:val="20"/>
          <w:szCs w:val="20"/>
          <w:lang w:val="en-US"/>
          <w14:ligatures w14:val="standardContextual"/>
        </w:rPr>
      </w:pPr>
      <w:r w:rsidRPr="00AD10A9">
        <w:rPr>
          <w:rFonts w:eastAsia="MS Mincho" w:cs="Arial"/>
          <w:noProof/>
          <w:color w:val="000000" w:themeColor="text1"/>
          <w:sz w:val="22"/>
          <w:szCs w:val="22"/>
          <w:lang w:val="en-US"/>
          <w14:ligatures w14:val="standardContextual"/>
        </w:rPr>
        <w:t>This paper sets out a summary of proposals and associated capital costs for the development of a Wellbeing Hub at Parkview</w:t>
      </w:r>
      <w:r w:rsidRPr="001C3D0C">
        <w:rPr>
          <w:rFonts w:eastAsia="MS Mincho" w:cs="Arial"/>
          <w:noProof/>
          <w:color w:val="000000" w:themeColor="text1"/>
          <w:sz w:val="20"/>
          <w:szCs w:val="20"/>
          <w:lang w:val="en-US"/>
          <w14:ligatures w14:val="standardContextual"/>
        </w:rPr>
        <w:t xml:space="preserve">.  </w:t>
      </w:r>
    </w:p>
    <w:p w:rsidR="005C3B9C" w:rsidRDefault="005C3B9C">
      <w:pPr>
        <w:rPr>
          <w:rFonts w:eastAsia="MS Mincho" w:cs="Arial"/>
          <w:noProof/>
          <w:color w:val="000000" w:themeColor="text1"/>
          <w:sz w:val="20"/>
          <w:szCs w:val="20"/>
          <w:lang w:val="en-US"/>
          <w14:ligatures w14:val="standardContextual"/>
        </w:rPr>
      </w:pPr>
      <w:r>
        <w:rPr>
          <w:rFonts w:eastAsia="MS Mincho" w:cs="Arial"/>
          <w:noProof/>
          <w:color w:val="000000" w:themeColor="text1"/>
          <w:sz w:val="20"/>
          <w:szCs w:val="20"/>
          <w:lang w:val="en-US"/>
          <w14:ligatures w14:val="standardContextual"/>
        </w:rPr>
        <w:br w:type="page"/>
      </w:r>
    </w:p>
    <w:p w:rsidR="00FF7EA7" w:rsidRPr="001C3D0C" w:rsidRDefault="00FF7EA7" w:rsidP="00B80A2E">
      <w:pPr>
        <w:jc w:val="both"/>
        <w:rPr>
          <w:rFonts w:eastAsia="MS Mincho" w:cs="Arial"/>
          <w:noProof/>
          <w:color w:val="000000" w:themeColor="text1"/>
          <w:sz w:val="20"/>
          <w:szCs w:val="20"/>
          <w:lang w:val="en-US"/>
          <w14:ligatures w14:val="standardContextual"/>
        </w:rPr>
      </w:pPr>
    </w:p>
    <w:p w:rsidR="00A97987" w:rsidRPr="002A5B4D" w:rsidRDefault="00A97987" w:rsidP="000406C6">
      <w:pPr>
        <w:pStyle w:val="Heading1"/>
        <w:numPr>
          <w:ilvl w:val="0"/>
          <w:numId w:val="2"/>
        </w:numPr>
        <w:ind w:left="284"/>
        <w:rPr>
          <w:rFonts w:cstheme="majorHAnsi"/>
          <w:sz w:val="28"/>
          <w:szCs w:val="28"/>
        </w:rPr>
      </w:pPr>
      <w:bookmarkStart w:id="6" w:name="_Toc98945733"/>
      <w:bookmarkStart w:id="7" w:name="_Toc98946147"/>
      <w:bookmarkStart w:id="8" w:name="_Toc202972554"/>
      <w:r w:rsidRPr="002A5B4D">
        <w:rPr>
          <w:rFonts w:cstheme="majorHAnsi"/>
          <w:sz w:val="28"/>
          <w:szCs w:val="28"/>
        </w:rPr>
        <w:t>Strategic Context</w:t>
      </w:r>
      <w:r w:rsidR="0005308B" w:rsidRPr="002A5B4D">
        <w:rPr>
          <w:rFonts w:cstheme="majorHAnsi"/>
          <w:sz w:val="28"/>
          <w:szCs w:val="28"/>
        </w:rPr>
        <w:t xml:space="preserve"> – Alignment to UHB strategic direction</w:t>
      </w:r>
      <w:bookmarkEnd w:id="6"/>
      <w:bookmarkEnd w:id="7"/>
      <w:bookmarkEnd w:id="8"/>
      <w:r w:rsidR="0005308B" w:rsidRPr="002A5B4D">
        <w:rPr>
          <w:rFonts w:cstheme="majorHAnsi"/>
          <w:sz w:val="28"/>
          <w:szCs w:val="28"/>
        </w:rPr>
        <w:t xml:space="preserve"> </w:t>
      </w:r>
    </w:p>
    <w:p w:rsidR="00444195" w:rsidRPr="002A5B4D" w:rsidRDefault="00444195" w:rsidP="003B448B">
      <w:pPr>
        <w:rPr>
          <w:rFonts w:cs="Arial"/>
          <w:sz w:val="20"/>
          <w:szCs w:val="20"/>
        </w:rPr>
      </w:pPr>
    </w:p>
    <w:p w:rsidR="00AA1D91" w:rsidRPr="002A5B4D" w:rsidRDefault="00AA1D91" w:rsidP="2F0801C2">
      <w:pPr>
        <w:rPr>
          <w:rFonts w:eastAsia="Calibri" w:cs="Arial"/>
          <w:i/>
          <w:iCs/>
          <w:color w:val="00B050"/>
          <w:sz w:val="20"/>
          <w:szCs w:val="20"/>
        </w:rPr>
      </w:pPr>
    </w:p>
    <w:tbl>
      <w:tblPr>
        <w:tblStyle w:val="TableGrid"/>
        <w:tblW w:w="0" w:type="auto"/>
        <w:jc w:val="center"/>
        <w:tblLook w:val="04A0" w:firstRow="1" w:lastRow="0" w:firstColumn="1" w:lastColumn="0" w:noHBand="0" w:noVBand="1"/>
      </w:tblPr>
      <w:tblGrid>
        <w:gridCol w:w="2830"/>
        <w:gridCol w:w="5460"/>
      </w:tblGrid>
      <w:tr w:rsidR="005B14A0" w:rsidRPr="002A5B4D" w:rsidTr="2F0801C2">
        <w:trPr>
          <w:trHeight w:val="300"/>
          <w:jc w:val="center"/>
        </w:trPr>
        <w:tc>
          <w:tcPr>
            <w:tcW w:w="2830" w:type="dxa"/>
            <w:shd w:val="clear" w:color="auto" w:fill="D9D9D9" w:themeFill="background1" w:themeFillShade="D9"/>
          </w:tcPr>
          <w:p w:rsidR="005B14A0" w:rsidRPr="002A5B4D" w:rsidRDefault="005B14A0" w:rsidP="005B14A0">
            <w:pPr>
              <w:jc w:val="center"/>
              <w:rPr>
                <w:rFonts w:cs="Arial"/>
                <w:b/>
                <w:bCs/>
                <w:sz w:val="20"/>
                <w:szCs w:val="20"/>
              </w:rPr>
            </w:pPr>
            <w:r w:rsidRPr="002A5B4D">
              <w:rPr>
                <w:rFonts w:cs="Arial"/>
                <w:b/>
                <w:bCs/>
                <w:sz w:val="20"/>
                <w:szCs w:val="20"/>
              </w:rPr>
              <w:t>O</w:t>
            </w:r>
            <w:r w:rsidR="00AA1D91" w:rsidRPr="002A5B4D">
              <w:rPr>
                <w:rFonts w:cs="Arial"/>
                <w:b/>
                <w:bCs/>
                <w:sz w:val="20"/>
                <w:szCs w:val="20"/>
              </w:rPr>
              <w:t>bjectives</w:t>
            </w:r>
          </w:p>
        </w:tc>
        <w:tc>
          <w:tcPr>
            <w:tcW w:w="5460" w:type="dxa"/>
            <w:shd w:val="clear" w:color="auto" w:fill="D9D9D9" w:themeFill="background1" w:themeFillShade="D9"/>
          </w:tcPr>
          <w:p w:rsidR="005B14A0" w:rsidRPr="002A5B4D" w:rsidRDefault="005B14A0" w:rsidP="005B14A0">
            <w:pPr>
              <w:jc w:val="center"/>
              <w:rPr>
                <w:rFonts w:cs="Arial"/>
                <w:b/>
                <w:bCs/>
                <w:sz w:val="20"/>
                <w:szCs w:val="20"/>
              </w:rPr>
            </w:pPr>
            <w:r w:rsidRPr="002A5B4D">
              <w:rPr>
                <w:rFonts w:cs="Arial"/>
                <w:b/>
                <w:bCs/>
                <w:sz w:val="20"/>
                <w:szCs w:val="20"/>
              </w:rPr>
              <w:t xml:space="preserve">How </w:t>
            </w:r>
            <w:r w:rsidR="003C1C6E" w:rsidRPr="002A5B4D">
              <w:rPr>
                <w:rFonts w:cs="Arial"/>
                <w:b/>
                <w:bCs/>
                <w:sz w:val="20"/>
                <w:szCs w:val="20"/>
              </w:rPr>
              <w:t xml:space="preserve">does this proposal </w:t>
            </w:r>
            <w:r w:rsidRPr="002A5B4D">
              <w:rPr>
                <w:rFonts w:cs="Arial"/>
                <w:b/>
                <w:bCs/>
                <w:sz w:val="20"/>
                <w:szCs w:val="20"/>
              </w:rPr>
              <w:t>support any of these o</w:t>
            </w:r>
            <w:r w:rsidR="009D6876" w:rsidRPr="002A5B4D">
              <w:rPr>
                <w:rFonts w:cs="Arial"/>
                <w:b/>
                <w:bCs/>
                <w:sz w:val="20"/>
                <w:szCs w:val="20"/>
              </w:rPr>
              <w:t>bjectives</w:t>
            </w:r>
          </w:p>
        </w:tc>
      </w:tr>
      <w:tr w:rsidR="00652D9A" w:rsidRPr="002A5B4D" w:rsidTr="2F0801C2">
        <w:trPr>
          <w:trHeight w:val="300"/>
          <w:jc w:val="center"/>
        </w:trPr>
        <w:tc>
          <w:tcPr>
            <w:tcW w:w="2830" w:type="dxa"/>
            <w:shd w:val="clear" w:color="auto" w:fill="FFFFFF" w:themeFill="background1"/>
          </w:tcPr>
          <w:p w:rsidR="00AA48F2" w:rsidRPr="002A5B4D" w:rsidRDefault="00AA1D91" w:rsidP="00AA1D91">
            <w:pPr>
              <w:rPr>
                <w:rFonts w:cs="Arial"/>
                <w:b/>
                <w:bCs/>
                <w:sz w:val="20"/>
                <w:szCs w:val="20"/>
              </w:rPr>
            </w:pPr>
            <w:r w:rsidRPr="002A5B4D">
              <w:rPr>
                <w:rFonts w:cs="Arial"/>
                <w:b/>
                <w:bCs/>
                <w:noProof/>
                <w:sz w:val="20"/>
                <w:szCs w:val="20"/>
              </w:rPr>
              <w:drawing>
                <wp:anchor distT="0" distB="0" distL="114300" distR="114300" simplePos="0" relativeHeight="251695104" behindDoc="1" locked="0" layoutInCell="1" allowOverlap="1" wp14:anchorId="499FA5B5" wp14:editId="49F0DC60">
                  <wp:simplePos x="0" y="0"/>
                  <wp:positionH relativeFrom="column">
                    <wp:posOffset>-12700</wp:posOffset>
                  </wp:positionH>
                  <wp:positionV relativeFrom="paragraph">
                    <wp:posOffset>33020</wp:posOffset>
                  </wp:positionV>
                  <wp:extent cx="277495" cy="279400"/>
                  <wp:effectExtent l="0" t="0" r="8255" b="6350"/>
                  <wp:wrapTight wrapText="bothSides">
                    <wp:wrapPolygon edited="0">
                      <wp:start x="4449" y="0"/>
                      <wp:lineTo x="0" y="1473"/>
                      <wp:lineTo x="0" y="16200"/>
                      <wp:lineTo x="1483" y="20618"/>
                      <wp:lineTo x="19277" y="20618"/>
                      <wp:lineTo x="20760" y="16200"/>
                      <wp:lineTo x="20760" y="1473"/>
                      <wp:lineTo x="16311" y="0"/>
                      <wp:lineTo x="4449"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OF-RGB_Workforce-Icon.png"/>
                          <pic:cNvPicPr/>
                        </pic:nvPicPr>
                        <pic:blipFill>
                          <a:blip r:embed="rId12"/>
                          <a:stretch>
                            <a:fillRect/>
                          </a:stretch>
                        </pic:blipFill>
                        <pic:spPr>
                          <a:xfrm>
                            <a:off x="0" y="0"/>
                            <a:ext cx="277495" cy="279400"/>
                          </a:xfrm>
                          <a:prstGeom prst="rect">
                            <a:avLst/>
                          </a:prstGeom>
                        </pic:spPr>
                      </pic:pic>
                    </a:graphicData>
                  </a:graphic>
                  <wp14:sizeRelH relativeFrom="page">
                    <wp14:pctWidth>0</wp14:pctWidth>
                  </wp14:sizeRelH>
                  <wp14:sizeRelV relativeFrom="page">
                    <wp14:pctHeight>0</wp14:pctHeight>
                  </wp14:sizeRelV>
                </wp:anchor>
              </w:drawing>
            </w:r>
          </w:p>
          <w:p w:rsidR="00652D9A" w:rsidRPr="002A5B4D" w:rsidRDefault="00AA1D91" w:rsidP="00AA1D91">
            <w:pPr>
              <w:rPr>
                <w:rFonts w:cs="Arial"/>
                <w:b/>
                <w:bCs/>
                <w:sz w:val="20"/>
                <w:szCs w:val="20"/>
              </w:rPr>
            </w:pPr>
            <w:r w:rsidRPr="002A5B4D">
              <w:rPr>
                <w:rFonts w:cs="Arial"/>
                <w:b/>
                <w:bCs/>
                <w:sz w:val="20"/>
                <w:szCs w:val="20"/>
              </w:rPr>
              <w:t xml:space="preserve"> Putting People First</w:t>
            </w:r>
          </w:p>
          <w:p w:rsidR="001A20C0" w:rsidRPr="002A5B4D" w:rsidRDefault="001A20C0" w:rsidP="00652D9A">
            <w:pPr>
              <w:rPr>
                <w:rFonts w:cs="Arial"/>
                <w:color w:val="00B050"/>
                <w:sz w:val="20"/>
                <w:szCs w:val="20"/>
              </w:rPr>
            </w:pPr>
          </w:p>
          <w:p w:rsidR="00652D9A" w:rsidRPr="00AD10A9" w:rsidDel="00BC1285" w:rsidRDefault="00652D9A" w:rsidP="2F0801C2">
            <w:pPr>
              <w:ind w:left="360"/>
              <w:rPr>
                <w:rFonts w:cs="Arial"/>
                <w:b/>
                <w:bCs/>
                <w:color w:val="00B050"/>
                <w:sz w:val="20"/>
                <w:szCs w:val="20"/>
              </w:rPr>
            </w:pPr>
          </w:p>
        </w:tc>
        <w:tc>
          <w:tcPr>
            <w:tcW w:w="5460" w:type="dxa"/>
          </w:tcPr>
          <w:p w:rsidR="003A0C64" w:rsidRPr="002A5B4D" w:rsidRDefault="003A0C64" w:rsidP="00276F08">
            <w:pPr>
              <w:rPr>
                <w:rFonts w:cs="Arial"/>
                <w:sz w:val="20"/>
                <w:szCs w:val="20"/>
              </w:rPr>
            </w:pPr>
            <w:r w:rsidRPr="002A5B4D">
              <w:rPr>
                <w:rFonts w:cs="Arial"/>
                <w:sz w:val="20"/>
                <w:szCs w:val="20"/>
              </w:rPr>
              <w:t xml:space="preserve">The Full Business Case will contribute to delivering these </w:t>
            </w:r>
            <w:r w:rsidR="00114254">
              <w:rPr>
                <w:rFonts w:cs="Arial"/>
                <w:sz w:val="20"/>
                <w:szCs w:val="20"/>
              </w:rPr>
              <w:t>objectives</w:t>
            </w:r>
            <w:r w:rsidRPr="002A5B4D">
              <w:rPr>
                <w:rFonts w:cs="Arial"/>
                <w:sz w:val="20"/>
                <w:szCs w:val="20"/>
              </w:rPr>
              <w:t xml:space="preserve"> through:</w:t>
            </w:r>
          </w:p>
          <w:p w:rsidR="003A0C64" w:rsidRDefault="003A0C64" w:rsidP="000406C6">
            <w:pPr>
              <w:pStyle w:val="ListParagraph"/>
              <w:numPr>
                <w:ilvl w:val="0"/>
                <w:numId w:val="30"/>
              </w:numPr>
              <w:ind w:left="414"/>
              <w:rPr>
                <w:rFonts w:cs="Arial"/>
                <w:sz w:val="20"/>
                <w:szCs w:val="20"/>
              </w:rPr>
            </w:pPr>
            <w:r w:rsidRPr="00114254">
              <w:rPr>
                <w:rFonts w:cs="Arial"/>
                <w:sz w:val="20"/>
                <w:szCs w:val="20"/>
              </w:rPr>
              <w:t xml:space="preserve">Providing facilities to support greater access to high class healthcare which aids healing and recovery, whilst supporting a social model of health which promotes physical, mental and social wellbeing by providing access to multi-disciplinary teams who offer a range of differing skills and activities thus improving effectiveness and enabling users to potentially avoid multiple visits through a single point of access approach with community and social care </w:t>
            </w:r>
            <w:r w:rsidR="007525C5" w:rsidRPr="00114254">
              <w:rPr>
                <w:rFonts w:cs="Arial"/>
                <w:sz w:val="20"/>
                <w:szCs w:val="20"/>
              </w:rPr>
              <w:t>support.</w:t>
            </w:r>
          </w:p>
          <w:p w:rsidR="001220FD" w:rsidRPr="00114254" w:rsidRDefault="001220FD" w:rsidP="000406C6">
            <w:pPr>
              <w:pStyle w:val="ListParagraph"/>
              <w:numPr>
                <w:ilvl w:val="0"/>
                <w:numId w:val="30"/>
              </w:numPr>
              <w:ind w:left="414"/>
              <w:rPr>
                <w:rFonts w:cs="Arial"/>
                <w:sz w:val="20"/>
                <w:szCs w:val="20"/>
              </w:rPr>
            </w:pPr>
            <w:r w:rsidRPr="2F0801C2">
              <w:rPr>
                <w:rFonts w:cs="Arial"/>
                <w:sz w:val="20"/>
                <w:szCs w:val="20"/>
              </w:rPr>
              <w:t>Backing the NHS workforce: by providing a pleasant working environment which permits the integration of services and collaboration</w:t>
            </w:r>
            <w:r w:rsidR="737F6B6D" w:rsidRPr="2F0801C2">
              <w:rPr>
                <w:rFonts w:cs="Arial"/>
                <w:sz w:val="20"/>
                <w:szCs w:val="20"/>
              </w:rPr>
              <w:t>.</w:t>
            </w:r>
          </w:p>
          <w:p w:rsidR="00652D9A" w:rsidRPr="00114254" w:rsidRDefault="0422ADB2" w:rsidP="000406C6">
            <w:pPr>
              <w:pStyle w:val="ListParagraph"/>
              <w:numPr>
                <w:ilvl w:val="0"/>
                <w:numId w:val="30"/>
              </w:numPr>
              <w:ind w:left="414"/>
              <w:rPr>
                <w:rFonts w:cs="Arial"/>
                <w:sz w:val="20"/>
                <w:szCs w:val="20"/>
              </w:rPr>
            </w:pPr>
            <w:r w:rsidRPr="2F0801C2">
              <w:rPr>
                <w:rFonts w:cs="Arial"/>
                <w:sz w:val="20"/>
                <w:szCs w:val="20"/>
              </w:rPr>
              <w:t>Supporting initiatives to narrow</w:t>
            </w:r>
            <w:r w:rsidR="737F6B6D" w:rsidRPr="2F0801C2">
              <w:rPr>
                <w:rFonts w:cs="Arial"/>
                <w:sz w:val="20"/>
                <w:szCs w:val="20"/>
              </w:rPr>
              <w:t>/reduce</w:t>
            </w:r>
            <w:r w:rsidRPr="2F0801C2">
              <w:rPr>
                <w:rFonts w:cs="Arial"/>
                <w:sz w:val="20"/>
                <w:szCs w:val="20"/>
              </w:rPr>
              <w:t xml:space="preserve"> the health inequalities gap through targeted action in areas of greatest need</w:t>
            </w:r>
            <w:r w:rsidR="00EE4F58" w:rsidRPr="2F0801C2">
              <w:rPr>
                <w:rFonts w:cs="Arial"/>
                <w:sz w:val="20"/>
                <w:szCs w:val="20"/>
              </w:rPr>
              <w:t>.</w:t>
            </w:r>
          </w:p>
        </w:tc>
      </w:tr>
      <w:tr w:rsidR="00652D9A" w:rsidRPr="002A5B4D" w:rsidTr="2F0801C2">
        <w:trPr>
          <w:trHeight w:val="300"/>
          <w:jc w:val="center"/>
        </w:trPr>
        <w:tc>
          <w:tcPr>
            <w:tcW w:w="2830" w:type="dxa"/>
            <w:tcBorders>
              <w:bottom w:val="single" w:sz="4" w:space="0" w:color="000000" w:themeColor="text1"/>
            </w:tcBorders>
            <w:shd w:val="clear" w:color="auto" w:fill="FFFFFF" w:themeFill="background1"/>
          </w:tcPr>
          <w:p w:rsidR="00AA48F2" w:rsidRPr="002A5B4D" w:rsidRDefault="00AA48F2" w:rsidP="00AA48F2">
            <w:pPr>
              <w:jc w:val="center"/>
              <w:rPr>
                <w:rFonts w:cs="Arial"/>
                <w:b/>
                <w:bCs/>
                <w:sz w:val="20"/>
                <w:szCs w:val="20"/>
              </w:rPr>
            </w:pPr>
            <w:r w:rsidRPr="002A5B4D">
              <w:rPr>
                <w:rFonts w:cs="Arial"/>
                <w:b/>
                <w:bCs/>
                <w:noProof/>
                <w:sz w:val="20"/>
                <w:szCs w:val="20"/>
              </w:rPr>
              <w:drawing>
                <wp:anchor distT="0" distB="0" distL="114300" distR="114300" simplePos="0" relativeHeight="251696128" behindDoc="1" locked="0" layoutInCell="1" allowOverlap="1" wp14:anchorId="4362E089" wp14:editId="4AA332C3">
                  <wp:simplePos x="0" y="0"/>
                  <wp:positionH relativeFrom="column">
                    <wp:posOffset>-8255</wp:posOffset>
                  </wp:positionH>
                  <wp:positionV relativeFrom="paragraph">
                    <wp:posOffset>50800</wp:posOffset>
                  </wp:positionV>
                  <wp:extent cx="273050" cy="273050"/>
                  <wp:effectExtent l="0" t="0" r="0" b="0"/>
                  <wp:wrapTight wrapText="bothSides">
                    <wp:wrapPolygon edited="0">
                      <wp:start x="1507" y="0"/>
                      <wp:lineTo x="0" y="4521"/>
                      <wp:lineTo x="0" y="19591"/>
                      <wp:lineTo x="3014" y="19591"/>
                      <wp:lineTo x="18084" y="19591"/>
                      <wp:lineTo x="19591" y="16577"/>
                      <wp:lineTo x="19591" y="4521"/>
                      <wp:lineTo x="18084" y="0"/>
                      <wp:lineTo x="1507"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OF-RGB_Quality-Icon.png"/>
                          <pic:cNvPicPr/>
                        </pic:nvPicPr>
                        <pic:blipFill>
                          <a:blip r:embed="rId13"/>
                          <a:stretch>
                            <a:fillRect/>
                          </a:stretch>
                        </pic:blipFill>
                        <pic:spPr>
                          <a:xfrm>
                            <a:off x="0" y="0"/>
                            <a:ext cx="273050" cy="273050"/>
                          </a:xfrm>
                          <a:prstGeom prst="rect">
                            <a:avLst/>
                          </a:prstGeom>
                        </pic:spPr>
                      </pic:pic>
                    </a:graphicData>
                  </a:graphic>
                  <wp14:sizeRelH relativeFrom="page">
                    <wp14:pctWidth>0</wp14:pctWidth>
                  </wp14:sizeRelH>
                  <wp14:sizeRelV relativeFrom="page">
                    <wp14:pctHeight>0</wp14:pctHeight>
                  </wp14:sizeRelV>
                </wp:anchor>
              </w:drawing>
            </w:r>
          </w:p>
          <w:p w:rsidR="009D6876" w:rsidRPr="002A5B4D" w:rsidRDefault="00AA1D91" w:rsidP="00AA48F2">
            <w:pPr>
              <w:rPr>
                <w:rFonts w:cs="Arial"/>
                <w:b/>
                <w:bCs/>
                <w:sz w:val="20"/>
                <w:szCs w:val="20"/>
              </w:rPr>
            </w:pPr>
            <w:r w:rsidRPr="002A5B4D">
              <w:rPr>
                <w:rFonts w:cs="Arial"/>
                <w:b/>
                <w:bCs/>
                <w:sz w:val="20"/>
                <w:szCs w:val="20"/>
              </w:rPr>
              <w:t>Providing Outstanding Quality</w:t>
            </w:r>
          </w:p>
          <w:p w:rsidR="001A20C0" w:rsidRPr="002A5B4D" w:rsidRDefault="001A20C0" w:rsidP="00652D9A">
            <w:pPr>
              <w:rPr>
                <w:rFonts w:cs="Arial"/>
                <w:color w:val="00B050"/>
                <w:sz w:val="20"/>
                <w:szCs w:val="20"/>
              </w:rPr>
            </w:pPr>
          </w:p>
          <w:p w:rsidR="00652D9A" w:rsidRPr="002A5B4D" w:rsidDel="00BC1285" w:rsidRDefault="00652D9A" w:rsidP="2F0801C2">
            <w:pPr>
              <w:pStyle w:val="ListParagraph"/>
              <w:ind w:left="306"/>
              <w:rPr>
                <w:rFonts w:cs="Arial"/>
                <w:color w:val="00B050"/>
                <w:sz w:val="20"/>
                <w:szCs w:val="20"/>
              </w:rPr>
            </w:pPr>
          </w:p>
        </w:tc>
        <w:tc>
          <w:tcPr>
            <w:tcW w:w="5460" w:type="dxa"/>
          </w:tcPr>
          <w:p w:rsidR="003A0C64" w:rsidRPr="002A5B4D" w:rsidRDefault="003A0C64" w:rsidP="00276F08">
            <w:pPr>
              <w:rPr>
                <w:rFonts w:cs="Arial"/>
                <w:sz w:val="20"/>
                <w:szCs w:val="20"/>
              </w:rPr>
            </w:pPr>
          </w:p>
          <w:p w:rsidR="003A0C64" w:rsidRDefault="0422ADB2" w:rsidP="00AD10A9">
            <w:pPr>
              <w:numPr>
                <w:ilvl w:val="0"/>
                <w:numId w:val="27"/>
              </w:numPr>
              <w:rPr>
                <w:rFonts w:cs="Arial"/>
                <w:sz w:val="24"/>
                <w:szCs w:val="24"/>
              </w:rPr>
            </w:pPr>
            <w:r w:rsidRPr="2F0801C2">
              <w:rPr>
                <w:rFonts w:cs="Arial"/>
                <w:sz w:val="20"/>
                <w:szCs w:val="20"/>
              </w:rPr>
              <w:t xml:space="preserve">Providing facilities that are fit for purpose, whilst being as adaptable as possible for further future </w:t>
            </w:r>
            <w:r w:rsidR="007525C5" w:rsidRPr="2F0801C2">
              <w:rPr>
                <w:rFonts w:cs="Arial"/>
                <w:sz w:val="20"/>
                <w:szCs w:val="20"/>
              </w:rPr>
              <w:t>change.</w:t>
            </w:r>
          </w:p>
          <w:p w:rsidR="00114254" w:rsidRDefault="00114254" w:rsidP="000406C6">
            <w:pPr>
              <w:pStyle w:val="ListParagraph"/>
              <w:numPr>
                <w:ilvl w:val="0"/>
                <w:numId w:val="27"/>
              </w:numPr>
              <w:ind w:left="414"/>
              <w:rPr>
                <w:rFonts w:cs="Arial"/>
                <w:sz w:val="20"/>
                <w:szCs w:val="20"/>
              </w:rPr>
            </w:pPr>
            <w:r w:rsidRPr="00114254">
              <w:rPr>
                <w:rFonts w:cs="Arial"/>
                <w:sz w:val="20"/>
                <w:szCs w:val="20"/>
              </w:rPr>
              <w:t xml:space="preserve">Providing sufficient capacity to meet clinical demand in relation to the shift of healthcare services into the </w:t>
            </w:r>
            <w:r w:rsidR="007525C5" w:rsidRPr="00114254">
              <w:rPr>
                <w:rFonts w:cs="Arial"/>
                <w:sz w:val="20"/>
                <w:szCs w:val="20"/>
              </w:rPr>
              <w:t>community.</w:t>
            </w:r>
          </w:p>
          <w:p w:rsidR="003A0C64" w:rsidRPr="002A5B4D" w:rsidRDefault="0422ADB2" w:rsidP="00AD10A9">
            <w:pPr>
              <w:numPr>
                <w:ilvl w:val="0"/>
                <w:numId w:val="27"/>
              </w:numPr>
              <w:rPr>
                <w:rFonts w:cs="Arial"/>
                <w:sz w:val="24"/>
                <w:szCs w:val="24"/>
              </w:rPr>
            </w:pPr>
            <w:r w:rsidRPr="2F0801C2">
              <w:rPr>
                <w:rFonts w:cs="Arial"/>
                <w:sz w:val="20"/>
                <w:szCs w:val="20"/>
              </w:rPr>
              <w:t>Providing an information and knowledge sharing model to support better and more integrated working across professions and organisations leading to more seamless delivery and co-ordination between primary and secondary care, health and social care</w:t>
            </w:r>
            <w:r w:rsidR="00EE4F58" w:rsidRPr="2F0801C2">
              <w:rPr>
                <w:rFonts w:cs="Arial"/>
                <w:sz w:val="20"/>
                <w:szCs w:val="20"/>
              </w:rPr>
              <w:t>.</w:t>
            </w:r>
          </w:p>
        </w:tc>
      </w:tr>
      <w:tr w:rsidR="00652D9A" w:rsidRPr="002A5B4D" w:rsidTr="2F0801C2">
        <w:trPr>
          <w:trHeight w:val="300"/>
          <w:jc w:val="center"/>
        </w:trPr>
        <w:tc>
          <w:tcPr>
            <w:tcW w:w="2830" w:type="dxa"/>
            <w:tcBorders>
              <w:bottom w:val="single" w:sz="4" w:space="0" w:color="000000" w:themeColor="text1"/>
            </w:tcBorders>
            <w:shd w:val="clear" w:color="auto" w:fill="FFFFFF" w:themeFill="background1"/>
          </w:tcPr>
          <w:p w:rsidR="009D6876" w:rsidRPr="002A5B4D" w:rsidRDefault="00AA48F2" w:rsidP="001A20C0">
            <w:pPr>
              <w:jc w:val="center"/>
              <w:rPr>
                <w:rFonts w:cs="Arial"/>
                <w:b/>
                <w:bCs/>
                <w:sz w:val="20"/>
                <w:szCs w:val="20"/>
              </w:rPr>
            </w:pPr>
            <w:r w:rsidRPr="002A5B4D">
              <w:rPr>
                <w:rFonts w:cs="Arial"/>
                <w:noProof/>
                <w:sz w:val="20"/>
                <w:szCs w:val="20"/>
              </w:rPr>
              <w:drawing>
                <wp:anchor distT="0" distB="0" distL="114300" distR="114300" simplePos="0" relativeHeight="251698176" behindDoc="1" locked="0" layoutInCell="1" allowOverlap="1" wp14:anchorId="6A3CB739" wp14:editId="1DF9D2A7">
                  <wp:simplePos x="0" y="0"/>
                  <wp:positionH relativeFrom="column">
                    <wp:posOffset>4445</wp:posOffset>
                  </wp:positionH>
                  <wp:positionV relativeFrom="paragraph">
                    <wp:posOffset>89535</wp:posOffset>
                  </wp:positionV>
                  <wp:extent cx="330200" cy="305435"/>
                  <wp:effectExtent l="0" t="0" r="0" b="0"/>
                  <wp:wrapTight wrapText="bothSides">
                    <wp:wrapPolygon edited="0">
                      <wp:start x="0" y="0"/>
                      <wp:lineTo x="0" y="20208"/>
                      <wp:lineTo x="19938" y="20208"/>
                      <wp:lineTo x="19938"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30200" cy="305435"/>
                          </a:xfrm>
                          <a:prstGeom prst="rect">
                            <a:avLst/>
                          </a:prstGeom>
                        </pic:spPr>
                      </pic:pic>
                    </a:graphicData>
                  </a:graphic>
                  <wp14:sizeRelH relativeFrom="margin">
                    <wp14:pctWidth>0</wp14:pctWidth>
                  </wp14:sizeRelH>
                  <wp14:sizeRelV relativeFrom="margin">
                    <wp14:pctHeight>0</wp14:pctHeight>
                  </wp14:sizeRelV>
                </wp:anchor>
              </w:drawing>
            </w:r>
          </w:p>
          <w:p w:rsidR="00AA48F2" w:rsidRPr="002A5B4D" w:rsidRDefault="00AA1D91" w:rsidP="00AA48F2">
            <w:pPr>
              <w:rPr>
                <w:rFonts w:cs="Arial"/>
                <w:b/>
                <w:bCs/>
                <w:sz w:val="20"/>
                <w:szCs w:val="20"/>
              </w:rPr>
            </w:pPr>
            <w:r w:rsidRPr="002A5B4D">
              <w:rPr>
                <w:rFonts w:cs="Arial"/>
                <w:b/>
                <w:bCs/>
                <w:sz w:val="20"/>
                <w:szCs w:val="20"/>
              </w:rPr>
              <w:t>Delivering in the Right Places</w:t>
            </w:r>
          </w:p>
          <w:p w:rsidR="001A20C0" w:rsidRPr="002A5B4D" w:rsidDel="00BC1285" w:rsidRDefault="001A20C0" w:rsidP="00FB6ACD">
            <w:pPr>
              <w:rPr>
                <w:rFonts w:cs="Arial"/>
                <w:color w:val="00B050"/>
                <w:sz w:val="20"/>
                <w:szCs w:val="20"/>
              </w:rPr>
            </w:pPr>
          </w:p>
        </w:tc>
        <w:tc>
          <w:tcPr>
            <w:tcW w:w="5460" w:type="dxa"/>
          </w:tcPr>
          <w:p w:rsidR="00652D9A" w:rsidRPr="002A5B4D" w:rsidRDefault="00652D9A" w:rsidP="00276F08">
            <w:pPr>
              <w:rPr>
                <w:rFonts w:cs="Arial"/>
                <w:sz w:val="20"/>
                <w:szCs w:val="20"/>
              </w:rPr>
            </w:pPr>
          </w:p>
          <w:p w:rsidR="002A5B4D" w:rsidRPr="002A5B4D" w:rsidRDefault="002A5B4D" w:rsidP="000406C6">
            <w:pPr>
              <w:pStyle w:val="ListParagraph"/>
              <w:numPr>
                <w:ilvl w:val="0"/>
                <w:numId w:val="29"/>
              </w:numPr>
              <w:ind w:left="414"/>
              <w:rPr>
                <w:rFonts w:cs="Arial"/>
                <w:sz w:val="20"/>
                <w:szCs w:val="20"/>
              </w:rPr>
            </w:pPr>
            <w:r w:rsidRPr="002A5B4D">
              <w:rPr>
                <w:rFonts w:cs="Arial"/>
                <w:sz w:val="20"/>
                <w:szCs w:val="20"/>
              </w:rPr>
              <w:t xml:space="preserve">Utilising new technology and systems to support the ongoing diagnostic and digital needs of the Health Board to deliver high quality care whilst also supporting an increased range of collaborative services with statutory and third sector </w:t>
            </w:r>
            <w:r w:rsidR="007525C5" w:rsidRPr="002A5B4D">
              <w:rPr>
                <w:rFonts w:cs="Arial"/>
                <w:sz w:val="20"/>
                <w:szCs w:val="20"/>
              </w:rPr>
              <w:t>partners.</w:t>
            </w:r>
          </w:p>
          <w:p w:rsidR="00114254" w:rsidRPr="00114254" w:rsidRDefault="54079279" w:rsidP="00AD10A9">
            <w:pPr>
              <w:numPr>
                <w:ilvl w:val="0"/>
                <w:numId w:val="29"/>
              </w:numPr>
              <w:rPr>
                <w:rFonts w:cs="Arial"/>
                <w:sz w:val="24"/>
                <w:szCs w:val="24"/>
              </w:rPr>
            </w:pPr>
            <w:r w:rsidRPr="2F0801C2">
              <w:rPr>
                <w:rFonts w:cs="Arial"/>
                <w:sz w:val="20"/>
                <w:szCs w:val="20"/>
              </w:rPr>
              <w:t xml:space="preserve">This scheme remains a fundamental priority for the Health Board and its key stakeholders. It is one of </w:t>
            </w:r>
            <w:proofErr w:type="gramStart"/>
            <w:r w:rsidRPr="2F0801C2">
              <w:rPr>
                <w:rFonts w:cs="Arial"/>
                <w:sz w:val="20"/>
                <w:szCs w:val="20"/>
              </w:rPr>
              <w:t>a number of</w:t>
            </w:r>
            <w:proofErr w:type="gramEnd"/>
            <w:r w:rsidRPr="2F0801C2">
              <w:rPr>
                <w:rFonts w:cs="Arial"/>
                <w:sz w:val="20"/>
                <w:szCs w:val="20"/>
              </w:rPr>
              <w:t xml:space="preserve"> enabling projects that implements the Health Board’s plan Shaping our Future Wellbeing to shift delivery of services, where appropriate, from acute hospitals into the community.</w:t>
            </w:r>
          </w:p>
        </w:tc>
      </w:tr>
      <w:tr w:rsidR="001A20C0" w:rsidRPr="002A5B4D" w:rsidTr="2F0801C2">
        <w:trPr>
          <w:trHeight w:val="300"/>
          <w:jc w:val="center"/>
        </w:trPr>
        <w:tc>
          <w:tcPr>
            <w:tcW w:w="2830" w:type="dxa"/>
            <w:shd w:val="clear" w:color="auto" w:fill="FFFFFF" w:themeFill="background1"/>
          </w:tcPr>
          <w:p w:rsidR="009D6876" w:rsidRPr="002A5B4D" w:rsidRDefault="00AA48F2" w:rsidP="001A20C0">
            <w:pPr>
              <w:jc w:val="center"/>
              <w:rPr>
                <w:rFonts w:cs="Arial"/>
                <w:b/>
                <w:bCs/>
                <w:sz w:val="20"/>
                <w:szCs w:val="20"/>
              </w:rPr>
            </w:pPr>
            <w:r w:rsidRPr="002A5B4D">
              <w:rPr>
                <w:rFonts w:cs="Arial"/>
                <w:b/>
                <w:bCs/>
                <w:noProof/>
                <w:sz w:val="20"/>
                <w:szCs w:val="20"/>
              </w:rPr>
              <w:drawing>
                <wp:anchor distT="0" distB="0" distL="114300" distR="114300" simplePos="0" relativeHeight="251697152" behindDoc="1" locked="0" layoutInCell="1" allowOverlap="1" wp14:anchorId="342E28B6" wp14:editId="436C0111">
                  <wp:simplePos x="0" y="0"/>
                  <wp:positionH relativeFrom="column">
                    <wp:posOffset>36195</wp:posOffset>
                  </wp:positionH>
                  <wp:positionV relativeFrom="paragraph">
                    <wp:posOffset>81915</wp:posOffset>
                  </wp:positionV>
                  <wp:extent cx="285750" cy="285750"/>
                  <wp:effectExtent l="0" t="0" r="0" b="0"/>
                  <wp:wrapTight wrapText="bothSides">
                    <wp:wrapPolygon edited="0">
                      <wp:start x="2880" y="0"/>
                      <wp:lineTo x="0" y="2880"/>
                      <wp:lineTo x="0" y="17280"/>
                      <wp:lineTo x="2880" y="20160"/>
                      <wp:lineTo x="17280" y="20160"/>
                      <wp:lineTo x="20160" y="17280"/>
                      <wp:lineTo x="20160" y="2880"/>
                      <wp:lineTo x="17280" y="0"/>
                      <wp:lineTo x="288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OF-RGB_Sustainable-Icon.png"/>
                          <pic:cNvPicPr/>
                        </pic:nvPicPr>
                        <pic:blipFill>
                          <a:blip r:embed="rId15"/>
                          <a:stretch>
                            <a:fillRect/>
                          </a:stretch>
                        </pic:blipFill>
                        <pic:spPr>
                          <a:xfrm>
                            <a:off x="0" y="0"/>
                            <a:ext cx="285750" cy="285750"/>
                          </a:xfrm>
                          <a:prstGeom prst="rect">
                            <a:avLst/>
                          </a:prstGeom>
                        </pic:spPr>
                      </pic:pic>
                    </a:graphicData>
                  </a:graphic>
                  <wp14:sizeRelH relativeFrom="page">
                    <wp14:pctWidth>0</wp14:pctWidth>
                  </wp14:sizeRelH>
                  <wp14:sizeRelV relativeFrom="page">
                    <wp14:pctHeight>0</wp14:pctHeight>
                  </wp14:sizeRelV>
                </wp:anchor>
              </w:drawing>
            </w:r>
          </w:p>
          <w:p w:rsidR="001A20C0" w:rsidRPr="002A5B4D" w:rsidRDefault="00AA1D91" w:rsidP="00AA48F2">
            <w:pPr>
              <w:rPr>
                <w:rFonts w:cs="Arial"/>
                <w:b/>
                <w:bCs/>
                <w:sz w:val="20"/>
                <w:szCs w:val="20"/>
              </w:rPr>
            </w:pPr>
            <w:r w:rsidRPr="002A5B4D">
              <w:rPr>
                <w:rFonts w:cs="Arial"/>
                <w:b/>
                <w:bCs/>
                <w:sz w:val="20"/>
                <w:szCs w:val="20"/>
              </w:rPr>
              <w:t>Acting for the Future</w:t>
            </w:r>
          </w:p>
          <w:p w:rsidR="001A20C0" w:rsidRPr="002A5B4D" w:rsidRDefault="001A20C0" w:rsidP="00AA48F2">
            <w:pPr>
              <w:rPr>
                <w:rFonts w:cs="Arial"/>
                <w:b/>
                <w:bCs/>
                <w:color w:val="00B050"/>
                <w:sz w:val="20"/>
                <w:szCs w:val="20"/>
              </w:rPr>
            </w:pPr>
          </w:p>
          <w:p w:rsidR="001A20C0" w:rsidRPr="00AD10A9" w:rsidDel="00BC1285" w:rsidRDefault="001A20C0" w:rsidP="2F0801C2">
            <w:pPr>
              <w:rPr>
                <w:rFonts w:cs="Arial"/>
                <w:b/>
                <w:bCs/>
                <w:color w:val="00B050"/>
                <w:sz w:val="20"/>
                <w:szCs w:val="20"/>
              </w:rPr>
            </w:pPr>
          </w:p>
        </w:tc>
        <w:tc>
          <w:tcPr>
            <w:tcW w:w="5460" w:type="dxa"/>
          </w:tcPr>
          <w:p w:rsidR="003A0C64" w:rsidRPr="002A5B4D" w:rsidRDefault="003A0C64" w:rsidP="003A0C64">
            <w:pPr>
              <w:rPr>
                <w:rFonts w:cs="Arial"/>
                <w:sz w:val="20"/>
                <w:szCs w:val="20"/>
              </w:rPr>
            </w:pPr>
          </w:p>
          <w:p w:rsidR="003A0C64" w:rsidRPr="002A5B4D" w:rsidRDefault="002A5B4D" w:rsidP="000406C6">
            <w:pPr>
              <w:pStyle w:val="ListParagraph"/>
              <w:numPr>
                <w:ilvl w:val="0"/>
                <w:numId w:val="28"/>
              </w:numPr>
              <w:ind w:left="414"/>
              <w:rPr>
                <w:rFonts w:cs="Arial"/>
                <w:sz w:val="20"/>
                <w:szCs w:val="20"/>
              </w:rPr>
            </w:pPr>
            <w:r w:rsidRPr="002A5B4D">
              <w:rPr>
                <w:rFonts w:cs="Arial"/>
                <w:sz w:val="20"/>
                <w:szCs w:val="20"/>
              </w:rPr>
              <w:t>The project will establish real communication links with partner organisation and third sector services whilst allowing the Health Board to also build on its approach to the foundational economy of Wales by seeking re-investment in the local area as it moves through the development process but also, as an employer, to ensure that local people have opportunities to train and find work in NHS Wales and social care at all levels, benefitting communities further</w:t>
            </w:r>
            <w:r w:rsidR="00EE4F58">
              <w:rPr>
                <w:rFonts w:cs="Arial"/>
                <w:sz w:val="20"/>
                <w:szCs w:val="20"/>
              </w:rPr>
              <w:t>;</w:t>
            </w:r>
          </w:p>
          <w:p w:rsidR="003A0C64" w:rsidRPr="002A5B4D" w:rsidRDefault="003A0C64" w:rsidP="000406C6">
            <w:pPr>
              <w:pStyle w:val="ListParagraph"/>
              <w:numPr>
                <w:ilvl w:val="0"/>
                <w:numId w:val="26"/>
              </w:numPr>
              <w:ind w:left="414"/>
              <w:rPr>
                <w:rFonts w:cs="Arial"/>
                <w:sz w:val="20"/>
                <w:szCs w:val="20"/>
              </w:rPr>
            </w:pPr>
            <w:r w:rsidRPr="002A5B4D">
              <w:rPr>
                <w:rFonts w:cs="Arial"/>
                <w:sz w:val="20"/>
                <w:szCs w:val="20"/>
              </w:rPr>
              <w:t xml:space="preserve">Encouraging active travel and healthier wellbeing for patients, staff and visitors by providing facilities that promote leisure activities and green </w:t>
            </w:r>
            <w:r w:rsidR="007525C5" w:rsidRPr="002A5B4D">
              <w:rPr>
                <w:rFonts w:cs="Arial"/>
                <w:sz w:val="20"/>
                <w:szCs w:val="20"/>
              </w:rPr>
              <w:t>spaces</w:t>
            </w:r>
            <w:r w:rsidR="007525C5">
              <w:rPr>
                <w:rFonts w:cs="Arial"/>
                <w:sz w:val="20"/>
                <w:szCs w:val="20"/>
              </w:rPr>
              <w:t>.</w:t>
            </w:r>
          </w:p>
          <w:p w:rsidR="003A0C64" w:rsidRPr="002A5B4D" w:rsidRDefault="003A0C64" w:rsidP="000406C6">
            <w:pPr>
              <w:pStyle w:val="ListParagraph"/>
              <w:numPr>
                <w:ilvl w:val="0"/>
                <w:numId w:val="26"/>
              </w:numPr>
              <w:ind w:left="414"/>
              <w:rPr>
                <w:rFonts w:cs="Arial"/>
                <w:sz w:val="20"/>
                <w:szCs w:val="20"/>
              </w:rPr>
            </w:pPr>
            <w:r w:rsidRPr="002A5B4D">
              <w:rPr>
                <w:rFonts w:cs="Arial"/>
                <w:sz w:val="20"/>
                <w:szCs w:val="20"/>
              </w:rPr>
              <w:t xml:space="preserve">Providing facilities in sustainable way which limits the use of fossil fuels and moves towards a Net Zero Carbon (NZC) </w:t>
            </w:r>
            <w:r w:rsidR="007525C5" w:rsidRPr="002A5B4D">
              <w:rPr>
                <w:rFonts w:cs="Arial"/>
                <w:sz w:val="20"/>
                <w:szCs w:val="20"/>
              </w:rPr>
              <w:t>goal.</w:t>
            </w:r>
          </w:p>
          <w:p w:rsidR="003A0C64" w:rsidRPr="002A5B4D" w:rsidRDefault="003A0C64" w:rsidP="000406C6">
            <w:pPr>
              <w:pStyle w:val="ListParagraph"/>
              <w:numPr>
                <w:ilvl w:val="0"/>
                <w:numId w:val="26"/>
              </w:numPr>
              <w:ind w:left="414"/>
              <w:rPr>
                <w:rFonts w:cs="Arial"/>
                <w:sz w:val="20"/>
                <w:szCs w:val="20"/>
              </w:rPr>
            </w:pPr>
            <w:r w:rsidRPr="002A5B4D">
              <w:rPr>
                <w:rFonts w:cs="Arial"/>
                <w:sz w:val="20"/>
                <w:szCs w:val="20"/>
              </w:rPr>
              <w:t xml:space="preserve">Providing commitment to embedding the sustainability principles set out in the Wellbeing of Future Generations Act and the way that the Health Board and its partner work together to deliver </w:t>
            </w:r>
            <w:r w:rsidR="007525C5" w:rsidRPr="002A5B4D">
              <w:rPr>
                <w:rFonts w:cs="Arial"/>
                <w:sz w:val="20"/>
                <w:szCs w:val="20"/>
              </w:rPr>
              <w:t>them.</w:t>
            </w:r>
          </w:p>
          <w:p w:rsidR="001A20C0" w:rsidRPr="002A5B4D" w:rsidRDefault="003A0C64" w:rsidP="000406C6">
            <w:pPr>
              <w:pStyle w:val="ListParagraph"/>
              <w:numPr>
                <w:ilvl w:val="0"/>
                <w:numId w:val="26"/>
              </w:numPr>
              <w:ind w:left="414"/>
              <w:rPr>
                <w:rFonts w:cs="Arial"/>
                <w:sz w:val="20"/>
                <w:szCs w:val="20"/>
              </w:rPr>
            </w:pPr>
            <w:r w:rsidRPr="002A5B4D">
              <w:rPr>
                <w:rFonts w:cs="Arial"/>
                <w:sz w:val="20"/>
                <w:szCs w:val="20"/>
              </w:rPr>
              <w:t>Assisting the Health Board to further contribute to the Foundational Economy in Health and Social Services programme via promotion of community-based developments.</w:t>
            </w:r>
          </w:p>
        </w:tc>
      </w:tr>
    </w:tbl>
    <w:p w:rsidR="00E05941" w:rsidRPr="002A5B4D" w:rsidRDefault="00E05941" w:rsidP="00276F08">
      <w:pPr>
        <w:rPr>
          <w:rFonts w:cs="Arial"/>
          <w:sz w:val="20"/>
          <w:szCs w:val="20"/>
        </w:rPr>
      </w:pPr>
    </w:p>
    <w:p w:rsidR="008A4AE9" w:rsidRPr="002A5B4D" w:rsidRDefault="00D216D1" w:rsidP="000406C6">
      <w:pPr>
        <w:pStyle w:val="Heading1"/>
        <w:numPr>
          <w:ilvl w:val="0"/>
          <w:numId w:val="2"/>
        </w:numPr>
        <w:ind w:left="284"/>
        <w:rPr>
          <w:rFonts w:ascii="Arial" w:hAnsi="Arial" w:cs="Arial"/>
          <w:sz w:val="28"/>
          <w:szCs w:val="28"/>
        </w:rPr>
      </w:pPr>
      <w:bookmarkStart w:id="9" w:name="_Toc98945734"/>
      <w:bookmarkStart w:id="10" w:name="_Toc98946148"/>
      <w:bookmarkStart w:id="11" w:name="_Toc202972555"/>
      <w:r w:rsidRPr="002A5B4D">
        <w:rPr>
          <w:rFonts w:ascii="Arial" w:hAnsi="Arial" w:cs="Arial"/>
          <w:sz w:val="28"/>
          <w:szCs w:val="28"/>
        </w:rPr>
        <w:t xml:space="preserve">Summary </w:t>
      </w:r>
      <w:r w:rsidR="00EA613D" w:rsidRPr="002A5B4D">
        <w:rPr>
          <w:rFonts w:ascii="Arial" w:hAnsi="Arial" w:cs="Arial"/>
          <w:sz w:val="28"/>
          <w:szCs w:val="28"/>
        </w:rPr>
        <w:t>c</w:t>
      </w:r>
      <w:r w:rsidR="00E5029B" w:rsidRPr="002A5B4D">
        <w:rPr>
          <w:rFonts w:ascii="Arial" w:hAnsi="Arial" w:cs="Arial"/>
          <w:sz w:val="28"/>
          <w:szCs w:val="28"/>
        </w:rPr>
        <w:t xml:space="preserve">urrent </w:t>
      </w:r>
      <w:r w:rsidR="00EA613D" w:rsidRPr="002A5B4D">
        <w:rPr>
          <w:rFonts w:ascii="Arial" w:hAnsi="Arial" w:cs="Arial"/>
          <w:sz w:val="28"/>
          <w:szCs w:val="28"/>
        </w:rPr>
        <w:t>s</w:t>
      </w:r>
      <w:r w:rsidR="00E5029B" w:rsidRPr="002A5B4D">
        <w:rPr>
          <w:rFonts w:ascii="Arial" w:hAnsi="Arial" w:cs="Arial"/>
          <w:sz w:val="28"/>
          <w:szCs w:val="28"/>
        </w:rPr>
        <w:t xml:space="preserve">ervice </w:t>
      </w:r>
      <w:r w:rsidR="00EA613D" w:rsidRPr="002A5B4D">
        <w:rPr>
          <w:rFonts w:ascii="Arial" w:hAnsi="Arial" w:cs="Arial"/>
          <w:sz w:val="28"/>
          <w:szCs w:val="28"/>
        </w:rPr>
        <w:t>p</w:t>
      </w:r>
      <w:r w:rsidR="00A97987" w:rsidRPr="002A5B4D">
        <w:rPr>
          <w:rFonts w:ascii="Arial" w:hAnsi="Arial" w:cs="Arial"/>
          <w:sz w:val="28"/>
          <w:szCs w:val="28"/>
        </w:rPr>
        <w:t>rovision</w:t>
      </w:r>
      <w:r w:rsidR="0005308B" w:rsidRPr="002A5B4D">
        <w:rPr>
          <w:rFonts w:ascii="Arial" w:hAnsi="Arial" w:cs="Arial"/>
          <w:sz w:val="28"/>
          <w:szCs w:val="28"/>
        </w:rPr>
        <w:t xml:space="preserve"> and case for change</w:t>
      </w:r>
      <w:bookmarkEnd w:id="9"/>
      <w:bookmarkEnd w:id="10"/>
      <w:bookmarkEnd w:id="11"/>
    </w:p>
    <w:p w:rsidR="00666F5D" w:rsidRPr="002A5B4D" w:rsidRDefault="00666F5D" w:rsidP="2F0801C2">
      <w:pPr>
        <w:rPr>
          <w:rFonts w:cs="Arial"/>
          <w:sz w:val="20"/>
          <w:szCs w:val="20"/>
        </w:rPr>
      </w:pPr>
    </w:p>
    <w:p w:rsidR="00666F5D" w:rsidRPr="00AD10A9" w:rsidRDefault="00666F5D" w:rsidP="00B80A2E">
      <w:pPr>
        <w:jc w:val="both"/>
        <w:rPr>
          <w:rFonts w:cs="Arial"/>
          <w:noProof/>
          <w:sz w:val="22"/>
          <w:szCs w:val="22"/>
        </w:rPr>
      </w:pPr>
      <w:r w:rsidRPr="2F0801C2">
        <w:rPr>
          <w:rFonts w:cs="Arial"/>
          <w:noProof/>
          <w:sz w:val="22"/>
          <w:szCs w:val="22"/>
        </w:rPr>
        <w:t xml:space="preserve">The provision is for a fit for purpose </w:t>
      </w:r>
      <w:r w:rsidR="00BA2CB6">
        <w:rPr>
          <w:rFonts w:cs="Arial"/>
          <w:noProof/>
          <w:sz w:val="22"/>
          <w:szCs w:val="22"/>
        </w:rPr>
        <w:t>Health &amp; Wellbeing Hub</w:t>
      </w:r>
      <w:r w:rsidRPr="2F0801C2">
        <w:rPr>
          <w:rFonts w:cs="Arial"/>
          <w:noProof/>
          <w:sz w:val="22"/>
          <w:szCs w:val="22"/>
        </w:rPr>
        <w:t xml:space="preserve"> on the wider site at Park View in Ely (Wellbeing Hub@Park View)</w:t>
      </w:r>
      <w:r w:rsidR="00545BA6" w:rsidRPr="2F0801C2">
        <w:rPr>
          <w:rFonts w:cs="Arial"/>
          <w:noProof/>
          <w:sz w:val="22"/>
          <w:szCs w:val="22"/>
        </w:rPr>
        <w:t xml:space="preserve">, </w:t>
      </w:r>
      <w:r w:rsidRPr="2F0801C2">
        <w:rPr>
          <w:rFonts w:cs="Arial"/>
          <w:noProof/>
          <w:sz w:val="22"/>
          <w:szCs w:val="22"/>
        </w:rPr>
        <w:t>adjoining the existing Ely and Caerau Community Hub, that meets all statutory requirements and best practice models whilst supporting GMS sustainability and increases utilisation of public assets.</w:t>
      </w:r>
    </w:p>
    <w:p w:rsidR="00666F5D" w:rsidRPr="00AD10A9" w:rsidRDefault="00666F5D" w:rsidP="00B80A2E">
      <w:pPr>
        <w:jc w:val="both"/>
        <w:rPr>
          <w:rFonts w:cs="Arial"/>
          <w:noProof/>
          <w:sz w:val="22"/>
          <w:szCs w:val="22"/>
        </w:rPr>
      </w:pPr>
    </w:p>
    <w:p w:rsidR="00666F5D" w:rsidRPr="00AD10A9" w:rsidRDefault="00666F5D" w:rsidP="00B80A2E">
      <w:pPr>
        <w:jc w:val="both"/>
        <w:rPr>
          <w:rFonts w:cs="Arial"/>
          <w:noProof/>
          <w:sz w:val="22"/>
          <w:szCs w:val="22"/>
        </w:rPr>
      </w:pPr>
      <w:r w:rsidRPr="2F0801C2">
        <w:rPr>
          <w:rFonts w:cs="Arial"/>
          <w:noProof/>
          <w:sz w:val="22"/>
          <w:szCs w:val="22"/>
        </w:rPr>
        <w:t xml:space="preserve">The facility will provide high quality, sustainable and adaptable accommodation </w:t>
      </w:r>
      <w:r w:rsidR="002970A6">
        <w:rPr>
          <w:rFonts w:cs="Arial"/>
          <w:noProof/>
          <w:sz w:val="22"/>
          <w:szCs w:val="22"/>
        </w:rPr>
        <w:t>in line with</w:t>
      </w:r>
      <w:r w:rsidR="00BA2CB6">
        <w:rPr>
          <w:rFonts w:cs="Arial"/>
          <w:noProof/>
          <w:sz w:val="22"/>
          <w:szCs w:val="22"/>
        </w:rPr>
        <w:t xml:space="preserve"> </w:t>
      </w:r>
      <w:r w:rsidR="00BA2CB6" w:rsidRPr="00BA2CB6">
        <w:rPr>
          <w:rFonts w:cs="Arial"/>
          <w:noProof/>
          <w:sz w:val="22"/>
          <w:szCs w:val="22"/>
        </w:rPr>
        <w:t>the principles of flexible shared use of space, i.e. generic clinical space where possible, shared office space and hot-desking</w:t>
      </w:r>
      <w:r w:rsidR="00BA2CB6">
        <w:rPr>
          <w:rFonts w:cs="Arial"/>
          <w:noProof/>
          <w:sz w:val="22"/>
          <w:szCs w:val="22"/>
        </w:rPr>
        <w:t xml:space="preserve">, </w:t>
      </w:r>
      <w:r w:rsidRPr="2F0801C2">
        <w:rPr>
          <w:rFonts w:cs="Arial"/>
          <w:noProof/>
          <w:sz w:val="22"/>
          <w:szCs w:val="22"/>
        </w:rPr>
        <w:t>which supports improved access to a seamless range of integrated social, health and wellbeing services delivered closer to peoples’ homes, supporting an improved social model of health for the residents of the Cardiff South West cluster community but also the wider locality.</w:t>
      </w:r>
    </w:p>
    <w:p w:rsidR="00BA2CB6" w:rsidRPr="00AD10A9" w:rsidRDefault="00BA2CB6" w:rsidP="00B80A2E">
      <w:pPr>
        <w:jc w:val="both"/>
        <w:rPr>
          <w:rFonts w:cs="Arial"/>
          <w:noProof/>
          <w:sz w:val="22"/>
          <w:szCs w:val="22"/>
        </w:rPr>
      </w:pPr>
    </w:p>
    <w:p w:rsidR="00666F5D" w:rsidRPr="00AD10A9" w:rsidRDefault="00666F5D" w:rsidP="00B80A2E">
      <w:pPr>
        <w:jc w:val="both"/>
        <w:rPr>
          <w:rFonts w:cs="Arial"/>
          <w:noProof/>
          <w:sz w:val="22"/>
          <w:szCs w:val="22"/>
        </w:rPr>
      </w:pPr>
      <w:r w:rsidRPr="2F0801C2">
        <w:rPr>
          <w:rFonts w:cs="Arial"/>
          <w:noProof/>
          <w:sz w:val="22"/>
          <w:szCs w:val="22"/>
        </w:rPr>
        <w:t>Access to an enhanced community health and wellbeing facility will help connect local people to community resources, practical help, group activities and provide opportunities to meet their health needs whilst increasing social participation but through developing new facilities where health, social care, and community services are co-located, public sector assets can be shared, with opportunities to deliver efficiencies as a result.</w:t>
      </w:r>
    </w:p>
    <w:p w:rsidR="00666F5D" w:rsidRPr="00AD10A9" w:rsidRDefault="00666F5D" w:rsidP="00B80A2E">
      <w:pPr>
        <w:jc w:val="both"/>
        <w:rPr>
          <w:rFonts w:cs="Arial"/>
          <w:noProof/>
          <w:sz w:val="22"/>
          <w:szCs w:val="22"/>
        </w:rPr>
      </w:pPr>
    </w:p>
    <w:p w:rsidR="00666F5D" w:rsidRPr="00AD10A9" w:rsidRDefault="00666F5D" w:rsidP="00B80A2E">
      <w:pPr>
        <w:jc w:val="both"/>
        <w:rPr>
          <w:rFonts w:cs="Arial"/>
          <w:noProof/>
          <w:sz w:val="22"/>
          <w:szCs w:val="22"/>
        </w:rPr>
      </w:pPr>
      <w:r w:rsidRPr="2F0801C2">
        <w:rPr>
          <w:rFonts w:cs="Arial"/>
          <w:noProof/>
          <w:sz w:val="22"/>
          <w:szCs w:val="22"/>
        </w:rPr>
        <w:t>Proposals have been developed in partnership with local GPs, the Local Authority, third sector organisations and the local community and will focus on ‘prevention’ and ‘wellness’ rather than ‘illness’ supporting the Wellbeing of Future Generations (Wales) Act 2015 wellbeing objectives by:</w:t>
      </w:r>
    </w:p>
    <w:p w:rsidR="00666F5D" w:rsidRPr="00AD10A9" w:rsidRDefault="00666F5D" w:rsidP="00B80A2E">
      <w:pPr>
        <w:pStyle w:val="ListParagraph"/>
        <w:numPr>
          <w:ilvl w:val="0"/>
          <w:numId w:val="7"/>
        </w:numPr>
        <w:jc w:val="both"/>
        <w:rPr>
          <w:rFonts w:cs="Arial"/>
          <w:noProof/>
          <w:sz w:val="22"/>
          <w:szCs w:val="22"/>
        </w:rPr>
      </w:pPr>
      <w:r w:rsidRPr="2F0801C2">
        <w:rPr>
          <w:rFonts w:cs="Arial"/>
          <w:noProof/>
          <w:sz w:val="22"/>
          <w:szCs w:val="22"/>
        </w:rPr>
        <w:t>Prosperity – improved health outcomes leading to greater opportunity to contribute to society. Development of sustainable community facilities which use energy efficiently, and aim for carbon footprint neutrality;</w:t>
      </w:r>
    </w:p>
    <w:p w:rsidR="00666F5D" w:rsidRPr="00AD10A9" w:rsidRDefault="00666F5D" w:rsidP="00B80A2E">
      <w:pPr>
        <w:pStyle w:val="ListParagraph"/>
        <w:numPr>
          <w:ilvl w:val="0"/>
          <w:numId w:val="7"/>
        </w:numPr>
        <w:jc w:val="both"/>
        <w:rPr>
          <w:rFonts w:cs="Arial"/>
          <w:noProof/>
          <w:sz w:val="22"/>
          <w:szCs w:val="22"/>
        </w:rPr>
      </w:pPr>
      <w:r w:rsidRPr="2F0801C2">
        <w:rPr>
          <w:rFonts w:cs="Arial"/>
          <w:noProof/>
          <w:sz w:val="22"/>
          <w:szCs w:val="22"/>
        </w:rPr>
        <w:t>Resilience – use of adjacent green outdoor space to support individual and community activities to develop a strong and resilient community e.g. community garden, sports activities;</w:t>
      </w:r>
    </w:p>
    <w:p w:rsidR="00666F5D" w:rsidRPr="00AD10A9" w:rsidRDefault="00666F5D" w:rsidP="00B80A2E">
      <w:pPr>
        <w:pStyle w:val="ListParagraph"/>
        <w:numPr>
          <w:ilvl w:val="0"/>
          <w:numId w:val="7"/>
        </w:numPr>
        <w:jc w:val="both"/>
        <w:rPr>
          <w:rFonts w:cs="Arial"/>
          <w:noProof/>
          <w:sz w:val="22"/>
          <w:szCs w:val="22"/>
        </w:rPr>
      </w:pPr>
      <w:r w:rsidRPr="2F0801C2">
        <w:rPr>
          <w:rFonts w:cs="Arial"/>
          <w:noProof/>
          <w:sz w:val="22"/>
          <w:szCs w:val="22"/>
        </w:rPr>
        <w:t>Health – people’s physical, mental and social wellbeing needs met through collaborative service delivery with partner organisations;</w:t>
      </w:r>
    </w:p>
    <w:p w:rsidR="00666F5D" w:rsidRPr="00AD10A9" w:rsidRDefault="00666F5D" w:rsidP="00B80A2E">
      <w:pPr>
        <w:pStyle w:val="ListParagraph"/>
        <w:numPr>
          <w:ilvl w:val="0"/>
          <w:numId w:val="7"/>
        </w:numPr>
        <w:jc w:val="both"/>
        <w:rPr>
          <w:rFonts w:cs="Arial"/>
          <w:noProof/>
          <w:sz w:val="22"/>
          <w:szCs w:val="22"/>
        </w:rPr>
      </w:pPr>
      <w:r w:rsidRPr="2F0801C2">
        <w:rPr>
          <w:rFonts w:cs="Arial"/>
          <w:noProof/>
          <w:sz w:val="22"/>
          <w:szCs w:val="22"/>
        </w:rPr>
        <w:t>Equal – reduced health inequalities through targeted provision of services/ interventions which meet the health and wellbeing needs of local population;</w:t>
      </w:r>
    </w:p>
    <w:p w:rsidR="00666F5D" w:rsidRPr="00AD10A9" w:rsidRDefault="00666F5D" w:rsidP="00B80A2E">
      <w:pPr>
        <w:pStyle w:val="ListParagraph"/>
        <w:numPr>
          <w:ilvl w:val="0"/>
          <w:numId w:val="7"/>
        </w:numPr>
        <w:jc w:val="both"/>
        <w:rPr>
          <w:rFonts w:cs="Arial"/>
          <w:noProof/>
          <w:sz w:val="22"/>
          <w:szCs w:val="22"/>
        </w:rPr>
      </w:pPr>
      <w:r w:rsidRPr="2F0801C2">
        <w:rPr>
          <w:rFonts w:cs="Arial"/>
          <w:noProof/>
          <w:sz w:val="22"/>
          <w:szCs w:val="22"/>
        </w:rPr>
        <w:t>Cohesive communities – promote co-production, co-design and co-ownership to nurture the development of a strong community spirit and consequent positive outcomes such as improved public health and social resilience;</w:t>
      </w:r>
    </w:p>
    <w:p w:rsidR="00666F5D" w:rsidRPr="00AD10A9" w:rsidRDefault="00666F5D" w:rsidP="00B80A2E">
      <w:pPr>
        <w:pStyle w:val="ListParagraph"/>
        <w:numPr>
          <w:ilvl w:val="0"/>
          <w:numId w:val="7"/>
        </w:numPr>
        <w:jc w:val="both"/>
        <w:rPr>
          <w:rFonts w:cs="Arial"/>
          <w:noProof/>
          <w:sz w:val="22"/>
          <w:szCs w:val="22"/>
        </w:rPr>
      </w:pPr>
      <w:r w:rsidRPr="2F0801C2">
        <w:rPr>
          <w:rFonts w:cs="Arial"/>
          <w:noProof/>
          <w:sz w:val="22"/>
          <w:szCs w:val="22"/>
        </w:rPr>
        <w:t>Culture – community focused wellbeing facilities which support people to participate in a variety of sport and social activities.</w:t>
      </w:r>
    </w:p>
    <w:p w:rsidR="00666F5D" w:rsidRPr="00AD10A9" w:rsidRDefault="00666F5D" w:rsidP="00B80A2E">
      <w:pPr>
        <w:pStyle w:val="ListParagraph"/>
        <w:jc w:val="both"/>
        <w:rPr>
          <w:rFonts w:cs="Arial"/>
          <w:noProof/>
          <w:sz w:val="22"/>
          <w:szCs w:val="22"/>
        </w:rPr>
      </w:pPr>
    </w:p>
    <w:p w:rsidR="00666F5D" w:rsidRPr="00AD10A9" w:rsidRDefault="00666F5D" w:rsidP="00B80A2E">
      <w:pPr>
        <w:jc w:val="both"/>
        <w:rPr>
          <w:rFonts w:cs="Arial"/>
          <w:noProof/>
          <w:sz w:val="22"/>
          <w:szCs w:val="22"/>
        </w:rPr>
      </w:pPr>
      <w:r w:rsidRPr="2F0801C2">
        <w:rPr>
          <w:rFonts w:cs="Arial"/>
          <w:noProof/>
          <w:sz w:val="22"/>
          <w:szCs w:val="22"/>
        </w:rPr>
        <w:t>This project also supports the ten national design principles to drive change and transformation and deliver the Quadruple Aim as described in “A Healthier Wales: our Plan for Health and Social care”.</w:t>
      </w:r>
    </w:p>
    <w:p w:rsidR="008A4AE9" w:rsidRPr="002A5B4D" w:rsidRDefault="008A4AE9" w:rsidP="00B80A2E">
      <w:pPr>
        <w:pStyle w:val="ListParagraph"/>
        <w:ind w:left="0"/>
        <w:rPr>
          <w:rFonts w:cs="Arial"/>
          <w:sz w:val="20"/>
          <w:szCs w:val="20"/>
        </w:rPr>
      </w:pPr>
    </w:p>
    <w:p w:rsidR="008A4AE9" w:rsidRPr="002A5B4D" w:rsidRDefault="00EF5F98" w:rsidP="00B80A2E">
      <w:pPr>
        <w:pStyle w:val="Heading1"/>
        <w:numPr>
          <w:ilvl w:val="0"/>
          <w:numId w:val="2"/>
        </w:numPr>
        <w:spacing w:before="0"/>
        <w:ind w:left="142"/>
        <w:rPr>
          <w:rFonts w:ascii="Arial" w:hAnsi="Arial" w:cs="Arial"/>
          <w:sz w:val="28"/>
          <w:szCs w:val="28"/>
        </w:rPr>
      </w:pPr>
      <w:bookmarkStart w:id="12" w:name="_Toc98945735"/>
      <w:bookmarkStart w:id="13" w:name="_Toc98946149"/>
      <w:bookmarkStart w:id="14" w:name="_Toc202972556"/>
      <w:r w:rsidRPr="002A5B4D">
        <w:rPr>
          <w:rFonts w:ascii="Arial" w:hAnsi="Arial" w:cs="Arial"/>
          <w:sz w:val="28"/>
          <w:szCs w:val="28"/>
        </w:rPr>
        <w:t xml:space="preserve">Case of change - </w:t>
      </w:r>
      <w:r w:rsidR="00EA613D" w:rsidRPr="002A5B4D">
        <w:rPr>
          <w:rFonts w:ascii="Arial" w:hAnsi="Arial" w:cs="Arial"/>
          <w:i/>
          <w:iCs/>
          <w:sz w:val="28"/>
          <w:szCs w:val="28"/>
        </w:rPr>
        <w:t>The evidence</w:t>
      </w:r>
      <w:bookmarkEnd w:id="12"/>
      <w:bookmarkEnd w:id="13"/>
      <w:bookmarkEnd w:id="14"/>
    </w:p>
    <w:p w:rsidR="005E5515" w:rsidRPr="002A5B4D" w:rsidRDefault="005E5515" w:rsidP="00B80A2E">
      <w:pPr>
        <w:rPr>
          <w:rFonts w:cs="Arial"/>
          <w:sz w:val="20"/>
          <w:szCs w:val="20"/>
        </w:rPr>
      </w:pPr>
    </w:p>
    <w:p w:rsidR="00666F5D" w:rsidRPr="00AD10A9" w:rsidRDefault="00666F5D" w:rsidP="00B80A2E">
      <w:pPr>
        <w:pStyle w:val="NumberedHeading3"/>
        <w:numPr>
          <w:ilvl w:val="0"/>
          <w:numId w:val="0"/>
        </w:numPr>
        <w:spacing w:before="0" w:after="0"/>
        <w:rPr>
          <w:rFonts w:cs="Arial"/>
        </w:rPr>
      </w:pPr>
      <w:r w:rsidRPr="2F0801C2">
        <w:rPr>
          <w:rFonts w:cs="Arial"/>
        </w:rPr>
        <w:t xml:space="preserve">Health and Wellbeing Needs </w:t>
      </w:r>
    </w:p>
    <w:p w:rsidR="00666F5D" w:rsidRDefault="00666F5D" w:rsidP="002F461D">
      <w:pPr>
        <w:pStyle w:val="BodyText1"/>
      </w:pPr>
      <w:r w:rsidRPr="00A40024">
        <w:t>In 2023, there were 369,122 people living in Cardiff; the population has grown significantly over the past 25 years, with an increase of 68,438 residents since 1995.  Overall, population projections indicate a slowdown in growth over the next 20 years (2023-2043). However, there is still a projected increase of 19,768 residents.</w:t>
      </w:r>
    </w:p>
    <w:p w:rsidR="0000421F" w:rsidRPr="00A40024" w:rsidRDefault="0000421F" w:rsidP="002F461D">
      <w:pPr>
        <w:pStyle w:val="BodyText1"/>
      </w:pPr>
    </w:p>
    <w:p w:rsidR="00666F5D" w:rsidRPr="00A40024" w:rsidRDefault="00666F5D" w:rsidP="002F461D">
      <w:pPr>
        <w:pStyle w:val="BodyText1"/>
      </w:pPr>
      <w:r w:rsidRPr="00A40024">
        <w:t>This growth means that pressure will continue to be felt on the city’s physical infrastructures, the natural environment, and public services.  An overview of the health and wellbeing needs for the Cardiff North and West locality can be found within the approved project OBC however, key challenges and drivers for the locality and specifically the Cardiff South West cluster as assessed within this FBC continue to include:</w:t>
      </w:r>
    </w:p>
    <w:p w:rsidR="00666F5D" w:rsidRPr="00A40024" w:rsidRDefault="00666F5D" w:rsidP="002F461D">
      <w:pPr>
        <w:pStyle w:val="Bullet1"/>
      </w:pPr>
      <w:r w:rsidRPr="00A40024">
        <w:t>The continued growth in the older population (over 65’s) will result in greater need and consequently greater demand for health and care services</w:t>
      </w:r>
    </w:p>
    <w:p w:rsidR="00666F5D" w:rsidRPr="00A40024" w:rsidRDefault="00666F5D" w:rsidP="002F461D">
      <w:pPr>
        <w:pStyle w:val="Bullet1"/>
      </w:pPr>
      <w:r>
        <w:t>A new Local Development Plan (LDP) is currently being prepared for Cardiff, with a consultation taking place on 3 population growth scenarios, these include options for strategic sites within the Cardiff North West locality and the Cardiff South West cluster creating a stark rise in the local population and contributing to the increase in local health and social activity resulting in further pressures on GP and other health services currently provided within the area;</w:t>
      </w:r>
    </w:p>
    <w:p w:rsidR="00666F5D" w:rsidRPr="00A40024" w:rsidRDefault="00666F5D" w:rsidP="002F461D">
      <w:pPr>
        <w:pStyle w:val="Bullet1"/>
      </w:pPr>
      <w:r>
        <w:t>The inequalities and high deprivation levels of the local community resulting in residents not accessing the health and social care they need to remain in good health - 45.3% of the population of the Cardiff South West cluster live in the 20% most deprived areas in Wales;</w:t>
      </w:r>
    </w:p>
    <w:p w:rsidR="00666F5D" w:rsidRPr="00A40024" w:rsidRDefault="00666F5D" w:rsidP="002F461D">
      <w:pPr>
        <w:pStyle w:val="Bullet1"/>
      </w:pPr>
      <w:r>
        <w:t>Poor local community health infrastructure and GMS sustainability issues;</w:t>
      </w:r>
    </w:p>
    <w:p w:rsidR="00666F5D" w:rsidRPr="00A40024" w:rsidRDefault="00666F5D" w:rsidP="002F461D">
      <w:pPr>
        <w:pStyle w:val="Bullet1"/>
      </w:pPr>
      <w:r>
        <w:t>Supporting the needs of younger people in the community (higher proportion of young people under 15 years compared to other clusters);</w:t>
      </w:r>
    </w:p>
    <w:p w:rsidR="00666F5D" w:rsidRPr="00A40024" w:rsidRDefault="00666F5D" w:rsidP="002F461D">
      <w:pPr>
        <w:pStyle w:val="Bullet1"/>
      </w:pPr>
      <w:r>
        <w:t>Supporting the concentrated future priorities as set out the South West cluster plan such as coordinated help with issues such as alcohol, smoking, living healthier, chronic conditions and immunisation / screening encouragement.</w:t>
      </w:r>
    </w:p>
    <w:p w:rsidR="00666F5D" w:rsidRPr="00AD10A9" w:rsidRDefault="00666F5D" w:rsidP="00B80A2E">
      <w:pPr>
        <w:rPr>
          <w:rFonts w:cs="Arial"/>
          <w:sz w:val="22"/>
          <w:szCs w:val="22"/>
          <w:highlight w:val="yellow"/>
        </w:rPr>
      </w:pPr>
    </w:p>
    <w:p w:rsidR="00666F5D" w:rsidRPr="00AD10A9" w:rsidRDefault="00666F5D" w:rsidP="00B80A2E">
      <w:pPr>
        <w:pStyle w:val="NumberedHeading3"/>
        <w:numPr>
          <w:ilvl w:val="0"/>
          <w:numId w:val="0"/>
        </w:numPr>
        <w:spacing w:before="0" w:after="0"/>
        <w:rPr>
          <w:rFonts w:cs="Arial"/>
        </w:rPr>
      </w:pPr>
      <w:r w:rsidRPr="2F0801C2">
        <w:rPr>
          <w:rFonts w:cs="Arial"/>
        </w:rPr>
        <w:t>Existing Issues</w:t>
      </w:r>
    </w:p>
    <w:p w:rsidR="00F03240" w:rsidRDefault="00F03240" w:rsidP="00F03240">
      <w:pPr>
        <w:textAlignment w:val="baseline"/>
        <w:rPr>
          <w:rFonts w:cs="Arial"/>
          <w:color w:val="000000"/>
          <w:sz w:val="22"/>
          <w:szCs w:val="22"/>
        </w:rPr>
      </w:pPr>
      <w:r w:rsidRPr="00F03240">
        <w:rPr>
          <w:rFonts w:cs="Arial"/>
          <w:color w:val="000000"/>
          <w:sz w:val="22"/>
          <w:szCs w:val="22"/>
        </w:rPr>
        <w:t>The proposed facility will replace the Park View Health Centre, which had to close due to a major water leak. Services were temporarily relocated to various locations, including St Davids Hospital and Pendine Mental Health facility. The local authority also provided a building at a low rent to support the transition.</w:t>
      </w:r>
    </w:p>
    <w:p w:rsidR="00DC5E0D" w:rsidRPr="00F03240" w:rsidRDefault="00DC5E0D" w:rsidP="00F03240">
      <w:pPr>
        <w:textAlignment w:val="baseline"/>
        <w:rPr>
          <w:rFonts w:cs="Arial"/>
          <w:color w:val="000000"/>
          <w:sz w:val="22"/>
          <w:szCs w:val="22"/>
        </w:rPr>
      </w:pPr>
    </w:p>
    <w:p w:rsidR="00F03240" w:rsidRDefault="00F03240" w:rsidP="00F03240">
      <w:pPr>
        <w:textAlignment w:val="baseline"/>
        <w:rPr>
          <w:rFonts w:cs="Arial"/>
          <w:color w:val="000000"/>
          <w:sz w:val="22"/>
          <w:szCs w:val="22"/>
        </w:rPr>
      </w:pPr>
      <w:r w:rsidRPr="00F03240">
        <w:rPr>
          <w:rFonts w:cs="Arial"/>
          <w:color w:val="000000"/>
          <w:sz w:val="22"/>
          <w:szCs w:val="22"/>
        </w:rPr>
        <w:t>Park View Health Centre has been closed for several years, and there are minimal building closure costs since the facilities being vacated are not owned by the Health Board. Some service charges will be adjusted, but they won't offset the revenue from the original Park View HC closure.</w:t>
      </w:r>
    </w:p>
    <w:p w:rsidR="00DC5E0D" w:rsidRPr="00F03240" w:rsidRDefault="00DC5E0D" w:rsidP="00F03240">
      <w:pPr>
        <w:textAlignment w:val="baseline"/>
        <w:rPr>
          <w:rFonts w:cs="Arial"/>
          <w:color w:val="000000"/>
          <w:sz w:val="22"/>
          <w:szCs w:val="22"/>
        </w:rPr>
      </w:pPr>
    </w:p>
    <w:p w:rsidR="00F03240" w:rsidRDefault="00F03240" w:rsidP="00F03240">
      <w:pPr>
        <w:textAlignment w:val="baseline"/>
        <w:rPr>
          <w:rFonts w:cs="Arial"/>
          <w:color w:val="000000"/>
          <w:sz w:val="22"/>
          <w:szCs w:val="22"/>
        </w:rPr>
      </w:pPr>
      <w:r w:rsidRPr="00F03240">
        <w:rPr>
          <w:rFonts w:cs="Arial"/>
          <w:color w:val="000000"/>
          <w:sz w:val="22"/>
          <w:szCs w:val="22"/>
        </w:rPr>
        <w:t>The new development will also include Westway Surgery, which will move from its current location. This relocation will save £57k in rent and rates, contributing to the net revenue assessment.</w:t>
      </w:r>
    </w:p>
    <w:p w:rsidR="00DC5E0D" w:rsidRPr="00F03240" w:rsidRDefault="00DC5E0D" w:rsidP="00F03240">
      <w:pPr>
        <w:textAlignment w:val="baseline"/>
        <w:rPr>
          <w:rFonts w:cs="Arial"/>
          <w:color w:val="000000"/>
          <w:sz w:val="22"/>
          <w:szCs w:val="22"/>
        </w:rPr>
      </w:pPr>
    </w:p>
    <w:p w:rsidR="00AF4C5D" w:rsidRPr="00A40024" w:rsidRDefault="00666F5D" w:rsidP="002F461D">
      <w:pPr>
        <w:pStyle w:val="BodyText1"/>
      </w:pPr>
      <w:r>
        <w:t>Westway Surgery (as part of the Afon Elai Partnership) in the locality has also particularly raised concerns about the future sustainability of services at the practice due to the facility currently working continuously at or over capacity.</w:t>
      </w:r>
    </w:p>
    <w:p w:rsidR="00666F5D" w:rsidRPr="00A40024" w:rsidRDefault="00666F5D" w:rsidP="002F461D">
      <w:pPr>
        <w:pStyle w:val="BodyText1"/>
      </w:pPr>
    </w:p>
    <w:p w:rsidR="00666F5D" w:rsidRPr="00AD10A9" w:rsidRDefault="00666F5D" w:rsidP="00B80A2E">
      <w:pPr>
        <w:pStyle w:val="NumberedHeading3"/>
        <w:numPr>
          <w:ilvl w:val="0"/>
          <w:numId w:val="0"/>
        </w:numPr>
        <w:spacing w:before="0" w:after="0"/>
        <w:rPr>
          <w:rFonts w:cs="Arial"/>
        </w:rPr>
      </w:pPr>
      <w:r w:rsidRPr="2F0801C2">
        <w:rPr>
          <w:rFonts w:cs="Arial"/>
        </w:rPr>
        <w:t>Proposed Future Development of Community Infrastructure</w:t>
      </w:r>
    </w:p>
    <w:p w:rsidR="00666F5D" w:rsidRDefault="00666F5D" w:rsidP="002F461D">
      <w:pPr>
        <w:pStyle w:val="BodyText1"/>
      </w:pPr>
      <w:r w:rsidRPr="00A40024">
        <w:t>The Health Board vision to develop community-based infrastructure to support the delivery of local health and wellbeing services is described in the SOFW:IOC Programme Business Case.  A key component of the first tranche of the programme is the development of a wellbeing hub to serve residents of the Cardiff South West Cluster primarily as a solution to support GMS sustainability but also to provide better access to services for the current population of the locality as well as the planned population growth as local services are currently dispersed.  This vision is however further strengthened by the priorities as set out by the Programme for Government and the development of integrated health and social hubs and centres.</w:t>
      </w:r>
    </w:p>
    <w:p w:rsidR="00BE2B77" w:rsidRPr="00A40024" w:rsidRDefault="00BE2B77" w:rsidP="002F461D">
      <w:pPr>
        <w:pStyle w:val="BodyText1"/>
      </w:pPr>
    </w:p>
    <w:p w:rsidR="00666F5D" w:rsidRDefault="00666F5D" w:rsidP="002F461D">
      <w:pPr>
        <w:pStyle w:val="BodyText1"/>
      </w:pPr>
      <w:r w:rsidRPr="00A40024">
        <w:t>Due to its location in relation to the Ely and Caerau Community Hub, run by Cardiff Council, the site and surroundings of the former Park View Health Centre facility offers an exciting opportunity to work collaboratively with partners to create a more holistic approach to the delivery of health and wellbeing services in an area of high deprivation.  Looking into these opportunities for collaboration within Ely could provide a range of associated health and wellbeing needs for residents as well as include a crucial increase in service provision by delivering more services locally and provide where possible out of hospital care thus eliminating the need to travel further afield for primary and community care.</w:t>
      </w:r>
    </w:p>
    <w:p w:rsidR="00BE2B77" w:rsidRPr="00A40024" w:rsidRDefault="00BE2B77" w:rsidP="002F461D">
      <w:pPr>
        <w:pStyle w:val="BodyText1"/>
      </w:pPr>
    </w:p>
    <w:p w:rsidR="00DC5E0D" w:rsidRDefault="00666F5D" w:rsidP="002F461D">
      <w:pPr>
        <w:pStyle w:val="BodyText1"/>
      </w:pPr>
      <w:r>
        <w:t>Due to its own current infrastructure and sustainability issues highlighted above, Westway Surgery (as part of the Afon Elai Partnership) has indicated their preference to relocate to a shared, integrated, community-based facility moving forward where possible.</w:t>
      </w:r>
    </w:p>
    <w:p w:rsidR="00A95880" w:rsidRPr="00AD10A9" w:rsidRDefault="00A95880" w:rsidP="00CF5460">
      <w:pPr>
        <w:pStyle w:val="BodyText1"/>
      </w:pPr>
      <w:bookmarkStart w:id="15" w:name="_Toc503939111"/>
      <w:bookmarkStart w:id="16" w:name="_Toc196906656"/>
    </w:p>
    <w:p w:rsidR="00666F5D" w:rsidRPr="00A40024" w:rsidRDefault="00666F5D" w:rsidP="00B80A2E">
      <w:pPr>
        <w:pStyle w:val="NumberedHeading3"/>
        <w:numPr>
          <w:ilvl w:val="0"/>
          <w:numId w:val="0"/>
        </w:numPr>
        <w:spacing w:before="0" w:after="0"/>
        <w:rPr>
          <w:rFonts w:cs="Arial"/>
        </w:rPr>
      </w:pPr>
      <w:r w:rsidRPr="2F0801C2">
        <w:rPr>
          <w:rFonts w:cs="Arial"/>
        </w:rPr>
        <w:t>Potential Business Scope &amp; Key Service Requirements</w:t>
      </w:r>
      <w:bookmarkEnd w:id="15"/>
      <w:bookmarkEnd w:id="16"/>
    </w:p>
    <w:p w:rsidR="00F37801" w:rsidRDefault="00666F5D" w:rsidP="002F461D">
      <w:pPr>
        <w:pStyle w:val="BodyText1"/>
      </w:pPr>
      <w:r>
        <w:t>As part of the development of the FBC, the range of service priorities were revisited along with the schedule of accommodation, this reaffirmed the accommodation and scale of facilities required.</w:t>
      </w:r>
      <w:r w:rsidR="00BA2CB6">
        <w:t xml:space="preserve"> These are referenced at appendix b. </w:t>
      </w:r>
    </w:p>
    <w:p w:rsidR="00F37801" w:rsidRDefault="00F37801" w:rsidP="002F461D">
      <w:pPr>
        <w:pStyle w:val="BodyText1"/>
      </w:pPr>
    </w:p>
    <w:p w:rsidR="00666F5D" w:rsidRPr="00A40024" w:rsidRDefault="00666F5D" w:rsidP="002F461D">
      <w:pPr>
        <w:pStyle w:val="BodyText1"/>
      </w:pPr>
      <w:r w:rsidRPr="00A40024">
        <w:t>The following section describes the potential scope for the project in relation to the spending objectives and business needs and has been reaffirmed by the Project Team since submission of the OBC.</w:t>
      </w:r>
      <w:r w:rsidR="00F37801">
        <w:t xml:space="preserve"> T</w:t>
      </w:r>
      <w:r w:rsidRPr="00A40024">
        <w:t>he scope has been assessed against a continuum of need ranging from:</w:t>
      </w:r>
    </w:p>
    <w:p w:rsidR="00666F5D" w:rsidRPr="00A40024" w:rsidRDefault="00666F5D" w:rsidP="002F461D">
      <w:pPr>
        <w:pStyle w:val="Bullet1"/>
        <w:numPr>
          <w:ilvl w:val="0"/>
          <w:numId w:val="23"/>
        </w:numPr>
      </w:pPr>
      <w:r w:rsidRPr="00A40024">
        <w:t>A minimum – essential or core requirements/outcomes;</w:t>
      </w:r>
    </w:p>
    <w:p w:rsidR="00666F5D" w:rsidRPr="00A40024" w:rsidRDefault="00666F5D" w:rsidP="002F461D">
      <w:pPr>
        <w:pStyle w:val="Bullet1"/>
        <w:numPr>
          <w:ilvl w:val="0"/>
          <w:numId w:val="23"/>
        </w:numPr>
      </w:pPr>
      <w:r w:rsidRPr="00A40024">
        <w:t>An intermediate – essential and desirable requirements/outcomes;</w:t>
      </w:r>
    </w:p>
    <w:p w:rsidR="00666F5D" w:rsidRPr="00A40024" w:rsidRDefault="00666F5D" w:rsidP="002F461D">
      <w:pPr>
        <w:pStyle w:val="Bullet1"/>
        <w:numPr>
          <w:ilvl w:val="0"/>
          <w:numId w:val="23"/>
        </w:numPr>
      </w:pPr>
      <w:r w:rsidRPr="00A40024">
        <w:t>A maximum – essential, desirable and optional requirements/outcomes.</w:t>
      </w:r>
    </w:p>
    <w:p w:rsidR="00666F5D" w:rsidRPr="002A5B4D" w:rsidRDefault="00666F5D" w:rsidP="00666F5D">
      <w:pPr>
        <w:rPr>
          <w:rFonts w:cs="Arial"/>
          <w:sz w:val="20"/>
          <w:szCs w:val="20"/>
        </w:rPr>
      </w:pPr>
    </w:p>
    <w:p w:rsidR="00666F5D" w:rsidRPr="002A5B4D" w:rsidRDefault="00666F5D" w:rsidP="00666F5D">
      <w:pPr>
        <w:rPr>
          <w:rFonts w:cs="Arial"/>
          <w:sz w:val="20"/>
          <w:szCs w:val="20"/>
        </w:rPr>
      </w:pPr>
    </w:p>
    <w:tbl>
      <w:tblPr>
        <w:tblStyle w:val="TableGrid"/>
        <w:tblW w:w="9016" w:type="dxa"/>
        <w:tblLook w:val="04A0" w:firstRow="1" w:lastRow="0" w:firstColumn="1" w:lastColumn="0" w:noHBand="0" w:noVBand="1"/>
      </w:tblPr>
      <w:tblGrid>
        <w:gridCol w:w="1462"/>
        <w:gridCol w:w="2620"/>
        <w:gridCol w:w="2273"/>
        <w:gridCol w:w="2661"/>
      </w:tblGrid>
      <w:tr w:rsidR="00666F5D" w:rsidRPr="002A5B4D" w:rsidTr="005569E5">
        <w:trPr>
          <w:cantSplit/>
          <w:tblHeader/>
        </w:trPr>
        <w:tc>
          <w:tcPr>
            <w:tcW w:w="1449" w:type="dxa"/>
            <w:shd w:val="clear" w:color="auto" w:fill="2F598B"/>
          </w:tcPr>
          <w:p w:rsidR="00666F5D" w:rsidRPr="002A5B4D" w:rsidRDefault="00666F5D" w:rsidP="002F461D">
            <w:pPr>
              <w:pStyle w:val="Tableheading"/>
            </w:pPr>
          </w:p>
        </w:tc>
        <w:tc>
          <w:tcPr>
            <w:tcW w:w="2625" w:type="dxa"/>
            <w:shd w:val="clear" w:color="auto" w:fill="2F598B"/>
          </w:tcPr>
          <w:p w:rsidR="00F93C60" w:rsidRDefault="00666F5D" w:rsidP="002F461D">
            <w:pPr>
              <w:pStyle w:val="Tableheading"/>
            </w:pPr>
            <w:r w:rsidRPr="002A5B4D">
              <w:t>Minimum</w:t>
            </w:r>
          </w:p>
          <w:p w:rsidR="00666F5D" w:rsidRPr="002A5B4D" w:rsidRDefault="00F93C60" w:rsidP="002F461D">
            <w:pPr>
              <w:pStyle w:val="Tableheading"/>
            </w:pPr>
            <w:r>
              <w:t>(less ambitious)</w:t>
            </w:r>
          </w:p>
        </w:tc>
        <w:tc>
          <w:tcPr>
            <w:tcW w:w="2276" w:type="dxa"/>
            <w:shd w:val="clear" w:color="auto" w:fill="2F598B"/>
          </w:tcPr>
          <w:p w:rsidR="00666F5D" w:rsidRPr="002A5B4D" w:rsidRDefault="00666F5D" w:rsidP="002F461D">
            <w:pPr>
              <w:pStyle w:val="Tableheading"/>
            </w:pPr>
            <w:r w:rsidRPr="002A5B4D">
              <w:t>Intermediate</w:t>
            </w:r>
          </w:p>
        </w:tc>
        <w:tc>
          <w:tcPr>
            <w:tcW w:w="2666" w:type="dxa"/>
            <w:shd w:val="clear" w:color="auto" w:fill="2F598B"/>
          </w:tcPr>
          <w:p w:rsidR="00666F5D" w:rsidRDefault="00666F5D" w:rsidP="002F461D">
            <w:pPr>
              <w:pStyle w:val="Tableheading"/>
            </w:pPr>
            <w:r w:rsidRPr="002A5B4D">
              <w:t>Maximum</w:t>
            </w:r>
          </w:p>
          <w:p w:rsidR="00F93C60" w:rsidRPr="002A5B4D" w:rsidRDefault="00F93C60" w:rsidP="002F461D">
            <w:pPr>
              <w:pStyle w:val="Tableheading"/>
            </w:pPr>
            <w:r>
              <w:t>(more ambitious)</w:t>
            </w:r>
          </w:p>
        </w:tc>
      </w:tr>
      <w:tr w:rsidR="00666F5D" w:rsidRPr="002A5B4D" w:rsidTr="005569E5">
        <w:trPr>
          <w:cantSplit/>
        </w:trPr>
        <w:tc>
          <w:tcPr>
            <w:tcW w:w="1449" w:type="dxa"/>
            <w:shd w:val="clear" w:color="auto" w:fill="DBE5F1"/>
          </w:tcPr>
          <w:p w:rsidR="00666F5D" w:rsidRPr="002A5B4D" w:rsidRDefault="00666F5D" w:rsidP="002F461D">
            <w:pPr>
              <w:pStyle w:val="TableText"/>
            </w:pPr>
            <w:r w:rsidRPr="002A5B4D">
              <w:t>Potential Scope</w:t>
            </w:r>
          </w:p>
        </w:tc>
        <w:tc>
          <w:tcPr>
            <w:tcW w:w="2625" w:type="dxa"/>
          </w:tcPr>
          <w:p w:rsidR="00666F5D" w:rsidRPr="002A5B4D" w:rsidRDefault="00666F5D" w:rsidP="002F461D">
            <w:pPr>
              <w:pStyle w:val="TableText"/>
            </w:pPr>
            <w:r w:rsidRPr="002A5B4D">
              <w:t xml:space="preserve">A community-based facility that re-provides the original Park View services, meets minimum statutory requirements </w:t>
            </w:r>
          </w:p>
        </w:tc>
        <w:tc>
          <w:tcPr>
            <w:tcW w:w="2276" w:type="dxa"/>
          </w:tcPr>
          <w:p w:rsidR="00666F5D" w:rsidRPr="002A5B4D" w:rsidRDefault="00666F5D" w:rsidP="002F461D">
            <w:pPr>
              <w:pStyle w:val="TableText"/>
            </w:pPr>
            <w:r w:rsidRPr="002A5B4D">
              <w:t>A community-based facility that supports GMS sustainability, meets statutory requirements, best practice models and addresses service model and known capacity issues</w:t>
            </w:r>
          </w:p>
        </w:tc>
        <w:tc>
          <w:tcPr>
            <w:tcW w:w="2666" w:type="dxa"/>
          </w:tcPr>
          <w:p w:rsidR="00666F5D" w:rsidRPr="002A5B4D" w:rsidRDefault="00666F5D" w:rsidP="002F461D">
            <w:pPr>
              <w:pStyle w:val="TableText"/>
            </w:pPr>
            <w:r w:rsidRPr="002A5B4D">
              <w:t>A community-based facility that supports GMS sustainability, meets statutory requirements, best practice models and addresses service model, known capacity issues and improves clinical flows along with providing a better social model of health for the community and wider cluster population</w:t>
            </w:r>
          </w:p>
        </w:tc>
      </w:tr>
      <w:tr w:rsidR="00666F5D" w:rsidRPr="002A5B4D" w:rsidTr="005569E5">
        <w:trPr>
          <w:cantSplit/>
        </w:trPr>
        <w:tc>
          <w:tcPr>
            <w:tcW w:w="1449" w:type="dxa"/>
            <w:shd w:val="clear" w:color="auto" w:fill="DBE5F1" w:themeFill="accent1" w:themeFillTint="33"/>
          </w:tcPr>
          <w:p w:rsidR="00666F5D" w:rsidRPr="002A5B4D" w:rsidRDefault="00666F5D" w:rsidP="002F461D">
            <w:pPr>
              <w:pStyle w:val="TableText"/>
            </w:pPr>
            <w:r w:rsidRPr="002A5B4D">
              <w:t>Key Service Requirements</w:t>
            </w:r>
          </w:p>
        </w:tc>
        <w:tc>
          <w:tcPr>
            <w:tcW w:w="2625" w:type="dxa"/>
          </w:tcPr>
          <w:p w:rsidR="00666F5D" w:rsidRPr="002A5B4D" w:rsidRDefault="00666F5D" w:rsidP="002F461D">
            <w:pPr>
              <w:pStyle w:val="TableText"/>
            </w:pPr>
            <w:r w:rsidRPr="002A5B4D">
              <w:t>Sized to meet current demand</w:t>
            </w:r>
          </w:p>
        </w:tc>
        <w:tc>
          <w:tcPr>
            <w:tcW w:w="2276" w:type="dxa"/>
          </w:tcPr>
          <w:p w:rsidR="00666F5D" w:rsidRPr="002A5B4D" w:rsidRDefault="00666F5D" w:rsidP="002F461D">
            <w:pPr>
              <w:pStyle w:val="TableText"/>
            </w:pPr>
            <w:r w:rsidRPr="002A5B4D">
              <w:t>Sized to meet current and projected future demand</w:t>
            </w:r>
          </w:p>
        </w:tc>
        <w:tc>
          <w:tcPr>
            <w:tcW w:w="2666" w:type="dxa"/>
          </w:tcPr>
          <w:p w:rsidR="00666F5D" w:rsidRPr="002A5B4D" w:rsidRDefault="00666F5D" w:rsidP="002F461D">
            <w:pPr>
              <w:pStyle w:val="TableText"/>
            </w:pPr>
            <w:r w:rsidRPr="002A5B4D">
              <w:t>Sized to meet current and projected future demand</w:t>
            </w:r>
          </w:p>
        </w:tc>
      </w:tr>
    </w:tbl>
    <w:p w:rsidR="00666F5D" w:rsidRDefault="00666F5D" w:rsidP="002F461D">
      <w:pPr>
        <w:pStyle w:val="NumberedHeading2"/>
      </w:pPr>
      <w:bookmarkStart w:id="17" w:name="_Toc503939112"/>
      <w:bookmarkStart w:id="18" w:name="_Toc196906657"/>
    </w:p>
    <w:p w:rsidR="00BA2CB6" w:rsidRPr="00CF5460" w:rsidRDefault="00BA2CB6" w:rsidP="00CF5460">
      <w:pPr>
        <w:jc w:val="both"/>
        <w:rPr>
          <w:rFonts w:cs="Arial"/>
          <w:sz w:val="22"/>
          <w:szCs w:val="22"/>
        </w:rPr>
      </w:pPr>
      <w:r>
        <w:rPr>
          <w:rFonts w:cs="Arial"/>
          <w:noProof/>
          <w:sz w:val="22"/>
          <w:szCs w:val="22"/>
        </w:rPr>
        <w:t xml:space="preserve">The design of the facility </w:t>
      </w:r>
      <w:r w:rsidRPr="00BA2CB6">
        <w:rPr>
          <w:rFonts w:cs="Arial"/>
          <w:noProof/>
          <w:sz w:val="22"/>
          <w:szCs w:val="22"/>
        </w:rPr>
        <w:t xml:space="preserve">allows </w:t>
      </w:r>
      <w:r>
        <w:rPr>
          <w:rFonts w:cs="Arial"/>
          <w:noProof/>
          <w:sz w:val="22"/>
          <w:szCs w:val="22"/>
        </w:rPr>
        <w:t xml:space="preserve">for </w:t>
      </w:r>
      <w:r w:rsidRPr="00BA2CB6">
        <w:rPr>
          <w:rFonts w:cs="Arial"/>
          <w:noProof/>
          <w:sz w:val="22"/>
          <w:szCs w:val="22"/>
        </w:rPr>
        <w:t>multiple uses for room functionality and adaptability across specialties or patient groups and by integrating intelligent building practices and digital technology can support a collaborative working approach across sectors that will improve communication, save time, reduce duplication of effort, improve working relationships and provide a better experience for people who use health and social care services whilst creating efficiencies in utilisation across the accommodation. Many services will operationally book the rooms they need when they need them rather than create pockets of service specific accommodation that cannot be utilised by other services at any given time.</w:t>
      </w:r>
    </w:p>
    <w:p w:rsidR="00BA2CB6" w:rsidRPr="00BA2CB6" w:rsidRDefault="00BA2CB6" w:rsidP="00CF5460">
      <w:pPr>
        <w:pStyle w:val="BodyText1"/>
      </w:pPr>
    </w:p>
    <w:p w:rsidR="00666F5D" w:rsidRPr="002A5B4D" w:rsidRDefault="00666F5D" w:rsidP="002F461D">
      <w:pPr>
        <w:pStyle w:val="NumberedHeading2"/>
      </w:pPr>
      <w:r w:rsidRPr="002A5B4D">
        <w:t>Main Benefits</w:t>
      </w:r>
      <w:bookmarkEnd w:id="17"/>
      <w:bookmarkEnd w:id="18"/>
    </w:p>
    <w:p w:rsidR="00AF29F7" w:rsidRDefault="007E10C1" w:rsidP="002F461D">
      <w:pPr>
        <w:pStyle w:val="BodyText1"/>
        <w:rPr>
          <w:rFonts w:cs="Arial"/>
          <w:szCs w:val="22"/>
        </w:rPr>
      </w:pPr>
      <w:r>
        <w:t>T</w:t>
      </w:r>
      <w:r w:rsidR="00666F5D" w:rsidRPr="002A5B4D">
        <w:t>he project seeks to generate real and significant beneficial synergies for all those involved and is a fundamental part of delivering the benefits of the overarching SOFW programme</w:t>
      </w:r>
      <w:r w:rsidR="00BE2B77">
        <w:t>.</w:t>
      </w:r>
      <w:r w:rsidR="00666F5D" w:rsidRPr="002A5B4D">
        <w:t xml:space="preserve"> </w:t>
      </w:r>
      <w:r w:rsidR="00AF29F7">
        <w:t xml:space="preserve">The business case </w:t>
      </w:r>
      <w:r w:rsidR="00666F5D" w:rsidRPr="002A5B4D">
        <w:t>shows the key strategic and operational</w:t>
      </w:r>
      <w:r w:rsidR="00AF29F7">
        <w:t>,</w:t>
      </w:r>
      <w:r w:rsidR="00666F5D" w:rsidRPr="002A5B4D">
        <w:t xml:space="preserve"> </w:t>
      </w:r>
      <w:r w:rsidR="00AF29F7">
        <w:t xml:space="preserve">patient and staff </w:t>
      </w:r>
      <w:r w:rsidR="00666F5D" w:rsidRPr="002A5B4D">
        <w:t>benefits associated with the implementation of the potential scope in relation to business as outlined by the Cardiff South West cluster.</w:t>
      </w:r>
      <w:r w:rsidR="00AF29F7">
        <w:t xml:space="preserve"> </w:t>
      </w:r>
      <w:r w:rsidR="00F93C60" w:rsidRPr="00BE2B77">
        <w:rPr>
          <w:rFonts w:cs="Arial"/>
          <w:szCs w:val="22"/>
        </w:rPr>
        <w:t xml:space="preserve">The Benefits are </w:t>
      </w:r>
      <w:r w:rsidR="00F93C60" w:rsidRPr="00BE2B77">
        <w:rPr>
          <w:rFonts w:cs="Arial"/>
          <w:noProof w:val="0"/>
          <w:szCs w:val="22"/>
        </w:rPr>
        <w:t xml:space="preserve">detailed in section 2.8 with the Benefits </w:t>
      </w:r>
      <w:r w:rsidR="00F93C60" w:rsidRPr="00CF5460">
        <w:rPr>
          <w:rFonts w:cs="Arial"/>
          <w:noProof w:val="0"/>
          <w:szCs w:val="22"/>
          <w:lang w:val="en-GB"/>
        </w:rPr>
        <w:t>Realisation</w:t>
      </w:r>
      <w:r w:rsidR="00F93C60" w:rsidRPr="00BE2B77">
        <w:rPr>
          <w:rFonts w:cs="Arial"/>
          <w:noProof w:val="0"/>
          <w:szCs w:val="22"/>
        </w:rPr>
        <w:t xml:space="preserve"> Plan at Appendix 11 of the FBC</w:t>
      </w:r>
      <w:r w:rsidR="00F93C60">
        <w:rPr>
          <w:rFonts w:cs="Arial"/>
          <w:szCs w:val="22"/>
        </w:rPr>
        <w:t xml:space="preserve">. </w:t>
      </w:r>
    </w:p>
    <w:p w:rsidR="00A1470F" w:rsidRPr="002A5B4D" w:rsidRDefault="00A1470F" w:rsidP="002F461D">
      <w:pPr>
        <w:pStyle w:val="BodyText1"/>
      </w:pPr>
    </w:p>
    <w:p w:rsidR="00BA2CB6" w:rsidRDefault="00666F5D" w:rsidP="002F461D">
      <w:pPr>
        <w:pStyle w:val="BodyText1"/>
      </w:pPr>
      <w:r>
        <w:t>The arrangements for the realisation of benefits are detailed within the Management Case section of this business case with community benefits through the construction phase referenced within the Commercial Case.</w:t>
      </w:r>
    </w:p>
    <w:p w:rsidR="00F21B2D" w:rsidRPr="002A5B4D" w:rsidRDefault="00BE45C4" w:rsidP="000406C6">
      <w:pPr>
        <w:pStyle w:val="Heading1"/>
        <w:numPr>
          <w:ilvl w:val="0"/>
          <w:numId w:val="2"/>
        </w:numPr>
        <w:ind w:left="142"/>
        <w:rPr>
          <w:rFonts w:ascii="Arial" w:hAnsi="Arial" w:cs="Arial"/>
          <w:sz w:val="28"/>
          <w:szCs w:val="28"/>
        </w:rPr>
      </w:pPr>
      <w:bookmarkStart w:id="19" w:name="_Toc98945736"/>
      <w:bookmarkStart w:id="20" w:name="_Toc98946150"/>
      <w:bookmarkStart w:id="21" w:name="_Toc202972557"/>
      <w:r w:rsidRPr="002A5B4D">
        <w:rPr>
          <w:rFonts w:ascii="Arial" w:hAnsi="Arial" w:cs="Arial"/>
          <w:sz w:val="28"/>
          <w:szCs w:val="28"/>
        </w:rPr>
        <w:t>Option A</w:t>
      </w:r>
      <w:r w:rsidR="00F21B2D" w:rsidRPr="002A5B4D">
        <w:rPr>
          <w:rFonts w:ascii="Arial" w:hAnsi="Arial" w:cs="Arial"/>
          <w:sz w:val="28"/>
          <w:szCs w:val="28"/>
        </w:rPr>
        <w:t>ppraisal</w:t>
      </w:r>
      <w:bookmarkEnd w:id="19"/>
      <w:bookmarkEnd w:id="20"/>
      <w:bookmarkEnd w:id="21"/>
    </w:p>
    <w:p w:rsidR="003C1C6E" w:rsidRPr="002A5B4D" w:rsidRDefault="003C1C6E" w:rsidP="2F0801C2">
      <w:pPr>
        <w:jc w:val="both"/>
        <w:rPr>
          <w:rFonts w:cs="Arial"/>
          <w:i/>
          <w:iCs/>
          <w:noProof/>
          <w:color w:val="00B050"/>
          <w:sz w:val="20"/>
          <w:szCs w:val="20"/>
        </w:rPr>
      </w:pPr>
    </w:p>
    <w:p w:rsidR="002F461D" w:rsidRDefault="00D80002" w:rsidP="2F0801C2">
      <w:pPr>
        <w:jc w:val="both"/>
        <w:rPr>
          <w:rFonts w:cs="Arial"/>
          <w:noProof/>
          <w:sz w:val="22"/>
          <w:szCs w:val="22"/>
        </w:rPr>
      </w:pPr>
      <w:r w:rsidRPr="00A1470F">
        <w:rPr>
          <w:rFonts w:eastAsia="MS Mincho"/>
          <w:noProof/>
          <w:color w:val="000000" w:themeColor="text1"/>
          <w:sz w:val="22"/>
          <w:szCs w:val="22"/>
          <w:lang w:val="en-US"/>
          <w14:ligatures w14:val="standardContextual"/>
        </w:rPr>
        <w:t xml:space="preserve">In accordance with the Infrastructure Investment Guidance and requirements of HM Treasury’s Green Book (A Guide to Investment Appraisal in the Public Sector), the Economic Case </w:t>
      </w:r>
      <w:r w:rsidR="00B80A2E">
        <w:rPr>
          <w:rFonts w:eastAsia="MS Mincho"/>
          <w:noProof/>
          <w:color w:val="000000" w:themeColor="text1"/>
          <w:sz w:val="22"/>
          <w:szCs w:val="22"/>
          <w:lang w:val="en-US"/>
          <w14:ligatures w14:val="standardContextual"/>
        </w:rPr>
        <w:t>(S</w:t>
      </w:r>
      <w:r w:rsidRPr="00A1470F">
        <w:rPr>
          <w:rFonts w:eastAsia="MS Mincho"/>
          <w:noProof/>
          <w:color w:val="000000" w:themeColor="text1"/>
          <w:sz w:val="22"/>
          <w:szCs w:val="22"/>
          <w:lang w:val="en-US"/>
          <w14:ligatures w14:val="standardContextual"/>
        </w:rPr>
        <w:t xml:space="preserve">ection </w:t>
      </w:r>
      <w:r w:rsidR="00B80A2E">
        <w:rPr>
          <w:rFonts w:eastAsia="MS Mincho"/>
          <w:noProof/>
          <w:color w:val="000000" w:themeColor="text1"/>
          <w:sz w:val="22"/>
          <w:szCs w:val="22"/>
          <w:lang w:val="en-US"/>
          <w14:ligatures w14:val="standardContextual"/>
        </w:rPr>
        <w:t xml:space="preserve">3) </w:t>
      </w:r>
      <w:r w:rsidRPr="00A1470F">
        <w:rPr>
          <w:rFonts w:eastAsia="MS Mincho"/>
          <w:noProof/>
          <w:color w:val="000000" w:themeColor="text1"/>
          <w:sz w:val="22"/>
          <w:szCs w:val="22"/>
          <w:lang w:val="en-US"/>
          <w14:ligatures w14:val="standardContextual"/>
        </w:rPr>
        <w:t>of the FBC reaffirms the OBC stage the preferred way forward, which best meets the Health Boards service needs and optimises value for money.</w:t>
      </w:r>
    </w:p>
    <w:p w:rsidR="002F461D" w:rsidRPr="00AD10A9" w:rsidRDefault="002F461D" w:rsidP="2F0801C2">
      <w:pPr>
        <w:jc w:val="both"/>
        <w:rPr>
          <w:rFonts w:cs="Arial"/>
          <w:noProof/>
          <w:sz w:val="22"/>
          <w:szCs w:val="22"/>
        </w:rPr>
      </w:pPr>
    </w:p>
    <w:p w:rsidR="00D80002" w:rsidRPr="00AD10A9" w:rsidRDefault="00D80002" w:rsidP="2F0801C2">
      <w:pPr>
        <w:jc w:val="both"/>
        <w:rPr>
          <w:rFonts w:cs="Arial"/>
          <w:b/>
          <w:bCs/>
          <w:noProof/>
          <w:sz w:val="22"/>
          <w:szCs w:val="22"/>
        </w:rPr>
      </w:pPr>
      <w:r w:rsidRPr="2F0801C2">
        <w:rPr>
          <w:rFonts w:cs="Arial"/>
          <w:b/>
          <w:bCs/>
          <w:noProof/>
          <w:sz w:val="22"/>
          <w:szCs w:val="22"/>
        </w:rPr>
        <w:t xml:space="preserve">Preferred </w:t>
      </w:r>
      <w:r w:rsidR="00F37801">
        <w:rPr>
          <w:rFonts w:cs="Arial"/>
          <w:b/>
          <w:bCs/>
          <w:noProof/>
          <w:sz w:val="22"/>
          <w:szCs w:val="22"/>
        </w:rPr>
        <w:t>Option</w:t>
      </w:r>
    </w:p>
    <w:p w:rsidR="00F93C60" w:rsidRDefault="005E5515" w:rsidP="2F0801C2">
      <w:pPr>
        <w:jc w:val="both"/>
        <w:rPr>
          <w:rFonts w:cs="Arial"/>
          <w:sz w:val="22"/>
          <w:szCs w:val="22"/>
        </w:rPr>
      </w:pPr>
      <w:r w:rsidRPr="2F0801C2">
        <w:rPr>
          <w:rFonts w:cs="Arial"/>
          <w:sz w:val="22"/>
          <w:szCs w:val="22"/>
        </w:rPr>
        <w:t xml:space="preserve">The economic appraisal of the shortlisted options that was undertaken at the OBC stage concluded with a clear preference for </w:t>
      </w:r>
      <w:r w:rsidR="00F93C60">
        <w:rPr>
          <w:rFonts w:cs="Arial"/>
          <w:sz w:val="22"/>
          <w:szCs w:val="22"/>
        </w:rPr>
        <w:t>the more ambitious o</w:t>
      </w:r>
      <w:r w:rsidRPr="2F0801C2">
        <w:rPr>
          <w:rFonts w:cs="Arial"/>
          <w:sz w:val="22"/>
          <w:szCs w:val="22"/>
        </w:rPr>
        <w:t xml:space="preserve">ption. </w:t>
      </w:r>
    </w:p>
    <w:p w:rsidR="00F93C60" w:rsidRDefault="00F93C60" w:rsidP="2F0801C2">
      <w:pPr>
        <w:jc w:val="both"/>
        <w:rPr>
          <w:rFonts w:cs="Arial"/>
          <w:sz w:val="22"/>
          <w:szCs w:val="22"/>
        </w:rPr>
      </w:pPr>
    </w:p>
    <w:p w:rsidR="00F93C60" w:rsidRDefault="00F93C60" w:rsidP="002F461D">
      <w:pPr>
        <w:pStyle w:val="Bullet1"/>
      </w:pPr>
      <w:r w:rsidRPr="2F0801C2">
        <w:t>More ambitious – as intermediate option plus an increased or additional provision in local services, new outpatient clinics and cluster delivered services</w:t>
      </w:r>
      <w:r w:rsidR="005E5515" w:rsidRPr="2F0801C2">
        <w:t xml:space="preserve"> </w:t>
      </w:r>
    </w:p>
    <w:p w:rsidR="00F93C60" w:rsidRDefault="00F93C60" w:rsidP="2F0801C2">
      <w:pPr>
        <w:jc w:val="both"/>
        <w:rPr>
          <w:rFonts w:cs="Arial"/>
          <w:sz w:val="22"/>
          <w:szCs w:val="22"/>
        </w:rPr>
      </w:pPr>
    </w:p>
    <w:p w:rsidR="00EF5F98" w:rsidRPr="00AD10A9" w:rsidRDefault="005E5515" w:rsidP="2F0801C2">
      <w:pPr>
        <w:jc w:val="both"/>
        <w:rPr>
          <w:rFonts w:cs="Arial"/>
          <w:sz w:val="22"/>
          <w:szCs w:val="22"/>
        </w:rPr>
      </w:pPr>
      <w:r w:rsidRPr="2F0801C2">
        <w:rPr>
          <w:rFonts w:cs="Arial"/>
          <w:sz w:val="22"/>
          <w:szCs w:val="22"/>
        </w:rPr>
        <w:t>However, to confirm that this option remains value for money and in line with updated cost information, a comprehensive investment appraisal has been undertaken during the development of this FBC for the preferred option against the do minimum as agreed with NHS Wales Shared Services Partnership – Specialist Estates Services (NWSSP-SES).</w:t>
      </w:r>
    </w:p>
    <w:p w:rsidR="00EF5F98" w:rsidRPr="00F37801" w:rsidRDefault="00EF5F98" w:rsidP="00F37801">
      <w:pPr>
        <w:rPr>
          <w:rFonts w:eastAsia="Calibri" w:cs="Arial"/>
          <w:sz w:val="22"/>
          <w:szCs w:val="22"/>
        </w:rPr>
      </w:pPr>
    </w:p>
    <w:p w:rsidR="00F36C96" w:rsidRPr="00B80A2E" w:rsidRDefault="0002212C" w:rsidP="000406C6">
      <w:pPr>
        <w:pStyle w:val="Heading2"/>
        <w:numPr>
          <w:ilvl w:val="1"/>
          <w:numId w:val="3"/>
        </w:numPr>
        <w:rPr>
          <w:rStyle w:val="Heading2Char"/>
          <w:rFonts w:ascii="Arial" w:hAnsi="Arial" w:cs="Arial"/>
          <w:sz w:val="28"/>
          <w:szCs w:val="28"/>
        </w:rPr>
      </w:pPr>
      <w:bookmarkStart w:id="22" w:name="_Toc98945738"/>
      <w:bookmarkStart w:id="23" w:name="_Toc98946152"/>
      <w:bookmarkStart w:id="24" w:name="_Toc202972558"/>
      <w:r w:rsidRPr="00B80A2E">
        <w:rPr>
          <w:rStyle w:val="Heading2Char"/>
          <w:rFonts w:ascii="Arial" w:hAnsi="Arial" w:cs="Arial"/>
          <w:sz w:val="28"/>
          <w:szCs w:val="28"/>
        </w:rPr>
        <w:t>Benefits</w:t>
      </w:r>
      <w:bookmarkEnd w:id="22"/>
      <w:bookmarkEnd w:id="23"/>
      <w:bookmarkEnd w:id="24"/>
    </w:p>
    <w:p w:rsidR="007262E8" w:rsidRPr="00AD10A9" w:rsidRDefault="007262E8" w:rsidP="2F0801C2">
      <w:pPr>
        <w:pStyle w:val="ListParagraph"/>
        <w:ind w:left="0"/>
        <w:rPr>
          <w:rFonts w:cs="Arial"/>
          <w:noProof/>
          <w:sz w:val="22"/>
          <w:szCs w:val="22"/>
        </w:rPr>
      </w:pPr>
    </w:p>
    <w:p w:rsidR="00E53B4C" w:rsidRPr="00BE2B77" w:rsidRDefault="00B80A2E" w:rsidP="00B80A2E">
      <w:pPr>
        <w:pStyle w:val="ListParagraph"/>
        <w:ind w:left="0"/>
        <w:rPr>
          <w:rFonts w:cs="Arial"/>
          <w:sz w:val="22"/>
          <w:szCs w:val="22"/>
        </w:rPr>
      </w:pPr>
      <w:r w:rsidRPr="00BE2B77">
        <w:rPr>
          <w:rFonts w:cs="Arial"/>
          <w:sz w:val="22"/>
          <w:szCs w:val="22"/>
        </w:rPr>
        <w:t xml:space="preserve">The </w:t>
      </w:r>
      <w:r w:rsidR="008D03CB">
        <w:rPr>
          <w:rFonts w:cs="Arial"/>
          <w:sz w:val="22"/>
          <w:szCs w:val="22"/>
        </w:rPr>
        <w:t>b</w:t>
      </w:r>
      <w:r w:rsidR="00A6714C" w:rsidRPr="00BE2B77">
        <w:rPr>
          <w:rFonts w:cs="Arial"/>
          <w:sz w:val="22"/>
          <w:szCs w:val="22"/>
        </w:rPr>
        <w:t xml:space="preserve">enefits are </w:t>
      </w:r>
      <w:r w:rsidRPr="00BE2B77">
        <w:rPr>
          <w:rFonts w:cs="Arial"/>
          <w:sz w:val="22"/>
          <w:szCs w:val="22"/>
        </w:rPr>
        <w:t>detailed in section 2.8 with the Benefits Realisation Plan at Appendix 11 of the FBC</w:t>
      </w:r>
    </w:p>
    <w:p w:rsidR="00DF2B0D" w:rsidRDefault="00DF2B0D" w:rsidP="00F37801">
      <w:pPr>
        <w:rPr>
          <w:rFonts w:cs="Arial"/>
          <w:sz w:val="20"/>
          <w:szCs w:val="20"/>
        </w:rPr>
      </w:pPr>
    </w:p>
    <w:p w:rsidR="004B64AF" w:rsidRPr="004B64AF" w:rsidRDefault="004B64AF" w:rsidP="004B64AF">
      <w:pPr>
        <w:rPr>
          <w:rFonts w:cs="Arial"/>
          <w:sz w:val="20"/>
          <w:szCs w:val="20"/>
        </w:rPr>
      </w:pPr>
    </w:p>
    <w:p w:rsidR="004B64AF" w:rsidRPr="00CF5460" w:rsidRDefault="00DE7337" w:rsidP="004B64AF">
      <w:pPr>
        <w:rPr>
          <w:rFonts w:cs="Arial"/>
          <w:sz w:val="22"/>
          <w:szCs w:val="22"/>
        </w:rPr>
      </w:pPr>
      <w:r w:rsidRPr="00CF5460">
        <w:rPr>
          <w:rFonts w:cs="Arial"/>
          <w:sz w:val="22"/>
          <w:szCs w:val="22"/>
        </w:rPr>
        <w:t>This</w:t>
      </w:r>
      <w:r w:rsidR="004B64AF" w:rsidRPr="00CF5460">
        <w:rPr>
          <w:rFonts w:cs="Arial"/>
          <w:sz w:val="22"/>
          <w:szCs w:val="22"/>
        </w:rPr>
        <w:t xml:space="preserve"> development </w:t>
      </w:r>
      <w:r w:rsidRPr="00CF5460">
        <w:rPr>
          <w:rFonts w:cs="Arial"/>
          <w:sz w:val="22"/>
          <w:szCs w:val="22"/>
        </w:rPr>
        <w:t xml:space="preserve">and </w:t>
      </w:r>
      <w:r w:rsidR="004B64AF" w:rsidRPr="00CF5460">
        <w:rPr>
          <w:rFonts w:cs="Arial"/>
          <w:sz w:val="22"/>
          <w:szCs w:val="22"/>
        </w:rPr>
        <w:t>provision within the</w:t>
      </w:r>
      <w:r w:rsidRPr="00CF5460">
        <w:rPr>
          <w:rFonts w:cs="Arial"/>
          <w:sz w:val="22"/>
          <w:szCs w:val="22"/>
        </w:rPr>
        <w:t xml:space="preserve"> </w:t>
      </w:r>
      <w:r w:rsidR="004B64AF" w:rsidRPr="00CF5460">
        <w:rPr>
          <w:rFonts w:cs="Arial"/>
          <w:sz w:val="22"/>
          <w:szCs w:val="22"/>
        </w:rPr>
        <w:t xml:space="preserve">area </w:t>
      </w:r>
      <w:r w:rsidR="00F32228">
        <w:rPr>
          <w:rFonts w:cs="Arial"/>
          <w:sz w:val="22"/>
          <w:szCs w:val="22"/>
        </w:rPr>
        <w:t>will</w:t>
      </w:r>
      <w:r w:rsidR="004B64AF" w:rsidRPr="00CF5460">
        <w:rPr>
          <w:rFonts w:cs="Arial"/>
          <w:sz w:val="22"/>
          <w:szCs w:val="22"/>
        </w:rPr>
        <w:t xml:space="preserve"> provide modern, sustainable, accessible and integrated health</w:t>
      </w:r>
      <w:r w:rsidR="00A819E8">
        <w:rPr>
          <w:rFonts w:cs="Arial"/>
          <w:sz w:val="22"/>
          <w:szCs w:val="22"/>
        </w:rPr>
        <w:t xml:space="preserve"> and </w:t>
      </w:r>
      <w:r w:rsidR="004B64AF" w:rsidRPr="00CF5460">
        <w:rPr>
          <w:rFonts w:cs="Arial"/>
          <w:sz w:val="22"/>
          <w:szCs w:val="22"/>
        </w:rPr>
        <w:t>care services not</w:t>
      </w:r>
      <w:r w:rsidRPr="00CF5460">
        <w:rPr>
          <w:rFonts w:cs="Arial"/>
          <w:sz w:val="22"/>
          <w:szCs w:val="22"/>
        </w:rPr>
        <w:t xml:space="preserve"> </w:t>
      </w:r>
      <w:r w:rsidR="004B64AF" w:rsidRPr="00CF5460">
        <w:rPr>
          <w:rFonts w:cs="Arial"/>
          <w:sz w:val="22"/>
          <w:szCs w:val="22"/>
        </w:rPr>
        <w:t xml:space="preserve">only for residents of the Cardiff </w:t>
      </w:r>
      <w:proofErr w:type="gramStart"/>
      <w:r w:rsidR="004B64AF" w:rsidRPr="00CF5460">
        <w:rPr>
          <w:rFonts w:cs="Arial"/>
          <w:sz w:val="22"/>
          <w:szCs w:val="22"/>
        </w:rPr>
        <w:t>South West</w:t>
      </w:r>
      <w:proofErr w:type="gramEnd"/>
      <w:r w:rsidRPr="00CF5460">
        <w:rPr>
          <w:rFonts w:cs="Arial"/>
          <w:sz w:val="22"/>
          <w:szCs w:val="22"/>
        </w:rPr>
        <w:t xml:space="preserve"> </w:t>
      </w:r>
      <w:r w:rsidR="004B64AF" w:rsidRPr="00CF5460">
        <w:rPr>
          <w:rFonts w:cs="Arial"/>
          <w:sz w:val="22"/>
          <w:szCs w:val="22"/>
        </w:rPr>
        <w:t>Cluster but also having the potential to support</w:t>
      </w:r>
      <w:r w:rsidRPr="00CF5460">
        <w:rPr>
          <w:rFonts w:cs="Arial"/>
          <w:sz w:val="22"/>
          <w:szCs w:val="22"/>
        </w:rPr>
        <w:t xml:space="preserve"> </w:t>
      </w:r>
      <w:r w:rsidR="004B64AF" w:rsidRPr="00CF5460">
        <w:rPr>
          <w:rFonts w:cs="Arial"/>
          <w:sz w:val="22"/>
          <w:szCs w:val="22"/>
        </w:rPr>
        <w:t>the alignment of the Health Board’s Shaping</w:t>
      </w:r>
      <w:r w:rsidRPr="00CF5460">
        <w:rPr>
          <w:rFonts w:cs="Arial"/>
          <w:sz w:val="22"/>
          <w:szCs w:val="22"/>
        </w:rPr>
        <w:t xml:space="preserve"> </w:t>
      </w:r>
      <w:r w:rsidR="004B64AF" w:rsidRPr="00CF5460">
        <w:rPr>
          <w:rFonts w:cs="Arial"/>
          <w:sz w:val="22"/>
          <w:szCs w:val="22"/>
        </w:rPr>
        <w:t>Our Future Wellbeing strategy</w:t>
      </w:r>
      <w:r w:rsidR="003C0B7B">
        <w:rPr>
          <w:rFonts w:cs="Arial"/>
          <w:sz w:val="22"/>
          <w:szCs w:val="22"/>
        </w:rPr>
        <w:t>. This</w:t>
      </w:r>
      <w:r w:rsidR="004B64AF" w:rsidRPr="00CF5460">
        <w:rPr>
          <w:rFonts w:cs="Arial"/>
          <w:sz w:val="22"/>
          <w:szCs w:val="22"/>
        </w:rPr>
        <w:t xml:space="preserve"> includes</w:t>
      </w:r>
      <w:r w:rsidRPr="00CF5460">
        <w:rPr>
          <w:rFonts w:cs="Arial"/>
          <w:sz w:val="22"/>
          <w:szCs w:val="22"/>
        </w:rPr>
        <w:t xml:space="preserve"> </w:t>
      </w:r>
      <w:r w:rsidR="004B64AF" w:rsidRPr="00CF5460">
        <w:rPr>
          <w:rFonts w:cs="Arial"/>
          <w:sz w:val="22"/>
          <w:szCs w:val="22"/>
        </w:rPr>
        <w:t>the transformation of service delivery</w:t>
      </w:r>
      <w:r w:rsidR="003C0B7B">
        <w:rPr>
          <w:rFonts w:cs="Arial"/>
          <w:sz w:val="22"/>
          <w:szCs w:val="22"/>
        </w:rPr>
        <w:t>,</w:t>
      </w:r>
      <w:r w:rsidR="004B64AF" w:rsidRPr="00CF5460">
        <w:rPr>
          <w:rFonts w:cs="Arial"/>
          <w:sz w:val="22"/>
          <w:szCs w:val="22"/>
        </w:rPr>
        <w:t xml:space="preserve"> rebalanced to </w:t>
      </w:r>
      <w:r w:rsidR="008F6982">
        <w:rPr>
          <w:rFonts w:cs="Arial"/>
          <w:sz w:val="22"/>
          <w:szCs w:val="22"/>
        </w:rPr>
        <w:t xml:space="preserve">the </w:t>
      </w:r>
      <w:r w:rsidR="004B64AF" w:rsidRPr="00CF5460">
        <w:rPr>
          <w:rFonts w:cs="Arial"/>
          <w:sz w:val="22"/>
          <w:szCs w:val="22"/>
        </w:rPr>
        <w:t xml:space="preserve">community </w:t>
      </w:r>
      <w:r w:rsidR="008F6982">
        <w:rPr>
          <w:rFonts w:cs="Arial"/>
          <w:sz w:val="22"/>
          <w:szCs w:val="22"/>
        </w:rPr>
        <w:t>and</w:t>
      </w:r>
      <w:r w:rsidR="004B64AF" w:rsidRPr="00CF5460">
        <w:rPr>
          <w:rFonts w:cs="Arial"/>
          <w:sz w:val="22"/>
          <w:szCs w:val="22"/>
        </w:rPr>
        <w:t xml:space="preserve"> bringing services closer to people’s home across the wider locality.</w:t>
      </w:r>
    </w:p>
    <w:p w:rsidR="00DE7337" w:rsidRPr="00CF5460" w:rsidRDefault="00DE7337" w:rsidP="004B64AF">
      <w:pPr>
        <w:rPr>
          <w:rFonts w:cs="Arial"/>
          <w:sz w:val="22"/>
          <w:szCs w:val="22"/>
        </w:rPr>
      </w:pPr>
    </w:p>
    <w:p w:rsidR="004B64AF" w:rsidRPr="00CF5460" w:rsidRDefault="004B64AF" w:rsidP="004B64AF">
      <w:pPr>
        <w:rPr>
          <w:rFonts w:cs="Arial"/>
          <w:sz w:val="22"/>
          <w:szCs w:val="22"/>
        </w:rPr>
      </w:pPr>
      <w:r w:rsidRPr="00CF5460">
        <w:rPr>
          <w:rFonts w:cs="Arial"/>
          <w:sz w:val="22"/>
          <w:szCs w:val="22"/>
        </w:rPr>
        <w:t xml:space="preserve">Patients will benefit from improved and actively supported </w:t>
      </w:r>
      <w:r w:rsidR="00474D03">
        <w:rPr>
          <w:rFonts w:cs="Arial"/>
          <w:sz w:val="22"/>
          <w:szCs w:val="22"/>
        </w:rPr>
        <w:t xml:space="preserve">access to </w:t>
      </w:r>
      <w:r w:rsidRPr="00CF5460">
        <w:rPr>
          <w:rFonts w:cs="Arial"/>
          <w:sz w:val="22"/>
          <w:szCs w:val="22"/>
        </w:rPr>
        <w:t>health, social care, and other community and wellbeing services,</w:t>
      </w:r>
      <w:r w:rsidR="00F32228">
        <w:rPr>
          <w:rFonts w:cs="Arial"/>
          <w:sz w:val="22"/>
          <w:szCs w:val="22"/>
        </w:rPr>
        <w:t xml:space="preserve"> </w:t>
      </w:r>
      <w:r w:rsidRPr="00CF5460">
        <w:rPr>
          <w:rFonts w:cs="Arial"/>
          <w:sz w:val="22"/>
          <w:szCs w:val="22"/>
        </w:rPr>
        <w:t>with resource focused where the need is highest</w:t>
      </w:r>
      <w:r w:rsidR="00941BC7">
        <w:rPr>
          <w:rFonts w:cs="Arial"/>
          <w:sz w:val="22"/>
          <w:szCs w:val="22"/>
        </w:rPr>
        <w:t>. This will</w:t>
      </w:r>
      <w:r w:rsidRPr="00CF5460">
        <w:rPr>
          <w:rFonts w:cs="Arial"/>
          <w:sz w:val="22"/>
          <w:szCs w:val="22"/>
        </w:rPr>
        <w:t xml:space="preserve"> lead to improved</w:t>
      </w:r>
      <w:r w:rsidR="00F32228">
        <w:rPr>
          <w:rFonts w:cs="Arial"/>
          <w:sz w:val="22"/>
          <w:szCs w:val="22"/>
        </w:rPr>
        <w:t xml:space="preserve"> </w:t>
      </w:r>
      <w:r w:rsidRPr="00CF5460">
        <w:rPr>
          <w:rFonts w:cs="Arial"/>
          <w:sz w:val="22"/>
          <w:szCs w:val="22"/>
        </w:rPr>
        <w:t>population health outcomes and reductions in health inequalities across Cardiff</w:t>
      </w:r>
      <w:r w:rsidR="00941BC7">
        <w:rPr>
          <w:rFonts w:cs="Arial"/>
          <w:sz w:val="22"/>
          <w:szCs w:val="22"/>
        </w:rPr>
        <w:t xml:space="preserve">, </w:t>
      </w:r>
      <w:r w:rsidRPr="00CF5460">
        <w:rPr>
          <w:rFonts w:cs="Arial"/>
          <w:sz w:val="22"/>
          <w:szCs w:val="22"/>
        </w:rPr>
        <w:t>by offering</w:t>
      </w:r>
      <w:r w:rsidR="00F32228">
        <w:rPr>
          <w:rFonts w:cs="Arial"/>
          <w:sz w:val="22"/>
          <w:szCs w:val="22"/>
        </w:rPr>
        <w:t xml:space="preserve"> </w:t>
      </w:r>
      <w:r w:rsidRPr="00CF5460">
        <w:rPr>
          <w:rFonts w:cs="Arial"/>
          <w:sz w:val="22"/>
          <w:szCs w:val="22"/>
        </w:rPr>
        <w:t>co-located services with other public services</w:t>
      </w:r>
      <w:r w:rsidR="003D1247">
        <w:rPr>
          <w:rFonts w:cs="Arial"/>
          <w:sz w:val="22"/>
          <w:szCs w:val="22"/>
        </w:rPr>
        <w:t xml:space="preserve"> in</w:t>
      </w:r>
      <w:r w:rsidRPr="00CF5460">
        <w:rPr>
          <w:rFonts w:cs="Arial"/>
          <w:sz w:val="22"/>
          <w:szCs w:val="22"/>
        </w:rPr>
        <w:t xml:space="preserve"> a</w:t>
      </w:r>
      <w:r w:rsidR="00F32228">
        <w:rPr>
          <w:rFonts w:cs="Arial"/>
          <w:sz w:val="22"/>
          <w:szCs w:val="22"/>
        </w:rPr>
        <w:t xml:space="preserve"> </w:t>
      </w:r>
      <w:r w:rsidRPr="00CF5460">
        <w:rPr>
          <w:rFonts w:cs="Arial"/>
          <w:sz w:val="22"/>
          <w:szCs w:val="22"/>
        </w:rPr>
        <w:t>fully integrated model with a single point of</w:t>
      </w:r>
      <w:r w:rsidR="00F32228">
        <w:rPr>
          <w:rFonts w:cs="Arial"/>
          <w:sz w:val="22"/>
          <w:szCs w:val="22"/>
        </w:rPr>
        <w:t xml:space="preserve"> </w:t>
      </w:r>
      <w:r w:rsidRPr="00CF5460">
        <w:rPr>
          <w:rFonts w:cs="Arial"/>
          <w:sz w:val="22"/>
          <w:szCs w:val="22"/>
        </w:rPr>
        <w:t xml:space="preserve">access </w:t>
      </w:r>
      <w:r w:rsidR="00F62BE0">
        <w:rPr>
          <w:rFonts w:cs="Arial"/>
          <w:sz w:val="22"/>
          <w:szCs w:val="22"/>
        </w:rPr>
        <w:t xml:space="preserve">that </w:t>
      </w:r>
      <w:r w:rsidRPr="00CF5460">
        <w:rPr>
          <w:rFonts w:cs="Arial"/>
          <w:sz w:val="22"/>
          <w:szCs w:val="22"/>
        </w:rPr>
        <w:t>can be achieved within enhanced</w:t>
      </w:r>
      <w:r w:rsidR="00F32228">
        <w:rPr>
          <w:rFonts w:cs="Arial"/>
          <w:sz w:val="22"/>
          <w:szCs w:val="22"/>
        </w:rPr>
        <w:t xml:space="preserve"> </w:t>
      </w:r>
      <w:r w:rsidRPr="00CF5460">
        <w:rPr>
          <w:rFonts w:cs="Arial"/>
          <w:sz w:val="22"/>
          <w:szCs w:val="22"/>
        </w:rPr>
        <w:t>social prescribing opportunities.</w:t>
      </w:r>
    </w:p>
    <w:p w:rsidR="00777D07" w:rsidRPr="00CF5460" w:rsidRDefault="00777D07" w:rsidP="004B64AF">
      <w:pPr>
        <w:rPr>
          <w:rFonts w:cs="Arial"/>
          <w:sz w:val="22"/>
          <w:szCs w:val="22"/>
        </w:rPr>
      </w:pPr>
    </w:p>
    <w:p w:rsidR="004B64AF" w:rsidRPr="00CF5460" w:rsidRDefault="004B64AF" w:rsidP="004B64AF">
      <w:pPr>
        <w:rPr>
          <w:rFonts w:cs="Arial"/>
          <w:sz w:val="22"/>
          <w:szCs w:val="22"/>
        </w:rPr>
      </w:pPr>
      <w:r w:rsidRPr="00CF5460">
        <w:rPr>
          <w:rFonts w:cs="Arial"/>
          <w:sz w:val="22"/>
          <w:szCs w:val="22"/>
        </w:rPr>
        <w:t xml:space="preserve">The </w:t>
      </w:r>
      <w:r w:rsidR="003D19A6">
        <w:rPr>
          <w:rFonts w:cs="Arial"/>
          <w:sz w:val="22"/>
          <w:szCs w:val="22"/>
        </w:rPr>
        <w:t>Wellbeing Hub</w:t>
      </w:r>
      <w:r w:rsidRPr="00CF5460">
        <w:rPr>
          <w:rFonts w:cs="Arial"/>
          <w:sz w:val="22"/>
          <w:szCs w:val="22"/>
        </w:rPr>
        <w:t xml:space="preserve"> will also look to provide a conducive working environment for staff and establish</w:t>
      </w:r>
      <w:r w:rsidR="00F32228">
        <w:rPr>
          <w:rFonts w:cs="Arial"/>
          <w:sz w:val="22"/>
          <w:szCs w:val="22"/>
        </w:rPr>
        <w:t xml:space="preserve"> </w:t>
      </w:r>
      <w:r w:rsidRPr="00CF5460">
        <w:rPr>
          <w:rFonts w:cs="Arial"/>
          <w:sz w:val="22"/>
          <w:szCs w:val="22"/>
        </w:rPr>
        <w:t>real communication links with partner organisation</w:t>
      </w:r>
      <w:r w:rsidR="003D19A6">
        <w:rPr>
          <w:rFonts w:cs="Arial"/>
          <w:sz w:val="22"/>
          <w:szCs w:val="22"/>
        </w:rPr>
        <w:t>s</w:t>
      </w:r>
      <w:r w:rsidRPr="00CF5460">
        <w:rPr>
          <w:rFonts w:cs="Arial"/>
          <w:sz w:val="22"/>
          <w:szCs w:val="22"/>
        </w:rPr>
        <w:t xml:space="preserve"> and third sector services whilst allowing</w:t>
      </w:r>
      <w:r w:rsidR="00F32228">
        <w:rPr>
          <w:rFonts w:cs="Arial"/>
          <w:sz w:val="22"/>
          <w:szCs w:val="22"/>
        </w:rPr>
        <w:t xml:space="preserve"> </w:t>
      </w:r>
      <w:r w:rsidRPr="00CF5460">
        <w:rPr>
          <w:rFonts w:cs="Arial"/>
          <w:sz w:val="22"/>
          <w:szCs w:val="22"/>
        </w:rPr>
        <w:t>the Health Board to build on its approach to the foundational economy of Wales</w:t>
      </w:r>
      <w:r w:rsidR="00AA2315">
        <w:rPr>
          <w:rFonts w:cs="Arial"/>
          <w:sz w:val="22"/>
          <w:szCs w:val="22"/>
        </w:rPr>
        <w:t>;</w:t>
      </w:r>
      <w:r w:rsidRPr="00CF5460">
        <w:rPr>
          <w:rFonts w:cs="Arial"/>
          <w:sz w:val="22"/>
          <w:szCs w:val="22"/>
        </w:rPr>
        <w:t xml:space="preserve"> </w:t>
      </w:r>
      <w:r w:rsidR="00AA2315">
        <w:rPr>
          <w:rFonts w:cs="Arial"/>
          <w:sz w:val="22"/>
          <w:szCs w:val="22"/>
        </w:rPr>
        <w:t>t</w:t>
      </w:r>
      <w:r w:rsidR="00B16A05">
        <w:rPr>
          <w:rFonts w:cs="Arial"/>
          <w:sz w:val="22"/>
          <w:szCs w:val="22"/>
        </w:rPr>
        <w:t xml:space="preserve">he latter </w:t>
      </w:r>
      <w:r w:rsidRPr="00CF5460">
        <w:rPr>
          <w:rFonts w:cs="Arial"/>
          <w:sz w:val="22"/>
          <w:szCs w:val="22"/>
        </w:rPr>
        <w:t>by</w:t>
      </w:r>
      <w:r w:rsidR="00F32228">
        <w:rPr>
          <w:rFonts w:cs="Arial"/>
          <w:sz w:val="22"/>
          <w:szCs w:val="22"/>
        </w:rPr>
        <w:t xml:space="preserve"> </w:t>
      </w:r>
      <w:r w:rsidRPr="00CF5460">
        <w:rPr>
          <w:rFonts w:cs="Arial"/>
          <w:sz w:val="22"/>
          <w:szCs w:val="22"/>
        </w:rPr>
        <w:t>seeking re-investment in the local area as it moves through the development process but</w:t>
      </w:r>
      <w:r w:rsidR="00F32228">
        <w:rPr>
          <w:rFonts w:cs="Arial"/>
          <w:sz w:val="22"/>
          <w:szCs w:val="22"/>
        </w:rPr>
        <w:t xml:space="preserve"> </w:t>
      </w:r>
      <w:r w:rsidRPr="00CF5460">
        <w:rPr>
          <w:rFonts w:cs="Arial"/>
          <w:sz w:val="22"/>
          <w:szCs w:val="22"/>
        </w:rPr>
        <w:t>also, as an employer, to ensure that local people have opportunities to train and find work in</w:t>
      </w:r>
      <w:r w:rsidR="00F32228">
        <w:rPr>
          <w:rFonts w:cs="Arial"/>
          <w:sz w:val="22"/>
          <w:szCs w:val="22"/>
        </w:rPr>
        <w:t xml:space="preserve"> </w:t>
      </w:r>
      <w:r w:rsidRPr="00CF5460">
        <w:rPr>
          <w:rFonts w:cs="Arial"/>
          <w:sz w:val="22"/>
          <w:szCs w:val="22"/>
        </w:rPr>
        <w:t>NHS Wales and social care at all levels, benefitting communities further.</w:t>
      </w:r>
    </w:p>
    <w:p w:rsidR="00F32228" w:rsidRPr="00F37801" w:rsidRDefault="00F32228" w:rsidP="004B64AF">
      <w:pPr>
        <w:rPr>
          <w:rFonts w:cs="Arial"/>
          <w:sz w:val="20"/>
          <w:szCs w:val="20"/>
        </w:rPr>
      </w:pPr>
    </w:p>
    <w:p w:rsidR="00DF2B0D" w:rsidRPr="002A5B4D" w:rsidRDefault="00DF2B0D" w:rsidP="0069676A">
      <w:pPr>
        <w:pStyle w:val="ListParagraph"/>
        <w:rPr>
          <w:rFonts w:cs="Arial"/>
          <w:sz w:val="20"/>
          <w:szCs w:val="20"/>
        </w:rPr>
      </w:pPr>
    </w:p>
    <w:p w:rsidR="00F37801" w:rsidRDefault="00F37801" w:rsidP="00444195">
      <w:pPr>
        <w:rPr>
          <w:rStyle w:val="Heading2Char"/>
          <w:rFonts w:ascii="Arial" w:hAnsi="Arial" w:cs="Arial"/>
          <w:sz w:val="28"/>
          <w:szCs w:val="28"/>
        </w:rPr>
      </w:pPr>
      <w:bookmarkStart w:id="25" w:name="_Toc202972559"/>
      <w:bookmarkStart w:id="26" w:name="_Toc98945740"/>
      <w:bookmarkStart w:id="27" w:name="_Toc98946154"/>
      <w:r>
        <w:rPr>
          <w:rStyle w:val="Heading2Char"/>
          <w:rFonts w:ascii="Arial" w:hAnsi="Arial" w:cs="Arial"/>
          <w:sz w:val="28"/>
          <w:szCs w:val="28"/>
        </w:rPr>
        <w:t>7.2 Risks</w:t>
      </w:r>
      <w:bookmarkEnd w:id="25"/>
    </w:p>
    <w:p w:rsidR="00F37801" w:rsidRDefault="00F37801" w:rsidP="00444195">
      <w:pPr>
        <w:rPr>
          <w:rStyle w:val="Heading2Char"/>
          <w:rFonts w:ascii="Arial" w:hAnsi="Arial" w:cs="Arial"/>
          <w:sz w:val="28"/>
          <w:szCs w:val="28"/>
        </w:rPr>
      </w:pPr>
    </w:p>
    <w:p w:rsidR="00F37801" w:rsidRPr="00BE2B77" w:rsidRDefault="00F37801" w:rsidP="00F37801">
      <w:pPr>
        <w:pStyle w:val="ListParagraph"/>
        <w:ind w:left="0"/>
        <w:rPr>
          <w:rFonts w:cs="Arial"/>
          <w:sz w:val="22"/>
          <w:szCs w:val="22"/>
        </w:rPr>
      </w:pPr>
      <w:r w:rsidRPr="00BE2B77">
        <w:rPr>
          <w:rFonts w:cs="Arial"/>
          <w:sz w:val="22"/>
          <w:szCs w:val="22"/>
        </w:rPr>
        <w:t xml:space="preserve">The </w:t>
      </w:r>
      <w:r>
        <w:rPr>
          <w:rFonts w:cs="Arial"/>
          <w:sz w:val="22"/>
          <w:szCs w:val="22"/>
        </w:rPr>
        <w:t>Risks</w:t>
      </w:r>
      <w:r w:rsidRPr="00BE2B77">
        <w:rPr>
          <w:rFonts w:cs="Arial"/>
          <w:sz w:val="22"/>
          <w:szCs w:val="22"/>
        </w:rPr>
        <w:t xml:space="preserve"> are detailed in section 2.</w:t>
      </w:r>
      <w:r>
        <w:rPr>
          <w:rFonts w:cs="Arial"/>
          <w:sz w:val="22"/>
          <w:szCs w:val="22"/>
        </w:rPr>
        <w:t>9</w:t>
      </w:r>
      <w:r w:rsidRPr="00BE2B77">
        <w:rPr>
          <w:rFonts w:cs="Arial"/>
          <w:sz w:val="22"/>
          <w:szCs w:val="22"/>
        </w:rPr>
        <w:t xml:space="preserve"> with the </w:t>
      </w:r>
      <w:r>
        <w:rPr>
          <w:rFonts w:cs="Arial"/>
          <w:sz w:val="22"/>
          <w:szCs w:val="22"/>
        </w:rPr>
        <w:t>Risk Register</w:t>
      </w:r>
      <w:r w:rsidRPr="00BE2B77">
        <w:rPr>
          <w:rFonts w:cs="Arial"/>
          <w:sz w:val="22"/>
          <w:szCs w:val="22"/>
        </w:rPr>
        <w:t xml:space="preserve"> at Appendix 1</w:t>
      </w:r>
      <w:r>
        <w:rPr>
          <w:rFonts w:cs="Arial"/>
          <w:sz w:val="22"/>
          <w:szCs w:val="22"/>
        </w:rPr>
        <w:t>2</w:t>
      </w:r>
      <w:r w:rsidRPr="00BE2B77">
        <w:rPr>
          <w:rFonts w:cs="Arial"/>
          <w:sz w:val="22"/>
          <w:szCs w:val="22"/>
        </w:rPr>
        <w:t xml:space="preserve"> of the FBC</w:t>
      </w:r>
    </w:p>
    <w:p w:rsidR="00F37801" w:rsidRDefault="00F37801" w:rsidP="00444195">
      <w:pPr>
        <w:rPr>
          <w:rStyle w:val="Heading2Char"/>
          <w:rFonts w:ascii="Arial" w:hAnsi="Arial" w:cs="Arial"/>
          <w:sz w:val="28"/>
          <w:szCs w:val="28"/>
        </w:rPr>
      </w:pPr>
    </w:p>
    <w:p w:rsidR="00BE45C4" w:rsidRPr="002A5B4D" w:rsidRDefault="00444195" w:rsidP="00444195">
      <w:pPr>
        <w:rPr>
          <w:rStyle w:val="Heading2Char"/>
          <w:rFonts w:ascii="Arial" w:hAnsi="Arial" w:cs="Arial"/>
          <w:sz w:val="28"/>
          <w:szCs w:val="28"/>
        </w:rPr>
      </w:pPr>
      <w:bookmarkStart w:id="28" w:name="_Toc202972560"/>
      <w:r w:rsidRPr="002A5B4D">
        <w:rPr>
          <w:rStyle w:val="Heading2Char"/>
          <w:rFonts w:ascii="Arial" w:hAnsi="Arial" w:cs="Arial"/>
          <w:sz w:val="28"/>
          <w:szCs w:val="28"/>
        </w:rPr>
        <w:t>7.</w:t>
      </w:r>
      <w:r w:rsidR="0069676A" w:rsidRPr="002A5B4D">
        <w:rPr>
          <w:rStyle w:val="Heading2Char"/>
          <w:rFonts w:ascii="Arial" w:hAnsi="Arial" w:cs="Arial"/>
          <w:sz w:val="28"/>
          <w:szCs w:val="28"/>
        </w:rPr>
        <w:t>3</w:t>
      </w:r>
      <w:r w:rsidRPr="002A5B4D">
        <w:rPr>
          <w:rStyle w:val="Heading2Char"/>
          <w:rFonts w:ascii="Arial" w:hAnsi="Arial" w:cs="Arial"/>
          <w:sz w:val="28"/>
          <w:szCs w:val="28"/>
        </w:rPr>
        <w:t xml:space="preserve"> </w:t>
      </w:r>
      <w:r w:rsidR="00F254EF" w:rsidRPr="002A5B4D">
        <w:rPr>
          <w:rStyle w:val="Heading2Char"/>
          <w:rFonts w:ascii="Arial" w:hAnsi="Arial" w:cs="Arial"/>
          <w:sz w:val="28"/>
          <w:szCs w:val="28"/>
        </w:rPr>
        <w:t xml:space="preserve">Total </w:t>
      </w:r>
      <w:r w:rsidR="0002212C" w:rsidRPr="002A5B4D">
        <w:rPr>
          <w:rStyle w:val="Heading2Char"/>
          <w:rFonts w:ascii="Arial" w:hAnsi="Arial" w:cs="Arial"/>
          <w:sz w:val="28"/>
          <w:szCs w:val="28"/>
        </w:rPr>
        <w:t xml:space="preserve">Cost - </w:t>
      </w:r>
      <w:r w:rsidR="00BE45C4" w:rsidRPr="002A5B4D">
        <w:rPr>
          <w:rStyle w:val="Heading2Char"/>
          <w:rFonts w:ascii="Arial" w:hAnsi="Arial" w:cs="Arial"/>
          <w:sz w:val="28"/>
          <w:szCs w:val="28"/>
        </w:rPr>
        <w:t>Resource Implications and Affordability</w:t>
      </w:r>
      <w:bookmarkEnd w:id="26"/>
      <w:bookmarkEnd w:id="27"/>
      <w:bookmarkEnd w:id="28"/>
    </w:p>
    <w:p w:rsidR="00FB78D0" w:rsidRDefault="00FB78D0" w:rsidP="00690557">
      <w:pPr>
        <w:rPr>
          <w:rFonts w:cs="Arial"/>
          <w:sz w:val="20"/>
          <w:szCs w:val="20"/>
        </w:rPr>
      </w:pPr>
      <w:bookmarkStart w:id="29" w:name="_Toc98945741"/>
      <w:bookmarkStart w:id="30" w:name="_Toc98946155"/>
    </w:p>
    <w:p w:rsidR="006812CC" w:rsidRPr="00CF5460" w:rsidRDefault="006812CC" w:rsidP="00690557">
      <w:pPr>
        <w:rPr>
          <w:rFonts w:cs="Arial"/>
          <w:sz w:val="22"/>
          <w:szCs w:val="22"/>
        </w:rPr>
      </w:pPr>
      <w:r w:rsidRPr="00CF5460">
        <w:rPr>
          <w:rFonts w:cs="Arial"/>
          <w:sz w:val="22"/>
          <w:szCs w:val="22"/>
        </w:rPr>
        <w:t xml:space="preserve">Annex C, D and E </w:t>
      </w:r>
      <w:r w:rsidR="00956F8E" w:rsidRPr="00CF5460">
        <w:rPr>
          <w:rFonts w:cs="Arial"/>
          <w:sz w:val="22"/>
          <w:szCs w:val="22"/>
        </w:rPr>
        <w:t>detail</w:t>
      </w:r>
      <w:r w:rsidRPr="00CF5460">
        <w:rPr>
          <w:rFonts w:cs="Arial"/>
          <w:sz w:val="22"/>
          <w:szCs w:val="22"/>
        </w:rPr>
        <w:t xml:space="preserve"> the Revenue</w:t>
      </w:r>
      <w:r w:rsidR="00327F63" w:rsidRPr="00CF5460">
        <w:rPr>
          <w:rFonts w:cs="Arial"/>
          <w:sz w:val="22"/>
          <w:szCs w:val="22"/>
        </w:rPr>
        <w:t xml:space="preserve"> and Capital cost</w:t>
      </w:r>
      <w:r w:rsidR="00EE1DDF" w:rsidRPr="00CF5460">
        <w:rPr>
          <w:rFonts w:cs="Arial"/>
          <w:sz w:val="22"/>
          <w:szCs w:val="22"/>
        </w:rPr>
        <w:t>s</w:t>
      </w:r>
      <w:r w:rsidR="00327F63" w:rsidRPr="00CF5460">
        <w:rPr>
          <w:rFonts w:cs="Arial"/>
          <w:sz w:val="22"/>
          <w:szCs w:val="22"/>
        </w:rPr>
        <w:t xml:space="preserve"> for the FBC</w:t>
      </w:r>
      <w:r w:rsidR="00956F8E" w:rsidRPr="00CF5460">
        <w:rPr>
          <w:rFonts w:cs="Arial"/>
          <w:sz w:val="22"/>
          <w:szCs w:val="22"/>
        </w:rPr>
        <w:t xml:space="preserve"> as summarised below.</w:t>
      </w:r>
    </w:p>
    <w:p w:rsidR="00CE36D3" w:rsidRPr="00CF5460" w:rsidRDefault="00CE36D3" w:rsidP="00690557">
      <w:pPr>
        <w:rPr>
          <w:rFonts w:cs="Arial"/>
          <w:sz w:val="22"/>
          <w:szCs w:val="22"/>
        </w:rPr>
      </w:pPr>
    </w:p>
    <w:p w:rsidR="00023C5A" w:rsidRDefault="00CE36D3" w:rsidP="00690557">
      <w:pPr>
        <w:rPr>
          <w:rFonts w:cs="Arial"/>
          <w:sz w:val="22"/>
          <w:szCs w:val="22"/>
        </w:rPr>
      </w:pPr>
      <w:r w:rsidRPr="00CF5460">
        <w:rPr>
          <w:rFonts w:cs="Arial"/>
          <w:sz w:val="22"/>
          <w:szCs w:val="22"/>
        </w:rPr>
        <w:t xml:space="preserve">The revenue requirement for the </w:t>
      </w:r>
      <w:r w:rsidR="002A5077">
        <w:rPr>
          <w:rFonts w:cs="Arial"/>
          <w:sz w:val="22"/>
          <w:szCs w:val="22"/>
        </w:rPr>
        <w:t>hub</w:t>
      </w:r>
      <w:r w:rsidRPr="00CF5460">
        <w:rPr>
          <w:rFonts w:cs="Arial"/>
          <w:sz w:val="22"/>
          <w:szCs w:val="22"/>
        </w:rPr>
        <w:t xml:space="preserve"> is driven by facilities and estates running costs</w:t>
      </w:r>
      <w:r w:rsidR="004260EE" w:rsidRPr="00CF5460">
        <w:rPr>
          <w:rFonts w:cs="Arial"/>
          <w:sz w:val="22"/>
          <w:szCs w:val="22"/>
        </w:rPr>
        <w:t>,</w:t>
      </w:r>
      <w:r w:rsidR="00277C63" w:rsidRPr="00CF5460">
        <w:rPr>
          <w:rFonts w:cs="Arial"/>
          <w:sz w:val="22"/>
          <w:szCs w:val="22"/>
        </w:rPr>
        <w:t xml:space="preserve"> </w:t>
      </w:r>
      <w:proofErr w:type="gramStart"/>
      <w:r w:rsidR="00AE4AB1">
        <w:rPr>
          <w:rFonts w:cs="Arial"/>
          <w:sz w:val="22"/>
          <w:szCs w:val="22"/>
        </w:rPr>
        <w:t xml:space="preserve">in particular </w:t>
      </w:r>
      <w:r w:rsidR="00277C63" w:rsidRPr="00CF5460">
        <w:rPr>
          <w:rFonts w:cs="Arial"/>
          <w:sz w:val="22"/>
          <w:szCs w:val="22"/>
        </w:rPr>
        <w:t>noting</w:t>
      </w:r>
      <w:proofErr w:type="gramEnd"/>
      <w:r w:rsidR="00277C63" w:rsidRPr="00CF5460">
        <w:rPr>
          <w:rFonts w:cs="Arial"/>
          <w:sz w:val="22"/>
          <w:szCs w:val="22"/>
        </w:rPr>
        <w:t xml:space="preserve"> the</w:t>
      </w:r>
      <w:r w:rsidR="00A83D94" w:rsidRPr="00CF5460">
        <w:rPr>
          <w:rFonts w:cs="Arial"/>
          <w:sz w:val="22"/>
          <w:szCs w:val="22"/>
        </w:rPr>
        <w:t xml:space="preserve"> need </w:t>
      </w:r>
      <w:r w:rsidR="00DE3ABF" w:rsidRPr="00CF5460">
        <w:rPr>
          <w:rFonts w:cs="Arial"/>
          <w:sz w:val="22"/>
          <w:szCs w:val="22"/>
        </w:rPr>
        <w:t xml:space="preserve">now </w:t>
      </w:r>
      <w:r w:rsidR="00A83D94" w:rsidRPr="00CF5460">
        <w:rPr>
          <w:rFonts w:cs="Arial"/>
          <w:sz w:val="22"/>
          <w:szCs w:val="22"/>
        </w:rPr>
        <w:t>to</w:t>
      </w:r>
      <w:r w:rsidR="00DE3ABF" w:rsidRPr="00CF5460">
        <w:rPr>
          <w:rFonts w:cs="Arial"/>
          <w:sz w:val="22"/>
          <w:szCs w:val="22"/>
        </w:rPr>
        <w:t xml:space="preserve"> </w:t>
      </w:r>
      <w:r w:rsidR="00A83D94" w:rsidRPr="00CF5460">
        <w:rPr>
          <w:rFonts w:cs="Arial"/>
          <w:sz w:val="22"/>
          <w:szCs w:val="22"/>
        </w:rPr>
        <w:t>comply with the</w:t>
      </w:r>
      <w:r w:rsidR="00C15690" w:rsidRPr="00CF5460">
        <w:rPr>
          <w:rFonts w:cs="Arial"/>
          <w:sz w:val="22"/>
          <w:szCs w:val="22"/>
        </w:rPr>
        <w:t xml:space="preserve"> W</w:t>
      </w:r>
      <w:r w:rsidR="00FC31A6">
        <w:rPr>
          <w:rFonts w:cs="Arial"/>
          <w:sz w:val="22"/>
          <w:szCs w:val="22"/>
        </w:rPr>
        <w:t>elsh Government</w:t>
      </w:r>
      <w:r w:rsidR="00A83D94" w:rsidRPr="00CF5460">
        <w:rPr>
          <w:rFonts w:cs="Arial"/>
          <w:sz w:val="22"/>
          <w:szCs w:val="22"/>
        </w:rPr>
        <w:t xml:space="preserve"> NHS </w:t>
      </w:r>
      <w:r w:rsidR="00FC31A6">
        <w:rPr>
          <w:rFonts w:cs="Arial"/>
          <w:sz w:val="22"/>
          <w:szCs w:val="22"/>
        </w:rPr>
        <w:t>Wales Decarbonisation Strategic Delivery Plan</w:t>
      </w:r>
      <w:r w:rsidR="00C15690" w:rsidRPr="00CF5460">
        <w:rPr>
          <w:rFonts w:cs="Arial"/>
          <w:sz w:val="22"/>
          <w:szCs w:val="22"/>
        </w:rPr>
        <w:t xml:space="preserve"> </w:t>
      </w:r>
      <w:r w:rsidR="00CB0C95" w:rsidRPr="00CF5460">
        <w:rPr>
          <w:rFonts w:cs="Arial"/>
          <w:sz w:val="22"/>
          <w:szCs w:val="22"/>
        </w:rPr>
        <w:t>as well</w:t>
      </w:r>
      <w:r w:rsidR="00DE3ABF" w:rsidRPr="00CF5460">
        <w:rPr>
          <w:rFonts w:cs="Arial"/>
          <w:sz w:val="22"/>
          <w:szCs w:val="22"/>
        </w:rPr>
        <w:t xml:space="preserve">. </w:t>
      </w:r>
      <w:r w:rsidR="006D1173">
        <w:rPr>
          <w:rFonts w:cs="Arial"/>
          <w:sz w:val="22"/>
          <w:szCs w:val="22"/>
        </w:rPr>
        <w:t>For example, t</w:t>
      </w:r>
      <w:r w:rsidR="00940E36">
        <w:rPr>
          <w:rFonts w:cs="Arial"/>
          <w:sz w:val="22"/>
          <w:szCs w:val="22"/>
        </w:rPr>
        <w:t xml:space="preserve">he energy model has increased utilities </w:t>
      </w:r>
      <w:r w:rsidR="007E571A">
        <w:rPr>
          <w:rFonts w:cs="Arial"/>
          <w:sz w:val="22"/>
          <w:szCs w:val="22"/>
        </w:rPr>
        <w:t>costs</w:t>
      </w:r>
      <w:r w:rsidR="001F2B00">
        <w:rPr>
          <w:rFonts w:cs="Arial"/>
          <w:sz w:val="22"/>
          <w:szCs w:val="22"/>
        </w:rPr>
        <w:t xml:space="preserve"> due to </w:t>
      </w:r>
      <w:r w:rsidR="00F4221B">
        <w:rPr>
          <w:rFonts w:cs="Arial"/>
          <w:sz w:val="22"/>
          <w:szCs w:val="22"/>
        </w:rPr>
        <w:t>estimated electricity usage and prices</w:t>
      </w:r>
      <w:r w:rsidR="00B93B73">
        <w:rPr>
          <w:rFonts w:cs="Arial"/>
          <w:sz w:val="22"/>
          <w:szCs w:val="22"/>
        </w:rPr>
        <w:t xml:space="preserve"> but with the associated value from a reduced carbon </w:t>
      </w:r>
      <w:r w:rsidR="00023C5A">
        <w:rPr>
          <w:rFonts w:cs="Arial"/>
          <w:sz w:val="22"/>
          <w:szCs w:val="22"/>
        </w:rPr>
        <w:t>impact</w:t>
      </w:r>
      <w:r w:rsidR="004424CA">
        <w:rPr>
          <w:rFonts w:cs="Arial"/>
          <w:sz w:val="22"/>
          <w:szCs w:val="22"/>
        </w:rPr>
        <w:t>.</w:t>
      </w:r>
    </w:p>
    <w:p w:rsidR="00023C5A" w:rsidRDefault="00023C5A" w:rsidP="00690557">
      <w:pPr>
        <w:rPr>
          <w:rFonts w:cs="Arial"/>
          <w:sz w:val="22"/>
          <w:szCs w:val="22"/>
        </w:rPr>
      </w:pPr>
    </w:p>
    <w:p w:rsidR="00CE36D3" w:rsidRPr="00CF5460" w:rsidRDefault="00DE3ABF" w:rsidP="00690557">
      <w:pPr>
        <w:rPr>
          <w:rFonts w:cs="Arial"/>
          <w:sz w:val="22"/>
          <w:szCs w:val="22"/>
        </w:rPr>
      </w:pPr>
      <w:r w:rsidRPr="00CF5460">
        <w:rPr>
          <w:rFonts w:cs="Arial"/>
          <w:sz w:val="22"/>
          <w:szCs w:val="22"/>
        </w:rPr>
        <w:t xml:space="preserve">There are </w:t>
      </w:r>
      <w:r w:rsidR="00AE4AB1">
        <w:rPr>
          <w:rFonts w:cs="Arial"/>
          <w:sz w:val="22"/>
          <w:szCs w:val="22"/>
        </w:rPr>
        <w:t xml:space="preserve">no </w:t>
      </w:r>
      <w:r w:rsidRPr="00CF5460">
        <w:rPr>
          <w:rFonts w:cs="Arial"/>
          <w:sz w:val="22"/>
          <w:szCs w:val="22"/>
        </w:rPr>
        <w:t xml:space="preserve">additional clinical service costs associated with the </w:t>
      </w:r>
      <w:r w:rsidR="00247740" w:rsidRPr="00CF5460">
        <w:rPr>
          <w:rFonts w:cs="Arial"/>
          <w:sz w:val="22"/>
          <w:szCs w:val="22"/>
        </w:rPr>
        <w:t xml:space="preserve">build. However, a </w:t>
      </w:r>
      <w:r w:rsidR="004424CA">
        <w:rPr>
          <w:rFonts w:cs="Arial"/>
          <w:sz w:val="22"/>
          <w:szCs w:val="22"/>
        </w:rPr>
        <w:t xml:space="preserve">£57k </w:t>
      </w:r>
      <w:r w:rsidR="00247740" w:rsidRPr="00CF5460">
        <w:rPr>
          <w:rFonts w:cs="Arial"/>
          <w:sz w:val="22"/>
          <w:szCs w:val="22"/>
        </w:rPr>
        <w:t>saving from GMS rent and rates is</w:t>
      </w:r>
      <w:r w:rsidR="00586C6E" w:rsidRPr="00CF5460">
        <w:rPr>
          <w:rFonts w:cs="Arial"/>
          <w:sz w:val="22"/>
          <w:szCs w:val="22"/>
        </w:rPr>
        <w:t xml:space="preserve"> netted down in the £0.624m revenue impact.</w:t>
      </w:r>
    </w:p>
    <w:p w:rsidR="00586C6E" w:rsidRPr="00CF5460" w:rsidRDefault="00586C6E" w:rsidP="00690557">
      <w:pPr>
        <w:rPr>
          <w:rFonts w:cs="Arial"/>
          <w:sz w:val="22"/>
          <w:szCs w:val="22"/>
        </w:rPr>
      </w:pPr>
    </w:p>
    <w:p w:rsidR="00816014" w:rsidRDefault="00816014" w:rsidP="00690557">
      <w:pPr>
        <w:rPr>
          <w:rFonts w:cs="Arial"/>
          <w:sz w:val="22"/>
          <w:szCs w:val="22"/>
        </w:rPr>
      </w:pPr>
      <w:r w:rsidRPr="00CF5460">
        <w:rPr>
          <w:rFonts w:cs="Arial"/>
          <w:sz w:val="22"/>
          <w:szCs w:val="22"/>
        </w:rPr>
        <w:t>Capital costs have increased since OBC due to additional works costs with the inclusion of carbon reduction measures and construction market inflation.</w:t>
      </w:r>
      <w:r w:rsidR="00AE4AB1">
        <w:rPr>
          <w:rFonts w:cs="Arial"/>
          <w:sz w:val="22"/>
          <w:szCs w:val="22"/>
        </w:rPr>
        <w:t xml:space="preserve"> </w:t>
      </w:r>
      <w:r w:rsidR="00851C61">
        <w:rPr>
          <w:rFonts w:cs="Arial"/>
          <w:sz w:val="22"/>
          <w:szCs w:val="22"/>
        </w:rPr>
        <w:t xml:space="preserve">All capital costs </w:t>
      </w:r>
      <w:r w:rsidR="00B40F45">
        <w:rPr>
          <w:rFonts w:cs="Arial"/>
          <w:sz w:val="22"/>
          <w:szCs w:val="22"/>
        </w:rPr>
        <w:t xml:space="preserve">are </w:t>
      </w:r>
      <w:r w:rsidR="00851C61">
        <w:rPr>
          <w:rFonts w:cs="Arial"/>
          <w:sz w:val="22"/>
          <w:szCs w:val="22"/>
        </w:rPr>
        <w:t xml:space="preserve">expected to be funded by Welsh Government, including </w:t>
      </w:r>
      <w:r w:rsidR="00E37BD1">
        <w:rPr>
          <w:rFonts w:cs="Arial"/>
          <w:sz w:val="22"/>
          <w:szCs w:val="22"/>
        </w:rPr>
        <w:t>impairment and ongoing capital charges / depreciation</w:t>
      </w:r>
      <w:r w:rsidR="007051E5">
        <w:rPr>
          <w:rFonts w:cs="Arial"/>
          <w:sz w:val="22"/>
          <w:szCs w:val="22"/>
        </w:rPr>
        <w:t xml:space="preserve"> in line with usual NHS financial arrangements.</w:t>
      </w:r>
    </w:p>
    <w:p w:rsidR="00E37BD1" w:rsidRDefault="00E37BD1" w:rsidP="00690557">
      <w:pPr>
        <w:rPr>
          <w:rFonts w:cs="Arial"/>
          <w:sz w:val="22"/>
          <w:szCs w:val="22"/>
        </w:rPr>
      </w:pPr>
    </w:p>
    <w:p w:rsidR="00E37BD1" w:rsidRPr="00CF5460" w:rsidRDefault="00E71330" w:rsidP="00690557">
      <w:pPr>
        <w:rPr>
          <w:rFonts w:cs="Arial"/>
          <w:sz w:val="22"/>
          <w:szCs w:val="22"/>
        </w:rPr>
      </w:pPr>
      <w:r>
        <w:rPr>
          <w:rFonts w:cs="Arial"/>
          <w:sz w:val="22"/>
          <w:szCs w:val="22"/>
        </w:rPr>
        <w:t>The net revenue impact would need to be provided for within the UHB forward financial plan. However, work between CEF and PCIC Boards to mitigate</w:t>
      </w:r>
      <w:r w:rsidR="00AE4AB1">
        <w:rPr>
          <w:rFonts w:cs="Arial"/>
          <w:sz w:val="22"/>
          <w:szCs w:val="22"/>
        </w:rPr>
        <w:t xml:space="preserve"> these costs will be ongoing</w:t>
      </w:r>
      <w:r w:rsidR="007C056A">
        <w:rPr>
          <w:rFonts w:cs="Arial"/>
          <w:sz w:val="22"/>
          <w:szCs w:val="22"/>
        </w:rPr>
        <w:t xml:space="preserve"> prior to opening the new facility. In addition, the </w:t>
      </w:r>
      <w:r w:rsidR="00602EA9">
        <w:rPr>
          <w:rFonts w:cs="Arial"/>
          <w:sz w:val="22"/>
          <w:szCs w:val="22"/>
        </w:rPr>
        <w:t xml:space="preserve">Wellbeing Hub provides capacity and a model to help enable the future </w:t>
      </w:r>
      <w:r w:rsidR="00045191">
        <w:rPr>
          <w:rFonts w:cs="Arial"/>
          <w:sz w:val="22"/>
          <w:szCs w:val="22"/>
        </w:rPr>
        <w:t>benefits realisation from the UHB move towards an ICCS, with the significant return of investment</w:t>
      </w:r>
      <w:r w:rsidR="00ED12FE">
        <w:rPr>
          <w:rFonts w:cs="Arial"/>
          <w:sz w:val="22"/>
          <w:szCs w:val="22"/>
        </w:rPr>
        <w:t xml:space="preserve"> and social value derived from enhanced multi-disciplinary care </w:t>
      </w:r>
      <w:r w:rsidR="005872F9">
        <w:rPr>
          <w:rFonts w:cs="Arial"/>
          <w:sz w:val="22"/>
          <w:szCs w:val="22"/>
        </w:rPr>
        <w:t>in the community, avoiding unwarranted medical intervention and hospital admission.</w:t>
      </w:r>
    </w:p>
    <w:p w:rsidR="00816014" w:rsidRDefault="00816014" w:rsidP="00690557"/>
    <w:bookmarkEnd w:id="29"/>
    <w:bookmarkEnd w:id="30"/>
    <w:p w:rsidR="006812CC" w:rsidRDefault="006812CC" w:rsidP="00446641">
      <w:pPr>
        <w:rPr>
          <w:rFonts w:cs="Arial"/>
          <w:i/>
          <w:iCs/>
          <w:noProof/>
          <w:sz w:val="20"/>
          <w:szCs w:val="20"/>
        </w:rPr>
      </w:pPr>
    </w:p>
    <w:p w:rsidR="006812CC" w:rsidRPr="00446641" w:rsidRDefault="006812CC" w:rsidP="00446641">
      <w:pPr>
        <w:rPr>
          <w:rFonts w:cs="Arial"/>
          <w:i/>
          <w:iCs/>
          <w:noProof/>
          <w:sz w:val="20"/>
          <w:szCs w:val="20"/>
        </w:rPr>
      </w:pPr>
    </w:p>
    <w:tbl>
      <w:tblPr>
        <w:tblW w:w="6061" w:type="pct"/>
        <w:tblInd w:w="-856" w:type="dxa"/>
        <w:tblLayout w:type="fixed"/>
        <w:tblLook w:val="04A0" w:firstRow="1" w:lastRow="0" w:firstColumn="1" w:lastColumn="0" w:noHBand="0" w:noVBand="1"/>
      </w:tblPr>
      <w:tblGrid>
        <w:gridCol w:w="7088"/>
        <w:gridCol w:w="1560"/>
        <w:gridCol w:w="1417"/>
      </w:tblGrid>
      <w:tr w:rsidR="00446641" w:rsidRPr="00446641" w:rsidTr="005569E5">
        <w:trPr>
          <w:trHeight w:val="720"/>
        </w:trPr>
        <w:tc>
          <w:tcPr>
            <w:tcW w:w="3521" w:type="pct"/>
            <w:tcBorders>
              <w:top w:val="single" w:sz="4" w:space="0" w:color="auto"/>
              <w:left w:val="single" w:sz="4" w:space="0" w:color="auto"/>
              <w:bottom w:val="single" w:sz="4" w:space="0" w:color="auto"/>
              <w:right w:val="single" w:sz="4" w:space="0" w:color="auto"/>
            </w:tcBorders>
            <w:shd w:val="clear" w:color="000000" w:fill="D0CECE"/>
            <w:noWrap/>
            <w:vAlign w:val="bottom"/>
            <w:hideMark/>
          </w:tcPr>
          <w:p w:rsidR="00446641" w:rsidRPr="00446641" w:rsidRDefault="00446641" w:rsidP="005569E5">
            <w:pPr>
              <w:rPr>
                <w:rFonts w:cs="Arial"/>
                <w:sz w:val="20"/>
                <w:szCs w:val="20"/>
              </w:rPr>
            </w:pPr>
          </w:p>
        </w:tc>
        <w:tc>
          <w:tcPr>
            <w:tcW w:w="775" w:type="pct"/>
            <w:tcBorders>
              <w:top w:val="single" w:sz="4" w:space="0" w:color="auto"/>
              <w:left w:val="nil"/>
              <w:bottom w:val="single" w:sz="4" w:space="0" w:color="auto"/>
              <w:right w:val="single" w:sz="4" w:space="0" w:color="auto"/>
            </w:tcBorders>
            <w:shd w:val="clear" w:color="000000" w:fill="D0CECE"/>
            <w:vAlign w:val="bottom"/>
            <w:hideMark/>
          </w:tcPr>
          <w:p w:rsidR="00446641" w:rsidRPr="00446641" w:rsidRDefault="00446641" w:rsidP="005569E5">
            <w:pPr>
              <w:jc w:val="center"/>
              <w:rPr>
                <w:rFonts w:cs="Arial"/>
                <w:b/>
                <w:bCs/>
                <w:sz w:val="20"/>
                <w:szCs w:val="20"/>
              </w:rPr>
            </w:pPr>
            <w:r w:rsidRPr="00446641">
              <w:rPr>
                <w:rFonts w:cs="Arial"/>
                <w:b/>
                <w:bCs/>
                <w:sz w:val="20"/>
                <w:szCs w:val="20"/>
              </w:rPr>
              <w:t>2025/26</w:t>
            </w:r>
            <w:r w:rsidRPr="00446641">
              <w:rPr>
                <w:rFonts w:cs="Arial"/>
                <w:b/>
                <w:bCs/>
                <w:sz w:val="20"/>
                <w:szCs w:val="20"/>
              </w:rPr>
              <w:br/>
              <w:t>£m</w:t>
            </w:r>
          </w:p>
        </w:tc>
        <w:tc>
          <w:tcPr>
            <w:tcW w:w="704" w:type="pct"/>
            <w:tcBorders>
              <w:top w:val="single" w:sz="4" w:space="0" w:color="auto"/>
              <w:left w:val="nil"/>
              <w:bottom w:val="single" w:sz="4" w:space="0" w:color="auto"/>
              <w:right w:val="single" w:sz="4" w:space="0" w:color="auto"/>
            </w:tcBorders>
            <w:shd w:val="clear" w:color="000000" w:fill="D0CECE"/>
            <w:vAlign w:val="bottom"/>
            <w:hideMark/>
          </w:tcPr>
          <w:p w:rsidR="00446641" w:rsidRPr="00446641" w:rsidRDefault="00446641" w:rsidP="005569E5">
            <w:pPr>
              <w:jc w:val="center"/>
              <w:rPr>
                <w:rFonts w:cs="Arial"/>
                <w:b/>
                <w:bCs/>
                <w:sz w:val="20"/>
                <w:szCs w:val="20"/>
              </w:rPr>
            </w:pPr>
            <w:r w:rsidRPr="00446641">
              <w:rPr>
                <w:rFonts w:cs="Arial"/>
                <w:b/>
                <w:bCs/>
                <w:sz w:val="20"/>
                <w:szCs w:val="20"/>
              </w:rPr>
              <w:t>Recurrent</w:t>
            </w:r>
            <w:r w:rsidRPr="00446641">
              <w:rPr>
                <w:rFonts w:cs="Arial"/>
                <w:b/>
                <w:bCs/>
                <w:sz w:val="20"/>
                <w:szCs w:val="20"/>
              </w:rPr>
              <w:br/>
              <w:t>£m</w:t>
            </w:r>
          </w:p>
        </w:tc>
      </w:tr>
      <w:tr w:rsidR="00446641" w:rsidRPr="00446641" w:rsidTr="005569E5">
        <w:trPr>
          <w:trHeight w:val="732"/>
        </w:trPr>
        <w:tc>
          <w:tcPr>
            <w:tcW w:w="3521" w:type="pct"/>
            <w:tcBorders>
              <w:top w:val="nil"/>
              <w:left w:val="single" w:sz="4" w:space="0" w:color="auto"/>
              <w:bottom w:val="single" w:sz="4" w:space="0" w:color="auto"/>
              <w:right w:val="single" w:sz="4" w:space="0" w:color="auto"/>
            </w:tcBorders>
            <w:vAlign w:val="center"/>
            <w:hideMark/>
          </w:tcPr>
          <w:p w:rsidR="00446641" w:rsidRPr="00446641" w:rsidRDefault="00446641" w:rsidP="005569E5">
            <w:pPr>
              <w:rPr>
                <w:rFonts w:cs="Arial"/>
                <w:b/>
                <w:bCs/>
                <w:sz w:val="20"/>
                <w:szCs w:val="20"/>
              </w:rPr>
            </w:pPr>
            <w:r w:rsidRPr="00446641">
              <w:rPr>
                <w:rFonts w:cs="Arial"/>
                <w:b/>
                <w:bCs/>
                <w:sz w:val="20"/>
                <w:szCs w:val="20"/>
              </w:rPr>
              <w:t>REVENUE COST</w:t>
            </w:r>
          </w:p>
        </w:tc>
        <w:tc>
          <w:tcPr>
            <w:tcW w:w="775" w:type="pct"/>
            <w:tcBorders>
              <w:top w:val="nil"/>
              <w:left w:val="nil"/>
              <w:bottom w:val="single" w:sz="4" w:space="0" w:color="auto"/>
              <w:right w:val="single" w:sz="4" w:space="0" w:color="auto"/>
            </w:tcBorders>
            <w:noWrap/>
            <w:vAlign w:val="center"/>
            <w:hideMark/>
          </w:tcPr>
          <w:p w:rsidR="00446641" w:rsidRPr="00446641" w:rsidRDefault="00446641" w:rsidP="005569E5">
            <w:pPr>
              <w:jc w:val="center"/>
              <w:rPr>
                <w:rFonts w:cs="Arial"/>
                <w:sz w:val="20"/>
                <w:szCs w:val="20"/>
              </w:rPr>
            </w:pPr>
            <w:r w:rsidRPr="00446641">
              <w:rPr>
                <w:rFonts w:cs="Arial"/>
                <w:sz w:val="20"/>
                <w:szCs w:val="20"/>
              </w:rPr>
              <w:t>0.000</w:t>
            </w:r>
          </w:p>
        </w:tc>
        <w:tc>
          <w:tcPr>
            <w:tcW w:w="704" w:type="pct"/>
            <w:tcBorders>
              <w:top w:val="nil"/>
              <w:left w:val="nil"/>
              <w:bottom w:val="single" w:sz="4" w:space="0" w:color="auto"/>
              <w:right w:val="single" w:sz="4" w:space="0" w:color="auto"/>
            </w:tcBorders>
            <w:noWrap/>
            <w:vAlign w:val="center"/>
            <w:hideMark/>
          </w:tcPr>
          <w:p w:rsidR="00446641" w:rsidRPr="00446641" w:rsidRDefault="00446641" w:rsidP="005569E5">
            <w:pPr>
              <w:jc w:val="center"/>
              <w:rPr>
                <w:rFonts w:cs="Arial"/>
                <w:sz w:val="20"/>
                <w:szCs w:val="20"/>
              </w:rPr>
            </w:pPr>
            <w:r w:rsidRPr="00446641">
              <w:rPr>
                <w:rFonts w:cs="Arial"/>
                <w:sz w:val="20"/>
                <w:szCs w:val="20"/>
              </w:rPr>
              <w:t>0.624</w:t>
            </w:r>
          </w:p>
        </w:tc>
      </w:tr>
    </w:tbl>
    <w:p w:rsidR="00446641" w:rsidRPr="00446641" w:rsidRDefault="00446641" w:rsidP="00446641">
      <w:pPr>
        <w:rPr>
          <w:rFonts w:cs="Arial"/>
          <w:i/>
          <w:iCs/>
          <w:noProof/>
          <w:sz w:val="20"/>
          <w:szCs w:val="20"/>
        </w:rPr>
      </w:pPr>
    </w:p>
    <w:tbl>
      <w:tblPr>
        <w:tblW w:w="60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2"/>
        <w:gridCol w:w="1841"/>
        <w:gridCol w:w="1559"/>
        <w:gridCol w:w="1418"/>
      </w:tblGrid>
      <w:tr w:rsidR="00446641" w:rsidRPr="00446641" w:rsidTr="00446641">
        <w:trPr>
          <w:trHeight w:val="720"/>
          <w:jc w:val="center"/>
        </w:trPr>
        <w:tc>
          <w:tcPr>
            <w:tcW w:w="2605" w:type="pct"/>
            <w:shd w:val="clear" w:color="000000" w:fill="D0CECE"/>
            <w:noWrap/>
            <w:vAlign w:val="bottom"/>
            <w:hideMark/>
          </w:tcPr>
          <w:p w:rsidR="00446641" w:rsidRPr="00446641" w:rsidRDefault="00446641" w:rsidP="005569E5">
            <w:pPr>
              <w:rPr>
                <w:rFonts w:cs="Arial"/>
                <w:sz w:val="20"/>
                <w:szCs w:val="20"/>
              </w:rPr>
            </w:pPr>
          </w:p>
        </w:tc>
        <w:tc>
          <w:tcPr>
            <w:tcW w:w="915" w:type="pct"/>
            <w:shd w:val="clear" w:color="000000" w:fill="D0CECE"/>
            <w:vAlign w:val="center"/>
            <w:hideMark/>
          </w:tcPr>
          <w:p w:rsidR="00446641" w:rsidRPr="00446641" w:rsidRDefault="00446641" w:rsidP="005569E5">
            <w:pPr>
              <w:jc w:val="center"/>
              <w:rPr>
                <w:rFonts w:cs="Arial"/>
                <w:b/>
                <w:bCs/>
                <w:sz w:val="20"/>
                <w:szCs w:val="20"/>
              </w:rPr>
            </w:pPr>
            <w:r w:rsidRPr="00446641">
              <w:rPr>
                <w:rFonts w:cs="Arial"/>
                <w:b/>
                <w:bCs/>
                <w:sz w:val="20"/>
                <w:szCs w:val="20"/>
              </w:rPr>
              <w:t>£m</w:t>
            </w:r>
          </w:p>
        </w:tc>
        <w:tc>
          <w:tcPr>
            <w:tcW w:w="775" w:type="pct"/>
            <w:shd w:val="clear" w:color="000000" w:fill="D0CECE"/>
            <w:vAlign w:val="center"/>
          </w:tcPr>
          <w:p w:rsidR="00446641" w:rsidRPr="00446641" w:rsidRDefault="00446641" w:rsidP="005569E5">
            <w:pPr>
              <w:jc w:val="center"/>
              <w:rPr>
                <w:rFonts w:cs="Arial"/>
                <w:b/>
                <w:bCs/>
                <w:sz w:val="20"/>
                <w:szCs w:val="20"/>
              </w:rPr>
            </w:pPr>
            <w:r w:rsidRPr="00446641">
              <w:rPr>
                <w:rFonts w:cs="Arial"/>
                <w:b/>
                <w:bCs/>
                <w:sz w:val="20"/>
                <w:szCs w:val="20"/>
              </w:rPr>
              <w:t>Impairment</w:t>
            </w:r>
          </w:p>
          <w:p w:rsidR="00446641" w:rsidRPr="00446641" w:rsidRDefault="00446641" w:rsidP="005569E5">
            <w:pPr>
              <w:jc w:val="center"/>
              <w:rPr>
                <w:rFonts w:cs="Arial"/>
                <w:b/>
                <w:bCs/>
                <w:sz w:val="20"/>
                <w:szCs w:val="20"/>
              </w:rPr>
            </w:pPr>
            <w:r w:rsidRPr="00446641">
              <w:rPr>
                <w:rFonts w:cs="Arial"/>
                <w:b/>
                <w:bCs/>
                <w:sz w:val="20"/>
                <w:szCs w:val="20"/>
              </w:rPr>
              <w:t>£m</w:t>
            </w:r>
          </w:p>
        </w:tc>
        <w:tc>
          <w:tcPr>
            <w:tcW w:w="705" w:type="pct"/>
            <w:shd w:val="clear" w:color="000000" w:fill="D0CECE"/>
          </w:tcPr>
          <w:p w:rsidR="00446641" w:rsidRPr="00446641" w:rsidRDefault="00446641" w:rsidP="005569E5">
            <w:pPr>
              <w:jc w:val="center"/>
              <w:rPr>
                <w:rFonts w:cs="Arial"/>
                <w:b/>
                <w:bCs/>
                <w:sz w:val="20"/>
                <w:szCs w:val="20"/>
              </w:rPr>
            </w:pPr>
            <w:r w:rsidRPr="00446641">
              <w:rPr>
                <w:rFonts w:cs="Arial"/>
                <w:b/>
                <w:bCs/>
                <w:sz w:val="20"/>
                <w:szCs w:val="20"/>
              </w:rPr>
              <w:t>Annual Depr’n</w:t>
            </w:r>
          </w:p>
          <w:p w:rsidR="00446641" w:rsidRPr="00446641" w:rsidRDefault="00446641" w:rsidP="005569E5">
            <w:pPr>
              <w:jc w:val="center"/>
              <w:rPr>
                <w:rFonts w:cs="Arial"/>
                <w:b/>
                <w:bCs/>
                <w:sz w:val="20"/>
                <w:szCs w:val="20"/>
              </w:rPr>
            </w:pPr>
            <w:r w:rsidRPr="00446641">
              <w:rPr>
                <w:rFonts w:cs="Arial"/>
                <w:b/>
                <w:bCs/>
                <w:sz w:val="20"/>
                <w:szCs w:val="20"/>
              </w:rPr>
              <w:t>£m</w:t>
            </w:r>
          </w:p>
        </w:tc>
      </w:tr>
      <w:tr w:rsidR="00446641" w:rsidRPr="00446641" w:rsidTr="00446641">
        <w:trPr>
          <w:trHeight w:val="732"/>
          <w:jc w:val="center"/>
        </w:trPr>
        <w:tc>
          <w:tcPr>
            <w:tcW w:w="2605" w:type="pct"/>
            <w:vAlign w:val="center"/>
            <w:hideMark/>
          </w:tcPr>
          <w:p w:rsidR="00446641" w:rsidRPr="00446641" w:rsidRDefault="00446641" w:rsidP="005569E5">
            <w:pPr>
              <w:rPr>
                <w:rFonts w:cs="Arial"/>
                <w:b/>
                <w:bCs/>
                <w:sz w:val="20"/>
                <w:szCs w:val="20"/>
              </w:rPr>
            </w:pPr>
            <w:r w:rsidRPr="00446641">
              <w:rPr>
                <w:rFonts w:cs="Arial"/>
                <w:b/>
                <w:bCs/>
                <w:sz w:val="20"/>
                <w:szCs w:val="20"/>
              </w:rPr>
              <w:t>CAPITAL COST (Gross, less reclaimable VAT)</w:t>
            </w:r>
          </w:p>
        </w:tc>
        <w:tc>
          <w:tcPr>
            <w:tcW w:w="915" w:type="pct"/>
            <w:noWrap/>
            <w:vAlign w:val="center"/>
            <w:hideMark/>
          </w:tcPr>
          <w:p w:rsidR="00446641" w:rsidRPr="00446641" w:rsidRDefault="00446641" w:rsidP="005569E5">
            <w:pPr>
              <w:jc w:val="center"/>
              <w:rPr>
                <w:rFonts w:cs="Arial"/>
                <w:sz w:val="20"/>
                <w:szCs w:val="20"/>
              </w:rPr>
            </w:pPr>
            <w:r w:rsidRPr="00446641">
              <w:rPr>
                <w:rFonts w:cs="Arial"/>
                <w:sz w:val="20"/>
                <w:szCs w:val="20"/>
              </w:rPr>
              <w:t>36.801</w:t>
            </w:r>
          </w:p>
        </w:tc>
        <w:tc>
          <w:tcPr>
            <w:tcW w:w="775" w:type="pct"/>
          </w:tcPr>
          <w:p w:rsidR="00446641" w:rsidRPr="00446641" w:rsidRDefault="00446641" w:rsidP="005569E5">
            <w:pPr>
              <w:jc w:val="center"/>
              <w:rPr>
                <w:rFonts w:cs="Arial"/>
                <w:sz w:val="20"/>
                <w:szCs w:val="20"/>
              </w:rPr>
            </w:pPr>
          </w:p>
        </w:tc>
        <w:tc>
          <w:tcPr>
            <w:tcW w:w="705" w:type="pct"/>
          </w:tcPr>
          <w:p w:rsidR="00446641" w:rsidRPr="00446641" w:rsidRDefault="00446641" w:rsidP="005569E5">
            <w:pPr>
              <w:jc w:val="center"/>
              <w:rPr>
                <w:rFonts w:cs="Arial"/>
                <w:sz w:val="20"/>
                <w:szCs w:val="20"/>
              </w:rPr>
            </w:pPr>
          </w:p>
        </w:tc>
      </w:tr>
      <w:tr w:rsidR="00446641" w:rsidRPr="00446641" w:rsidTr="00446641">
        <w:trPr>
          <w:trHeight w:val="708"/>
          <w:jc w:val="center"/>
        </w:trPr>
        <w:tc>
          <w:tcPr>
            <w:tcW w:w="2605" w:type="pct"/>
            <w:vAlign w:val="center"/>
            <w:hideMark/>
          </w:tcPr>
          <w:p w:rsidR="00446641" w:rsidRPr="00446641" w:rsidRDefault="00446641" w:rsidP="005569E5">
            <w:pPr>
              <w:rPr>
                <w:rFonts w:cs="Arial"/>
                <w:b/>
                <w:bCs/>
                <w:sz w:val="20"/>
                <w:szCs w:val="20"/>
              </w:rPr>
            </w:pPr>
            <w:r w:rsidRPr="00446641">
              <w:rPr>
                <w:rFonts w:cs="Arial"/>
                <w:b/>
                <w:bCs/>
                <w:sz w:val="20"/>
                <w:szCs w:val="20"/>
              </w:rPr>
              <w:t>CAPITAL CHARGES</w:t>
            </w:r>
          </w:p>
        </w:tc>
        <w:tc>
          <w:tcPr>
            <w:tcW w:w="915" w:type="pct"/>
            <w:noWrap/>
            <w:vAlign w:val="center"/>
            <w:hideMark/>
          </w:tcPr>
          <w:p w:rsidR="00446641" w:rsidRPr="00446641" w:rsidRDefault="00446641" w:rsidP="005569E5">
            <w:pPr>
              <w:jc w:val="center"/>
              <w:rPr>
                <w:rFonts w:cs="Arial"/>
                <w:sz w:val="20"/>
                <w:szCs w:val="20"/>
              </w:rPr>
            </w:pPr>
          </w:p>
        </w:tc>
        <w:tc>
          <w:tcPr>
            <w:tcW w:w="775" w:type="pct"/>
          </w:tcPr>
          <w:p w:rsidR="00446641" w:rsidRPr="00446641" w:rsidRDefault="00446641" w:rsidP="005569E5">
            <w:pPr>
              <w:jc w:val="center"/>
              <w:rPr>
                <w:rFonts w:cs="Arial"/>
                <w:sz w:val="20"/>
                <w:szCs w:val="20"/>
              </w:rPr>
            </w:pPr>
          </w:p>
          <w:p w:rsidR="00446641" w:rsidRPr="00446641" w:rsidRDefault="00446641" w:rsidP="005569E5">
            <w:pPr>
              <w:jc w:val="center"/>
              <w:rPr>
                <w:rFonts w:cs="Arial"/>
                <w:sz w:val="20"/>
                <w:szCs w:val="20"/>
              </w:rPr>
            </w:pPr>
            <w:r w:rsidRPr="00446641">
              <w:rPr>
                <w:rFonts w:cs="Arial"/>
                <w:sz w:val="20"/>
                <w:szCs w:val="20"/>
              </w:rPr>
              <w:t>21.105</w:t>
            </w:r>
          </w:p>
        </w:tc>
        <w:tc>
          <w:tcPr>
            <w:tcW w:w="705" w:type="pct"/>
          </w:tcPr>
          <w:p w:rsidR="00446641" w:rsidRPr="00446641" w:rsidRDefault="00446641" w:rsidP="005569E5">
            <w:pPr>
              <w:jc w:val="center"/>
              <w:rPr>
                <w:rFonts w:cs="Arial"/>
                <w:sz w:val="20"/>
                <w:szCs w:val="20"/>
              </w:rPr>
            </w:pPr>
          </w:p>
          <w:p w:rsidR="00446641" w:rsidRPr="00446641" w:rsidRDefault="00446641" w:rsidP="005569E5">
            <w:pPr>
              <w:jc w:val="center"/>
              <w:rPr>
                <w:rFonts w:cs="Arial"/>
                <w:sz w:val="20"/>
                <w:szCs w:val="20"/>
              </w:rPr>
            </w:pPr>
            <w:r w:rsidRPr="00446641">
              <w:rPr>
                <w:rFonts w:cs="Arial"/>
                <w:sz w:val="20"/>
                <w:szCs w:val="20"/>
              </w:rPr>
              <w:t>0.332</w:t>
            </w:r>
          </w:p>
        </w:tc>
      </w:tr>
    </w:tbl>
    <w:p w:rsidR="00446641" w:rsidRPr="00446641" w:rsidRDefault="00446641" w:rsidP="00446641">
      <w:pPr>
        <w:rPr>
          <w:rFonts w:cs="Arial"/>
          <w:i/>
          <w:iCs/>
          <w:noProof/>
          <w:sz w:val="20"/>
          <w:szCs w:val="20"/>
        </w:rPr>
      </w:pPr>
    </w:p>
    <w:p w:rsidR="00446641" w:rsidRPr="00446641" w:rsidRDefault="00446641" w:rsidP="00446641">
      <w:pPr>
        <w:rPr>
          <w:rFonts w:cs="Arial"/>
          <w:i/>
          <w:iCs/>
          <w:noProof/>
          <w:sz w:val="20"/>
          <w:szCs w:val="20"/>
        </w:rPr>
      </w:pPr>
    </w:p>
    <w:tbl>
      <w:tblPr>
        <w:tblW w:w="6061" w:type="pct"/>
        <w:tblInd w:w="-856" w:type="dxa"/>
        <w:tblLook w:val="04A0" w:firstRow="1" w:lastRow="0" w:firstColumn="1" w:lastColumn="0" w:noHBand="0" w:noVBand="1"/>
      </w:tblPr>
      <w:tblGrid>
        <w:gridCol w:w="3615"/>
        <w:gridCol w:w="6450"/>
      </w:tblGrid>
      <w:tr w:rsidR="00446641" w:rsidRPr="00446641" w:rsidTr="00446641">
        <w:trPr>
          <w:trHeight w:val="312"/>
        </w:trPr>
        <w:tc>
          <w:tcPr>
            <w:tcW w:w="1796" w:type="pct"/>
            <w:tcBorders>
              <w:top w:val="single" w:sz="4" w:space="0" w:color="auto"/>
              <w:left w:val="single" w:sz="4" w:space="0" w:color="auto"/>
              <w:bottom w:val="single" w:sz="4" w:space="0" w:color="auto"/>
              <w:right w:val="single" w:sz="4" w:space="0" w:color="auto"/>
            </w:tcBorders>
            <w:noWrap/>
            <w:vAlign w:val="center"/>
            <w:hideMark/>
          </w:tcPr>
          <w:p w:rsidR="00446641" w:rsidRPr="00446641" w:rsidRDefault="00446641" w:rsidP="00446641">
            <w:pPr>
              <w:rPr>
                <w:rFonts w:cs="Arial"/>
                <w:b/>
                <w:bCs/>
                <w:sz w:val="20"/>
                <w:szCs w:val="20"/>
              </w:rPr>
            </w:pPr>
            <w:r w:rsidRPr="00446641">
              <w:rPr>
                <w:rFonts w:cs="Arial"/>
                <w:b/>
                <w:bCs/>
                <w:sz w:val="20"/>
                <w:szCs w:val="20"/>
              </w:rPr>
              <w:t>Assumed start date</w:t>
            </w:r>
          </w:p>
        </w:tc>
        <w:tc>
          <w:tcPr>
            <w:tcW w:w="3204" w:type="pct"/>
            <w:tcBorders>
              <w:top w:val="single" w:sz="4" w:space="0" w:color="auto"/>
              <w:left w:val="nil"/>
              <w:bottom w:val="single" w:sz="4" w:space="0" w:color="auto"/>
              <w:right w:val="single" w:sz="4" w:space="0" w:color="auto"/>
            </w:tcBorders>
            <w:noWrap/>
            <w:vAlign w:val="center"/>
            <w:hideMark/>
          </w:tcPr>
          <w:p w:rsidR="00446641" w:rsidRPr="00446641" w:rsidRDefault="00446641" w:rsidP="00446641">
            <w:pPr>
              <w:rPr>
                <w:rFonts w:cs="Arial"/>
                <w:sz w:val="20"/>
                <w:szCs w:val="20"/>
              </w:rPr>
            </w:pPr>
            <w:r w:rsidRPr="00446641">
              <w:rPr>
                <w:rFonts w:cs="Arial"/>
                <w:sz w:val="20"/>
                <w:szCs w:val="20"/>
              </w:rPr>
              <w:t>Opening Date October-December 2027</w:t>
            </w:r>
          </w:p>
        </w:tc>
      </w:tr>
      <w:tr w:rsidR="00446641" w:rsidRPr="00446641" w:rsidTr="00446641">
        <w:trPr>
          <w:trHeight w:val="312"/>
        </w:trPr>
        <w:tc>
          <w:tcPr>
            <w:tcW w:w="1796" w:type="pct"/>
            <w:tcBorders>
              <w:top w:val="nil"/>
              <w:left w:val="single" w:sz="4" w:space="0" w:color="auto"/>
              <w:bottom w:val="single" w:sz="4" w:space="0" w:color="auto"/>
              <w:right w:val="single" w:sz="4" w:space="0" w:color="auto"/>
            </w:tcBorders>
            <w:noWrap/>
            <w:vAlign w:val="center"/>
            <w:hideMark/>
          </w:tcPr>
          <w:p w:rsidR="00446641" w:rsidRPr="00446641" w:rsidRDefault="00446641" w:rsidP="00446641">
            <w:pPr>
              <w:rPr>
                <w:rFonts w:cs="Arial"/>
                <w:b/>
                <w:bCs/>
                <w:sz w:val="20"/>
                <w:szCs w:val="20"/>
              </w:rPr>
            </w:pPr>
            <w:r w:rsidRPr="00446641">
              <w:rPr>
                <w:rFonts w:cs="Arial"/>
                <w:b/>
                <w:bCs/>
                <w:sz w:val="20"/>
                <w:szCs w:val="20"/>
              </w:rPr>
              <w:t>Funding Source Revenue:</w:t>
            </w:r>
          </w:p>
        </w:tc>
        <w:tc>
          <w:tcPr>
            <w:tcW w:w="3204" w:type="pct"/>
            <w:tcBorders>
              <w:top w:val="nil"/>
              <w:left w:val="nil"/>
              <w:bottom w:val="single" w:sz="4" w:space="0" w:color="auto"/>
              <w:right w:val="single" w:sz="4" w:space="0" w:color="auto"/>
            </w:tcBorders>
            <w:noWrap/>
            <w:vAlign w:val="center"/>
            <w:hideMark/>
          </w:tcPr>
          <w:p w:rsidR="00446641" w:rsidRPr="00446641" w:rsidRDefault="00446641" w:rsidP="00446641">
            <w:pPr>
              <w:rPr>
                <w:rFonts w:cs="Arial"/>
                <w:sz w:val="20"/>
                <w:szCs w:val="20"/>
              </w:rPr>
            </w:pPr>
          </w:p>
          <w:p w:rsidR="00F45B85" w:rsidRDefault="00446641" w:rsidP="00446641">
            <w:pPr>
              <w:rPr>
                <w:rFonts w:cs="Arial"/>
                <w:sz w:val="20"/>
                <w:szCs w:val="20"/>
              </w:rPr>
            </w:pPr>
            <w:r w:rsidRPr="00446641">
              <w:rPr>
                <w:rFonts w:cs="Arial"/>
                <w:sz w:val="20"/>
                <w:szCs w:val="20"/>
              </w:rPr>
              <w:t>Revenue Costs - Health Board: through financial plan provision</w:t>
            </w:r>
          </w:p>
          <w:p w:rsidR="00446641" w:rsidRPr="00446641" w:rsidRDefault="00F45B85" w:rsidP="00446641">
            <w:pPr>
              <w:rPr>
                <w:rFonts w:cs="Arial"/>
                <w:sz w:val="20"/>
                <w:szCs w:val="20"/>
              </w:rPr>
            </w:pPr>
            <w:r>
              <w:rPr>
                <w:rFonts w:cs="Arial"/>
                <w:sz w:val="20"/>
                <w:szCs w:val="20"/>
              </w:rPr>
              <w:t xml:space="preserve">                            </w:t>
            </w:r>
            <w:r w:rsidR="000A5B99">
              <w:rPr>
                <w:rFonts w:cs="Arial"/>
                <w:sz w:val="20"/>
                <w:szCs w:val="20"/>
              </w:rPr>
              <w:t>and benefits realisation</w:t>
            </w:r>
            <w:r>
              <w:rPr>
                <w:rFonts w:cs="Arial"/>
                <w:sz w:val="20"/>
                <w:szCs w:val="20"/>
              </w:rPr>
              <w:t xml:space="preserve"> longer term</w:t>
            </w:r>
          </w:p>
          <w:p w:rsidR="00446641" w:rsidRPr="00446641" w:rsidRDefault="00446641" w:rsidP="00446641">
            <w:pPr>
              <w:rPr>
                <w:rFonts w:cs="Arial"/>
                <w:sz w:val="20"/>
                <w:szCs w:val="20"/>
              </w:rPr>
            </w:pPr>
          </w:p>
          <w:p w:rsidR="00446641" w:rsidRPr="00446641" w:rsidRDefault="00446641" w:rsidP="00446641">
            <w:pPr>
              <w:rPr>
                <w:rFonts w:cs="Arial"/>
                <w:sz w:val="20"/>
                <w:szCs w:val="20"/>
              </w:rPr>
            </w:pPr>
            <w:r w:rsidRPr="00446641">
              <w:rPr>
                <w:rFonts w:cs="Arial"/>
                <w:sz w:val="20"/>
                <w:szCs w:val="20"/>
              </w:rPr>
              <w:t>Capital Charges | Depreciation – Welsh Government</w:t>
            </w:r>
          </w:p>
        </w:tc>
      </w:tr>
      <w:tr w:rsidR="00446641" w:rsidRPr="00446641" w:rsidTr="00446641">
        <w:trPr>
          <w:trHeight w:val="312"/>
        </w:trPr>
        <w:tc>
          <w:tcPr>
            <w:tcW w:w="1796" w:type="pct"/>
            <w:tcBorders>
              <w:top w:val="nil"/>
              <w:left w:val="single" w:sz="4" w:space="0" w:color="auto"/>
              <w:bottom w:val="single" w:sz="4" w:space="0" w:color="auto"/>
              <w:right w:val="single" w:sz="4" w:space="0" w:color="auto"/>
            </w:tcBorders>
            <w:noWrap/>
            <w:vAlign w:val="center"/>
            <w:hideMark/>
          </w:tcPr>
          <w:p w:rsidR="00446641" w:rsidRPr="00446641" w:rsidRDefault="00446641" w:rsidP="00446641">
            <w:pPr>
              <w:rPr>
                <w:rFonts w:cs="Arial"/>
                <w:b/>
                <w:bCs/>
                <w:sz w:val="20"/>
                <w:szCs w:val="20"/>
              </w:rPr>
            </w:pPr>
            <w:r w:rsidRPr="00446641">
              <w:rPr>
                <w:rFonts w:cs="Arial"/>
                <w:b/>
                <w:bCs/>
                <w:sz w:val="20"/>
                <w:szCs w:val="20"/>
              </w:rPr>
              <w:t>Funding Source Capital:</w:t>
            </w:r>
          </w:p>
        </w:tc>
        <w:tc>
          <w:tcPr>
            <w:tcW w:w="3204" w:type="pct"/>
            <w:tcBorders>
              <w:top w:val="nil"/>
              <w:left w:val="nil"/>
              <w:bottom w:val="single" w:sz="4" w:space="0" w:color="auto"/>
              <w:right w:val="single" w:sz="4" w:space="0" w:color="auto"/>
            </w:tcBorders>
            <w:noWrap/>
            <w:vAlign w:val="center"/>
            <w:hideMark/>
          </w:tcPr>
          <w:p w:rsidR="00446641" w:rsidRPr="00446641" w:rsidRDefault="00446641" w:rsidP="00446641">
            <w:pPr>
              <w:rPr>
                <w:rFonts w:cs="Arial"/>
                <w:sz w:val="20"/>
                <w:szCs w:val="20"/>
              </w:rPr>
            </w:pPr>
          </w:p>
          <w:p w:rsidR="00446641" w:rsidRPr="00446641" w:rsidRDefault="00446641" w:rsidP="00446641">
            <w:pPr>
              <w:rPr>
                <w:rFonts w:cs="Arial"/>
                <w:sz w:val="20"/>
                <w:szCs w:val="20"/>
              </w:rPr>
            </w:pPr>
            <w:r w:rsidRPr="00446641">
              <w:rPr>
                <w:rFonts w:cs="Arial"/>
                <w:sz w:val="20"/>
                <w:szCs w:val="20"/>
              </w:rPr>
              <w:t>Welsh Government</w:t>
            </w:r>
          </w:p>
        </w:tc>
      </w:tr>
    </w:tbl>
    <w:p w:rsidR="00446641" w:rsidRPr="00446641" w:rsidRDefault="00446641" w:rsidP="00446641">
      <w:pPr>
        <w:rPr>
          <w:rFonts w:cs="Arial"/>
          <w:i/>
          <w:iCs/>
          <w:noProof/>
          <w:sz w:val="20"/>
          <w:szCs w:val="20"/>
        </w:rPr>
      </w:pPr>
    </w:p>
    <w:p w:rsidR="00446641" w:rsidRPr="00446641" w:rsidRDefault="00446641" w:rsidP="00446641">
      <w:pPr>
        <w:rPr>
          <w:rFonts w:cs="Arial"/>
          <w:i/>
          <w:iCs/>
          <w:noProof/>
          <w:sz w:val="20"/>
          <w:szCs w:val="20"/>
        </w:rPr>
      </w:pPr>
    </w:p>
    <w:p w:rsidR="00446641" w:rsidRPr="00446641" w:rsidRDefault="00446641" w:rsidP="00446641">
      <w:pPr>
        <w:ind w:left="-1276"/>
        <w:rPr>
          <w:rFonts w:cs="Arial"/>
          <w:sz w:val="20"/>
          <w:szCs w:val="20"/>
        </w:rPr>
      </w:pPr>
    </w:p>
    <w:p w:rsidR="00446641" w:rsidRPr="002A5B4D" w:rsidRDefault="00446641" w:rsidP="00446641">
      <w:pPr>
        <w:tabs>
          <w:tab w:val="left" w:pos="1660"/>
        </w:tabs>
        <w:rPr>
          <w:rFonts w:cs="Arial"/>
          <w:b/>
          <w:sz w:val="20"/>
          <w:szCs w:val="20"/>
        </w:rPr>
        <w:sectPr w:rsidR="00446641" w:rsidRPr="002A5B4D" w:rsidSect="0030068E">
          <w:footerReference w:type="default" r:id="rId16"/>
          <w:pgSz w:w="11907" w:h="16840" w:code="9"/>
          <w:pgMar w:top="709" w:right="1797" w:bottom="1134" w:left="1797" w:header="709" w:footer="418" w:gutter="0"/>
          <w:pgNumType w:start="0"/>
          <w:cols w:space="708"/>
          <w:docGrid w:linePitch="360"/>
        </w:sectPr>
      </w:pPr>
    </w:p>
    <w:p w:rsidR="0000421F" w:rsidRDefault="0000421F" w:rsidP="00FB6ACD">
      <w:pPr>
        <w:pStyle w:val="Heading2"/>
        <w:jc w:val="right"/>
        <w:rPr>
          <w:rFonts w:ascii="Arial" w:hAnsi="Arial" w:cs="Arial"/>
          <w:sz w:val="28"/>
          <w:szCs w:val="28"/>
        </w:rPr>
      </w:pPr>
      <w:bookmarkStart w:id="31" w:name="_Toc202972561"/>
      <w:bookmarkStart w:id="32" w:name="_Toc98945742"/>
      <w:bookmarkStart w:id="33" w:name="_Toc98946156"/>
      <w:r w:rsidRPr="002A5B4D">
        <w:rPr>
          <w:rFonts w:ascii="Arial" w:hAnsi="Arial" w:cs="Arial"/>
          <w:sz w:val="28"/>
          <w:szCs w:val="28"/>
        </w:rPr>
        <w:t xml:space="preserve">Annex </w:t>
      </w:r>
      <w:r>
        <w:rPr>
          <w:rFonts w:ascii="Arial" w:hAnsi="Arial" w:cs="Arial"/>
          <w:sz w:val="28"/>
          <w:szCs w:val="28"/>
        </w:rPr>
        <w:t>a</w:t>
      </w:r>
      <w:r w:rsidRPr="002A5B4D">
        <w:rPr>
          <w:rFonts w:ascii="Arial" w:hAnsi="Arial" w:cs="Arial"/>
          <w:sz w:val="28"/>
          <w:szCs w:val="28"/>
        </w:rPr>
        <w:t xml:space="preserve">:  </w:t>
      </w:r>
      <w:r>
        <w:rPr>
          <w:rFonts w:ascii="Arial" w:hAnsi="Arial" w:cs="Arial"/>
          <w:sz w:val="28"/>
          <w:szCs w:val="28"/>
        </w:rPr>
        <w:t>FBC Executive Summary</w:t>
      </w:r>
      <w:bookmarkEnd w:id="31"/>
    </w:p>
    <w:p w:rsidR="00FB6ACD" w:rsidRDefault="00FB6ACD" w:rsidP="0000421F">
      <w:pPr>
        <w:rPr>
          <w:rFonts w:cs="Arial"/>
          <w:sz w:val="28"/>
          <w:szCs w:val="28"/>
        </w:rPr>
      </w:pPr>
    </w:p>
    <w:p w:rsidR="00733967" w:rsidRDefault="0000421F" w:rsidP="0000421F">
      <w:hyperlink r:id="rId17" w:history="1">
        <w:r w:rsidRPr="0000421F">
          <w:rPr>
            <w:rStyle w:val="Hyperlink"/>
            <w:rFonts w:cs="Arial"/>
            <w:sz w:val="28"/>
            <w:szCs w:val="28"/>
          </w:rPr>
          <w:t>250623 Park View FBC Executive Summary Final v7.pdf</w:t>
        </w:r>
      </w:hyperlink>
      <w:r w:rsidR="00733967">
        <w:t xml:space="preserve"> </w:t>
      </w:r>
    </w:p>
    <w:p w:rsidR="0000421F" w:rsidRPr="0000421F" w:rsidRDefault="00733967" w:rsidP="0000421F">
      <w:pPr>
        <w:rPr>
          <w:rFonts w:cs="Arial"/>
          <w:sz w:val="28"/>
          <w:szCs w:val="28"/>
        </w:rPr>
      </w:pPr>
      <w:r>
        <w:t>(also Attached)</w:t>
      </w:r>
    </w:p>
    <w:p w:rsidR="003D4A59" w:rsidRDefault="003D4A59">
      <w:pPr>
        <w:rPr>
          <w:rFonts w:eastAsiaTheme="majorEastAsia" w:cs="Arial"/>
          <w:color w:val="365F91" w:themeColor="accent1" w:themeShade="BF"/>
          <w:sz w:val="28"/>
          <w:szCs w:val="28"/>
        </w:rPr>
      </w:pPr>
    </w:p>
    <w:p w:rsidR="005F7185" w:rsidRDefault="00FB6ACD">
      <w:pPr>
        <w:rPr>
          <w:rFonts w:eastAsiaTheme="majorEastAsia" w:cs="Arial"/>
          <w:color w:val="365F91" w:themeColor="accent1" w:themeShade="BF"/>
          <w:sz w:val="28"/>
          <w:szCs w:val="28"/>
        </w:rPr>
      </w:pPr>
      <w:r>
        <w:rPr>
          <w:rFonts w:eastAsiaTheme="majorEastAsia" w:cs="Arial"/>
          <w:color w:val="365F91" w:themeColor="accent1" w:themeShade="BF"/>
          <w:sz w:val="28"/>
          <w:szCs w:val="28"/>
        </w:rPr>
        <w:br w:type="page"/>
      </w:r>
    </w:p>
    <w:p w:rsidR="005F7185" w:rsidRDefault="005F7185" w:rsidP="005F7185">
      <w:pPr>
        <w:pStyle w:val="Heading2"/>
        <w:jc w:val="right"/>
        <w:rPr>
          <w:rFonts w:ascii="Arial" w:hAnsi="Arial" w:cs="Arial"/>
          <w:sz w:val="28"/>
          <w:szCs w:val="28"/>
        </w:rPr>
      </w:pPr>
      <w:bookmarkStart w:id="34" w:name="_Toc202972562"/>
      <w:r w:rsidRPr="002A5B4D">
        <w:rPr>
          <w:rFonts w:ascii="Arial" w:hAnsi="Arial" w:cs="Arial"/>
          <w:sz w:val="28"/>
          <w:szCs w:val="28"/>
        </w:rPr>
        <w:t xml:space="preserve">Annex </w:t>
      </w:r>
      <w:r>
        <w:rPr>
          <w:rFonts w:ascii="Arial" w:hAnsi="Arial" w:cs="Arial"/>
          <w:sz w:val="28"/>
          <w:szCs w:val="28"/>
        </w:rPr>
        <w:t>b</w:t>
      </w:r>
      <w:r w:rsidRPr="002A5B4D">
        <w:rPr>
          <w:rFonts w:ascii="Arial" w:hAnsi="Arial" w:cs="Arial"/>
          <w:sz w:val="28"/>
          <w:szCs w:val="28"/>
        </w:rPr>
        <w:t xml:space="preserve">:  </w:t>
      </w:r>
      <w:r>
        <w:rPr>
          <w:rFonts w:ascii="Arial" w:hAnsi="Arial" w:cs="Arial"/>
          <w:sz w:val="28"/>
          <w:szCs w:val="28"/>
        </w:rPr>
        <w:t>Service Specification</w:t>
      </w:r>
      <w:bookmarkEnd w:id="34"/>
    </w:p>
    <w:p w:rsidR="005F7185" w:rsidRDefault="005F7185" w:rsidP="005F7185">
      <w:pPr>
        <w:jc w:val="both"/>
      </w:pPr>
    </w:p>
    <w:p w:rsidR="005F7185" w:rsidRPr="00CF5460" w:rsidRDefault="005F7185" w:rsidP="005F7185">
      <w:pPr>
        <w:jc w:val="both"/>
        <w:rPr>
          <w:sz w:val="22"/>
          <w:szCs w:val="22"/>
        </w:rPr>
      </w:pPr>
      <w:r w:rsidRPr="00CF5460">
        <w:rPr>
          <w:sz w:val="22"/>
          <w:szCs w:val="22"/>
        </w:rPr>
        <w:t xml:space="preserve">The </w:t>
      </w:r>
      <w:r w:rsidR="007525C5" w:rsidRPr="00CF5460">
        <w:rPr>
          <w:sz w:val="22"/>
          <w:szCs w:val="22"/>
        </w:rPr>
        <w:t>following service</w:t>
      </w:r>
      <w:r w:rsidRPr="00CF5460">
        <w:rPr>
          <w:sz w:val="22"/>
          <w:szCs w:val="22"/>
        </w:rPr>
        <w:t xml:space="preserve"> scope is based on extensive engagement between individual services and the service planning team with regards to the most appropriate configuration of services to deliver the SOFW objectives for the local population and a series of robust confirm and ‘challenge’ meetings to validate the clinical requirements of services whilst remaining committed to delivering accommodation to Welsh Health Building Note (WHBN) standards. </w:t>
      </w:r>
    </w:p>
    <w:p w:rsidR="005F7185" w:rsidRDefault="005F7185" w:rsidP="005F7185"/>
    <w:p w:rsidR="005F7185" w:rsidRPr="00CF5460" w:rsidRDefault="005F7185" w:rsidP="00CF5460"/>
    <w:p w:rsidR="005F7185" w:rsidRPr="00CF5460" w:rsidRDefault="005F7185" w:rsidP="00CF5460">
      <w:r w:rsidRPr="00726161">
        <w:rPr>
          <w:noProof/>
        </w:rPr>
        <w:drawing>
          <wp:inline distT="0" distB="0" distL="0" distR="0" wp14:anchorId="09E28ED5" wp14:editId="2EEA02B0">
            <wp:extent cx="5278755" cy="5591852"/>
            <wp:effectExtent l="0" t="0" r="0" b="8890"/>
            <wp:docPr id="4262646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264631" name=""/>
                    <pic:cNvPicPr/>
                  </pic:nvPicPr>
                  <pic:blipFill>
                    <a:blip r:embed="rId18"/>
                    <a:stretch>
                      <a:fillRect/>
                    </a:stretch>
                  </pic:blipFill>
                  <pic:spPr>
                    <a:xfrm>
                      <a:off x="0" y="0"/>
                      <a:ext cx="5278755" cy="5591852"/>
                    </a:xfrm>
                    <a:prstGeom prst="rect">
                      <a:avLst/>
                    </a:prstGeom>
                  </pic:spPr>
                </pic:pic>
              </a:graphicData>
            </a:graphic>
          </wp:inline>
        </w:drawing>
      </w:r>
    </w:p>
    <w:p w:rsidR="00FB6ACD" w:rsidRDefault="00FB6ACD">
      <w:pPr>
        <w:rPr>
          <w:rFonts w:eastAsiaTheme="majorEastAsia" w:cs="Arial"/>
          <w:color w:val="365F91" w:themeColor="accent1" w:themeShade="BF"/>
          <w:sz w:val="28"/>
          <w:szCs w:val="28"/>
        </w:rPr>
      </w:pPr>
    </w:p>
    <w:p w:rsidR="005F7185" w:rsidRDefault="005F7185">
      <w:pPr>
        <w:rPr>
          <w:rFonts w:eastAsiaTheme="majorEastAsia" w:cs="Arial"/>
          <w:color w:val="365F91" w:themeColor="accent1" w:themeShade="BF"/>
          <w:sz w:val="28"/>
          <w:szCs w:val="28"/>
        </w:rPr>
      </w:pPr>
      <w:r>
        <w:rPr>
          <w:rFonts w:eastAsiaTheme="majorEastAsia" w:cs="Arial"/>
          <w:color w:val="365F91" w:themeColor="accent1" w:themeShade="BF"/>
          <w:sz w:val="28"/>
          <w:szCs w:val="28"/>
        </w:rPr>
        <w:br w:type="page"/>
      </w:r>
    </w:p>
    <w:p w:rsidR="0000421F" w:rsidRDefault="0000421F">
      <w:pPr>
        <w:rPr>
          <w:rFonts w:eastAsiaTheme="majorEastAsia" w:cs="Arial"/>
          <w:color w:val="365F91" w:themeColor="accent1" w:themeShade="BF"/>
          <w:sz w:val="28"/>
          <w:szCs w:val="28"/>
        </w:rPr>
      </w:pPr>
    </w:p>
    <w:p w:rsidR="00446641" w:rsidRPr="002A5B4D" w:rsidRDefault="00446641" w:rsidP="00446641">
      <w:pPr>
        <w:pStyle w:val="Heading2"/>
        <w:jc w:val="right"/>
        <w:rPr>
          <w:rFonts w:ascii="Arial" w:hAnsi="Arial" w:cs="Arial"/>
          <w:sz w:val="28"/>
          <w:szCs w:val="28"/>
        </w:rPr>
      </w:pPr>
      <w:bookmarkStart w:id="35" w:name="_Toc202972563"/>
      <w:r w:rsidRPr="002A5B4D">
        <w:rPr>
          <w:rFonts w:ascii="Arial" w:hAnsi="Arial" w:cs="Arial"/>
          <w:sz w:val="28"/>
          <w:szCs w:val="28"/>
        </w:rPr>
        <w:t xml:space="preserve">Annex </w:t>
      </w:r>
      <w:r w:rsidR="005F7185">
        <w:rPr>
          <w:rFonts w:ascii="Arial" w:hAnsi="Arial" w:cs="Arial"/>
          <w:sz w:val="28"/>
          <w:szCs w:val="28"/>
        </w:rPr>
        <w:t>c</w:t>
      </w:r>
      <w:r w:rsidRPr="002A5B4D">
        <w:rPr>
          <w:rFonts w:ascii="Arial" w:hAnsi="Arial" w:cs="Arial"/>
          <w:sz w:val="28"/>
          <w:szCs w:val="28"/>
        </w:rPr>
        <w:t xml:space="preserve">:  </w:t>
      </w:r>
      <w:r>
        <w:rPr>
          <w:rFonts w:ascii="Arial" w:hAnsi="Arial" w:cs="Arial"/>
          <w:sz w:val="28"/>
          <w:szCs w:val="28"/>
        </w:rPr>
        <w:t>Revenue Summary</w:t>
      </w:r>
      <w:bookmarkEnd w:id="35"/>
    </w:p>
    <w:p w:rsidR="00446641" w:rsidRPr="002A5B4D" w:rsidRDefault="00446641" w:rsidP="00446641">
      <w:pPr>
        <w:rPr>
          <w:rFonts w:cs="Arial"/>
          <w:sz w:val="20"/>
          <w:szCs w:val="20"/>
        </w:rPr>
      </w:pPr>
    </w:p>
    <w:bookmarkEnd w:id="32"/>
    <w:bookmarkEnd w:id="33"/>
    <w:p w:rsidR="00446641" w:rsidRPr="002A5B4D" w:rsidRDefault="00446641" w:rsidP="00446641">
      <w:pPr>
        <w:rPr>
          <w:rFonts w:cs="Arial"/>
          <w:iCs/>
          <w:sz w:val="20"/>
          <w:szCs w:val="20"/>
        </w:rPr>
      </w:pPr>
    </w:p>
    <w:p w:rsidR="009218F7" w:rsidRDefault="00B924BB" w:rsidP="002F461D">
      <w:pPr>
        <w:pStyle w:val="BodyText1"/>
      </w:pPr>
      <w:r>
        <w:t>As set out in the case, the</w:t>
      </w:r>
      <w:r w:rsidRPr="00446641">
        <w:t xml:space="preserve"> </w:t>
      </w:r>
      <w:r w:rsidR="00D710C3">
        <w:t>hub</w:t>
      </w:r>
      <w:r w:rsidR="00D710C3" w:rsidRPr="00446641">
        <w:t xml:space="preserve"> </w:t>
      </w:r>
      <w:r w:rsidR="00446641" w:rsidRPr="00446641">
        <w:t xml:space="preserve">will provide new facilities for the transfer of existing services currently dispersed across the locality since the closure of the original Park View Health Centre. The </w:t>
      </w:r>
      <w:r w:rsidR="00055C10">
        <w:t>hub</w:t>
      </w:r>
      <w:r w:rsidR="00055C10" w:rsidRPr="00446641">
        <w:t xml:space="preserve"> </w:t>
      </w:r>
      <w:r w:rsidR="00446641" w:rsidRPr="00446641">
        <w:t xml:space="preserve">will also provide for GMS facilities from a relocated Westway Surgery and </w:t>
      </w:r>
      <w:r w:rsidR="00055C10">
        <w:t>allow</w:t>
      </w:r>
      <w:r w:rsidR="00055C10" w:rsidRPr="00446641">
        <w:t xml:space="preserve"> </w:t>
      </w:r>
      <w:r w:rsidR="00446641" w:rsidRPr="00446641">
        <w:t>an increase in local service provision by delivering more services closer to people’s homes, enabling where possible out of hospital care. As such, there will at FBC stage be no net additional clinical service costs</w:t>
      </w:r>
      <w:r w:rsidR="00FA663C">
        <w:t>, against the baseline</w:t>
      </w:r>
      <w:r w:rsidR="00B555B3">
        <w:t xml:space="preserve"> clinical</w:t>
      </w:r>
      <w:r w:rsidR="00FA663C">
        <w:t xml:space="preserve"> services assessment of £2.8m</w:t>
      </w:r>
      <w:r w:rsidR="00B555B3">
        <w:t xml:space="preserve"> that informed the economic case.</w:t>
      </w:r>
    </w:p>
    <w:p w:rsidR="009218F7" w:rsidRPr="00446641" w:rsidRDefault="009218F7" w:rsidP="002F461D">
      <w:pPr>
        <w:pStyle w:val="BodyText1"/>
      </w:pPr>
    </w:p>
    <w:p w:rsidR="00446641" w:rsidRPr="00446641" w:rsidRDefault="00446641" w:rsidP="00446641">
      <w:pPr>
        <w:pStyle w:val="NoSpacing"/>
        <w:rPr>
          <w:rFonts w:ascii="Arial" w:hAnsi="Arial" w:cs="Arial"/>
          <w:sz w:val="20"/>
          <w:szCs w:val="20"/>
        </w:rPr>
      </w:pPr>
    </w:p>
    <w:p w:rsidR="00446641" w:rsidRDefault="00446641" w:rsidP="002F461D">
      <w:pPr>
        <w:pStyle w:val="BodyText1"/>
      </w:pPr>
      <w:r w:rsidRPr="00446641">
        <w:t>There will be additional facilities, estates and utilities costs associated with the new centre and the required footprint. These have developed further to the OBC, and reflect revised rates adjusted for inflation and savings.</w:t>
      </w:r>
      <w:r w:rsidR="00F80D6A">
        <w:t xml:space="preserve"> As summarised in </w:t>
      </w:r>
      <w:r w:rsidR="00A510A1">
        <w:t>S</w:t>
      </w:r>
      <w:r w:rsidR="00F80D6A">
        <w:t>ection</w:t>
      </w:r>
      <w:r w:rsidR="00C40CF9">
        <w:t xml:space="preserve"> 7, the energy model for the build now needs to consider NHS Carbon Zero objectives, </w:t>
      </w:r>
      <w:r w:rsidR="00602E84">
        <w:t>and installation of air source heat pumps and associated electricity usage is a contributer to an increased utilities</w:t>
      </w:r>
      <w:r w:rsidR="00C74895">
        <w:t xml:space="preserve"> cost. By comparison, the old Park View</w:t>
      </w:r>
      <w:r w:rsidR="00A71727">
        <w:t xml:space="preserve"> building Gas and Electricity model is estimated at £45k at current rates, compared to </w:t>
      </w:r>
      <w:r w:rsidR="003510E2">
        <w:t>the FBC assumptions of circa £218k</w:t>
      </w:r>
      <w:r w:rsidR="00B34478">
        <w:t xml:space="preserve"> electricity consumption.</w:t>
      </w:r>
    </w:p>
    <w:p w:rsidR="00B34478" w:rsidRDefault="00B34478" w:rsidP="002F461D">
      <w:pPr>
        <w:pStyle w:val="BodyText1"/>
      </w:pPr>
    </w:p>
    <w:p w:rsidR="00947053" w:rsidRPr="00446641" w:rsidRDefault="00B34478" w:rsidP="002F461D">
      <w:pPr>
        <w:pStyle w:val="BodyText1"/>
      </w:pPr>
      <w:r>
        <w:t xml:space="preserve">These revenue costs have been partly offset by a </w:t>
      </w:r>
      <w:r w:rsidR="004C22AB">
        <w:t xml:space="preserve">GMS </w:t>
      </w:r>
      <w:r>
        <w:t>saving on rent and rates</w:t>
      </w:r>
      <w:r w:rsidR="004C22AB">
        <w:t xml:space="preserve">. However, the PCIC and CEF Boards will continue to </w:t>
      </w:r>
      <w:r w:rsidR="00400554">
        <w:t>work on options to migigate these costs ahead of the new building opening.</w:t>
      </w:r>
    </w:p>
    <w:p w:rsidR="00446641" w:rsidRPr="00446641" w:rsidRDefault="00446641" w:rsidP="00446641">
      <w:pPr>
        <w:pStyle w:val="NoSpacing"/>
        <w:rPr>
          <w:rFonts w:ascii="Arial" w:hAnsi="Arial" w:cs="Arial"/>
          <w:sz w:val="20"/>
          <w:szCs w:val="20"/>
        </w:rPr>
      </w:pPr>
    </w:p>
    <w:p w:rsidR="00446641" w:rsidRPr="00446641" w:rsidRDefault="00446641" w:rsidP="002F461D">
      <w:pPr>
        <w:pStyle w:val="BodyText1"/>
      </w:pPr>
      <w:r w:rsidRPr="00446641">
        <w:t>The summary of additional revenue costs is as follows:</w:t>
      </w:r>
    </w:p>
    <w:p w:rsidR="00446641" w:rsidRPr="00446641" w:rsidRDefault="00446641" w:rsidP="00446641">
      <w:pPr>
        <w:ind w:left="-851"/>
        <w:jc w:val="center"/>
        <w:rPr>
          <w:rFonts w:cs="Arial"/>
          <w:sz w:val="20"/>
          <w:szCs w:val="20"/>
        </w:rPr>
      </w:pPr>
    </w:p>
    <w:tbl>
      <w:tblPr>
        <w:tblStyle w:val="TableGrid"/>
        <w:tblW w:w="0" w:type="auto"/>
        <w:tblLook w:val="04A0" w:firstRow="1" w:lastRow="0" w:firstColumn="1" w:lastColumn="0" w:noHBand="0" w:noVBand="1"/>
      </w:tblPr>
      <w:tblGrid>
        <w:gridCol w:w="6490"/>
        <w:gridCol w:w="1813"/>
      </w:tblGrid>
      <w:tr w:rsidR="00446641" w:rsidRPr="00446641" w:rsidTr="005569E5">
        <w:tc>
          <w:tcPr>
            <w:tcW w:w="6794" w:type="dxa"/>
            <w:shd w:val="clear" w:color="auto" w:fill="2F598B"/>
          </w:tcPr>
          <w:p w:rsidR="00446641" w:rsidRPr="00446641" w:rsidRDefault="00446641" w:rsidP="002F461D">
            <w:pPr>
              <w:pStyle w:val="Tableheading"/>
            </w:pPr>
            <w:r w:rsidRPr="00446641">
              <w:t>Cost Type</w:t>
            </w:r>
          </w:p>
        </w:tc>
        <w:tc>
          <w:tcPr>
            <w:tcW w:w="1848" w:type="dxa"/>
            <w:shd w:val="clear" w:color="auto" w:fill="2F598B"/>
          </w:tcPr>
          <w:p w:rsidR="00446641" w:rsidRPr="00446641" w:rsidRDefault="00446641" w:rsidP="002F461D">
            <w:pPr>
              <w:pStyle w:val="Tableheading"/>
            </w:pPr>
            <w:r w:rsidRPr="00446641">
              <w:t>Additional Revenue Costs</w:t>
            </w:r>
          </w:p>
          <w:p w:rsidR="00446641" w:rsidRPr="00446641" w:rsidRDefault="00446641" w:rsidP="002F461D">
            <w:pPr>
              <w:pStyle w:val="Tableheading"/>
            </w:pPr>
            <w:r w:rsidRPr="00446641">
              <w:t>£m</w:t>
            </w:r>
          </w:p>
        </w:tc>
      </w:tr>
      <w:tr w:rsidR="00446641" w:rsidRPr="00446641" w:rsidTr="005569E5">
        <w:tc>
          <w:tcPr>
            <w:tcW w:w="6794" w:type="dxa"/>
          </w:tcPr>
          <w:p w:rsidR="00446641" w:rsidRPr="00446641" w:rsidRDefault="00446641" w:rsidP="002F461D">
            <w:pPr>
              <w:pStyle w:val="TableText"/>
              <w:rPr>
                <w:highlight w:val="lightGray"/>
              </w:rPr>
            </w:pPr>
            <w:r w:rsidRPr="00446641">
              <w:t>Facilities / Utilities</w:t>
            </w:r>
          </w:p>
        </w:tc>
        <w:tc>
          <w:tcPr>
            <w:tcW w:w="1848" w:type="dxa"/>
          </w:tcPr>
          <w:p w:rsidR="00446641" w:rsidRPr="00446641" w:rsidRDefault="00446641" w:rsidP="002F461D">
            <w:pPr>
              <w:pStyle w:val="TableText"/>
              <w:rPr>
                <w:highlight w:val="lightGray"/>
              </w:rPr>
            </w:pPr>
            <w:r w:rsidRPr="00446641">
              <w:t>0.681</w:t>
            </w:r>
          </w:p>
        </w:tc>
      </w:tr>
      <w:tr w:rsidR="00446641" w:rsidRPr="00446641" w:rsidTr="005569E5">
        <w:tc>
          <w:tcPr>
            <w:tcW w:w="6794" w:type="dxa"/>
          </w:tcPr>
          <w:p w:rsidR="00446641" w:rsidRPr="00446641" w:rsidRDefault="00446641" w:rsidP="002F461D">
            <w:pPr>
              <w:pStyle w:val="TableText"/>
            </w:pPr>
            <w:r w:rsidRPr="00446641">
              <w:t>Savings from Westway Surgery</w:t>
            </w:r>
          </w:p>
        </w:tc>
        <w:tc>
          <w:tcPr>
            <w:tcW w:w="1848" w:type="dxa"/>
          </w:tcPr>
          <w:p w:rsidR="00446641" w:rsidRPr="00446641" w:rsidRDefault="00446641" w:rsidP="002F461D">
            <w:pPr>
              <w:pStyle w:val="TableText"/>
            </w:pPr>
            <w:r w:rsidRPr="00446641">
              <w:t>(0.057)</w:t>
            </w:r>
          </w:p>
        </w:tc>
      </w:tr>
      <w:tr w:rsidR="00446641" w:rsidRPr="00446641" w:rsidTr="005569E5">
        <w:tc>
          <w:tcPr>
            <w:tcW w:w="6794" w:type="dxa"/>
            <w:shd w:val="clear" w:color="auto" w:fill="2F598B"/>
          </w:tcPr>
          <w:p w:rsidR="00446641" w:rsidRPr="00446641" w:rsidRDefault="00446641" w:rsidP="002F461D">
            <w:pPr>
              <w:pStyle w:val="tableheading2"/>
            </w:pPr>
            <w:r w:rsidRPr="00446641">
              <w:t>Total</w:t>
            </w:r>
          </w:p>
        </w:tc>
        <w:tc>
          <w:tcPr>
            <w:tcW w:w="1848" w:type="dxa"/>
            <w:shd w:val="clear" w:color="auto" w:fill="2F598B"/>
          </w:tcPr>
          <w:p w:rsidR="00446641" w:rsidRPr="00446641" w:rsidRDefault="00446641" w:rsidP="002F461D">
            <w:pPr>
              <w:pStyle w:val="tableheading2"/>
            </w:pPr>
            <w:r w:rsidRPr="00446641">
              <w:t>0.624</w:t>
            </w:r>
          </w:p>
        </w:tc>
      </w:tr>
    </w:tbl>
    <w:p w:rsidR="00446641" w:rsidRPr="00446641" w:rsidRDefault="00446641" w:rsidP="00446641">
      <w:pPr>
        <w:pStyle w:val="ListParagraph"/>
        <w:ind w:left="1800"/>
        <w:rPr>
          <w:rFonts w:cs="Arial"/>
          <w:sz w:val="20"/>
          <w:szCs w:val="20"/>
        </w:rPr>
      </w:pPr>
    </w:p>
    <w:tbl>
      <w:tblPr>
        <w:tblW w:w="0" w:type="auto"/>
        <w:tblLook w:val="04A0" w:firstRow="1" w:lastRow="0" w:firstColumn="1" w:lastColumn="0" w:noHBand="0" w:noVBand="1"/>
      </w:tblPr>
      <w:tblGrid>
        <w:gridCol w:w="2739"/>
        <w:gridCol w:w="1076"/>
      </w:tblGrid>
      <w:tr w:rsidR="00446641" w:rsidRPr="00446641" w:rsidTr="005569E5">
        <w:tc>
          <w:tcPr>
            <w:tcW w:w="0" w:type="auto"/>
            <w:tcBorders>
              <w:top w:val="single" w:sz="4" w:space="0" w:color="auto"/>
              <w:left w:val="single" w:sz="4" w:space="0" w:color="auto"/>
              <w:bottom w:val="nil"/>
              <w:right w:val="nil"/>
            </w:tcBorders>
            <w:shd w:val="clear" w:color="000000" w:fill="B4C6E7"/>
            <w:noWrap/>
            <w:vAlign w:val="bottom"/>
            <w:hideMark/>
          </w:tcPr>
          <w:p w:rsidR="00446641" w:rsidRPr="00446641" w:rsidRDefault="00446641" w:rsidP="005569E5">
            <w:pPr>
              <w:rPr>
                <w:rFonts w:cs="Arial"/>
                <w:b/>
                <w:bCs/>
                <w:i/>
                <w:iCs/>
                <w:color w:val="000000"/>
                <w:sz w:val="20"/>
                <w:szCs w:val="20"/>
              </w:rPr>
            </w:pPr>
            <w:r w:rsidRPr="00446641">
              <w:rPr>
                <w:rFonts w:cs="Arial"/>
                <w:b/>
                <w:bCs/>
                <w:i/>
                <w:iCs/>
                <w:color w:val="000000"/>
                <w:sz w:val="20"/>
                <w:szCs w:val="20"/>
              </w:rPr>
              <w:t xml:space="preserve">Additional Estates and FM </w:t>
            </w:r>
          </w:p>
        </w:tc>
        <w:tc>
          <w:tcPr>
            <w:tcW w:w="1076" w:type="dxa"/>
            <w:tcBorders>
              <w:top w:val="single" w:sz="4" w:space="0" w:color="auto"/>
              <w:left w:val="single" w:sz="4" w:space="0" w:color="auto"/>
              <w:bottom w:val="nil"/>
              <w:right w:val="single" w:sz="4" w:space="0" w:color="auto"/>
            </w:tcBorders>
            <w:shd w:val="clear" w:color="000000" w:fill="B4C6E7"/>
            <w:vAlign w:val="center"/>
            <w:hideMark/>
          </w:tcPr>
          <w:p w:rsidR="00446641" w:rsidRPr="00446641" w:rsidRDefault="00446641" w:rsidP="005569E5">
            <w:pPr>
              <w:jc w:val="center"/>
              <w:rPr>
                <w:rFonts w:cs="Arial"/>
                <w:b/>
                <w:bCs/>
                <w:i/>
                <w:iCs/>
                <w:sz w:val="20"/>
                <w:szCs w:val="20"/>
              </w:rPr>
            </w:pPr>
            <w:r w:rsidRPr="00446641">
              <w:rPr>
                <w:rFonts w:cs="Arial"/>
                <w:b/>
                <w:bCs/>
                <w:i/>
                <w:iCs/>
                <w:sz w:val="20"/>
                <w:szCs w:val="20"/>
              </w:rPr>
              <w:t>£m</w:t>
            </w:r>
          </w:p>
        </w:tc>
      </w:tr>
      <w:tr w:rsidR="00446641" w:rsidRPr="00446641" w:rsidTr="005569E5">
        <w:tc>
          <w:tcPr>
            <w:tcW w:w="0" w:type="auto"/>
            <w:tcBorders>
              <w:top w:val="single" w:sz="4" w:space="0" w:color="auto"/>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Ward Based Catering </w:t>
            </w:r>
          </w:p>
        </w:tc>
        <w:tc>
          <w:tcPr>
            <w:tcW w:w="1076" w:type="dxa"/>
            <w:tcBorders>
              <w:top w:val="single" w:sz="4" w:space="0" w:color="auto"/>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p>
        </w:tc>
      </w:tr>
      <w:tr w:rsidR="00446641" w:rsidRPr="00446641" w:rsidTr="005569E5">
        <w:tc>
          <w:tcPr>
            <w:tcW w:w="0" w:type="auto"/>
            <w:tcBorders>
              <w:top w:val="nil"/>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Catering Provisions </w:t>
            </w:r>
          </w:p>
        </w:tc>
        <w:tc>
          <w:tcPr>
            <w:tcW w:w="1076" w:type="dxa"/>
            <w:tcBorders>
              <w:top w:val="nil"/>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p>
        </w:tc>
      </w:tr>
      <w:tr w:rsidR="00446641" w:rsidRPr="00446641" w:rsidTr="005569E5">
        <w:tc>
          <w:tcPr>
            <w:tcW w:w="0" w:type="auto"/>
            <w:tcBorders>
              <w:top w:val="nil"/>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Domestics staff </w:t>
            </w:r>
          </w:p>
        </w:tc>
        <w:tc>
          <w:tcPr>
            <w:tcW w:w="1076" w:type="dxa"/>
            <w:tcBorders>
              <w:top w:val="nil"/>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r w:rsidRPr="00446641">
              <w:rPr>
                <w:rFonts w:cs="Arial"/>
                <w:i/>
                <w:iCs/>
                <w:color w:val="000000"/>
                <w:sz w:val="20"/>
                <w:szCs w:val="20"/>
              </w:rPr>
              <w:t>0.094</w:t>
            </w:r>
          </w:p>
        </w:tc>
      </w:tr>
      <w:tr w:rsidR="00446641" w:rsidRPr="00446641" w:rsidTr="005569E5">
        <w:tc>
          <w:tcPr>
            <w:tcW w:w="0" w:type="auto"/>
            <w:tcBorders>
              <w:top w:val="nil"/>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Domestics consumables </w:t>
            </w:r>
          </w:p>
        </w:tc>
        <w:tc>
          <w:tcPr>
            <w:tcW w:w="1076" w:type="dxa"/>
            <w:tcBorders>
              <w:top w:val="nil"/>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r w:rsidRPr="00446641">
              <w:rPr>
                <w:rFonts w:cs="Arial"/>
                <w:i/>
                <w:iCs/>
                <w:color w:val="000000"/>
                <w:sz w:val="20"/>
                <w:szCs w:val="20"/>
              </w:rPr>
              <w:t>0.005</w:t>
            </w:r>
          </w:p>
        </w:tc>
      </w:tr>
      <w:tr w:rsidR="00446641" w:rsidRPr="00446641" w:rsidTr="005569E5">
        <w:tc>
          <w:tcPr>
            <w:tcW w:w="0" w:type="auto"/>
            <w:tcBorders>
              <w:top w:val="nil"/>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Waste </w:t>
            </w:r>
          </w:p>
        </w:tc>
        <w:tc>
          <w:tcPr>
            <w:tcW w:w="1076" w:type="dxa"/>
            <w:tcBorders>
              <w:top w:val="nil"/>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r w:rsidRPr="00446641">
              <w:rPr>
                <w:rFonts w:cs="Arial"/>
                <w:i/>
                <w:iCs/>
                <w:color w:val="000000"/>
                <w:sz w:val="20"/>
                <w:szCs w:val="20"/>
              </w:rPr>
              <w:t>0.013</w:t>
            </w:r>
          </w:p>
        </w:tc>
      </w:tr>
      <w:tr w:rsidR="00446641" w:rsidRPr="00446641" w:rsidTr="005569E5">
        <w:tc>
          <w:tcPr>
            <w:tcW w:w="0" w:type="auto"/>
            <w:tcBorders>
              <w:top w:val="nil"/>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Estates </w:t>
            </w:r>
          </w:p>
        </w:tc>
        <w:tc>
          <w:tcPr>
            <w:tcW w:w="1076" w:type="dxa"/>
            <w:tcBorders>
              <w:top w:val="nil"/>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r w:rsidRPr="00446641">
              <w:rPr>
                <w:rFonts w:cs="Arial"/>
                <w:i/>
                <w:iCs/>
                <w:color w:val="000000"/>
                <w:sz w:val="20"/>
                <w:szCs w:val="20"/>
              </w:rPr>
              <w:t>0.107</w:t>
            </w:r>
          </w:p>
        </w:tc>
      </w:tr>
      <w:tr w:rsidR="00446641" w:rsidRPr="00446641" w:rsidTr="005569E5">
        <w:tc>
          <w:tcPr>
            <w:tcW w:w="0" w:type="auto"/>
            <w:tcBorders>
              <w:top w:val="nil"/>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Portering </w:t>
            </w:r>
          </w:p>
        </w:tc>
        <w:tc>
          <w:tcPr>
            <w:tcW w:w="1076" w:type="dxa"/>
            <w:tcBorders>
              <w:top w:val="nil"/>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p>
        </w:tc>
      </w:tr>
      <w:tr w:rsidR="00446641" w:rsidRPr="00446641" w:rsidTr="005569E5">
        <w:tc>
          <w:tcPr>
            <w:tcW w:w="0" w:type="auto"/>
            <w:tcBorders>
              <w:top w:val="nil"/>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Security (Inc CCTV &amp; TDSi) </w:t>
            </w:r>
          </w:p>
        </w:tc>
        <w:tc>
          <w:tcPr>
            <w:tcW w:w="1076" w:type="dxa"/>
            <w:tcBorders>
              <w:top w:val="nil"/>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r w:rsidRPr="00446641">
              <w:rPr>
                <w:rFonts w:cs="Arial"/>
                <w:i/>
                <w:iCs/>
                <w:color w:val="000000"/>
                <w:sz w:val="20"/>
                <w:szCs w:val="20"/>
              </w:rPr>
              <w:t>0.013</w:t>
            </w:r>
          </w:p>
        </w:tc>
      </w:tr>
      <w:tr w:rsidR="00446641" w:rsidRPr="00446641" w:rsidTr="005569E5">
        <w:tc>
          <w:tcPr>
            <w:tcW w:w="0" w:type="auto"/>
            <w:tcBorders>
              <w:top w:val="nil"/>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Post </w:t>
            </w:r>
          </w:p>
        </w:tc>
        <w:tc>
          <w:tcPr>
            <w:tcW w:w="1076" w:type="dxa"/>
            <w:tcBorders>
              <w:top w:val="nil"/>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r w:rsidRPr="00446641">
              <w:rPr>
                <w:rFonts w:cs="Arial"/>
                <w:i/>
                <w:iCs/>
                <w:color w:val="000000"/>
                <w:sz w:val="20"/>
                <w:szCs w:val="20"/>
              </w:rPr>
              <w:t>0.002</w:t>
            </w:r>
          </w:p>
        </w:tc>
      </w:tr>
      <w:tr w:rsidR="00446641" w:rsidRPr="00446641" w:rsidTr="005569E5">
        <w:tc>
          <w:tcPr>
            <w:tcW w:w="0" w:type="auto"/>
            <w:tcBorders>
              <w:top w:val="nil"/>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Linen </w:t>
            </w:r>
          </w:p>
        </w:tc>
        <w:tc>
          <w:tcPr>
            <w:tcW w:w="1076" w:type="dxa"/>
            <w:tcBorders>
              <w:top w:val="nil"/>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p>
        </w:tc>
      </w:tr>
      <w:tr w:rsidR="00446641" w:rsidRPr="00446641" w:rsidTr="005569E5">
        <w:tc>
          <w:tcPr>
            <w:tcW w:w="0" w:type="auto"/>
            <w:tcBorders>
              <w:top w:val="nil"/>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Utilities </w:t>
            </w:r>
          </w:p>
        </w:tc>
        <w:tc>
          <w:tcPr>
            <w:tcW w:w="1076" w:type="dxa"/>
            <w:tcBorders>
              <w:top w:val="nil"/>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r w:rsidRPr="00446641">
              <w:rPr>
                <w:rFonts w:cs="Arial"/>
                <w:i/>
                <w:iCs/>
                <w:color w:val="000000"/>
                <w:sz w:val="20"/>
                <w:szCs w:val="20"/>
              </w:rPr>
              <w:t>0.248</w:t>
            </w:r>
          </w:p>
        </w:tc>
      </w:tr>
      <w:tr w:rsidR="00446641" w:rsidRPr="00446641" w:rsidTr="005569E5">
        <w:tc>
          <w:tcPr>
            <w:tcW w:w="0" w:type="auto"/>
            <w:tcBorders>
              <w:top w:val="nil"/>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Rates </w:t>
            </w:r>
          </w:p>
        </w:tc>
        <w:tc>
          <w:tcPr>
            <w:tcW w:w="1076" w:type="dxa"/>
            <w:tcBorders>
              <w:top w:val="nil"/>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r w:rsidRPr="00446641">
              <w:rPr>
                <w:rFonts w:cs="Arial"/>
                <w:i/>
                <w:iCs/>
                <w:color w:val="000000"/>
                <w:sz w:val="20"/>
                <w:szCs w:val="20"/>
              </w:rPr>
              <w:t>0.150</w:t>
            </w:r>
          </w:p>
        </w:tc>
      </w:tr>
      <w:tr w:rsidR="00446641" w:rsidRPr="00446641" w:rsidTr="005569E5">
        <w:tc>
          <w:tcPr>
            <w:tcW w:w="0" w:type="auto"/>
            <w:tcBorders>
              <w:top w:val="nil"/>
              <w:left w:val="single" w:sz="4" w:space="0" w:color="auto"/>
              <w:bottom w:val="nil"/>
              <w:right w:val="nil"/>
            </w:tcBorders>
            <w:noWrap/>
            <w:vAlign w:val="bottom"/>
            <w:hideMark/>
          </w:tcPr>
          <w:p w:rsidR="00446641" w:rsidRPr="00446641" w:rsidRDefault="00446641" w:rsidP="005569E5">
            <w:pPr>
              <w:rPr>
                <w:rFonts w:cs="Arial"/>
                <w:i/>
                <w:iCs/>
                <w:color w:val="000000"/>
                <w:sz w:val="20"/>
                <w:szCs w:val="20"/>
              </w:rPr>
            </w:pPr>
            <w:r w:rsidRPr="00446641">
              <w:rPr>
                <w:rFonts w:cs="Arial"/>
                <w:i/>
                <w:iCs/>
                <w:color w:val="000000"/>
                <w:sz w:val="20"/>
                <w:szCs w:val="20"/>
              </w:rPr>
              <w:t xml:space="preserve"> Comms and digital </w:t>
            </w:r>
          </w:p>
        </w:tc>
        <w:tc>
          <w:tcPr>
            <w:tcW w:w="1076" w:type="dxa"/>
            <w:tcBorders>
              <w:top w:val="nil"/>
              <w:left w:val="single" w:sz="4" w:space="0" w:color="auto"/>
              <w:bottom w:val="nil"/>
              <w:right w:val="single" w:sz="4" w:space="0" w:color="auto"/>
            </w:tcBorders>
            <w:noWrap/>
            <w:vAlign w:val="bottom"/>
          </w:tcPr>
          <w:p w:rsidR="00446641" w:rsidRPr="00446641" w:rsidRDefault="00446641" w:rsidP="005569E5">
            <w:pPr>
              <w:jc w:val="center"/>
              <w:rPr>
                <w:rFonts w:cs="Arial"/>
                <w:i/>
                <w:iCs/>
                <w:color w:val="000000"/>
                <w:sz w:val="20"/>
                <w:szCs w:val="20"/>
              </w:rPr>
            </w:pPr>
            <w:r w:rsidRPr="00446641">
              <w:rPr>
                <w:rFonts w:cs="Arial"/>
                <w:i/>
                <w:iCs/>
                <w:color w:val="000000"/>
                <w:sz w:val="20"/>
                <w:szCs w:val="20"/>
              </w:rPr>
              <w:t>0.050</w:t>
            </w:r>
          </w:p>
        </w:tc>
      </w:tr>
      <w:tr w:rsidR="00446641" w:rsidRPr="00446641" w:rsidTr="005569E5">
        <w:tc>
          <w:tcPr>
            <w:tcW w:w="0" w:type="auto"/>
            <w:tcBorders>
              <w:top w:val="single" w:sz="4" w:space="0" w:color="auto"/>
              <w:left w:val="single" w:sz="4" w:space="0" w:color="auto"/>
              <w:bottom w:val="single" w:sz="4" w:space="0" w:color="auto"/>
              <w:right w:val="nil"/>
            </w:tcBorders>
            <w:shd w:val="clear" w:color="000000" w:fill="B4C6E7"/>
            <w:noWrap/>
            <w:vAlign w:val="bottom"/>
            <w:hideMark/>
          </w:tcPr>
          <w:p w:rsidR="00446641" w:rsidRPr="00446641" w:rsidRDefault="00446641" w:rsidP="005569E5">
            <w:pPr>
              <w:rPr>
                <w:rFonts w:cs="Arial"/>
                <w:b/>
                <w:bCs/>
                <w:i/>
                <w:iCs/>
                <w:color w:val="000000"/>
                <w:sz w:val="20"/>
                <w:szCs w:val="20"/>
              </w:rPr>
            </w:pPr>
            <w:r w:rsidRPr="00446641">
              <w:rPr>
                <w:rFonts w:cs="Arial"/>
                <w:b/>
                <w:bCs/>
                <w:i/>
                <w:iCs/>
                <w:color w:val="000000"/>
                <w:sz w:val="20"/>
                <w:szCs w:val="20"/>
              </w:rPr>
              <w:t xml:space="preserve"> Total </w:t>
            </w:r>
          </w:p>
        </w:tc>
        <w:tc>
          <w:tcPr>
            <w:tcW w:w="1076" w:type="dxa"/>
            <w:tcBorders>
              <w:top w:val="single" w:sz="4" w:space="0" w:color="auto"/>
              <w:left w:val="single" w:sz="4" w:space="0" w:color="auto"/>
              <w:bottom w:val="single" w:sz="4" w:space="0" w:color="auto"/>
              <w:right w:val="single" w:sz="4" w:space="0" w:color="auto"/>
            </w:tcBorders>
            <w:shd w:val="clear" w:color="000000" w:fill="B4C6E7"/>
            <w:noWrap/>
            <w:vAlign w:val="bottom"/>
          </w:tcPr>
          <w:p w:rsidR="00446641" w:rsidRPr="00446641" w:rsidRDefault="00446641" w:rsidP="005569E5">
            <w:pPr>
              <w:jc w:val="center"/>
              <w:rPr>
                <w:rFonts w:cs="Arial"/>
                <w:b/>
                <w:bCs/>
                <w:i/>
                <w:iCs/>
                <w:color w:val="000000"/>
                <w:sz w:val="20"/>
                <w:szCs w:val="20"/>
              </w:rPr>
            </w:pPr>
            <w:r w:rsidRPr="00446641">
              <w:rPr>
                <w:rFonts w:cs="Arial"/>
                <w:b/>
                <w:bCs/>
                <w:i/>
                <w:iCs/>
                <w:color w:val="000000"/>
                <w:sz w:val="20"/>
                <w:szCs w:val="20"/>
              </w:rPr>
              <w:t>0.681</w:t>
            </w:r>
          </w:p>
        </w:tc>
      </w:tr>
    </w:tbl>
    <w:p w:rsidR="00446641" w:rsidRPr="00446641" w:rsidRDefault="00446641" w:rsidP="00446641">
      <w:pPr>
        <w:rPr>
          <w:rFonts w:cs="Arial"/>
          <w:bCs/>
          <w:sz w:val="20"/>
          <w:szCs w:val="20"/>
        </w:rPr>
      </w:pPr>
    </w:p>
    <w:p w:rsidR="00446641" w:rsidRDefault="00446641" w:rsidP="003A14DB">
      <w:pPr>
        <w:pStyle w:val="BodyText1"/>
      </w:pPr>
      <w:r w:rsidRPr="00446641">
        <w:t xml:space="preserve">The revenue implications, subject to final Board approval and submission of the FBC, will </w:t>
      </w:r>
      <w:r w:rsidR="009643B4">
        <w:t xml:space="preserve">need to </w:t>
      </w:r>
      <w:r w:rsidRPr="00446641">
        <w:t xml:space="preserve">be </w:t>
      </w:r>
      <w:r w:rsidR="009643B4">
        <w:t>provided for in</w:t>
      </w:r>
      <w:r w:rsidRPr="00446641">
        <w:t xml:space="preserve"> the UHB’s forward financial planning assumptions, in recognition of the benefits and value delivered from the new facilities, supporting care in the community</w:t>
      </w:r>
      <w:r w:rsidR="002C2C2F">
        <w:t xml:space="preserve"> as part of developing the wider </w:t>
      </w:r>
      <w:r w:rsidR="00C33625">
        <w:t>Integrated Community Care System (ICCS)</w:t>
      </w:r>
      <w:r w:rsidR="002C2C2F">
        <w:t>.</w:t>
      </w:r>
    </w:p>
    <w:p w:rsidR="00AC0524" w:rsidRDefault="00AC0524" w:rsidP="003A14DB">
      <w:pPr>
        <w:pStyle w:val="BodyText1"/>
      </w:pPr>
    </w:p>
    <w:p w:rsidR="00AC0524" w:rsidRDefault="00C33625" w:rsidP="003A14DB">
      <w:pPr>
        <w:pStyle w:val="BodyText1"/>
      </w:pPr>
      <w:r>
        <w:t xml:space="preserve">The </w:t>
      </w:r>
      <w:r w:rsidR="00AC0524">
        <w:t xml:space="preserve">ICCS </w:t>
      </w:r>
      <w:r>
        <w:t>stra</w:t>
      </w:r>
      <w:r w:rsidR="00983386">
        <w:t>tegic direction presents a significant opportunity for return o</w:t>
      </w:r>
      <w:r w:rsidR="0038672A">
        <w:t>n</w:t>
      </w:r>
      <w:r w:rsidR="00983386">
        <w:t xml:space="preserve"> investment</w:t>
      </w:r>
      <w:r w:rsidR="007A3D36">
        <w:t xml:space="preserve"> and social value from partnership working </w:t>
      </w:r>
      <w:r w:rsidR="00D2377E">
        <w:t>over the medium to long term.</w:t>
      </w:r>
      <w:r w:rsidR="006760C4">
        <w:t xml:space="preserve"> The Wellbeing Hub provides </w:t>
      </w:r>
      <w:r w:rsidR="00161E10">
        <w:t xml:space="preserve">an enabling opportunity for an ingregrated approach </w:t>
      </w:r>
      <w:r w:rsidR="000E544B">
        <w:t>and capacity to support th</w:t>
      </w:r>
      <w:r w:rsidR="006A5246">
        <w:t>is</w:t>
      </w:r>
      <w:r w:rsidR="000E544B">
        <w:t xml:space="preserve"> ‘left shift</w:t>
      </w:r>
      <w:r w:rsidR="0038672A">
        <w:t xml:space="preserve">’ and realise </w:t>
      </w:r>
      <w:r w:rsidR="0068584E">
        <w:t>cost avoidance</w:t>
      </w:r>
      <w:r w:rsidR="0068338B">
        <w:t xml:space="preserve"> benefits in hospital setting</w:t>
      </w:r>
      <w:r w:rsidR="00C7724E">
        <w:t>s, from connected and enhanced community care</w:t>
      </w:r>
      <w:r w:rsidR="0090319E">
        <w:t xml:space="preserve"> within the cluster.</w:t>
      </w:r>
    </w:p>
    <w:p w:rsidR="00AC0524" w:rsidRPr="00446641" w:rsidRDefault="00AC0524" w:rsidP="00CF5460">
      <w:pPr>
        <w:pStyle w:val="BodyText1"/>
      </w:pPr>
    </w:p>
    <w:p w:rsidR="00446641" w:rsidRPr="002A5B4D" w:rsidRDefault="00446641" w:rsidP="00CF5460">
      <w:pPr>
        <w:pStyle w:val="Bullet1"/>
        <w:numPr>
          <w:ilvl w:val="0"/>
          <w:numId w:val="0"/>
        </w:numPr>
        <w:rPr>
          <w:rFonts w:eastAsiaTheme="majorEastAsia" w:cs="Arial"/>
          <w:bCs/>
          <w:color w:val="243F60" w:themeColor="accent1" w:themeShade="7F"/>
          <w:sz w:val="20"/>
        </w:rPr>
      </w:pPr>
      <w:r w:rsidRPr="00446641">
        <w:t>As a partnership scheme, updates have and will continue to be provided into the</w:t>
      </w:r>
      <w:r w:rsidR="009643B4">
        <w:t xml:space="preserve"> </w:t>
      </w:r>
      <w:r w:rsidRPr="00446641">
        <w:t>Regional Partnership Board, given interdependencies with Local Authority plans.</w:t>
      </w:r>
      <w:r w:rsidRPr="002A5B4D">
        <w:rPr>
          <w:rFonts w:cs="Arial"/>
          <w:bCs/>
          <w:sz w:val="20"/>
        </w:rPr>
        <w:br w:type="page"/>
      </w:r>
    </w:p>
    <w:p w:rsidR="00446641" w:rsidRPr="002A5B4D" w:rsidRDefault="00446641" w:rsidP="00446641">
      <w:pPr>
        <w:pStyle w:val="Heading2"/>
        <w:jc w:val="right"/>
        <w:rPr>
          <w:rFonts w:ascii="Arial" w:hAnsi="Arial" w:cs="Arial"/>
          <w:sz w:val="28"/>
          <w:szCs w:val="28"/>
        </w:rPr>
      </w:pPr>
      <w:bookmarkStart w:id="36" w:name="_Toc98945743"/>
      <w:bookmarkStart w:id="37" w:name="_Toc98946157"/>
      <w:bookmarkStart w:id="38" w:name="_Toc202972564"/>
      <w:r w:rsidRPr="002A5B4D">
        <w:rPr>
          <w:rFonts w:ascii="Arial" w:hAnsi="Arial" w:cs="Arial"/>
          <w:bCs/>
          <w:sz w:val="28"/>
          <w:szCs w:val="28"/>
        </w:rPr>
        <w:t xml:space="preserve">Annex </w:t>
      </w:r>
      <w:r w:rsidR="005F7185">
        <w:rPr>
          <w:rFonts w:ascii="Arial" w:hAnsi="Arial" w:cs="Arial"/>
          <w:bCs/>
          <w:sz w:val="28"/>
          <w:szCs w:val="28"/>
        </w:rPr>
        <w:t>d</w:t>
      </w:r>
      <w:r w:rsidRPr="002A5B4D">
        <w:rPr>
          <w:rFonts w:ascii="Arial" w:hAnsi="Arial" w:cs="Arial"/>
          <w:bCs/>
          <w:sz w:val="28"/>
          <w:szCs w:val="28"/>
        </w:rPr>
        <w:t xml:space="preserve">: </w:t>
      </w:r>
      <w:bookmarkEnd w:id="36"/>
      <w:bookmarkEnd w:id="37"/>
      <w:r>
        <w:rPr>
          <w:rFonts w:ascii="Arial" w:hAnsi="Arial" w:cs="Arial"/>
          <w:sz w:val="28"/>
          <w:szCs w:val="28"/>
        </w:rPr>
        <w:t>Capital Charges Summary</w:t>
      </w:r>
      <w:bookmarkEnd w:id="38"/>
    </w:p>
    <w:p w:rsidR="00446641" w:rsidRDefault="00446641" w:rsidP="00446641">
      <w:pPr>
        <w:rPr>
          <w:rFonts w:cs="Arial"/>
          <w:sz w:val="20"/>
          <w:szCs w:val="20"/>
        </w:rPr>
      </w:pPr>
    </w:p>
    <w:p w:rsidR="00446641" w:rsidRDefault="00446641" w:rsidP="002F461D">
      <w:pPr>
        <w:pStyle w:val="BodyText1"/>
      </w:pPr>
    </w:p>
    <w:p w:rsidR="00446641" w:rsidRPr="00446641" w:rsidRDefault="00446641" w:rsidP="002F461D">
      <w:pPr>
        <w:pStyle w:val="BodyText1"/>
      </w:pPr>
      <w:r w:rsidRPr="00446641">
        <w:t xml:space="preserve">The following is a summary of the </w:t>
      </w:r>
      <w:r w:rsidR="00897DA5">
        <w:t xml:space="preserve">FBC </w:t>
      </w:r>
      <w:r w:rsidRPr="00446641">
        <w:t>total impact of capital charges and depreciation by year until the planned opening of the new facility:</w:t>
      </w:r>
    </w:p>
    <w:p w:rsidR="00446641" w:rsidRPr="00446641" w:rsidRDefault="00446641" w:rsidP="00446641">
      <w:pPr>
        <w:pStyle w:val="ListParagraph"/>
        <w:ind w:left="0"/>
        <w:rPr>
          <w:rFonts w:cs="Arial"/>
          <w:b/>
          <w:sz w:val="20"/>
          <w:szCs w:val="20"/>
        </w:rPr>
      </w:pPr>
    </w:p>
    <w:tbl>
      <w:tblPr>
        <w:tblStyle w:val="TableGrid"/>
        <w:tblW w:w="0" w:type="auto"/>
        <w:tblLook w:val="04A0" w:firstRow="1" w:lastRow="0" w:firstColumn="1" w:lastColumn="0" w:noHBand="0" w:noVBand="1"/>
      </w:tblPr>
      <w:tblGrid>
        <w:gridCol w:w="6233"/>
        <w:gridCol w:w="2070"/>
      </w:tblGrid>
      <w:tr w:rsidR="00446641" w:rsidRPr="00446641" w:rsidTr="005569E5">
        <w:tc>
          <w:tcPr>
            <w:tcW w:w="6799" w:type="dxa"/>
            <w:shd w:val="clear" w:color="auto" w:fill="2F598B"/>
          </w:tcPr>
          <w:p w:rsidR="00446641" w:rsidRPr="00446641" w:rsidRDefault="00446641" w:rsidP="002F461D">
            <w:pPr>
              <w:pStyle w:val="Tableheading"/>
            </w:pPr>
            <w:r w:rsidRPr="00446641">
              <w:t>Capital Charges for FBC</w:t>
            </w:r>
          </w:p>
        </w:tc>
        <w:tc>
          <w:tcPr>
            <w:tcW w:w="2217" w:type="dxa"/>
            <w:shd w:val="clear" w:color="auto" w:fill="2F598B"/>
          </w:tcPr>
          <w:p w:rsidR="00446641" w:rsidRPr="00446641" w:rsidRDefault="00446641" w:rsidP="002F461D">
            <w:pPr>
              <w:pStyle w:val="Tableheading"/>
            </w:pPr>
            <w:r w:rsidRPr="00446641">
              <w:t>£m</w:t>
            </w:r>
          </w:p>
        </w:tc>
      </w:tr>
      <w:tr w:rsidR="00446641" w:rsidRPr="00446641" w:rsidTr="005569E5">
        <w:tc>
          <w:tcPr>
            <w:tcW w:w="6799" w:type="dxa"/>
          </w:tcPr>
          <w:p w:rsidR="00446641" w:rsidRPr="00446641" w:rsidRDefault="00446641" w:rsidP="002F461D">
            <w:pPr>
              <w:pStyle w:val="TableText"/>
            </w:pPr>
            <w:r w:rsidRPr="00446641">
              <w:t>Impairment [2027/28] - AME</w:t>
            </w:r>
          </w:p>
        </w:tc>
        <w:tc>
          <w:tcPr>
            <w:tcW w:w="2217" w:type="dxa"/>
          </w:tcPr>
          <w:p w:rsidR="00446641" w:rsidRPr="00446641" w:rsidRDefault="00446641" w:rsidP="002F461D">
            <w:pPr>
              <w:pStyle w:val="TableText"/>
            </w:pPr>
            <w:r w:rsidRPr="00446641">
              <w:t>21.105</w:t>
            </w:r>
          </w:p>
        </w:tc>
      </w:tr>
      <w:tr w:rsidR="00446641" w:rsidRPr="00446641" w:rsidTr="005569E5">
        <w:tc>
          <w:tcPr>
            <w:tcW w:w="6799" w:type="dxa"/>
          </w:tcPr>
          <w:p w:rsidR="00446641" w:rsidRPr="00446641" w:rsidRDefault="00446641" w:rsidP="002F461D">
            <w:pPr>
              <w:pStyle w:val="TableText"/>
            </w:pPr>
            <w:r w:rsidRPr="00446641">
              <w:t>Depreciation – Building / Engineering [Annual] - DEL</w:t>
            </w:r>
          </w:p>
        </w:tc>
        <w:tc>
          <w:tcPr>
            <w:tcW w:w="2217" w:type="dxa"/>
          </w:tcPr>
          <w:p w:rsidR="00446641" w:rsidRPr="00446641" w:rsidRDefault="00446641" w:rsidP="002F461D">
            <w:pPr>
              <w:pStyle w:val="TableText"/>
            </w:pPr>
            <w:r w:rsidRPr="00446641">
              <w:t>0.332</w:t>
            </w:r>
          </w:p>
        </w:tc>
      </w:tr>
      <w:tr w:rsidR="00446641" w:rsidRPr="00446641" w:rsidTr="005569E5">
        <w:tc>
          <w:tcPr>
            <w:tcW w:w="6799" w:type="dxa"/>
          </w:tcPr>
          <w:p w:rsidR="00446641" w:rsidRPr="00446641" w:rsidRDefault="00446641" w:rsidP="002F461D">
            <w:pPr>
              <w:pStyle w:val="TableText"/>
            </w:pPr>
            <w:r w:rsidRPr="00446641">
              <w:t>Depreciation – Equipment</w:t>
            </w:r>
          </w:p>
        </w:tc>
        <w:tc>
          <w:tcPr>
            <w:tcW w:w="2217" w:type="dxa"/>
          </w:tcPr>
          <w:p w:rsidR="00446641" w:rsidRPr="00446641" w:rsidRDefault="00446641" w:rsidP="002F461D">
            <w:pPr>
              <w:pStyle w:val="TableText"/>
            </w:pPr>
            <w:r w:rsidRPr="00446641">
              <w:t>0.000</w:t>
            </w:r>
          </w:p>
        </w:tc>
      </w:tr>
      <w:tr w:rsidR="00446641" w:rsidRPr="00446641" w:rsidTr="005569E5">
        <w:tc>
          <w:tcPr>
            <w:tcW w:w="6799" w:type="dxa"/>
          </w:tcPr>
          <w:p w:rsidR="00446641" w:rsidRPr="00446641" w:rsidRDefault="00446641" w:rsidP="002F461D">
            <w:pPr>
              <w:pStyle w:val="TableText"/>
            </w:pPr>
            <w:r w:rsidRPr="00446641">
              <w:t>Accelerated Depreciation</w:t>
            </w:r>
          </w:p>
        </w:tc>
        <w:tc>
          <w:tcPr>
            <w:tcW w:w="2217" w:type="dxa"/>
          </w:tcPr>
          <w:p w:rsidR="00446641" w:rsidRPr="00446641" w:rsidRDefault="00446641" w:rsidP="002F461D">
            <w:pPr>
              <w:pStyle w:val="TableText"/>
            </w:pPr>
            <w:r w:rsidRPr="00446641">
              <w:t>0.000</w:t>
            </w:r>
          </w:p>
        </w:tc>
      </w:tr>
      <w:tr w:rsidR="00446641" w:rsidRPr="00446641" w:rsidTr="005569E5">
        <w:tc>
          <w:tcPr>
            <w:tcW w:w="6799" w:type="dxa"/>
            <w:shd w:val="clear" w:color="auto" w:fill="2F598B"/>
          </w:tcPr>
          <w:p w:rsidR="00446641" w:rsidRPr="00446641" w:rsidRDefault="00446641" w:rsidP="002F461D">
            <w:pPr>
              <w:pStyle w:val="tableheading2"/>
            </w:pPr>
            <w:r w:rsidRPr="00446641">
              <w:t>Total Capital Charges / Depreciation</w:t>
            </w:r>
          </w:p>
        </w:tc>
        <w:tc>
          <w:tcPr>
            <w:tcW w:w="2217" w:type="dxa"/>
            <w:shd w:val="clear" w:color="auto" w:fill="2F598B"/>
          </w:tcPr>
          <w:p w:rsidR="00446641" w:rsidRPr="00446641" w:rsidRDefault="00446641" w:rsidP="002F461D">
            <w:pPr>
              <w:pStyle w:val="tableheading2"/>
            </w:pPr>
            <w:r w:rsidRPr="00446641">
              <w:t>21.437</w:t>
            </w:r>
          </w:p>
        </w:tc>
      </w:tr>
    </w:tbl>
    <w:p w:rsidR="00446641" w:rsidRPr="00446641" w:rsidRDefault="00446641" w:rsidP="00446641">
      <w:pPr>
        <w:pStyle w:val="ListParagraph"/>
        <w:tabs>
          <w:tab w:val="left" w:pos="4650"/>
        </w:tabs>
        <w:ind w:left="-1276" w:firstLine="1276"/>
        <w:rPr>
          <w:rFonts w:cs="Arial"/>
          <w:b/>
          <w:sz w:val="20"/>
          <w:szCs w:val="20"/>
        </w:rPr>
      </w:pPr>
    </w:p>
    <w:p w:rsidR="00446641" w:rsidRPr="00446641" w:rsidRDefault="00446641" w:rsidP="002F461D">
      <w:pPr>
        <w:pStyle w:val="BodyText1"/>
      </w:pPr>
    </w:p>
    <w:p w:rsidR="00446641" w:rsidRPr="00446641" w:rsidRDefault="00446641" w:rsidP="002F461D">
      <w:pPr>
        <w:pStyle w:val="BodyText1"/>
      </w:pPr>
      <w:r w:rsidRPr="00446641">
        <w:t xml:space="preserve">Impairment is calculated based on advice from the District Valuer. The asset value post impairment has been depreciated over the estimated useful economic life provided by </w:t>
      </w:r>
      <w:r w:rsidR="00897DA5">
        <w:t>DVS</w:t>
      </w:r>
      <w:r w:rsidRPr="00446641">
        <w:t>.</w:t>
      </w:r>
    </w:p>
    <w:p w:rsidR="00446641" w:rsidRPr="00446641" w:rsidRDefault="00446641" w:rsidP="002F461D">
      <w:pPr>
        <w:pStyle w:val="BodyText1"/>
      </w:pPr>
    </w:p>
    <w:p w:rsidR="00446641" w:rsidRPr="00446641" w:rsidRDefault="00446641" w:rsidP="002F461D">
      <w:pPr>
        <w:pStyle w:val="BodyText1"/>
      </w:pPr>
      <w:r w:rsidRPr="00446641">
        <w:t xml:space="preserve">Depreciation is assumed to commence from the first quarter after opening, and is recognised at £0.084m in 2027/28 and £0.332m per annum subsequently, per the relevant life calculations. </w:t>
      </w:r>
    </w:p>
    <w:p w:rsidR="00446641" w:rsidRPr="00446641" w:rsidRDefault="00446641" w:rsidP="00446641">
      <w:pPr>
        <w:rPr>
          <w:sz w:val="20"/>
          <w:szCs w:val="20"/>
        </w:rPr>
      </w:pPr>
    </w:p>
    <w:p w:rsidR="00446641" w:rsidRPr="00446641" w:rsidRDefault="00446641" w:rsidP="002F461D">
      <w:pPr>
        <w:pStyle w:val="BodyText1"/>
      </w:pPr>
      <w:r w:rsidRPr="00446641">
        <w:t>This FBC assumes all capital charges and depreciation will be funded by Welsh Government in each of the years provided in the table above.</w:t>
      </w:r>
    </w:p>
    <w:p w:rsidR="00446641" w:rsidRDefault="00446641" w:rsidP="00446641"/>
    <w:p w:rsidR="00446641" w:rsidRDefault="00446641" w:rsidP="00446641">
      <w:pPr>
        <w:sectPr w:rsidR="00446641" w:rsidSect="00652D9A">
          <w:pgSz w:w="11907" w:h="16840" w:code="9"/>
          <w:pgMar w:top="709" w:right="1797" w:bottom="1134" w:left="1797" w:header="709" w:footer="284" w:gutter="0"/>
          <w:cols w:space="708"/>
          <w:docGrid w:linePitch="360"/>
        </w:sectPr>
      </w:pPr>
    </w:p>
    <w:p w:rsidR="00446641" w:rsidRPr="002A5B4D" w:rsidRDefault="00DD2B1B" w:rsidP="00446641">
      <w:pPr>
        <w:pStyle w:val="Heading2"/>
        <w:jc w:val="right"/>
        <w:rPr>
          <w:rFonts w:ascii="Arial" w:hAnsi="Arial" w:cs="Arial"/>
          <w:sz w:val="28"/>
          <w:szCs w:val="28"/>
        </w:rPr>
      </w:pPr>
      <w:bookmarkStart w:id="39" w:name="_Toc202972565"/>
      <w:bookmarkStart w:id="40" w:name="_Toc98945744"/>
      <w:bookmarkStart w:id="41" w:name="_Toc98946158"/>
      <w:r>
        <w:rPr>
          <w:rFonts w:ascii="Arial" w:hAnsi="Arial" w:cs="Arial"/>
          <w:sz w:val="28"/>
          <w:szCs w:val="28"/>
        </w:rPr>
        <w:t>Appendix</w:t>
      </w:r>
      <w:r w:rsidRPr="002A5B4D">
        <w:rPr>
          <w:rFonts w:ascii="Arial" w:hAnsi="Arial" w:cs="Arial"/>
          <w:sz w:val="28"/>
          <w:szCs w:val="28"/>
        </w:rPr>
        <w:t xml:space="preserve"> </w:t>
      </w:r>
      <w:r w:rsidR="005F7185">
        <w:rPr>
          <w:rFonts w:ascii="Arial" w:hAnsi="Arial" w:cs="Arial"/>
          <w:sz w:val="28"/>
          <w:szCs w:val="28"/>
        </w:rPr>
        <w:t>e</w:t>
      </w:r>
      <w:r w:rsidR="00446641" w:rsidRPr="002A5B4D">
        <w:rPr>
          <w:rFonts w:ascii="Arial" w:hAnsi="Arial" w:cs="Arial"/>
          <w:sz w:val="28"/>
          <w:szCs w:val="28"/>
        </w:rPr>
        <w:t xml:space="preserve">: Capital </w:t>
      </w:r>
      <w:r w:rsidR="00446641">
        <w:rPr>
          <w:rFonts w:ascii="Arial" w:hAnsi="Arial" w:cs="Arial"/>
          <w:sz w:val="28"/>
          <w:szCs w:val="28"/>
        </w:rPr>
        <w:t>Costs Summary</w:t>
      </w:r>
      <w:bookmarkEnd w:id="39"/>
    </w:p>
    <w:p w:rsidR="00446641" w:rsidRPr="002A5B4D" w:rsidRDefault="00446641" w:rsidP="00446641">
      <w:pPr>
        <w:rPr>
          <w:rFonts w:cs="Arial"/>
          <w:sz w:val="20"/>
          <w:szCs w:val="20"/>
        </w:rPr>
      </w:pPr>
    </w:p>
    <w:bookmarkEnd w:id="40"/>
    <w:bookmarkEnd w:id="41"/>
    <w:p w:rsidR="00446641" w:rsidRPr="002A5B4D" w:rsidRDefault="00446641" w:rsidP="00446641">
      <w:pPr>
        <w:pStyle w:val="ListParagraph"/>
        <w:ind w:left="0"/>
        <w:rPr>
          <w:rFonts w:cs="Arial"/>
          <w:b/>
          <w:sz w:val="20"/>
          <w:szCs w:val="20"/>
        </w:rPr>
      </w:pPr>
    </w:p>
    <w:p w:rsidR="00446641" w:rsidRDefault="00446641" w:rsidP="00446641">
      <w:pPr>
        <w:tabs>
          <w:tab w:val="left" w:pos="1660"/>
        </w:tabs>
        <w:ind w:left="-1418"/>
        <w:rPr>
          <w:rFonts w:cs="Arial"/>
          <w:sz w:val="20"/>
          <w:szCs w:val="20"/>
        </w:rPr>
      </w:pPr>
    </w:p>
    <w:p w:rsidR="00446641" w:rsidRPr="00CF5460" w:rsidRDefault="00446641" w:rsidP="00446641">
      <w:pPr>
        <w:tabs>
          <w:tab w:val="left" w:pos="1660"/>
        </w:tabs>
        <w:ind w:left="-1418"/>
        <w:rPr>
          <w:rFonts w:cs="Arial"/>
          <w:sz w:val="22"/>
          <w:szCs w:val="22"/>
        </w:rPr>
      </w:pPr>
    </w:p>
    <w:p w:rsidR="00446641" w:rsidRPr="00CF5460" w:rsidRDefault="00446641" w:rsidP="00446641">
      <w:pPr>
        <w:tabs>
          <w:tab w:val="left" w:pos="1660"/>
        </w:tabs>
        <w:rPr>
          <w:rFonts w:cs="Arial"/>
          <w:sz w:val="22"/>
          <w:szCs w:val="22"/>
        </w:rPr>
      </w:pPr>
      <w:r w:rsidRPr="00CF5460">
        <w:rPr>
          <w:rFonts w:cs="Arial"/>
          <w:sz w:val="22"/>
          <w:szCs w:val="22"/>
        </w:rPr>
        <w:t xml:space="preserve">A summary of the capital cost </w:t>
      </w:r>
      <w:r w:rsidR="009A441F" w:rsidRPr="00CF5460">
        <w:rPr>
          <w:rFonts w:cs="Arial"/>
          <w:sz w:val="22"/>
          <w:szCs w:val="22"/>
        </w:rPr>
        <w:t xml:space="preserve">as described in the FBC </w:t>
      </w:r>
      <w:r w:rsidRPr="00CF5460">
        <w:rPr>
          <w:rFonts w:cs="Arial"/>
          <w:sz w:val="22"/>
          <w:szCs w:val="22"/>
        </w:rPr>
        <w:t>is provided below:</w:t>
      </w:r>
    </w:p>
    <w:p w:rsidR="00446641" w:rsidRPr="00446641" w:rsidRDefault="00446641" w:rsidP="00446641">
      <w:pPr>
        <w:rPr>
          <w:rFonts w:cs="Arial"/>
          <w:sz w:val="20"/>
          <w:szCs w:val="20"/>
        </w:rPr>
      </w:pPr>
    </w:p>
    <w:tbl>
      <w:tblPr>
        <w:tblStyle w:val="TableGrid"/>
        <w:tblW w:w="0" w:type="auto"/>
        <w:tblLook w:val="04A0" w:firstRow="1" w:lastRow="0" w:firstColumn="1" w:lastColumn="0" w:noHBand="0" w:noVBand="1"/>
      </w:tblPr>
      <w:tblGrid>
        <w:gridCol w:w="4103"/>
        <w:gridCol w:w="1538"/>
      </w:tblGrid>
      <w:tr w:rsidR="00446641" w:rsidRPr="00446641" w:rsidTr="005569E5">
        <w:tc>
          <w:tcPr>
            <w:tcW w:w="4103" w:type="dxa"/>
            <w:shd w:val="clear" w:color="auto" w:fill="2F598B"/>
          </w:tcPr>
          <w:p w:rsidR="00446641" w:rsidRPr="00446641" w:rsidRDefault="00446641" w:rsidP="002F461D">
            <w:pPr>
              <w:pStyle w:val="Tableheading"/>
            </w:pPr>
            <w:r w:rsidRPr="00446641">
              <w:t>Capital Cost</w:t>
            </w:r>
          </w:p>
        </w:tc>
        <w:tc>
          <w:tcPr>
            <w:tcW w:w="1538" w:type="dxa"/>
            <w:shd w:val="clear" w:color="auto" w:fill="2F598B"/>
          </w:tcPr>
          <w:p w:rsidR="00446641" w:rsidRPr="00446641" w:rsidRDefault="00446641" w:rsidP="002F461D">
            <w:pPr>
              <w:pStyle w:val="Tableheading"/>
            </w:pPr>
            <w:r w:rsidRPr="00446641">
              <w:t>£m</w:t>
            </w:r>
          </w:p>
        </w:tc>
      </w:tr>
      <w:tr w:rsidR="00446641" w:rsidRPr="00446641" w:rsidTr="005569E5">
        <w:tc>
          <w:tcPr>
            <w:tcW w:w="4103" w:type="dxa"/>
          </w:tcPr>
          <w:p w:rsidR="00446641" w:rsidRPr="00446641" w:rsidRDefault="00446641" w:rsidP="002F461D">
            <w:pPr>
              <w:pStyle w:val="TableText"/>
            </w:pPr>
            <w:r w:rsidRPr="00446641">
              <w:t>Building / Engineering</w:t>
            </w:r>
          </w:p>
        </w:tc>
        <w:tc>
          <w:tcPr>
            <w:tcW w:w="1538" w:type="dxa"/>
          </w:tcPr>
          <w:p w:rsidR="00446641" w:rsidRPr="00446641" w:rsidRDefault="00446641" w:rsidP="002F461D">
            <w:pPr>
              <w:pStyle w:val="TableText"/>
            </w:pPr>
            <w:r w:rsidRPr="00446641">
              <w:t>36.331</w:t>
            </w:r>
          </w:p>
        </w:tc>
      </w:tr>
      <w:tr w:rsidR="00446641" w:rsidRPr="00446641" w:rsidTr="005569E5">
        <w:tc>
          <w:tcPr>
            <w:tcW w:w="4103" w:type="dxa"/>
          </w:tcPr>
          <w:p w:rsidR="00446641" w:rsidRPr="00446641" w:rsidRDefault="00446641" w:rsidP="002F461D">
            <w:pPr>
              <w:pStyle w:val="TableText"/>
            </w:pPr>
            <w:r w:rsidRPr="00446641">
              <w:t>Equipment costs</w:t>
            </w:r>
          </w:p>
        </w:tc>
        <w:tc>
          <w:tcPr>
            <w:tcW w:w="1538" w:type="dxa"/>
          </w:tcPr>
          <w:p w:rsidR="00446641" w:rsidRPr="00446641" w:rsidRDefault="00446641" w:rsidP="002F461D">
            <w:pPr>
              <w:pStyle w:val="TableText"/>
            </w:pPr>
            <w:r w:rsidRPr="00446641">
              <w:t>0.470</w:t>
            </w:r>
          </w:p>
        </w:tc>
      </w:tr>
      <w:tr w:rsidR="00446641" w:rsidRPr="00446641" w:rsidTr="005569E5">
        <w:tc>
          <w:tcPr>
            <w:tcW w:w="4103" w:type="dxa"/>
            <w:shd w:val="clear" w:color="auto" w:fill="2F598B"/>
          </w:tcPr>
          <w:p w:rsidR="00446641" w:rsidRPr="00446641" w:rsidRDefault="00446641" w:rsidP="002F461D">
            <w:pPr>
              <w:pStyle w:val="tableheading2"/>
            </w:pPr>
            <w:r w:rsidRPr="00446641">
              <w:t>Total Capital Cost</w:t>
            </w:r>
          </w:p>
        </w:tc>
        <w:tc>
          <w:tcPr>
            <w:tcW w:w="1538" w:type="dxa"/>
            <w:shd w:val="clear" w:color="auto" w:fill="2F598B"/>
          </w:tcPr>
          <w:p w:rsidR="00446641" w:rsidRPr="00446641" w:rsidRDefault="00446641" w:rsidP="002F461D">
            <w:pPr>
              <w:pStyle w:val="tableheading2"/>
            </w:pPr>
            <w:r w:rsidRPr="00446641">
              <w:t>36.801</w:t>
            </w:r>
          </w:p>
        </w:tc>
      </w:tr>
    </w:tbl>
    <w:p w:rsidR="00446641" w:rsidRPr="00446641" w:rsidRDefault="00446641" w:rsidP="00446641">
      <w:pPr>
        <w:rPr>
          <w:rFonts w:cs="Arial"/>
          <w:sz w:val="20"/>
          <w:szCs w:val="20"/>
        </w:rPr>
      </w:pPr>
    </w:p>
    <w:tbl>
      <w:tblPr>
        <w:tblW w:w="3960" w:type="dxa"/>
        <w:tblLook w:val="04A0" w:firstRow="1" w:lastRow="0" w:firstColumn="1" w:lastColumn="0" w:noHBand="0" w:noVBand="1"/>
      </w:tblPr>
      <w:tblGrid>
        <w:gridCol w:w="2689"/>
        <w:gridCol w:w="1271"/>
      </w:tblGrid>
      <w:tr w:rsidR="00446641" w:rsidRPr="00446641" w:rsidTr="005569E5">
        <w:trPr>
          <w:trHeight w:val="300"/>
        </w:trPr>
        <w:tc>
          <w:tcPr>
            <w:tcW w:w="2689" w:type="dxa"/>
            <w:tcBorders>
              <w:top w:val="single" w:sz="4" w:space="0" w:color="auto"/>
              <w:left w:val="single" w:sz="4" w:space="0" w:color="auto"/>
              <w:bottom w:val="single" w:sz="4" w:space="0" w:color="auto"/>
              <w:right w:val="nil"/>
            </w:tcBorders>
            <w:shd w:val="clear" w:color="000000" w:fill="305496"/>
            <w:noWrap/>
            <w:vAlign w:val="bottom"/>
            <w:hideMark/>
          </w:tcPr>
          <w:p w:rsidR="00446641" w:rsidRPr="00446641" w:rsidRDefault="00446641" w:rsidP="005569E5">
            <w:pPr>
              <w:rPr>
                <w:rFonts w:cs="Arial"/>
                <w:color w:val="FFFFFF"/>
                <w:sz w:val="20"/>
                <w:szCs w:val="20"/>
              </w:rPr>
            </w:pPr>
            <w:r w:rsidRPr="00446641">
              <w:rPr>
                <w:rFonts w:cs="Arial"/>
                <w:color w:val="FFFFFF"/>
                <w:sz w:val="20"/>
                <w:szCs w:val="20"/>
              </w:rPr>
              <w:t> </w:t>
            </w:r>
          </w:p>
        </w:tc>
        <w:tc>
          <w:tcPr>
            <w:tcW w:w="1271" w:type="dxa"/>
            <w:tcBorders>
              <w:top w:val="single" w:sz="4" w:space="0" w:color="auto"/>
              <w:left w:val="nil"/>
              <w:bottom w:val="single" w:sz="4" w:space="0" w:color="auto"/>
              <w:right w:val="single" w:sz="4" w:space="0" w:color="auto"/>
            </w:tcBorders>
            <w:shd w:val="clear" w:color="000000" w:fill="305496"/>
            <w:noWrap/>
            <w:vAlign w:val="bottom"/>
            <w:hideMark/>
          </w:tcPr>
          <w:p w:rsidR="00446641" w:rsidRPr="00446641" w:rsidRDefault="00446641" w:rsidP="005569E5">
            <w:pPr>
              <w:jc w:val="center"/>
              <w:rPr>
                <w:rFonts w:cs="Arial"/>
                <w:b/>
                <w:bCs/>
                <w:color w:val="FFFFFF"/>
                <w:sz w:val="20"/>
                <w:szCs w:val="20"/>
              </w:rPr>
            </w:pPr>
            <w:r w:rsidRPr="00446641">
              <w:rPr>
                <w:rFonts w:cs="Arial"/>
                <w:b/>
                <w:bCs/>
                <w:color w:val="FFFFFF"/>
                <w:sz w:val="20"/>
                <w:szCs w:val="20"/>
              </w:rPr>
              <w:t>£m</w:t>
            </w:r>
          </w:p>
        </w:tc>
      </w:tr>
      <w:tr w:rsidR="00446641" w:rsidRPr="00446641" w:rsidTr="005569E5">
        <w:trPr>
          <w:trHeight w:val="300"/>
        </w:trPr>
        <w:tc>
          <w:tcPr>
            <w:tcW w:w="2689" w:type="dxa"/>
            <w:tcBorders>
              <w:top w:val="nil"/>
              <w:left w:val="single" w:sz="4" w:space="0" w:color="auto"/>
              <w:bottom w:val="nil"/>
              <w:right w:val="nil"/>
            </w:tcBorders>
            <w:noWrap/>
            <w:vAlign w:val="bottom"/>
            <w:hideMark/>
          </w:tcPr>
          <w:p w:rsidR="00446641" w:rsidRPr="00446641" w:rsidRDefault="00446641" w:rsidP="005569E5">
            <w:pPr>
              <w:rPr>
                <w:rFonts w:cs="Arial"/>
                <w:color w:val="000000"/>
                <w:sz w:val="20"/>
                <w:szCs w:val="20"/>
              </w:rPr>
            </w:pPr>
            <w:r w:rsidRPr="00446641">
              <w:rPr>
                <w:rFonts w:cs="Arial"/>
                <w:color w:val="000000"/>
                <w:sz w:val="20"/>
                <w:szCs w:val="20"/>
              </w:rPr>
              <w:t>WORKS COST</w:t>
            </w:r>
          </w:p>
        </w:tc>
        <w:tc>
          <w:tcPr>
            <w:tcW w:w="1271" w:type="dxa"/>
            <w:tcBorders>
              <w:top w:val="nil"/>
              <w:left w:val="nil"/>
              <w:bottom w:val="nil"/>
              <w:right w:val="single" w:sz="4" w:space="0" w:color="auto"/>
            </w:tcBorders>
            <w:noWrap/>
            <w:vAlign w:val="bottom"/>
            <w:hideMark/>
          </w:tcPr>
          <w:p w:rsidR="00446641" w:rsidRPr="00446641" w:rsidRDefault="00446641" w:rsidP="005569E5">
            <w:pPr>
              <w:jc w:val="right"/>
              <w:rPr>
                <w:rFonts w:cs="Arial"/>
                <w:color w:val="000000"/>
                <w:sz w:val="20"/>
                <w:szCs w:val="20"/>
              </w:rPr>
            </w:pPr>
            <w:r w:rsidRPr="00446641">
              <w:rPr>
                <w:rFonts w:cs="Arial"/>
                <w:color w:val="000000"/>
                <w:sz w:val="20"/>
                <w:szCs w:val="20"/>
              </w:rPr>
              <w:t xml:space="preserve">23.351 </w:t>
            </w:r>
          </w:p>
        </w:tc>
      </w:tr>
      <w:tr w:rsidR="00446641" w:rsidRPr="00446641" w:rsidTr="005569E5">
        <w:trPr>
          <w:trHeight w:val="300"/>
        </w:trPr>
        <w:tc>
          <w:tcPr>
            <w:tcW w:w="2689" w:type="dxa"/>
            <w:tcBorders>
              <w:top w:val="nil"/>
              <w:left w:val="single" w:sz="4" w:space="0" w:color="auto"/>
              <w:bottom w:val="nil"/>
              <w:right w:val="nil"/>
            </w:tcBorders>
            <w:noWrap/>
            <w:vAlign w:val="bottom"/>
            <w:hideMark/>
          </w:tcPr>
          <w:p w:rsidR="00446641" w:rsidRPr="00446641" w:rsidRDefault="00446641" w:rsidP="005569E5">
            <w:pPr>
              <w:rPr>
                <w:rFonts w:cs="Arial"/>
                <w:color w:val="000000"/>
                <w:sz w:val="20"/>
                <w:szCs w:val="20"/>
              </w:rPr>
            </w:pPr>
            <w:r w:rsidRPr="00446641">
              <w:rPr>
                <w:rFonts w:cs="Arial"/>
                <w:color w:val="000000"/>
                <w:sz w:val="20"/>
                <w:szCs w:val="20"/>
              </w:rPr>
              <w:t>FEES</w:t>
            </w:r>
          </w:p>
        </w:tc>
        <w:tc>
          <w:tcPr>
            <w:tcW w:w="1271" w:type="dxa"/>
            <w:tcBorders>
              <w:top w:val="nil"/>
              <w:left w:val="nil"/>
              <w:bottom w:val="nil"/>
              <w:right w:val="single" w:sz="4" w:space="0" w:color="auto"/>
            </w:tcBorders>
            <w:noWrap/>
            <w:vAlign w:val="bottom"/>
            <w:hideMark/>
          </w:tcPr>
          <w:p w:rsidR="00446641" w:rsidRPr="00446641" w:rsidRDefault="00446641" w:rsidP="005569E5">
            <w:pPr>
              <w:jc w:val="right"/>
              <w:rPr>
                <w:rFonts w:cs="Arial"/>
                <w:color w:val="000000"/>
                <w:sz w:val="20"/>
                <w:szCs w:val="20"/>
              </w:rPr>
            </w:pPr>
            <w:r w:rsidRPr="00446641">
              <w:rPr>
                <w:rFonts w:cs="Arial"/>
                <w:color w:val="000000"/>
                <w:sz w:val="20"/>
                <w:szCs w:val="20"/>
              </w:rPr>
              <w:t xml:space="preserve">4.043 </w:t>
            </w:r>
          </w:p>
        </w:tc>
      </w:tr>
      <w:tr w:rsidR="00446641" w:rsidRPr="00446641" w:rsidTr="005569E5">
        <w:trPr>
          <w:trHeight w:val="300"/>
        </w:trPr>
        <w:tc>
          <w:tcPr>
            <w:tcW w:w="2689" w:type="dxa"/>
            <w:tcBorders>
              <w:top w:val="nil"/>
              <w:left w:val="single" w:sz="4" w:space="0" w:color="auto"/>
              <w:bottom w:val="nil"/>
              <w:right w:val="nil"/>
            </w:tcBorders>
            <w:noWrap/>
            <w:vAlign w:val="bottom"/>
            <w:hideMark/>
          </w:tcPr>
          <w:p w:rsidR="00446641" w:rsidRPr="00446641" w:rsidRDefault="00446641" w:rsidP="005569E5">
            <w:pPr>
              <w:rPr>
                <w:rFonts w:cs="Arial"/>
                <w:color w:val="000000"/>
                <w:sz w:val="20"/>
                <w:szCs w:val="20"/>
              </w:rPr>
            </w:pPr>
            <w:r w:rsidRPr="00446641">
              <w:rPr>
                <w:rFonts w:cs="Arial"/>
                <w:color w:val="000000"/>
                <w:sz w:val="20"/>
                <w:szCs w:val="20"/>
              </w:rPr>
              <w:t>NON-WORKS COSTS</w:t>
            </w:r>
          </w:p>
        </w:tc>
        <w:tc>
          <w:tcPr>
            <w:tcW w:w="1271" w:type="dxa"/>
            <w:tcBorders>
              <w:top w:val="nil"/>
              <w:left w:val="nil"/>
              <w:bottom w:val="nil"/>
              <w:right w:val="single" w:sz="4" w:space="0" w:color="auto"/>
            </w:tcBorders>
            <w:noWrap/>
            <w:vAlign w:val="bottom"/>
            <w:hideMark/>
          </w:tcPr>
          <w:p w:rsidR="00446641" w:rsidRPr="00446641" w:rsidRDefault="00446641" w:rsidP="005569E5">
            <w:pPr>
              <w:jc w:val="right"/>
              <w:rPr>
                <w:rFonts w:cs="Arial"/>
                <w:color w:val="000000"/>
                <w:sz w:val="20"/>
                <w:szCs w:val="20"/>
              </w:rPr>
            </w:pPr>
            <w:r w:rsidRPr="00446641">
              <w:rPr>
                <w:rFonts w:cs="Arial"/>
                <w:color w:val="000000"/>
                <w:sz w:val="20"/>
                <w:szCs w:val="20"/>
              </w:rPr>
              <w:t xml:space="preserve">0.422 </w:t>
            </w:r>
          </w:p>
        </w:tc>
      </w:tr>
      <w:tr w:rsidR="00446641" w:rsidRPr="00446641" w:rsidTr="005569E5">
        <w:trPr>
          <w:trHeight w:val="300"/>
        </w:trPr>
        <w:tc>
          <w:tcPr>
            <w:tcW w:w="2689" w:type="dxa"/>
            <w:tcBorders>
              <w:top w:val="nil"/>
              <w:left w:val="single" w:sz="4" w:space="0" w:color="auto"/>
              <w:bottom w:val="nil"/>
              <w:right w:val="nil"/>
            </w:tcBorders>
            <w:noWrap/>
            <w:vAlign w:val="bottom"/>
            <w:hideMark/>
          </w:tcPr>
          <w:p w:rsidR="00446641" w:rsidRPr="00446641" w:rsidRDefault="00446641" w:rsidP="005569E5">
            <w:pPr>
              <w:rPr>
                <w:rFonts w:cs="Arial"/>
                <w:color w:val="000000"/>
                <w:sz w:val="20"/>
                <w:szCs w:val="20"/>
              </w:rPr>
            </w:pPr>
            <w:r w:rsidRPr="00446641">
              <w:rPr>
                <w:rFonts w:cs="Arial"/>
                <w:color w:val="000000"/>
                <w:sz w:val="20"/>
                <w:szCs w:val="20"/>
              </w:rPr>
              <w:t>EQUIPMENT COSTS</w:t>
            </w:r>
          </w:p>
        </w:tc>
        <w:tc>
          <w:tcPr>
            <w:tcW w:w="1271" w:type="dxa"/>
            <w:tcBorders>
              <w:top w:val="nil"/>
              <w:left w:val="nil"/>
              <w:bottom w:val="nil"/>
              <w:right w:val="single" w:sz="4" w:space="0" w:color="auto"/>
            </w:tcBorders>
            <w:noWrap/>
            <w:vAlign w:val="bottom"/>
            <w:hideMark/>
          </w:tcPr>
          <w:p w:rsidR="00446641" w:rsidRPr="00446641" w:rsidRDefault="00446641" w:rsidP="005569E5">
            <w:pPr>
              <w:jc w:val="right"/>
              <w:rPr>
                <w:rFonts w:cs="Arial"/>
                <w:color w:val="000000"/>
                <w:sz w:val="20"/>
                <w:szCs w:val="20"/>
              </w:rPr>
            </w:pPr>
            <w:r w:rsidRPr="00446641">
              <w:rPr>
                <w:rFonts w:cs="Arial"/>
                <w:color w:val="000000"/>
                <w:sz w:val="20"/>
                <w:szCs w:val="20"/>
              </w:rPr>
              <w:t xml:space="preserve">0.470 </w:t>
            </w:r>
          </w:p>
        </w:tc>
      </w:tr>
      <w:tr w:rsidR="00446641" w:rsidRPr="00446641" w:rsidTr="005569E5">
        <w:trPr>
          <w:trHeight w:val="300"/>
        </w:trPr>
        <w:tc>
          <w:tcPr>
            <w:tcW w:w="2689" w:type="dxa"/>
            <w:tcBorders>
              <w:top w:val="nil"/>
              <w:left w:val="single" w:sz="4" w:space="0" w:color="auto"/>
              <w:bottom w:val="nil"/>
              <w:right w:val="nil"/>
            </w:tcBorders>
            <w:noWrap/>
            <w:vAlign w:val="bottom"/>
            <w:hideMark/>
          </w:tcPr>
          <w:p w:rsidR="00446641" w:rsidRPr="00446641" w:rsidRDefault="00446641" w:rsidP="005569E5">
            <w:pPr>
              <w:rPr>
                <w:rFonts w:cs="Arial"/>
                <w:color w:val="000000"/>
                <w:sz w:val="20"/>
                <w:szCs w:val="20"/>
              </w:rPr>
            </w:pPr>
            <w:r w:rsidRPr="00446641">
              <w:rPr>
                <w:rFonts w:cs="Arial"/>
                <w:color w:val="000000"/>
                <w:sz w:val="20"/>
                <w:szCs w:val="20"/>
              </w:rPr>
              <w:t>RISK PROVISION</w:t>
            </w:r>
          </w:p>
        </w:tc>
        <w:tc>
          <w:tcPr>
            <w:tcW w:w="1271" w:type="dxa"/>
            <w:tcBorders>
              <w:top w:val="nil"/>
              <w:left w:val="nil"/>
              <w:bottom w:val="nil"/>
              <w:right w:val="single" w:sz="4" w:space="0" w:color="auto"/>
            </w:tcBorders>
            <w:noWrap/>
            <w:vAlign w:val="bottom"/>
            <w:hideMark/>
          </w:tcPr>
          <w:p w:rsidR="00446641" w:rsidRPr="00446641" w:rsidRDefault="00446641" w:rsidP="005569E5">
            <w:pPr>
              <w:jc w:val="right"/>
              <w:rPr>
                <w:rFonts w:cs="Arial"/>
                <w:color w:val="000000"/>
                <w:sz w:val="20"/>
                <w:szCs w:val="20"/>
              </w:rPr>
            </w:pPr>
            <w:r w:rsidRPr="00446641">
              <w:rPr>
                <w:rFonts w:cs="Arial"/>
                <w:color w:val="000000"/>
                <w:sz w:val="20"/>
                <w:szCs w:val="20"/>
              </w:rPr>
              <w:t xml:space="preserve">3.059 </w:t>
            </w:r>
          </w:p>
        </w:tc>
      </w:tr>
      <w:tr w:rsidR="00446641" w:rsidRPr="00446641" w:rsidTr="005569E5">
        <w:trPr>
          <w:trHeight w:val="300"/>
        </w:trPr>
        <w:tc>
          <w:tcPr>
            <w:tcW w:w="2689" w:type="dxa"/>
            <w:tcBorders>
              <w:top w:val="single" w:sz="4" w:space="0" w:color="auto"/>
              <w:left w:val="single" w:sz="4" w:space="0" w:color="auto"/>
              <w:bottom w:val="single" w:sz="4" w:space="0" w:color="auto"/>
              <w:right w:val="nil"/>
            </w:tcBorders>
            <w:shd w:val="clear" w:color="000000" w:fill="FFF2CC"/>
            <w:noWrap/>
            <w:vAlign w:val="bottom"/>
            <w:hideMark/>
          </w:tcPr>
          <w:p w:rsidR="00446641" w:rsidRPr="00446641" w:rsidRDefault="00446641" w:rsidP="005569E5">
            <w:pPr>
              <w:rPr>
                <w:rFonts w:cs="Arial"/>
                <w:color w:val="000000"/>
                <w:sz w:val="20"/>
                <w:szCs w:val="20"/>
              </w:rPr>
            </w:pPr>
            <w:r w:rsidRPr="00446641">
              <w:rPr>
                <w:rFonts w:cs="Arial"/>
                <w:color w:val="000000"/>
                <w:sz w:val="20"/>
                <w:szCs w:val="20"/>
              </w:rPr>
              <w:t>SUB-TOTAL</w:t>
            </w:r>
          </w:p>
        </w:tc>
        <w:tc>
          <w:tcPr>
            <w:tcW w:w="1271" w:type="dxa"/>
            <w:tcBorders>
              <w:top w:val="single" w:sz="4" w:space="0" w:color="auto"/>
              <w:left w:val="nil"/>
              <w:bottom w:val="single" w:sz="4" w:space="0" w:color="auto"/>
              <w:right w:val="single" w:sz="4" w:space="0" w:color="auto"/>
            </w:tcBorders>
            <w:shd w:val="clear" w:color="000000" w:fill="FFF2CC"/>
            <w:noWrap/>
            <w:vAlign w:val="bottom"/>
            <w:hideMark/>
          </w:tcPr>
          <w:p w:rsidR="00446641" w:rsidRPr="00446641" w:rsidRDefault="00446641" w:rsidP="005569E5">
            <w:pPr>
              <w:jc w:val="right"/>
              <w:rPr>
                <w:rFonts w:cs="Arial"/>
                <w:color w:val="000000"/>
                <w:sz w:val="20"/>
                <w:szCs w:val="20"/>
              </w:rPr>
            </w:pPr>
            <w:r w:rsidRPr="00446641">
              <w:rPr>
                <w:rFonts w:cs="Arial"/>
                <w:color w:val="000000"/>
                <w:sz w:val="20"/>
                <w:szCs w:val="20"/>
              </w:rPr>
              <w:t xml:space="preserve">31.345 </w:t>
            </w:r>
          </w:p>
        </w:tc>
      </w:tr>
      <w:tr w:rsidR="00446641" w:rsidRPr="00446641" w:rsidTr="005569E5">
        <w:trPr>
          <w:trHeight w:val="300"/>
        </w:trPr>
        <w:tc>
          <w:tcPr>
            <w:tcW w:w="2689" w:type="dxa"/>
            <w:tcBorders>
              <w:top w:val="nil"/>
              <w:left w:val="single" w:sz="4" w:space="0" w:color="auto"/>
              <w:bottom w:val="nil"/>
              <w:right w:val="nil"/>
            </w:tcBorders>
            <w:noWrap/>
            <w:vAlign w:val="bottom"/>
            <w:hideMark/>
          </w:tcPr>
          <w:p w:rsidR="00446641" w:rsidRPr="00446641" w:rsidRDefault="00446641" w:rsidP="005569E5">
            <w:pPr>
              <w:rPr>
                <w:rFonts w:cs="Arial"/>
                <w:color w:val="000000"/>
                <w:sz w:val="20"/>
                <w:szCs w:val="20"/>
              </w:rPr>
            </w:pPr>
            <w:r w:rsidRPr="00446641">
              <w:rPr>
                <w:rFonts w:cs="Arial"/>
                <w:color w:val="000000"/>
                <w:sz w:val="20"/>
                <w:szCs w:val="20"/>
              </w:rPr>
              <w:t>GROSS VAT</w:t>
            </w:r>
          </w:p>
        </w:tc>
        <w:tc>
          <w:tcPr>
            <w:tcW w:w="1271" w:type="dxa"/>
            <w:tcBorders>
              <w:top w:val="nil"/>
              <w:left w:val="nil"/>
              <w:bottom w:val="nil"/>
              <w:right w:val="single" w:sz="4" w:space="0" w:color="auto"/>
            </w:tcBorders>
            <w:noWrap/>
            <w:vAlign w:val="bottom"/>
            <w:hideMark/>
          </w:tcPr>
          <w:p w:rsidR="00446641" w:rsidRPr="00446641" w:rsidRDefault="00446641" w:rsidP="005569E5">
            <w:pPr>
              <w:jc w:val="right"/>
              <w:rPr>
                <w:rFonts w:cs="Arial"/>
                <w:color w:val="000000"/>
                <w:sz w:val="20"/>
                <w:szCs w:val="20"/>
              </w:rPr>
            </w:pPr>
            <w:r w:rsidRPr="00446641">
              <w:rPr>
                <w:rFonts w:cs="Arial"/>
                <w:color w:val="000000"/>
                <w:sz w:val="20"/>
                <w:szCs w:val="20"/>
              </w:rPr>
              <w:t xml:space="preserve">6.269 </w:t>
            </w:r>
          </w:p>
        </w:tc>
      </w:tr>
      <w:tr w:rsidR="00446641" w:rsidRPr="00446641" w:rsidTr="005569E5">
        <w:trPr>
          <w:trHeight w:val="300"/>
        </w:trPr>
        <w:tc>
          <w:tcPr>
            <w:tcW w:w="2689" w:type="dxa"/>
            <w:tcBorders>
              <w:top w:val="nil"/>
              <w:left w:val="single" w:sz="4" w:space="0" w:color="auto"/>
              <w:bottom w:val="nil"/>
              <w:right w:val="nil"/>
            </w:tcBorders>
            <w:noWrap/>
            <w:vAlign w:val="bottom"/>
            <w:hideMark/>
          </w:tcPr>
          <w:p w:rsidR="00446641" w:rsidRPr="00446641" w:rsidRDefault="00446641" w:rsidP="005569E5">
            <w:pPr>
              <w:rPr>
                <w:rFonts w:cs="Arial"/>
                <w:color w:val="000000"/>
                <w:sz w:val="20"/>
                <w:szCs w:val="20"/>
              </w:rPr>
            </w:pPr>
            <w:r w:rsidRPr="00446641">
              <w:rPr>
                <w:rFonts w:cs="Arial"/>
                <w:color w:val="000000"/>
                <w:sz w:val="20"/>
                <w:szCs w:val="20"/>
              </w:rPr>
              <w:t>LESS RECLAIMABLE VAT</w:t>
            </w:r>
          </w:p>
        </w:tc>
        <w:tc>
          <w:tcPr>
            <w:tcW w:w="1271" w:type="dxa"/>
            <w:tcBorders>
              <w:top w:val="nil"/>
              <w:left w:val="nil"/>
              <w:bottom w:val="nil"/>
              <w:right w:val="single" w:sz="4" w:space="0" w:color="auto"/>
            </w:tcBorders>
            <w:noWrap/>
            <w:vAlign w:val="bottom"/>
            <w:hideMark/>
          </w:tcPr>
          <w:p w:rsidR="00446641" w:rsidRPr="00446641" w:rsidRDefault="00446641" w:rsidP="005569E5">
            <w:pPr>
              <w:jc w:val="right"/>
              <w:rPr>
                <w:rFonts w:cs="Arial"/>
                <w:color w:val="000000"/>
                <w:sz w:val="20"/>
                <w:szCs w:val="20"/>
              </w:rPr>
            </w:pPr>
            <w:r w:rsidRPr="00446641">
              <w:rPr>
                <w:rFonts w:cs="Arial"/>
                <w:color w:val="FF0000"/>
                <w:sz w:val="20"/>
                <w:szCs w:val="20"/>
              </w:rPr>
              <w:t>(0.813)</w:t>
            </w:r>
          </w:p>
        </w:tc>
      </w:tr>
      <w:tr w:rsidR="00446641" w:rsidRPr="00446641" w:rsidTr="005569E5">
        <w:trPr>
          <w:trHeight w:val="300"/>
        </w:trPr>
        <w:tc>
          <w:tcPr>
            <w:tcW w:w="2689" w:type="dxa"/>
            <w:tcBorders>
              <w:top w:val="single" w:sz="4" w:space="0" w:color="auto"/>
              <w:left w:val="single" w:sz="4" w:space="0" w:color="auto"/>
              <w:bottom w:val="single" w:sz="4" w:space="0" w:color="auto"/>
              <w:right w:val="nil"/>
            </w:tcBorders>
            <w:shd w:val="clear" w:color="000000" w:fill="FFF2CC"/>
            <w:noWrap/>
            <w:vAlign w:val="bottom"/>
            <w:hideMark/>
          </w:tcPr>
          <w:p w:rsidR="00446641" w:rsidRPr="00446641" w:rsidRDefault="00446641" w:rsidP="005569E5">
            <w:pPr>
              <w:rPr>
                <w:rFonts w:cs="Arial"/>
                <w:color w:val="000000"/>
                <w:sz w:val="20"/>
                <w:szCs w:val="20"/>
              </w:rPr>
            </w:pPr>
            <w:r w:rsidRPr="00446641">
              <w:rPr>
                <w:rFonts w:cs="Arial"/>
                <w:color w:val="000000"/>
                <w:sz w:val="20"/>
                <w:szCs w:val="20"/>
              </w:rPr>
              <w:t>NET VAT</w:t>
            </w:r>
          </w:p>
        </w:tc>
        <w:tc>
          <w:tcPr>
            <w:tcW w:w="1271" w:type="dxa"/>
            <w:tcBorders>
              <w:top w:val="single" w:sz="4" w:space="0" w:color="auto"/>
              <w:left w:val="nil"/>
              <w:bottom w:val="single" w:sz="4" w:space="0" w:color="auto"/>
              <w:right w:val="single" w:sz="4" w:space="0" w:color="auto"/>
            </w:tcBorders>
            <w:shd w:val="clear" w:color="000000" w:fill="FFF2CC"/>
            <w:noWrap/>
            <w:vAlign w:val="bottom"/>
            <w:hideMark/>
          </w:tcPr>
          <w:p w:rsidR="00446641" w:rsidRPr="00446641" w:rsidRDefault="00446641" w:rsidP="005569E5">
            <w:pPr>
              <w:jc w:val="right"/>
              <w:rPr>
                <w:rFonts w:cs="Arial"/>
                <w:color w:val="000000"/>
                <w:sz w:val="20"/>
                <w:szCs w:val="20"/>
              </w:rPr>
            </w:pPr>
            <w:r w:rsidRPr="00446641">
              <w:rPr>
                <w:rFonts w:cs="Arial"/>
                <w:color w:val="000000"/>
                <w:sz w:val="20"/>
                <w:szCs w:val="20"/>
              </w:rPr>
              <w:t xml:space="preserve">5.456 </w:t>
            </w:r>
          </w:p>
        </w:tc>
      </w:tr>
      <w:tr w:rsidR="00446641" w:rsidRPr="00446641" w:rsidTr="005569E5">
        <w:trPr>
          <w:trHeight w:val="300"/>
        </w:trPr>
        <w:tc>
          <w:tcPr>
            <w:tcW w:w="2689" w:type="dxa"/>
            <w:tcBorders>
              <w:top w:val="nil"/>
              <w:left w:val="single" w:sz="4" w:space="0" w:color="auto"/>
              <w:bottom w:val="single" w:sz="4" w:space="0" w:color="auto"/>
              <w:right w:val="nil"/>
            </w:tcBorders>
            <w:shd w:val="clear" w:color="000000" w:fill="305496"/>
            <w:noWrap/>
            <w:vAlign w:val="bottom"/>
            <w:hideMark/>
          </w:tcPr>
          <w:p w:rsidR="00446641" w:rsidRPr="00446641" w:rsidRDefault="00446641" w:rsidP="005569E5">
            <w:pPr>
              <w:rPr>
                <w:rFonts w:cs="Arial"/>
                <w:color w:val="FFFFFF"/>
                <w:sz w:val="20"/>
                <w:szCs w:val="20"/>
              </w:rPr>
            </w:pPr>
            <w:r w:rsidRPr="00446641">
              <w:rPr>
                <w:rFonts w:cs="Arial"/>
                <w:color w:val="FFFFFF"/>
                <w:sz w:val="20"/>
                <w:szCs w:val="20"/>
              </w:rPr>
              <w:t>TOTAL</w:t>
            </w:r>
          </w:p>
        </w:tc>
        <w:tc>
          <w:tcPr>
            <w:tcW w:w="1271" w:type="dxa"/>
            <w:tcBorders>
              <w:top w:val="nil"/>
              <w:left w:val="nil"/>
              <w:bottom w:val="single" w:sz="4" w:space="0" w:color="auto"/>
              <w:right w:val="single" w:sz="4" w:space="0" w:color="auto"/>
            </w:tcBorders>
            <w:shd w:val="clear" w:color="000000" w:fill="305496"/>
            <w:noWrap/>
            <w:vAlign w:val="bottom"/>
            <w:hideMark/>
          </w:tcPr>
          <w:p w:rsidR="00446641" w:rsidRPr="00446641" w:rsidRDefault="00446641" w:rsidP="005569E5">
            <w:pPr>
              <w:jc w:val="right"/>
              <w:rPr>
                <w:rFonts w:cs="Arial"/>
                <w:b/>
                <w:bCs/>
                <w:color w:val="FFFFFF"/>
                <w:sz w:val="20"/>
                <w:szCs w:val="20"/>
              </w:rPr>
            </w:pPr>
            <w:r w:rsidRPr="00446641">
              <w:rPr>
                <w:rFonts w:cs="Arial"/>
                <w:b/>
                <w:bCs/>
                <w:color w:val="FFFFFF"/>
                <w:sz w:val="20"/>
                <w:szCs w:val="20"/>
              </w:rPr>
              <w:t xml:space="preserve">36.801 </w:t>
            </w:r>
          </w:p>
        </w:tc>
      </w:tr>
    </w:tbl>
    <w:p w:rsidR="00446641" w:rsidRPr="00446641" w:rsidRDefault="00446641" w:rsidP="00446641">
      <w:pPr>
        <w:rPr>
          <w:rFonts w:cs="Arial"/>
          <w:sz w:val="20"/>
          <w:szCs w:val="20"/>
        </w:rPr>
      </w:pPr>
    </w:p>
    <w:p w:rsidR="00446641" w:rsidRPr="00446641" w:rsidRDefault="00446641" w:rsidP="00446641">
      <w:pPr>
        <w:rPr>
          <w:rFonts w:cs="Arial"/>
          <w:sz w:val="20"/>
          <w:szCs w:val="20"/>
        </w:rPr>
      </w:pPr>
    </w:p>
    <w:p w:rsidR="009A441F" w:rsidRDefault="009A441F" w:rsidP="009A441F">
      <w:pPr>
        <w:rPr>
          <w:rFonts w:cs="Arial"/>
          <w:sz w:val="22"/>
          <w:szCs w:val="22"/>
        </w:rPr>
      </w:pPr>
      <w:r w:rsidRPr="00667C1D">
        <w:rPr>
          <w:rFonts w:cs="Arial"/>
          <w:sz w:val="22"/>
          <w:szCs w:val="22"/>
        </w:rPr>
        <w:t>Capital costs have increased since OBC due to additional works costs with the inclusion of carbon reduction measures and construction market inflation.</w:t>
      </w:r>
    </w:p>
    <w:p w:rsidR="009A441F" w:rsidRPr="00CF5460" w:rsidRDefault="009A441F" w:rsidP="00446641">
      <w:pPr>
        <w:rPr>
          <w:rFonts w:cs="Arial"/>
          <w:sz w:val="22"/>
          <w:szCs w:val="22"/>
        </w:rPr>
      </w:pPr>
    </w:p>
    <w:p w:rsidR="00446641" w:rsidRPr="00CF5460" w:rsidRDefault="00446641" w:rsidP="00446641">
      <w:pPr>
        <w:rPr>
          <w:rFonts w:cs="Arial"/>
          <w:sz w:val="22"/>
          <w:szCs w:val="22"/>
        </w:rPr>
      </w:pPr>
      <w:r w:rsidRPr="00CF5460">
        <w:rPr>
          <w:rFonts w:cs="Arial"/>
          <w:sz w:val="22"/>
          <w:szCs w:val="22"/>
        </w:rPr>
        <w:t xml:space="preserve">Capital funding is assumed </w:t>
      </w:r>
      <w:r w:rsidR="00F37801" w:rsidRPr="00CF5460">
        <w:rPr>
          <w:rFonts w:cs="Arial"/>
          <w:sz w:val="22"/>
          <w:szCs w:val="22"/>
        </w:rPr>
        <w:t xml:space="preserve">to be </w:t>
      </w:r>
      <w:r w:rsidRPr="00CF5460">
        <w:rPr>
          <w:rFonts w:cs="Arial"/>
          <w:sz w:val="22"/>
          <w:szCs w:val="22"/>
        </w:rPr>
        <w:t>met in full by Welsh Government compliant with the key principles of Priority 1 of the Health and Social Care Integration and Rebalancing Capital Fund (IRCF) - Development of integrated health and social care hubs and centres.</w:t>
      </w:r>
    </w:p>
    <w:p w:rsidR="00446641" w:rsidRDefault="00446641" w:rsidP="00446641">
      <w:pPr>
        <w:rPr>
          <w:rFonts w:cs="Arial"/>
          <w:sz w:val="20"/>
          <w:szCs w:val="20"/>
        </w:rPr>
      </w:pPr>
    </w:p>
    <w:p w:rsidR="001A20C0" w:rsidRPr="002A5B4D" w:rsidRDefault="00446641" w:rsidP="00446641">
      <w:pPr>
        <w:rPr>
          <w:rFonts w:cs="Arial"/>
          <w:sz w:val="20"/>
          <w:szCs w:val="20"/>
        </w:rPr>
      </w:pPr>
      <w:r w:rsidRPr="002A5B4D">
        <w:rPr>
          <w:rFonts w:cs="Arial"/>
          <w:sz w:val="20"/>
          <w:szCs w:val="20"/>
        </w:rPr>
        <w:t xml:space="preserve"> </w:t>
      </w:r>
    </w:p>
    <w:p w:rsidR="005E5515" w:rsidRPr="002A5B4D" w:rsidRDefault="005E5515" w:rsidP="47258BE9">
      <w:pPr>
        <w:rPr>
          <w:rFonts w:cs="Arial"/>
          <w:sz w:val="20"/>
          <w:szCs w:val="20"/>
        </w:rPr>
        <w:sectPr w:rsidR="005E5515" w:rsidRPr="002A5B4D" w:rsidSect="00652D9A">
          <w:pgSz w:w="11907" w:h="16840" w:code="9"/>
          <w:pgMar w:top="709" w:right="1797" w:bottom="1134" w:left="1797" w:header="709" w:footer="284" w:gutter="0"/>
          <w:cols w:space="708"/>
          <w:docGrid w:linePitch="360"/>
        </w:sectPr>
      </w:pPr>
    </w:p>
    <w:p w:rsidR="001A20C0" w:rsidRPr="002A5B4D" w:rsidRDefault="001A20C0" w:rsidP="47258BE9">
      <w:pPr>
        <w:rPr>
          <w:rFonts w:cs="Arial"/>
          <w:sz w:val="20"/>
          <w:szCs w:val="20"/>
        </w:rPr>
      </w:pPr>
    </w:p>
    <w:p w:rsidR="001A20C0" w:rsidRPr="002A5B4D" w:rsidRDefault="001A20C0" w:rsidP="001A20C0">
      <w:pPr>
        <w:pStyle w:val="Heading2"/>
        <w:jc w:val="right"/>
        <w:rPr>
          <w:rFonts w:ascii="Arial" w:hAnsi="Arial" w:cs="Arial"/>
          <w:sz w:val="28"/>
          <w:szCs w:val="28"/>
        </w:rPr>
      </w:pPr>
      <w:bookmarkStart w:id="42" w:name="_Toc202972566"/>
      <w:r w:rsidRPr="002A5B4D">
        <w:rPr>
          <w:rFonts w:ascii="Arial" w:hAnsi="Arial" w:cs="Arial"/>
          <w:sz w:val="28"/>
          <w:szCs w:val="28"/>
        </w:rPr>
        <w:t xml:space="preserve">Annex </w:t>
      </w:r>
      <w:r w:rsidR="005F7185">
        <w:rPr>
          <w:rFonts w:ascii="Arial" w:hAnsi="Arial" w:cs="Arial"/>
          <w:sz w:val="28"/>
          <w:szCs w:val="28"/>
        </w:rPr>
        <w:t>f</w:t>
      </w:r>
      <w:r w:rsidRPr="002A5B4D">
        <w:rPr>
          <w:rFonts w:ascii="Arial" w:hAnsi="Arial" w:cs="Arial"/>
          <w:sz w:val="28"/>
          <w:szCs w:val="28"/>
        </w:rPr>
        <w:t xml:space="preserve">: </w:t>
      </w:r>
      <w:r w:rsidR="009C1304" w:rsidRPr="002A5B4D">
        <w:rPr>
          <w:rFonts w:ascii="Arial" w:hAnsi="Arial" w:cs="Arial"/>
          <w:sz w:val="28"/>
          <w:szCs w:val="28"/>
        </w:rPr>
        <w:t>IG</w:t>
      </w:r>
      <w:r w:rsidR="00457CBC" w:rsidRPr="002A5B4D">
        <w:rPr>
          <w:rFonts w:ascii="Arial" w:hAnsi="Arial" w:cs="Arial"/>
          <w:sz w:val="28"/>
          <w:szCs w:val="28"/>
        </w:rPr>
        <w:t xml:space="preserve"> submission deadlines</w:t>
      </w:r>
      <w:bookmarkEnd w:id="42"/>
    </w:p>
    <w:p w:rsidR="001A20C0" w:rsidRPr="002A5B4D" w:rsidRDefault="001A20C0" w:rsidP="00652D9A">
      <w:pPr>
        <w:rPr>
          <w:rFonts w:cs="Arial"/>
          <w:sz w:val="20"/>
          <w:szCs w:val="20"/>
        </w:rPr>
      </w:pPr>
    </w:p>
    <w:p w:rsidR="00652D9A" w:rsidRPr="002A5B4D" w:rsidRDefault="00652D9A" w:rsidP="00652D9A">
      <w:pPr>
        <w:rPr>
          <w:rFonts w:cs="Arial"/>
          <w:sz w:val="20"/>
          <w:szCs w:val="20"/>
        </w:rPr>
      </w:pPr>
    </w:p>
    <w:p w:rsidR="00652D9A" w:rsidRPr="002A5B4D" w:rsidRDefault="009C1304" w:rsidP="00DF1E88">
      <w:pPr>
        <w:jc w:val="both"/>
        <w:rPr>
          <w:rFonts w:cs="Arial"/>
          <w:b/>
          <w:sz w:val="20"/>
          <w:szCs w:val="20"/>
        </w:rPr>
      </w:pPr>
      <w:r w:rsidRPr="002A5B4D">
        <w:rPr>
          <w:rFonts w:cs="Arial"/>
          <w:sz w:val="20"/>
          <w:szCs w:val="20"/>
        </w:rPr>
        <w:t>I</w:t>
      </w:r>
      <w:r w:rsidR="00457CBC" w:rsidRPr="002A5B4D">
        <w:rPr>
          <w:rFonts w:cs="Arial"/>
          <w:sz w:val="20"/>
          <w:szCs w:val="20"/>
        </w:rPr>
        <w:t xml:space="preserve">G meets on the first Wednesday of every month. </w:t>
      </w:r>
      <w:proofErr w:type="gramStart"/>
      <w:r w:rsidR="00457CBC" w:rsidRPr="002A5B4D">
        <w:rPr>
          <w:rFonts w:cs="Arial"/>
          <w:sz w:val="20"/>
          <w:szCs w:val="20"/>
        </w:rPr>
        <w:t>In order for</w:t>
      </w:r>
      <w:proofErr w:type="gramEnd"/>
      <w:r w:rsidR="00457CBC" w:rsidRPr="002A5B4D">
        <w:rPr>
          <w:rFonts w:cs="Arial"/>
          <w:sz w:val="20"/>
          <w:szCs w:val="20"/>
        </w:rPr>
        <w:t xml:space="preserve"> cases to be considered at </w:t>
      </w:r>
      <w:r w:rsidR="00F16556" w:rsidRPr="002A5B4D">
        <w:rPr>
          <w:rFonts w:cs="Arial"/>
          <w:sz w:val="20"/>
          <w:szCs w:val="20"/>
        </w:rPr>
        <w:t xml:space="preserve">a </w:t>
      </w:r>
      <w:r w:rsidR="00457CBC" w:rsidRPr="002A5B4D">
        <w:rPr>
          <w:rFonts w:cs="Arial"/>
          <w:sz w:val="20"/>
          <w:szCs w:val="20"/>
        </w:rPr>
        <w:t xml:space="preserve">meeting they must be with the secretariat in Strategy and Planning </w:t>
      </w:r>
      <w:r w:rsidR="00457CBC" w:rsidRPr="002A5B4D">
        <w:rPr>
          <w:rFonts w:cs="Arial"/>
          <w:b/>
          <w:sz w:val="20"/>
          <w:szCs w:val="20"/>
        </w:rPr>
        <w:t xml:space="preserve">by close of play two </w:t>
      </w:r>
      <w:r w:rsidRPr="002A5B4D">
        <w:rPr>
          <w:rFonts w:cs="Arial"/>
          <w:b/>
          <w:sz w:val="20"/>
          <w:szCs w:val="20"/>
        </w:rPr>
        <w:t>weeks</w:t>
      </w:r>
      <w:r w:rsidR="00457CBC" w:rsidRPr="002A5B4D">
        <w:rPr>
          <w:rFonts w:cs="Arial"/>
          <w:b/>
          <w:sz w:val="20"/>
          <w:szCs w:val="20"/>
        </w:rPr>
        <w:t xml:space="preserve"> beforehand.</w:t>
      </w:r>
    </w:p>
    <w:p w:rsidR="00457CBC" w:rsidRPr="002A5B4D" w:rsidRDefault="00457CBC" w:rsidP="00652D9A">
      <w:pPr>
        <w:rPr>
          <w:rFonts w:cs="Arial"/>
          <w:sz w:val="20"/>
          <w:szCs w:val="20"/>
        </w:rPr>
      </w:pPr>
    </w:p>
    <w:p w:rsidR="00457CBC" w:rsidRPr="002A5B4D" w:rsidRDefault="00457CBC" w:rsidP="00652D9A">
      <w:pPr>
        <w:rPr>
          <w:rFonts w:cs="Arial"/>
          <w:sz w:val="20"/>
          <w:szCs w:val="20"/>
        </w:rPr>
      </w:pPr>
      <w:r w:rsidRPr="002A5B4D">
        <w:rPr>
          <w:rFonts w:cs="Arial"/>
          <w:sz w:val="20"/>
          <w:szCs w:val="20"/>
        </w:rPr>
        <w:t>For 202</w:t>
      </w:r>
      <w:r w:rsidR="2C603161" w:rsidRPr="002A5B4D">
        <w:rPr>
          <w:rFonts w:cs="Arial"/>
          <w:sz w:val="20"/>
          <w:szCs w:val="20"/>
        </w:rPr>
        <w:t>4-25</w:t>
      </w:r>
      <w:r w:rsidRPr="002A5B4D">
        <w:rPr>
          <w:rFonts w:cs="Arial"/>
          <w:sz w:val="20"/>
          <w:szCs w:val="20"/>
        </w:rPr>
        <w:t xml:space="preserve"> this means:</w:t>
      </w:r>
    </w:p>
    <w:p w:rsidR="2BEF9EB1" w:rsidRPr="002A5B4D" w:rsidRDefault="2BEF9EB1" w:rsidP="2BEF9EB1">
      <w:pPr>
        <w:rPr>
          <w:rFonts w:cs="Arial"/>
          <w:sz w:val="20"/>
          <w:szCs w:val="20"/>
        </w:rPr>
      </w:pP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770"/>
        <w:gridCol w:w="2770"/>
        <w:gridCol w:w="2770"/>
      </w:tblGrid>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shd w:val="clear" w:color="auto" w:fill="D0CECE"/>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b/>
                <w:bCs/>
                <w:color w:val="000000" w:themeColor="text1"/>
                <w:sz w:val="20"/>
                <w:szCs w:val="20"/>
              </w:rPr>
              <w:t>Business Case Submission Deadline</w:t>
            </w:r>
          </w:p>
        </w:tc>
        <w:tc>
          <w:tcPr>
            <w:tcW w:w="2770" w:type="dxa"/>
            <w:tcBorders>
              <w:top w:val="single" w:sz="6" w:space="0" w:color="auto"/>
              <w:left w:val="single" w:sz="6" w:space="0" w:color="auto"/>
              <w:bottom w:val="single" w:sz="6" w:space="0" w:color="auto"/>
              <w:right w:val="single" w:sz="6" w:space="0" w:color="auto"/>
            </w:tcBorders>
            <w:shd w:val="clear" w:color="auto" w:fill="D0CECE"/>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b/>
                <w:bCs/>
                <w:color w:val="000000" w:themeColor="text1"/>
                <w:sz w:val="20"/>
                <w:szCs w:val="20"/>
              </w:rPr>
              <w:t>Circulation of Papers to Investment Group</w:t>
            </w:r>
          </w:p>
        </w:tc>
        <w:tc>
          <w:tcPr>
            <w:tcW w:w="2770" w:type="dxa"/>
            <w:tcBorders>
              <w:top w:val="single" w:sz="6" w:space="0" w:color="auto"/>
              <w:left w:val="single" w:sz="6" w:space="0" w:color="auto"/>
              <w:bottom w:val="single" w:sz="6" w:space="0" w:color="auto"/>
              <w:right w:val="single" w:sz="6" w:space="0" w:color="auto"/>
            </w:tcBorders>
            <w:shd w:val="clear" w:color="auto" w:fill="D0CECE"/>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b/>
                <w:bCs/>
                <w:color w:val="000000" w:themeColor="text1"/>
                <w:sz w:val="20"/>
                <w:szCs w:val="20"/>
              </w:rPr>
              <w:t>Date of Investment Group Meeting</w:t>
            </w:r>
          </w:p>
        </w:tc>
      </w:tr>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20 March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27 March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03 April 2024</w:t>
            </w:r>
          </w:p>
        </w:tc>
      </w:tr>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58A93921" w:rsidP="343E9EC4">
            <w:pPr>
              <w:jc w:val="center"/>
              <w:rPr>
                <w:rFonts w:eastAsia="Calibri" w:cs="Arial"/>
                <w:color w:val="000000" w:themeColor="text1"/>
                <w:sz w:val="20"/>
                <w:szCs w:val="20"/>
              </w:rPr>
            </w:pPr>
            <w:r w:rsidRPr="002A5B4D">
              <w:rPr>
                <w:rFonts w:eastAsia="Calibri" w:cs="Arial"/>
                <w:color w:val="000000" w:themeColor="text1"/>
                <w:sz w:val="20"/>
                <w:szCs w:val="20"/>
              </w:rPr>
              <w:t xml:space="preserve">24 </w:t>
            </w:r>
            <w:r w:rsidR="01D48754" w:rsidRPr="002A5B4D">
              <w:rPr>
                <w:rFonts w:eastAsia="Calibri" w:cs="Arial"/>
                <w:color w:val="000000" w:themeColor="text1"/>
                <w:sz w:val="20"/>
                <w:szCs w:val="20"/>
              </w:rPr>
              <w:t>April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C9B1D3F" w:rsidP="343E9EC4">
            <w:pPr>
              <w:jc w:val="center"/>
              <w:rPr>
                <w:rFonts w:eastAsia="Calibri" w:cs="Arial"/>
                <w:color w:val="000000" w:themeColor="text1"/>
                <w:sz w:val="20"/>
                <w:szCs w:val="20"/>
              </w:rPr>
            </w:pPr>
            <w:r w:rsidRPr="002A5B4D">
              <w:rPr>
                <w:rFonts w:eastAsia="Calibri" w:cs="Arial"/>
                <w:color w:val="000000" w:themeColor="text1"/>
                <w:sz w:val="20"/>
                <w:szCs w:val="20"/>
              </w:rPr>
              <w:t xml:space="preserve">01 May </w:t>
            </w:r>
            <w:r w:rsidR="01D48754" w:rsidRPr="002A5B4D">
              <w:rPr>
                <w:rFonts w:eastAsia="Calibri" w:cs="Arial"/>
                <w:color w:val="000000" w:themeColor="text1"/>
                <w:sz w:val="20"/>
                <w:szCs w:val="20"/>
              </w:rPr>
              <w:t>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343E9EC4">
            <w:pPr>
              <w:jc w:val="center"/>
              <w:rPr>
                <w:rFonts w:eastAsia="Calibri" w:cs="Arial"/>
                <w:color w:val="000000" w:themeColor="text1"/>
                <w:sz w:val="20"/>
                <w:szCs w:val="20"/>
              </w:rPr>
            </w:pPr>
            <w:r w:rsidRPr="002A5B4D">
              <w:rPr>
                <w:rFonts w:eastAsia="Calibri" w:cs="Arial"/>
                <w:color w:val="000000" w:themeColor="text1"/>
                <w:sz w:val="20"/>
                <w:szCs w:val="20"/>
              </w:rPr>
              <w:t>0</w:t>
            </w:r>
            <w:r w:rsidR="6B158B03" w:rsidRPr="002A5B4D">
              <w:rPr>
                <w:rFonts w:eastAsia="Calibri" w:cs="Arial"/>
                <w:color w:val="000000" w:themeColor="text1"/>
                <w:sz w:val="20"/>
                <w:szCs w:val="20"/>
              </w:rPr>
              <w:t>8</w:t>
            </w:r>
            <w:r w:rsidRPr="002A5B4D">
              <w:rPr>
                <w:rFonts w:eastAsia="Calibri" w:cs="Arial"/>
                <w:color w:val="000000" w:themeColor="text1"/>
                <w:sz w:val="20"/>
                <w:szCs w:val="20"/>
              </w:rPr>
              <w:t xml:space="preserve"> May 2024</w:t>
            </w:r>
          </w:p>
        </w:tc>
      </w:tr>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29 May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05 June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12 June 2024</w:t>
            </w:r>
          </w:p>
        </w:tc>
      </w:tr>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19 June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26 June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03 July 2024</w:t>
            </w:r>
          </w:p>
        </w:tc>
      </w:tr>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24 July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31 July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07 August 2024</w:t>
            </w:r>
          </w:p>
        </w:tc>
      </w:tr>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21 August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28 August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04 September 2024</w:t>
            </w:r>
          </w:p>
        </w:tc>
      </w:tr>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18 September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25 September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02 October 2024</w:t>
            </w:r>
          </w:p>
        </w:tc>
      </w:tr>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23 October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30 October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06 November 2024</w:t>
            </w:r>
          </w:p>
        </w:tc>
      </w:tr>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20 November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27 November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04 December 2024</w:t>
            </w:r>
          </w:p>
        </w:tc>
      </w:tr>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13 December 2024</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02 January 2025</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08 January 2025</w:t>
            </w:r>
          </w:p>
        </w:tc>
      </w:tr>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22 January 2025</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29 January 2025</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05 February 2025</w:t>
            </w:r>
          </w:p>
        </w:tc>
      </w:tr>
      <w:tr w:rsidR="01D48754" w:rsidRPr="002A5B4D" w:rsidTr="343E9EC4">
        <w:trPr>
          <w:trHeight w:val="285"/>
        </w:trPr>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19 February 2025</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26 February 2025</w:t>
            </w:r>
          </w:p>
        </w:tc>
        <w:tc>
          <w:tcPr>
            <w:tcW w:w="2770" w:type="dxa"/>
            <w:tcBorders>
              <w:top w:val="single" w:sz="6" w:space="0" w:color="auto"/>
              <w:left w:val="single" w:sz="6" w:space="0" w:color="auto"/>
              <w:bottom w:val="single" w:sz="6" w:space="0" w:color="auto"/>
              <w:right w:val="single" w:sz="6" w:space="0" w:color="auto"/>
            </w:tcBorders>
            <w:tcMar>
              <w:left w:w="105" w:type="dxa"/>
              <w:right w:w="105" w:type="dxa"/>
            </w:tcMar>
            <w:vAlign w:val="bottom"/>
          </w:tcPr>
          <w:p w:rsidR="01D48754" w:rsidRPr="002A5B4D" w:rsidRDefault="01D48754" w:rsidP="01D48754">
            <w:pPr>
              <w:jc w:val="center"/>
              <w:rPr>
                <w:rFonts w:eastAsia="Calibri" w:cs="Arial"/>
                <w:color w:val="000000" w:themeColor="text1"/>
                <w:sz w:val="20"/>
                <w:szCs w:val="20"/>
              </w:rPr>
            </w:pPr>
            <w:r w:rsidRPr="002A5B4D">
              <w:rPr>
                <w:rFonts w:eastAsia="Calibri" w:cs="Arial"/>
                <w:color w:val="000000" w:themeColor="text1"/>
                <w:sz w:val="20"/>
                <w:szCs w:val="20"/>
              </w:rPr>
              <w:t>05 March 2025</w:t>
            </w:r>
          </w:p>
        </w:tc>
      </w:tr>
    </w:tbl>
    <w:p w:rsidR="2BEF9EB1" w:rsidRDefault="2BEF9EB1" w:rsidP="2BEF9EB1">
      <w:pPr>
        <w:rPr>
          <w:rFonts w:cs="Arial"/>
          <w:sz w:val="20"/>
          <w:szCs w:val="20"/>
        </w:rPr>
      </w:pPr>
    </w:p>
    <w:p w:rsidR="00F05AA8" w:rsidRPr="002A5B4D" w:rsidRDefault="00F05AA8" w:rsidP="2BEF9EB1">
      <w:pPr>
        <w:rPr>
          <w:rFonts w:cs="Arial"/>
          <w:sz w:val="20"/>
          <w:szCs w:val="20"/>
        </w:rPr>
      </w:pPr>
    </w:p>
    <w:p w:rsidR="009C1304" w:rsidRPr="002A5B4D" w:rsidRDefault="009D40A9" w:rsidP="00652D9A">
      <w:pPr>
        <w:rPr>
          <w:rFonts w:cs="Arial"/>
          <w:sz w:val="20"/>
          <w:szCs w:val="20"/>
        </w:rPr>
      </w:pPr>
      <w:r w:rsidRPr="002A5B4D">
        <w:rPr>
          <w:rFonts w:cs="Arial"/>
          <w:sz w:val="20"/>
          <w:szCs w:val="20"/>
        </w:rPr>
        <w:t>For 2025-26 this means:</w:t>
      </w:r>
    </w:p>
    <w:p w:rsidR="009D40A9" w:rsidRPr="002A5B4D" w:rsidRDefault="009D40A9" w:rsidP="00652D9A">
      <w:pPr>
        <w:rPr>
          <w:rFonts w:cs="Arial"/>
          <w:sz w:val="20"/>
          <w:szCs w:val="20"/>
        </w:rPr>
      </w:pPr>
    </w:p>
    <w:tbl>
      <w:tblPr>
        <w:tblStyle w:val="TableGrid"/>
        <w:tblpPr w:leftFromText="180" w:rightFromText="180" w:vertAnchor="page" w:horzAnchor="margin" w:tblpY="7472"/>
        <w:tblW w:w="0" w:type="auto"/>
        <w:tblLook w:val="04A0" w:firstRow="1" w:lastRow="0" w:firstColumn="1" w:lastColumn="0" w:noHBand="0" w:noVBand="1"/>
      </w:tblPr>
      <w:tblGrid>
        <w:gridCol w:w="2776"/>
        <w:gridCol w:w="2763"/>
        <w:gridCol w:w="2764"/>
      </w:tblGrid>
      <w:tr w:rsidR="009D40A9" w:rsidRPr="002A5B4D" w:rsidTr="009D40A9">
        <w:tc>
          <w:tcPr>
            <w:tcW w:w="2776"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9D40A9" w:rsidRPr="002A5B4D" w:rsidRDefault="009D40A9" w:rsidP="009D40A9">
            <w:pPr>
              <w:jc w:val="center"/>
              <w:rPr>
                <w:rFonts w:cs="Arial"/>
                <w:b/>
                <w:sz w:val="20"/>
                <w:szCs w:val="20"/>
              </w:rPr>
            </w:pPr>
            <w:r w:rsidRPr="002A5B4D">
              <w:rPr>
                <w:rFonts w:cs="Arial"/>
                <w:b/>
                <w:sz w:val="20"/>
                <w:szCs w:val="20"/>
              </w:rPr>
              <w:t>Business Case Submission Deadline</w:t>
            </w:r>
          </w:p>
        </w:tc>
        <w:tc>
          <w:tcPr>
            <w:tcW w:w="2763"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9D40A9" w:rsidRPr="002A5B4D" w:rsidRDefault="009D40A9" w:rsidP="009D40A9">
            <w:pPr>
              <w:jc w:val="center"/>
              <w:rPr>
                <w:rFonts w:cs="Arial"/>
                <w:b/>
                <w:sz w:val="20"/>
                <w:szCs w:val="20"/>
              </w:rPr>
            </w:pPr>
            <w:r w:rsidRPr="002A5B4D">
              <w:rPr>
                <w:rFonts w:cs="Arial"/>
                <w:b/>
                <w:sz w:val="20"/>
                <w:szCs w:val="20"/>
              </w:rPr>
              <w:t>Circulation of Papers to Investment Group</w:t>
            </w:r>
          </w:p>
        </w:tc>
        <w:tc>
          <w:tcPr>
            <w:tcW w:w="2764"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9D40A9" w:rsidRPr="002A5B4D" w:rsidRDefault="009D40A9" w:rsidP="009D40A9">
            <w:pPr>
              <w:jc w:val="center"/>
              <w:rPr>
                <w:rFonts w:cs="Arial"/>
                <w:b/>
                <w:sz w:val="20"/>
                <w:szCs w:val="20"/>
              </w:rPr>
            </w:pPr>
            <w:r w:rsidRPr="002A5B4D">
              <w:rPr>
                <w:rFonts w:cs="Arial"/>
                <w:b/>
                <w:sz w:val="20"/>
                <w:szCs w:val="20"/>
              </w:rPr>
              <w:t>Date of Investment Group Meeting</w:t>
            </w:r>
          </w:p>
        </w:tc>
      </w:tr>
      <w:tr w:rsidR="009D40A9" w:rsidRPr="002A5B4D" w:rsidTr="009D40A9">
        <w:tc>
          <w:tcPr>
            <w:tcW w:w="2776"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19 March 2025</w:t>
            </w:r>
          </w:p>
        </w:tc>
        <w:tc>
          <w:tcPr>
            <w:tcW w:w="2763"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26 March 2025</w:t>
            </w:r>
          </w:p>
        </w:tc>
        <w:tc>
          <w:tcPr>
            <w:tcW w:w="2764"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02 April 2025</w:t>
            </w:r>
          </w:p>
        </w:tc>
      </w:tr>
      <w:tr w:rsidR="009D40A9" w:rsidRPr="002A5B4D" w:rsidTr="009D40A9">
        <w:tc>
          <w:tcPr>
            <w:tcW w:w="2776"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23 April 2025</w:t>
            </w:r>
          </w:p>
        </w:tc>
        <w:tc>
          <w:tcPr>
            <w:tcW w:w="2763"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30 April 2025</w:t>
            </w:r>
          </w:p>
        </w:tc>
        <w:tc>
          <w:tcPr>
            <w:tcW w:w="2764"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07 May 2025</w:t>
            </w:r>
          </w:p>
        </w:tc>
      </w:tr>
      <w:tr w:rsidR="009D40A9" w:rsidRPr="002A5B4D" w:rsidTr="009D40A9">
        <w:tc>
          <w:tcPr>
            <w:tcW w:w="2776"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21 May 2025</w:t>
            </w:r>
          </w:p>
        </w:tc>
        <w:tc>
          <w:tcPr>
            <w:tcW w:w="2763"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28 May 2025</w:t>
            </w:r>
          </w:p>
        </w:tc>
        <w:tc>
          <w:tcPr>
            <w:tcW w:w="2764"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04 June 2025</w:t>
            </w:r>
          </w:p>
        </w:tc>
      </w:tr>
      <w:tr w:rsidR="009D40A9" w:rsidRPr="002A5B4D" w:rsidTr="009D40A9">
        <w:tc>
          <w:tcPr>
            <w:tcW w:w="2776"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18 June 2025</w:t>
            </w:r>
          </w:p>
        </w:tc>
        <w:tc>
          <w:tcPr>
            <w:tcW w:w="2763"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25 June 2025</w:t>
            </w:r>
          </w:p>
        </w:tc>
        <w:tc>
          <w:tcPr>
            <w:tcW w:w="2764"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02 July 2025</w:t>
            </w:r>
          </w:p>
        </w:tc>
      </w:tr>
      <w:tr w:rsidR="009D40A9" w:rsidRPr="002A5B4D" w:rsidTr="009D40A9">
        <w:tc>
          <w:tcPr>
            <w:tcW w:w="2776"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23 July 2025</w:t>
            </w:r>
          </w:p>
        </w:tc>
        <w:tc>
          <w:tcPr>
            <w:tcW w:w="2763"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30 July 2025</w:t>
            </w:r>
          </w:p>
        </w:tc>
        <w:tc>
          <w:tcPr>
            <w:tcW w:w="2764"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06 August 2025</w:t>
            </w:r>
          </w:p>
        </w:tc>
      </w:tr>
      <w:tr w:rsidR="009D40A9" w:rsidRPr="002A5B4D" w:rsidTr="009D40A9">
        <w:tc>
          <w:tcPr>
            <w:tcW w:w="2776"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20 August 2025</w:t>
            </w:r>
          </w:p>
        </w:tc>
        <w:tc>
          <w:tcPr>
            <w:tcW w:w="2763"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27 August 2025</w:t>
            </w:r>
          </w:p>
        </w:tc>
        <w:tc>
          <w:tcPr>
            <w:tcW w:w="2764"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03 September 2025</w:t>
            </w:r>
          </w:p>
        </w:tc>
      </w:tr>
      <w:tr w:rsidR="009D40A9" w:rsidRPr="002A5B4D" w:rsidTr="009D40A9">
        <w:tc>
          <w:tcPr>
            <w:tcW w:w="2776"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17 September</w:t>
            </w:r>
          </w:p>
        </w:tc>
        <w:tc>
          <w:tcPr>
            <w:tcW w:w="2763"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24 September 2025</w:t>
            </w:r>
          </w:p>
        </w:tc>
        <w:tc>
          <w:tcPr>
            <w:tcW w:w="2764"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01 October 2025</w:t>
            </w:r>
          </w:p>
        </w:tc>
      </w:tr>
      <w:tr w:rsidR="009D40A9" w:rsidRPr="002A5B4D" w:rsidTr="009D40A9">
        <w:tc>
          <w:tcPr>
            <w:tcW w:w="2776"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22 October 2025</w:t>
            </w:r>
          </w:p>
        </w:tc>
        <w:tc>
          <w:tcPr>
            <w:tcW w:w="2763"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29 October 2025</w:t>
            </w:r>
          </w:p>
        </w:tc>
        <w:tc>
          <w:tcPr>
            <w:tcW w:w="2764"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05 November 2025</w:t>
            </w:r>
          </w:p>
        </w:tc>
      </w:tr>
      <w:tr w:rsidR="009D40A9" w:rsidRPr="002A5B4D" w:rsidTr="009D40A9">
        <w:tc>
          <w:tcPr>
            <w:tcW w:w="2776"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19 November 2025</w:t>
            </w:r>
          </w:p>
        </w:tc>
        <w:tc>
          <w:tcPr>
            <w:tcW w:w="2763"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26 November 2025</w:t>
            </w:r>
          </w:p>
        </w:tc>
        <w:tc>
          <w:tcPr>
            <w:tcW w:w="2764"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03 December 2025</w:t>
            </w:r>
          </w:p>
        </w:tc>
      </w:tr>
      <w:tr w:rsidR="009D40A9" w:rsidRPr="002A5B4D" w:rsidTr="009D40A9">
        <w:tc>
          <w:tcPr>
            <w:tcW w:w="2776"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17 December 2026</w:t>
            </w:r>
          </w:p>
        </w:tc>
        <w:tc>
          <w:tcPr>
            <w:tcW w:w="2763"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07 January 2026</w:t>
            </w:r>
          </w:p>
        </w:tc>
        <w:tc>
          <w:tcPr>
            <w:tcW w:w="2764"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14 January 2026</w:t>
            </w:r>
          </w:p>
        </w:tc>
      </w:tr>
      <w:tr w:rsidR="009D40A9" w:rsidRPr="002A5B4D" w:rsidTr="009D40A9">
        <w:tc>
          <w:tcPr>
            <w:tcW w:w="2776"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21 January 2026</w:t>
            </w:r>
          </w:p>
        </w:tc>
        <w:tc>
          <w:tcPr>
            <w:tcW w:w="2763"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28 January 2026</w:t>
            </w:r>
          </w:p>
        </w:tc>
        <w:tc>
          <w:tcPr>
            <w:tcW w:w="2764"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04 February 2026</w:t>
            </w:r>
          </w:p>
        </w:tc>
      </w:tr>
      <w:tr w:rsidR="009D40A9" w:rsidRPr="002A5B4D" w:rsidTr="009D40A9">
        <w:tc>
          <w:tcPr>
            <w:tcW w:w="2776"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18 February 2026</w:t>
            </w:r>
          </w:p>
        </w:tc>
        <w:tc>
          <w:tcPr>
            <w:tcW w:w="2763"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25 February 2026</w:t>
            </w:r>
          </w:p>
        </w:tc>
        <w:tc>
          <w:tcPr>
            <w:tcW w:w="2764" w:type="dxa"/>
            <w:tcBorders>
              <w:top w:val="single" w:sz="4" w:space="0" w:color="auto"/>
              <w:left w:val="single" w:sz="4" w:space="0" w:color="auto"/>
              <w:bottom w:val="single" w:sz="4" w:space="0" w:color="auto"/>
              <w:right w:val="single" w:sz="4" w:space="0" w:color="auto"/>
            </w:tcBorders>
            <w:hideMark/>
          </w:tcPr>
          <w:p w:rsidR="009D40A9" w:rsidRPr="002A5B4D" w:rsidRDefault="009D40A9" w:rsidP="009D40A9">
            <w:pPr>
              <w:jc w:val="center"/>
              <w:rPr>
                <w:rFonts w:cs="Arial"/>
                <w:sz w:val="20"/>
                <w:szCs w:val="20"/>
              </w:rPr>
            </w:pPr>
            <w:r w:rsidRPr="002A5B4D">
              <w:rPr>
                <w:rFonts w:cs="Arial"/>
                <w:sz w:val="20"/>
                <w:szCs w:val="20"/>
              </w:rPr>
              <w:t>04 March 2026</w:t>
            </w:r>
          </w:p>
        </w:tc>
      </w:tr>
    </w:tbl>
    <w:p w:rsidR="009D40A9" w:rsidRPr="002A5B4D" w:rsidRDefault="009D40A9" w:rsidP="00652D9A">
      <w:pPr>
        <w:rPr>
          <w:rFonts w:cs="Arial"/>
          <w:sz w:val="20"/>
          <w:szCs w:val="20"/>
        </w:rPr>
      </w:pPr>
    </w:p>
    <w:p w:rsidR="00457CBC" w:rsidRPr="002A5B4D" w:rsidRDefault="00457CBC" w:rsidP="00652D9A">
      <w:pPr>
        <w:rPr>
          <w:rFonts w:cs="Arial"/>
          <w:sz w:val="20"/>
          <w:szCs w:val="20"/>
        </w:rPr>
      </w:pPr>
    </w:p>
    <w:p w:rsidR="00652D9A" w:rsidRPr="002A5B4D" w:rsidRDefault="004C1740" w:rsidP="004C1740">
      <w:pPr>
        <w:jc w:val="center"/>
        <w:rPr>
          <w:rFonts w:cs="Arial"/>
          <w:color w:val="FF0000"/>
          <w:sz w:val="20"/>
          <w:szCs w:val="20"/>
          <w:u w:val="single"/>
        </w:rPr>
      </w:pPr>
      <w:r w:rsidRPr="002A5B4D">
        <w:rPr>
          <w:rFonts w:cs="Arial"/>
          <w:color w:val="FF0000"/>
          <w:sz w:val="20"/>
          <w:szCs w:val="20"/>
          <w:u w:val="single"/>
        </w:rPr>
        <w:t xml:space="preserve">There is no flexibility without the express permission of the Director </w:t>
      </w:r>
      <w:r w:rsidR="009C1304" w:rsidRPr="002A5B4D">
        <w:rPr>
          <w:rFonts w:cs="Arial"/>
          <w:color w:val="FF0000"/>
          <w:sz w:val="20"/>
          <w:szCs w:val="20"/>
          <w:u w:val="single"/>
        </w:rPr>
        <w:t xml:space="preserve">of </w:t>
      </w:r>
      <w:r w:rsidRPr="002A5B4D">
        <w:rPr>
          <w:rFonts w:cs="Arial"/>
          <w:color w:val="FF0000"/>
          <w:sz w:val="20"/>
          <w:szCs w:val="20"/>
          <w:u w:val="single"/>
        </w:rPr>
        <w:t xml:space="preserve">Finance </w:t>
      </w:r>
    </w:p>
    <w:p w:rsidR="00652D9A" w:rsidRPr="002A5B4D" w:rsidRDefault="00652D9A" w:rsidP="00652D9A">
      <w:pPr>
        <w:rPr>
          <w:rFonts w:cs="Arial"/>
          <w:sz w:val="20"/>
          <w:szCs w:val="20"/>
        </w:rPr>
      </w:pPr>
    </w:p>
    <w:sectPr w:rsidR="00652D9A" w:rsidRPr="002A5B4D" w:rsidSect="00652D9A">
      <w:pgSz w:w="11907" w:h="16840" w:code="9"/>
      <w:pgMar w:top="709" w:right="1797" w:bottom="1134" w:left="1797"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64705" w:rsidRDefault="00264705" w:rsidP="00276F08">
      <w:r>
        <w:separator/>
      </w:r>
    </w:p>
  </w:endnote>
  <w:endnote w:type="continuationSeparator" w:id="0">
    <w:p w:rsidR="00264705" w:rsidRDefault="00264705" w:rsidP="00276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LT Std 55 Roman">
    <w:altName w:val="Cambria"/>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86375941"/>
      <w:docPartObj>
        <w:docPartGallery w:val="Page Numbers (Bottom of Page)"/>
        <w:docPartUnique/>
      </w:docPartObj>
    </w:sdtPr>
    <w:sdtEndPr>
      <w:rPr>
        <w:noProof/>
      </w:rPr>
    </w:sdtEndPr>
    <w:sdtContent>
      <w:p w:rsidR="00080F6C" w:rsidRDefault="00080F6C" w:rsidP="0030068E">
        <w:pPr>
          <w:pStyle w:val="Footer"/>
          <w:jc w:val="center"/>
        </w:pPr>
        <w:r w:rsidRPr="007C52B3">
          <w:rPr>
            <w:noProof/>
          </w:rPr>
          <w:drawing>
            <wp:anchor distT="0" distB="0" distL="114300" distR="114300" simplePos="0" relativeHeight="251659264" behindDoc="1" locked="0" layoutInCell="1" allowOverlap="1" wp14:anchorId="3548E783" wp14:editId="4FE687FD">
              <wp:simplePos x="0" y="0"/>
              <wp:positionH relativeFrom="page">
                <wp:align>left</wp:align>
              </wp:positionH>
              <wp:positionV relativeFrom="paragraph">
                <wp:posOffset>9221</wp:posOffset>
              </wp:positionV>
              <wp:extent cx="7487285" cy="1052195"/>
              <wp:effectExtent l="0" t="0" r="0" b="0"/>
              <wp:wrapNone/>
              <wp:docPr id="2014492132" name="Picture 2014492132" descr="Swoosh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oosh welsh.JPG"/>
                      <pic:cNvPicPr/>
                    </pic:nvPicPr>
                    <pic:blipFill>
                      <a:blip r:embed="rId1"/>
                      <a:stretch>
                        <a:fillRect/>
                      </a:stretch>
                    </pic:blipFill>
                    <pic:spPr>
                      <a:xfrm>
                        <a:off x="0" y="0"/>
                        <a:ext cx="7487285" cy="1052195"/>
                      </a:xfrm>
                      <a:prstGeom prst="rect">
                        <a:avLst/>
                      </a:prstGeom>
                    </pic:spPr>
                  </pic:pic>
                </a:graphicData>
              </a:graphic>
              <wp14:sizeRelV relativeFrom="margin">
                <wp14:pctHeight>0</wp14:pctHeight>
              </wp14:sizeRelV>
            </wp:anchor>
          </w:drawing>
        </w:r>
      </w:p>
      <w:p w:rsidR="00080F6C" w:rsidRDefault="00080F6C" w:rsidP="0030068E">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rsidR="00080F6C" w:rsidRDefault="00264705">
        <w:pPr>
          <w:pStyle w:val="Footer"/>
        </w:pPr>
      </w:p>
    </w:sdtContent>
  </w:sdt>
  <w:p w:rsidR="00080F6C" w:rsidRDefault="00080F6C" w:rsidP="00F37801">
    <w:pPr>
      <w:pStyle w:val="Footer"/>
      <w:tabs>
        <w:tab w:val="clear" w:pos="4320"/>
        <w:tab w:val="clear" w:pos="8640"/>
        <w:tab w:val="left" w:pos="927"/>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64705" w:rsidRDefault="00264705" w:rsidP="00276F08">
      <w:r>
        <w:separator/>
      </w:r>
    </w:p>
  </w:footnote>
  <w:footnote w:type="continuationSeparator" w:id="0">
    <w:p w:rsidR="00264705" w:rsidRDefault="00264705" w:rsidP="00276F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124F0"/>
    <w:multiLevelType w:val="hybridMultilevel"/>
    <w:tmpl w:val="885256FE"/>
    <w:lvl w:ilvl="0" w:tplc="E2C412D6">
      <w:start w:val="1"/>
      <w:numFmt w:val="bullet"/>
      <w:lvlText w:val=""/>
      <w:lvlJc w:val="left"/>
      <w:pPr>
        <w:ind w:left="720" w:hanging="360"/>
      </w:pPr>
      <w:rPr>
        <w:rFonts w:ascii="Wingdings" w:hAnsi="Wingdings" w:hint="default"/>
        <w:color w:val="00B05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648E2"/>
    <w:multiLevelType w:val="hybridMultilevel"/>
    <w:tmpl w:val="B53A1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1F5396"/>
    <w:multiLevelType w:val="hybridMultilevel"/>
    <w:tmpl w:val="DA4660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807C71"/>
    <w:multiLevelType w:val="hybridMultilevel"/>
    <w:tmpl w:val="2B90B2D0"/>
    <w:lvl w:ilvl="0" w:tplc="AA4EF9C8">
      <w:start w:val="1"/>
      <w:numFmt w:val="bullet"/>
      <w:pStyle w:val="Bullet1"/>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861098"/>
    <w:multiLevelType w:val="hybridMultilevel"/>
    <w:tmpl w:val="7534C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CC040C"/>
    <w:multiLevelType w:val="hybridMultilevel"/>
    <w:tmpl w:val="C3C027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BF0F1A"/>
    <w:multiLevelType w:val="hybridMultilevel"/>
    <w:tmpl w:val="04CC59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6F3AA6"/>
    <w:multiLevelType w:val="hybridMultilevel"/>
    <w:tmpl w:val="4F8C0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17611F"/>
    <w:multiLevelType w:val="hybridMultilevel"/>
    <w:tmpl w:val="392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B5718A"/>
    <w:multiLevelType w:val="hybridMultilevel"/>
    <w:tmpl w:val="2B5A6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E905D5"/>
    <w:multiLevelType w:val="hybridMultilevel"/>
    <w:tmpl w:val="F00ECC34"/>
    <w:lvl w:ilvl="0" w:tplc="CF0234D0">
      <w:start w:val="1"/>
      <w:numFmt w:val="bullet"/>
      <w:lvlText w:val=""/>
      <w:lvlJc w:val="left"/>
      <w:pPr>
        <w:ind w:left="720" w:hanging="360"/>
      </w:pPr>
      <w:rPr>
        <w:rFonts w:ascii="Symbol" w:hAnsi="Symbol" w:hint="default"/>
        <w:color w:val="2F598B"/>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49170C"/>
    <w:multiLevelType w:val="hybridMultilevel"/>
    <w:tmpl w:val="9D6A6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2E5F11"/>
    <w:multiLevelType w:val="hybridMultilevel"/>
    <w:tmpl w:val="CB5AFA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5F4D58"/>
    <w:multiLevelType w:val="hybridMultilevel"/>
    <w:tmpl w:val="FB8821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84D4B5A"/>
    <w:multiLevelType w:val="hybridMultilevel"/>
    <w:tmpl w:val="0E728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D70D6E"/>
    <w:multiLevelType w:val="hybridMultilevel"/>
    <w:tmpl w:val="B8C4A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20721D"/>
    <w:multiLevelType w:val="hybridMultilevel"/>
    <w:tmpl w:val="1EFC3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901262"/>
    <w:multiLevelType w:val="hybridMultilevel"/>
    <w:tmpl w:val="6C2C5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730EDB"/>
    <w:multiLevelType w:val="hybridMultilevel"/>
    <w:tmpl w:val="42AC278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9" w15:restartNumberingAfterBreak="0">
    <w:nsid w:val="39BF0234"/>
    <w:multiLevelType w:val="multilevel"/>
    <w:tmpl w:val="36AA77FA"/>
    <w:lvl w:ilvl="0">
      <w:start w:val="1"/>
      <w:numFmt w:val="decimal"/>
      <w:lvlText w:val="%1.0"/>
      <w:lvlJc w:val="left"/>
      <w:pPr>
        <w:ind w:left="1134" w:hanging="1134"/>
      </w:pPr>
    </w:lvl>
    <w:lvl w:ilvl="1">
      <w:start w:val="1"/>
      <w:numFmt w:val="decimal"/>
      <w:lvlText w:val="%1.%2"/>
      <w:lvlJc w:val="left"/>
      <w:pPr>
        <w:ind w:left="5671" w:hanging="1134"/>
      </w:pPr>
    </w:lvl>
    <w:lvl w:ilvl="2">
      <w:start w:val="1"/>
      <w:numFmt w:val="decimal"/>
      <w:pStyle w:val="NumberedHeading3"/>
      <w:lvlText w:val="%1.%2.%3"/>
      <w:lvlJc w:val="left"/>
      <w:pPr>
        <w:ind w:left="1844" w:hanging="1134"/>
      </w:pPr>
    </w:lvl>
    <w:lvl w:ilvl="3">
      <w:start w:val="1"/>
      <w:numFmt w:val="decimal"/>
      <w:lvlText w:val="%1.%2.%3.%4"/>
      <w:lvlJc w:val="left"/>
      <w:pPr>
        <w:ind w:left="1134" w:hanging="1134"/>
      </w:pPr>
    </w:lvl>
    <w:lvl w:ilvl="4">
      <w:start w:val="1"/>
      <w:numFmt w:val="lowerLetter"/>
      <w:lvlText w:val="%5."/>
      <w:lvlJc w:val="left"/>
      <w:pPr>
        <w:ind w:left="1134" w:hanging="1134"/>
      </w:pPr>
    </w:lvl>
    <w:lvl w:ilvl="5">
      <w:start w:val="1"/>
      <w:numFmt w:val="lowerRoman"/>
      <w:lvlText w:val="%6."/>
      <w:lvlJc w:val="right"/>
      <w:pPr>
        <w:ind w:left="1134" w:hanging="1134"/>
      </w:pPr>
    </w:lvl>
    <w:lvl w:ilvl="6">
      <w:start w:val="1"/>
      <w:numFmt w:val="decimal"/>
      <w:lvlText w:val="%7."/>
      <w:lvlJc w:val="left"/>
      <w:pPr>
        <w:ind w:left="1134" w:hanging="1134"/>
      </w:pPr>
    </w:lvl>
    <w:lvl w:ilvl="7">
      <w:start w:val="1"/>
      <w:numFmt w:val="lowerLetter"/>
      <w:lvlText w:val="%8."/>
      <w:lvlJc w:val="left"/>
      <w:pPr>
        <w:ind w:left="1134" w:hanging="1134"/>
      </w:pPr>
    </w:lvl>
    <w:lvl w:ilvl="8">
      <w:start w:val="1"/>
      <w:numFmt w:val="lowerRoman"/>
      <w:lvlText w:val="%9."/>
      <w:lvlJc w:val="right"/>
      <w:pPr>
        <w:ind w:left="1134" w:hanging="1134"/>
      </w:pPr>
    </w:lvl>
  </w:abstractNum>
  <w:abstractNum w:abstractNumId="20" w15:restartNumberingAfterBreak="0">
    <w:nsid w:val="414A6C62"/>
    <w:multiLevelType w:val="hybridMultilevel"/>
    <w:tmpl w:val="79EA8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348619A"/>
    <w:multiLevelType w:val="hybridMultilevel"/>
    <w:tmpl w:val="2A206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914FBB"/>
    <w:multiLevelType w:val="hybridMultilevel"/>
    <w:tmpl w:val="A274C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FA4A1F"/>
    <w:multiLevelType w:val="hybridMultilevel"/>
    <w:tmpl w:val="9F145B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EF3704"/>
    <w:multiLevelType w:val="hybridMultilevel"/>
    <w:tmpl w:val="3C3AF6D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15F6F09"/>
    <w:multiLevelType w:val="hybridMultilevel"/>
    <w:tmpl w:val="2B84A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2A706E"/>
    <w:multiLevelType w:val="hybridMultilevel"/>
    <w:tmpl w:val="FCEA5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50C3C9F"/>
    <w:multiLevelType w:val="hybridMultilevel"/>
    <w:tmpl w:val="66625D5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7A4907"/>
    <w:multiLevelType w:val="hybridMultilevel"/>
    <w:tmpl w:val="9E021CE2"/>
    <w:lvl w:ilvl="0" w:tplc="926CC24C">
      <w:start w:val="1"/>
      <w:numFmt w:val="bullet"/>
      <w:lvlText w:val="§"/>
      <w:lvlJc w:val="left"/>
      <w:pPr>
        <w:ind w:left="717" w:hanging="360"/>
      </w:pPr>
      <w:rPr>
        <w:rFonts w:ascii="Wingdings" w:hAnsi="Wingdings" w:hint="default"/>
        <w:color w:val="2F598B"/>
        <w:sz w:val="28"/>
      </w:rPr>
    </w:lvl>
    <w:lvl w:ilvl="1" w:tplc="2FCE563C">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67295FB3"/>
    <w:multiLevelType w:val="hybridMultilevel"/>
    <w:tmpl w:val="5B98530A"/>
    <w:lvl w:ilvl="0" w:tplc="1A22FBA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D9A7179"/>
    <w:multiLevelType w:val="hybridMultilevel"/>
    <w:tmpl w:val="E3921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3F36F8"/>
    <w:multiLevelType w:val="hybridMultilevel"/>
    <w:tmpl w:val="2CA8A564"/>
    <w:lvl w:ilvl="0" w:tplc="CA0CC698">
      <w:start w:val="1"/>
      <w:numFmt w:val="bullet"/>
      <w:pStyle w:val="Tabletextbullets"/>
      <w:lvlText w:val="§"/>
      <w:lvlJc w:val="left"/>
      <w:pPr>
        <w:ind w:left="720" w:hanging="360"/>
      </w:pPr>
      <w:rPr>
        <w:rFonts w:ascii="Wingdings" w:hAnsi="Wingdings" w:hint="default"/>
        <w:color w:val="2F598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9520340"/>
    <w:multiLevelType w:val="hybridMultilevel"/>
    <w:tmpl w:val="9E42C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FD03D6"/>
    <w:multiLevelType w:val="multilevel"/>
    <w:tmpl w:val="C388E3E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460880378">
    <w:abstractNumId w:val="13"/>
  </w:num>
  <w:num w:numId="2" w16cid:durableId="819886856">
    <w:abstractNumId w:val="24"/>
  </w:num>
  <w:num w:numId="3" w16cid:durableId="1436287835">
    <w:abstractNumId w:val="33"/>
  </w:num>
  <w:num w:numId="4" w16cid:durableId="1347949630">
    <w:abstractNumId w:val="15"/>
  </w:num>
  <w:num w:numId="5" w16cid:durableId="396978113">
    <w:abstractNumId w:val="27"/>
  </w:num>
  <w:num w:numId="6" w16cid:durableId="716667549">
    <w:abstractNumId w:val="0"/>
  </w:num>
  <w:num w:numId="7" w16cid:durableId="1736197925">
    <w:abstractNumId w:val="26"/>
  </w:num>
  <w:num w:numId="8" w16cid:durableId="673990455">
    <w:abstractNumId w:val="25"/>
  </w:num>
  <w:num w:numId="9" w16cid:durableId="2002654306">
    <w:abstractNumId w:val="6"/>
  </w:num>
  <w:num w:numId="10" w16cid:durableId="455098549">
    <w:abstractNumId w:val="17"/>
  </w:num>
  <w:num w:numId="11" w16cid:durableId="2006855674">
    <w:abstractNumId w:val="20"/>
  </w:num>
  <w:num w:numId="12" w16cid:durableId="646710310">
    <w:abstractNumId w:val="23"/>
  </w:num>
  <w:num w:numId="13" w16cid:durableId="1272710631">
    <w:abstractNumId w:val="8"/>
  </w:num>
  <w:num w:numId="14" w16cid:durableId="308831350">
    <w:abstractNumId w:val="9"/>
  </w:num>
  <w:num w:numId="15" w16cid:durableId="710573978">
    <w:abstractNumId w:val="7"/>
  </w:num>
  <w:num w:numId="16" w16cid:durableId="1930775241">
    <w:abstractNumId w:val="16"/>
  </w:num>
  <w:num w:numId="17" w16cid:durableId="1948924668">
    <w:abstractNumId w:val="30"/>
  </w:num>
  <w:num w:numId="18" w16cid:durableId="1247304240">
    <w:abstractNumId w:val="28"/>
  </w:num>
  <w:num w:numId="19" w16cid:durableId="962930692">
    <w:abstractNumId w:val="12"/>
  </w:num>
  <w:num w:numId="20" w16cid:durableId="143983367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87023602">
    <w:abstractNumId w:val="31"/>
  </w:num>
  <w:num w:numId="22" w16cid:durableId="1662081845">
    <w:abstractNumId w:val="4"/>
  </w:num>
  <w:num w:numId="23" w16cid:durableId="631786385">
    <w:abstractNumId w:val="21"/>
  </w:num>
  <w:num w:numId="24" w16cid:durableId="1248030475">
    <w:abstractNumId w:val="3"/>
  </w:num>
  <w:num w:numId="25" w16cid:durableId="1577666145">
    <w:abstractNumId w:val="22"/>
  </w:num>
  <w:num w:numId="26" w16cid:durableId="1438983666">
    <w:abstractNumId w:val="2"/>
  </w:num>
  <w:num w:numId="27" w16cid:durableId="1506244206">
    <w:abstractNumId w:val="5"/>
  </w:num>
  <w:num w:numId="28" w16cid:durableId="53898409">
    <w:abstractNumId w:val="1"/>
  </w:num>
  <w:num w:numId="29" w16cid:durableId="1742559607">
    <w:abstractNumId w:val="14"/>
  </w:num>
  <w:num w:numId="30" w16cid:durableId="1030909720">
    <w:abstractNumId w:val="11"/>
  </w:num>
  <w:num w:numId="31" w16cid:durableId="2009670879">
    <w:abstractNumId w:val="31"/>
    <w:lvlOverride w:ilvl="0">
      <w:startOverride w:val="1"/>
    </w:lvlOverride>
  </w:num>
  <w:num w:numId="32" w16cid:durableId="140781370">
    <w:abstractNumId w:val="29"/>
  </w:num>
  <w:num w:numId="33" w16cid:durableId="77482737">
    <w:abstractNumId w:val="18"/>
  </w:num>
  <w:num w:numId="34" w16cid:durableId="561407510">
    <w:abstractNumId w:val="32"/>
  </w:num>
  <w:num w:numId="35" w16cid:durableId="1877963734">
    <w:abstractNumId w:val="28"/>
  </w:num>
  <w:num w:numId="36" w16cid:durableId="12098810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20608047">
    <w:abstractNumId w:val="28"/>
  </w:num>
  <w:num w:numId="38" w16cid:durableId="1693458964">
    <w:abstractNumId w:val="1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3F27"/>
    <w:rsid w:val="0000421F"/>
    <w:rsid w:val="00016018"/>
    <w:rsid w:val="0002212C"/>
    <w:rsid w:val="00022601"/>
    <w:rsid w:val="00023C5A"/>
    <w:rsid w:val="000247F5"/>
    <w:rsid w:val="00030283"/>
    <w:rsid w:val="000327CF"/>
    <w:rsid w:val="0003603E"/>
    <w:rsid w:val="000406C6"/>
    <w:rsid w:val="0004073B"/>
    <w:rsid w:val="00045191"/>
    <w:rsid w:val="0005308B"/>
    <w:rsid w:val="00055C10"/>
    <w:rsid w:val="00056748"/>
    <w:rsid w:val="00060D37"/>
    <w:rsid w:val="000615EB"/>
    <w:rsid w:val="00065E53"/>
    <w:rsid w:val="000727B6"/>
    <w:rsid w:val="00080F6C"/>
    <w:rsid w:val="00091629"/>
    <w:rsid w:val="000A181D"/>
    <w:rsid w:val="000A2182"/>
    <w:rsid w:val="000A5B99"/>
    <w:rsid w:val="000D0FAD"/>
    <w:rsid w:val="000D2B2F"/>
    <w:rsid w:val="000D4C75"/>
    <w:rsid w:val="000E2456"/>
    <w:rsid w:val="000E2DA0"/>
    <w:rsid w:val="000E46BE"/>
    <w:rsid w:val="000E544B"/>
    <w:rsid w:val="000F08E7"/>
    <w:rsid w:val="000F0C2B"/>
    <w:rsid w:val="000F48F6"/>
    <w:rsid w:val="001023B2"/>
    <w:rsid w:val="00113F78"/>
    <w:rsid w:val="00114254"/>
    <w:rsid w:val="00117FDE"/>
    <w:rsid w:val="001207C1"/>
    <w:rsid w:val="001220FD"/>
    <w:rsid w:val="00127766"/>
    <w:rsid w:val="001320F9"/>
    <w:rsid w:val="0015334C"/>
    <w:rsid w:val="00156E0F"/>
    <w:rsid w:val="00161E10"/>
    <w:rsid w:val="001650DD"/>
    <w:rsid w:val="001735E5"/>
    <w:rsid w:val="0018469B"/>
    <w:rsid w:val="00185D0A"/>
    <w:rsid w:val="001936A4"/>
    <w:rsid w:val="001A097B"/>
    <w:rsid w:val="001A20C0"/>
    <w:rsid w:val="001A6123"/>
    <w:rsid w:val="001B7BD3"/>
    <w:rsid w:val="001D5BD8"/>
    <w:rsid w:val="001E2014"/>
    <w:rsid w:val="001F2B00"/>
    <w:rsid w:val="00207522"/>
    <w:rsid w:val="002079E0"/>
    <w:rsid w:val="002272EB"/>
    <w:rsid w:val="00245043"/>
    <w:rsid w:val="00247740"/>
    <w:rsid w:val="00256685"/>
    <w:rsid w:val="002630ED"/>
    <w:rsid w:val="00264705"/>
    <w:rsid w:val="002673D4"/>
    <w:rsid w:val="00273F13"/>
    <w:rsid w:val="00276F08"/>
    <w:rsid w:val="00277C63"/>
    <w:rsid w:val="00277F82"/>
    <w:rsid w:val="0028187E"/>
    <w:rsid w:val="00283661"/>
    <w:rsid w:val="00290F1A"/>
    <w:rsid w:val="002970A6"/>
    <w:rsid w:val="002A1BE2"/>
    <w:rsid w:val="002A4724"/>
    <w:rsid w:val="002A5077"/>
    <w:rsid w:val="002A5B4D"/>
    <w:rsid w:val="002A5CC3"/>
    <w:rsid w:val="002B5A0F"/>
    <w:rsid w:val="002C1C82"/>
    <w:rsid w:val="002C2C2F"/>
    <w:rsid w:val="002C3A0A"/>
    <w:rsid w:val="002F461D"/>
    <w:rsid w:val="002F48F3"/>
    <w:rsid w:val="0030068E"/>
    <w:rsid w:val="003079FB"/>
    <w:rsid w:val="00325544"/>
    <w:rsid w:val="00327F63"/>
    <w:rsid w:val="0033731C"/>
    <w:rsid w:val="0034372F"/>
    <w:rsid w:val="00345350"/>
    <w:rsid w:val="003510E2"/>
    <w:rsid w:val="00351E3B"/>
    <w:rsid w:val="00354175"/>
    <w:rsid w:val="003638AE"/>
    <w:rsid w:val="003712A7"/>
    <w:rsid w:val="00381806"/>
    <w:rsid w:val="00382F2F"/>
    <w:rsid w:val="0038672A"/>
    <w:rsid w:val="003A08CF"/>
    <w:rsid w:val="003A0C64"/>
    <w:rsid w:val="003A1147"/>
    <w:rsid w:val="003A14DB"/>
    <w:rsid w:val="003A4891"/>
    <w:rsid w:val="003B448B"/>
    <w:rsid w:val="003C0B7B"/>
    <w:rsid w:val="003C1954"/>
    <w:rsid w:val="003C1C6E"/>
    <w:rsid w:val="003D03E0"/>
    <w:rsid w:val="003D1247"/>
    <w:rsid w:val="003D19A6"/>
    <w:rsid w:val="003D4A59"/>
    <w:rsid w:val="003D5FF9"/>
    <w:rsid w:val="003D78E4"/>
    <w:rsid w:val="003E309B"/>
    <w:rsid w:val="003E453F"/>
    <w:rsid w:val="003F1035"/>
    <w:rsid w:val="00400554"/>
    <w:rsid w:val="004019E4"/>
    <w:rsid w:val="00417ACB"/>
    <w:rsid w:val="004210F8"/>
    <w:rsid w:val="00424E5B"/>
    <w:rsid w:val="00425564"/>
    <w:rsid w:val="004260EE"/>
    <w:rsid w:val="00427718"/>
    <w:rsid w:val="00436155"/>
    <w:rsid w:val="004424CA"/>
    <w:rsid w:val="00442807"/>
    <w:rsid w:val="00444195"/>
    <w:rsid w:val="00445682"/>
    <w:rsid w:val="00446641"/>
    <w:rsid w:val="00451386"/>
    <w:rsid w:val="00457CBC"/>
    <w:rsid w:val="00462407"/>
    <w:rsid w:val="00472958"/>
    <w:rsid w:val="00474D03"/>
    <w:rsid w:val="00476E3C"/>
    <w:rsid w:val="004843E1"/>
    <w:rsid w:val="00492332"/>
    <w:rsid w:val="004A0DA0"/>
    <w:rsid w:val="004A458B"/>
    <w:rsid w:val="004B60D3"/>
    <w:rsid w:val="004B64AF"/>
    <w:rsid w:val="004C1740"/>
    <w:rsid w:val="004C22AB"/>
    <w:rsid w:val="004C7147"/>
    <w:rsid w:val="004D1B7C"/>
    <w:rsid w:val="004E2A68"/>
    <w:rsid w:val="004E31AB"/>
    <w:rsid w:val="004E77B7"/>
    <w:rsid w:val="004F1C4C"/>
    <w:rsid w:val="004F78C7"/>
    <w:rsid w:val="005072E4"/>
    <w:rsid w:val="0051293C"/>
    <w:rsid w:val="005154BB"/>
    <w:rsid w:val="0052180A"/>
    <w:rsid w:val="0053027F"/>
    <w:rsid w:val="00545BA6"/>
    <w:rsid w:val="00550D76"/>
    <w:rsid w:val="00555B4F"/>
    <w:rsid w:val="00556870"/>
    <w:rsid w:val="005569E5"/>
    <w:rsid w:val="00561482"/>
    <w:rsid w:val="00563C5E"/>
    <w:rsid w:val="00573649"/>
    <w:rsid w:val="005751CA"/>
    <w:rsid w:val="00576E4C"/>
    <w:rsid w:val="00586C6E"/>
    <w:rsid w:val="005872F9"/>
    <w:rsid w:val="00587AC7"/>
    <w:rsid w:val="005A01D1"/>
    <w:rsid w:val="005A404E"/>
    <w:rsid w:val="005A4A45"/>
    <w:rsid w:val="005A5F22"/>
    <w:rsid w:val="005B14A0"/>
    <w:rsid w:val="005B29B6"/>
    <w:rsid w:val="005C3B9C"/>
    <w:rsid w:val="005C3EAF"/>
    <w:rsid w:val="005C50F5"/>
    <w:rsid w:val="005C7E5F"/>
    <w:rsid w:val="005D0E1D"/>
    <w:rsid w:val="005E5515"/>
    <w:rsid w:val="005E602B"/>
    <w:rsid w:val="005F1FB9"/>
    <w:rsid w:val="005F3EC9"/>
    <w:rsid w:val="005F6435"/>
    <w:rsid w:val="005F7185"/>
    <w:rsid w:val="0060023C"/>
    <w:rsid w:val="00601580"/>
    <w:rsid w:val="00602C2B"/>
    <w:rsid w:val="00602E84"/>
    <w:rsid w:val="00602EA9"/>
    <w:rsid w:val="00605ED6"/>
    <w:rsid w:val="00613EBB"/>
    <w:rsid w:val="00620609"/>
    <w:rsid w:val="006256D6"/>
    <w:rsid w:val="0063075D"/>
    <w:rsid w:val="0063527E"/>
    <w:rsid w:val="006470C1"/>
    <w:rsid w:val="00652D9A"/>
    <w:rsid w:val="00661D9C"/>
    <w:rsid w:val="00666F5D"/>
    <w:rsid w:val="006751CB"/>
    <w:rsid w:val="006760C4"/>
    <w:rsid w:val="006812CC"/>
    <w:rsid w:val="0068338B"/>
    <w:rsid w:val="00683C9C"/>
    <w:rsid w:val="0068584E"/>
    <w:rsid w:val="00690557"/>
    <w:rsid w:val="0069676A"/>
    <w:rsid w:val="006A5246"/>
    <w:rsid w:val="006C0AAE"/>
    <w:rsid w:val="006D1173"/>
    <w:rsid w:val="006D6BE7"/>
    <w:rsid w:val="006E32E5"/>
    <w:rsid w:val="0070194E"/>
    <w:rsid w:val="00702CDF"/>
    <w:rsid w:val="007051E5"/>
    <w:rsid w:val="00725037"/>
    <w:rsid w:val="007262E8"/>
    <w:rsid w:val="007302F5"/>
    <w:rsid w:val="0073250C"/>
    <w:rsid w:val="00733967"/>
    <w:rsid w:val="007427A5"/>
    <w:rsid w:val="00745A41"/>
    <w:rsid w:val="00746D7F"/>
    <w:rsid w:val="007525C5"/>
    <w:rsid w:val="0075393F"/>
    <w:rsid w:val="007608BD"/>
    <w:rsid w:val="00777D07"/>
    <w:rsid w:val="00783CD4"/>
    <w:rsid w:val="0078574F"/>
    <w:rsid w:val="00792BEA"/>
    <w:rsid w:val="007A3D36"/>
    <w:rsid w:val="007C056A"/>
    <w:rsid w:val="007C44FC"/>
    <w:rsid w:val="007C52B3"/>
    <w:rsid w:val="007D66E2"/>
    <w:rsid w:val="007D6C90"/>
    <w:rsid w:val="007E042F"/>
    <w:rsid w:val="007E10C1"/>
    <w:rsid w:val="007E1BA5"/>
    <w:rsid w:val="007E4346"/>
    <w:rsid w:val="007E571A"/>
    <w:rsid w:val="007E7CB5"/>
    <w:rsid w:val="007F0BFD"/>
    <w:rsid w:val="007F26AD"/>
    <w:rsid w:val="007F73EA"/>
    <w:rsid w:val="00804618"/>
    <w:rsid w:val="008048AA"/>
    <w:rsid w:val="00816014"/>
    <w:rsid w:val="008418C4"/>
    <w:rsid w:val="008444BD"/>
    <w:rsid w:val="008446C1"/>
    <w:rsid w:val="00844CAB"/>
    <w:rsid w:val="008465D9"/>
    <w:rsid w:val="00846915"/>
    <w:rsid w:val="00851C61"/>
    <w:rsid w:val="00860AB5"/>
    <w:rsid w:val="0087230E"/>
    <w:rsid w:val="00875839"/>
    <w:rsid w:val="0088418A"/>
    <w:rsid w:val="008877E4"/>
    <w:rsid w:val="00895D9C"/>
    <w:rsid w:val="00897DA5"/>
    <w:rsid w:val="008A077D"/>
    <w:rsid w:val="008A4AE9"/>
    <w:rsid w:val="008C0AF2"/>
    <w:rsid w:val="008C2803"/>
    <w:rsid w:val="008D03CB"/>
    <w:rsid w:val="008E0C89"/>
    <w:rsid w:val="008E34A1"/>
    <w:rsid w:val="008F3BEE"/>
    <w:rsid w:val="008F6982"/>
    <w:rsid w:val="009013E1"/>
    <w:rsid w:val="0090319E"/>
    <w:rsid w:val="00920BD1"/>
    <w:rsid w:val="009212A5"/>
    <w:rsid w:val="009218F7"/>
    <w:rsid w:val="00922E29"/>
    <w:rsid w:val="00935AF5"/>
    <w:rsid w:val="00940E36"/>
    <w:rsid w:val="00941BC7"/>
    <w:rsid w:val="00947053"/>
    <w:rsid w:val="00956F8E"/>
    <w:rsid w:val="0096056B"/>
    <w:rsid w:val="009612F4"/>
    <w:rsid w:val="009643B4"/>
    <w:rsid w:val="009776D6"/>
    <w:rsid w:val="00983386"/>
    <w:rsid w:val="00983EA2"/>
    <w:rsid w:val="009A441F"/>
    <w:rsid w:val="009A7D69"/>
    <w:rsid w:val="009B7F1C"/>
    <w:rsid w:val="009C1304"/>
    <w:rsid w:val="009C4EBB"/>
    <w:rsid w:val="009D017A"/>
    <w:rsid w:val="009D40A9"/>
    <w:rsid w:val="009D6876"/>
    <w:rsid w:val="009E3F27"/>
    <w:rsid w:val="009F2C44"/>
    <w:rsid w:val="00A0369D"/>
    <w:rsid w:val="00A1470F"/>
    <w:rsid w:val="00A2359A"/>
    <w:rsid w:val="00A23BD5"/>
    <w:rsid w:val="00A30C3C"/>
    <w:rsid w:val="00A40024"/>
    <w:rsid w:val="00A41E5B"/>
    <w:rsid w:val="00A4314B"/>
    <w:rsid w:val="00A45A49"/>
    <w:rsid w:val="00A510A1"/>
    <w:rsid w:val="00A569E4"/>
    <w:rsid w:val="00A64D23"/>
    <w:rsid w:val="00A667B1"/>
    <w:rsid w:val="00A6714C"/>
    <w:rsid w:val="00A70E2D"/>
    <w:rsid w:val="00A71727"/>
    <w:rsid w:val="00A819E8"/>
    <w:rsid w:val="00A82125"/>
    <w:rsid w:val="00A83D94"/>
    <w:rsid w:val="00A86CC6"/>
    <w:rsid w:val="00A86EBB"/>
    <w:rsid w:val="00A90046"/>
    <w:rsid w:val="00A94FFB"/>
    <w:rsid w:val="00A95880"/>
    <w:rsid w:val="00A97987"/>
    <w:rsid w:val="00AA1D91"/>
    <w:rsid w:val="00AA2315"/>
    <w:rsid w:val="00AA3086"/>
    <w:rsid w:val="00AA48F2"/>
    <w:rsid w:val="00AB4B87"/>
    <w:rsid w:val="00AB695E"/>
    <w:rsid w:val="00AC0524"/>
    <w:rsid w:val="00AC2496"/>
    <w:rsid w:val="00AC37BA"/>
    <w:rsid w:val="00AC5679"/>
    <w:rsid w:val="00AC72D9"/>
    <w:rsid w:val="00AD10A9"/>
    <w:rsid w:val="00AD4FD0"/>
    <w:rsid w:val="00AE4AB1"/>
    <w:rsid w:val="00AE4B88"/>
    <w:rsid w:val="00AF29F7"/>
    <w:rsid w:val="00AF4C5D"/>
    <w:rsid w:val="00B07D17"/>
    <w:rsid w:val="00B16A05"/>
    <w:rsid w:val="00B25FEC"/>
    <w:rsid w:val="00B2745E"/>
    <w:rsid w:val="00B3039A"/>
    <w:rsid w:val="00B34478"/>
    <w:rsid w:val="00B40F45"/>
    <w:rsid w:val="00B44964"/>
    <w:rsid w:val="00B51682"/>
    <w:rsid w:val="00B5261F"/>
    <w:rsid w:val="00B555B3"/>
    <w:rsid w:val="00B65AFA"/>
    <w:rsid w:val="00B76A0B"/>
    <w:rsid w:val="00B80A2E"/>
    <w:rsid w:val="00B87C87"/>
    <w:rsid w:val="00B87F1C"/>
    <w:rsid w:val="00B924BB"/>
    <w:rsid w:val="00B93B73"/>
    <w:rsid w:val="00BA2CB6"/>
    <w:rsid w:val="00BB1A67"/>
    <w:rsid w:val="00BB1FDD"/>
    <w:rsid w:val="00BB4AD3"/>
    <w:rsid w:val="00BC1285"/>
    <w:rsid w:val="00BD2BD6"/>
    <w:rsid w:val="00BE2B77"/>
    <w:rsid w:val="00BE45C4"/>
    <w:rsid w:val="00C13590"/>
    <w:rsid w:val="00C15690"/>
    <w:rsid w:val="00C2396A"/>
    <w:rsid w:val="00C26D0D"/>
    <w:rsid w:val="00C27EBF"/>
    <w:rsid w:val="00C32249"/>
    <w:rsid w:val="00C33625"/>
    <w:rsid w:val="00C40CF9"/>
    <w:rsid w:val="00C46A0F"/>
    <w:rsid w:val="00C5584F"/>
    <w:rsid w:val="00C74895"/>
    <w:rsid w:val="00C7724E"/>
    <w:rsid w:val="00C81DE3"/>
    <w:rsid w:val="00CB01C0"/>
    <w:rsid w:val="00CB0C95"/>
    <w:rsid w:val="00CB3E6A"/>
    <w:rsid w:val="00CC22BB"/>
    <w:rsid w:val="00CD42BC"/>
    <w:rsid w:val="00CD5800"/>
    <w:rsid w:val="00CE00A1"/>
    <w:rsid w:val="00CE36D3"/>
    <w:rsid w:val="00CF1807"/>
    <w:rsid w:val="00CF5460"/>
    <w:rsid w:val="00D04378"/>
    <w:rsid w:val="00D17720"/>
    <w:rsid w:val="00D216D1"/>
    <w:rsid w:val="00D2377E"/>
    <w:rsid w:val="00D36F15"/>
    <w:rsid w:val="00D40AB7"/>
    <w:rsid w:val="00D4411E"/>
    <w:rsid w:val="00D673D8"/>
    <w:rsid w:val="00D710C3"/>
    <w:rsid w:val="00D74BE6"/>
    <w:rsid w:val="00D77B22"/>
    <w:rsid w:val="00D80002"/>
    <w:rsid w:val="00D8306B"/>
    <w:rsid w:val="00D8398E"/>
    <w:rsid w:val="00D94A24"/>
    <w:rsid w:val="00D950B8"/>
    <w:rsid w:val="00DA55A3"/>
    <w:rsid w:val="00DC5E0D"/>
    <w:rsid w:val="00DD2B1B"/>
    <w:rsid w:val="00DE3ABF"/>
    <w:rsid w:val="00DE7337"/>
    <w:rsid w:val="00DF1E88"/>
    <w:rsid w:val="00DF2B0D"/>
    <w:rsid w:val="00DF58D1"/>
    <w:rsid w:val="00E05941"/>
    <w:rsid w:val="00E05DD9"/>
    <w:rsid w:val="00E22543"/>
    <w:rsid w:val="00E262C7"/>
    <w:rsid w:val="00E37BD1"/>
    <w:rsid w:val="00E5029B"/>
    <w:rsid w:val="00E53B4C"/>
    <w:rsid w:val="00E55254"/>
    <w:rsid w:val="00E557DE"/>
    <w:rsid w:val="00E56007"/>
    <w:rsid w:val="00E56F1E"/>
    <w:rsid w:val="00E65D15"/>
    <w:rsid w:val="00E71330"/>
    <w:rsid w:val="00E74B42"/>
    <w:rsid w:val="00EA613D"/>
    <w:rsid w:val="00EB0FC9"/>
    <w:rsid w:val="00EB16D2"/>
    <w:rsid w:val="00EB4AC2"/>
    <w:rsid w:val="00ED12FE"/>
    <w:rsid w:val="00ED2F30"/>
    <w:rsid w:val="00ED7209"/>
    <w:rsid w:val="00ED7B41"/>
    <w:rsid w:val="00EE1DDF"/>
    <w:rsid w:val="00EE4143"/>
    <w:rsid w:val="00EE4F58"/>
    <w:rsid w:val="00EE50BE"/>
    <w:rsid w:val="00EE7435"/>
    <w:rsid w:val="00EF5F98"/>
    <w:rsid w:val="00F03240"/>
    <w:rsid w:val="00F04FBD"/>
    <w:rsid w:val="00F05AA8"/>
    <w:rsid w:val="00F11BF9"/>
    <w:rsid w:val="00F154C6"/>
    <w:rsid w:val="00F16556"/>
    <w:rsid w:val="00F21B2D"/>
    <w:rsid w:val="00F254EF"/>
    <w:rsid w:val="00F32228"/>
    <w:rsid w:val="00F32F41"/>
    <w:rsid w:val="00F36015"/>
    <w:rsid w:val="00F36C96"/>
    <w:rsid w:val="00F37801"/>
    <w:rsid w:val="00F4221B"/>
    <w:rsid w:val="00F45B85"/>
    <w:rsid w:val="00F46485"/>
    <w:rsid w:val="00F53A0D"/>
    <w:rsid w:val="00F57E46"/>
    <w:rsid w:val="00F6243B"/>
    <w:rsid w:val="00F62BE0"/>
    <w:rsid w:val="00F65EA5"/>
    <w:rsid w:val="00F72858"/>
    <w:rsid w:val="00F80D6A"/>
    <w:rsid w:val="00F83420"/>
    <w:rsid w:val="00F85F35"/>
    <w:rsid w:val="00F93C60"/>
    <w:rsid w:val="00FA663C"/>
    <w:rsid w:val="00FB04AE"/>
    <w:rsid w:val="00FB34D8"/>
    <w:rsid w:val="00FB3D0C"/>
    <w:rsid w:val="00FB6ACD"/>
    <w:rsid w:val="00FB78D0"/>
    <w:rsid w:val="00FC31A6"/>
    <w:rsid w:val="00FD382A"/>
    <w:rsid w:val="00FD472A"/>
    <w:rsid w:val="00FE600B"/>
    <w:rsid w:val="00FE601E"/>
    <w:rsid w:val="00FF0329"/>
    <w:rsid w:val="00FF7EA7"/>
    <w:rsid w:val="01D48754"/>
    <w:rsid w:val="03298290"/>
    <w:rsid w:val="0422ADB2"/>
    <w:rsid w:val="0C9B1D3F"/>
    <w:rsid w:val="13D1D1A0"/>
    <w:rsid w:val="1AA3392A"/>
    <w:rsid w:val="1DDAD9EC"/>
    <w:rsid w:val="1F91A0ED"/>
    <w:rsid w:val="21C97046"/>
    <w:rsid w:val="22AFFD33"/>
    <w:rsid w:val="22FCAB70"/>
    <w:rsid w:val="26D9AEC4"/>
    <w:rsid w:val="28E4299B"/>
    <w:rsid w:val="2BEF9EB1"/>
    <w:rsid w:val="2C4A7FCD"/>
    <w:rsid w:val="2C603161"/>
    <w:rsid w:val="2F0801C2"/>
    <w:rsid w:val="336446E9"/>
    <w:rsid w:val="337B5E4C"/>
    <w:rsid w:val="343E9EC4"/>
    <w:rsid w:val="37ECBACD"/>
    <w:rsid w:val="39D04F1B"/>
    <w:rsid w:val="3DF778C8"/>
    <w:rsid w:val="43BE044A"/>
    <w:rsid w:val="47258BE9"/>
    <w:rsid w:val="50B6D6C9"/>
    <w:rsid w:val="50FFFACB"/>
    <w:rsid w:val="54079279"/>
    <w:rsid w:val="550F5BED"/>
    <w:rsid w:val="553C7915"/>
    <w:rsid w:val="58A93921"/>
    <w:rsid w:val="5A1CB63F"/>
    <w:rsid w:val="61250F41"/>
    <w:rsid w:val="63282C88"/>
    <w:rsid w:val="63998981"/>
    <w:rsid w:val="6B158B03"/>
    <w:rsid w:val="737F6B6D"/>
    <w:rsid w:val="77D511C7"/>
    <w:rsid w:val="7E12A4F5"/>
    <w:rsid w:val="7F4772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DBD75BA"/>
  <w15:docId w15:val="{153D58ED-8918-48C5-A0CF-842372622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54EF"/>
    <w:rPr>
      <w:rFonts w:ascii="Arial" w:eastAsia="Times New Roman" w:hAnsi="Arial" w:cs="Times New Roman"/>
      <w:lang w:val="en-GB" w:eastAsia="en-GB"/>
    </w:rPr>
  </w:style>
  <w:style w:type="paragraph" w:styleId="Heading1">
    <w:name w:val="heading 1"/>
    <w:basedOn w:val="Normal"/>
    <w:next w:val="Normal"/>
    <w:link w:val="Heading1Char"/>
    <w:uiPriority w:val="9"/>
    <w:qFormat/>
    <w:rsid w:val="0044419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44419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444195"/>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550D76"/>
    <w:rPr>
      <w:rFonts w:ascii="Tahoma" w:hAnsi="Tahoma" w:cs="Tahoma"/>
      <w:sz w:val="16"/>
      <w:szCs w:val="16"/>
    </w:rPr>
  </w:style>
  <w:style w:type="character" w:customStyle="1" w:styleId="BalloonTextChar">
    <w:name w:val="Balloon Text Char"/>
    <w:basedOn w:val="DefaultParagraphFont"/>
    <w:link w:val="BalloonText"/>
    <w:uiPriority w:val="99"/>
    <w:semiHidden/>
    <w:rsid w:val="00550D76"/>
    <w:rPr>
      <w:rFonts w:ascii="Tahoma" w:hAnsi="Tahoma" w:cs="Tahoma"/>
      <w:sz w:val="16"/>
      <w:szCs w:val="16"/>
    </w:rPr>
  </w:style>
  <w:style w:type="paragraph" w:styleId="ListParagraph">
    <w:name w:val="List Paragraph"/>
    <w:basedOn w:val="Normal"/>
    <w:uiPriority w:val="34"/>
    <w:qFormat/>
    <w:rsid w:val="00C26D0D"/>
    <w:pPr>
      <w:ind w:left="720"/>
      <w:contextualSpacing/>
    </w:pPr>
  </w:style>
  <w:style w:type="paragraph" w:customStyle="1" w:styleId="StyleOutlinenumberedArialOutlinenumberedArial11Outli">
    <w:name w:val="Style Outline numbered Arial + Outline numbered Arial 1...1 + Outli..."/>
    <w:basedOn w:val="Normal"/>
    <w:uiPriority w:val="99"/>
    <w:rsid w:val="00C26D0D"/>
    <w:pPr>
      <w:widowControl w:val="0"/>
      <w:autoSpaceDE w:val="0"/>
      <w:autoSpaceDN w:val="0"/>
      <w:adjustRightInd w:val="0"/>
    </w:pPr>
    <w:rPr>
      <w:rFonts w:cs="Arial"/>
      <w:b/>
      <w:bCs/>
      <w:lang w:eastAsia="en-US"/>
    </w:rPr>
  </w:style>
  <w:style w:type="table" w:styleId="TableGrid">
    <w:name w:val="Table Grid"/>
    <w:basedOn w:val="TableNormal"/>
    <w:uiPriority w:val="59"/>
    <w:rsid w:val="00CD42BC"/>
    <w:rPr>
      <w:sz w:val="22"/>
      <w:szCs w:val="22"/>
      <w:lang w:val="en-GB"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CD42BC"/>
    <w:pPr>
      <w:autoSpaceDE w:val="0"/>
      <w:autoSpaceDN w:val="0"/>
      <w:adjustRightInd w:val="0"/>
    </w:pPr>
    <w:rPr>
      <w:rFonts w:ascii="Frutiger LT Std 55 Roman" w:hAnsi="Frutiger LT Std 55 Roman" w:cs="Frutiger LT Std 55 Roman"/>
      <w:color w:val="000000"/>
      <w:lang w:val="en-GB" w:eastAsia="en-GB"/>
    </w:rPr>
  </w:style>
  <w:style w:type="paragraph" w:styleId="Subtitle">
    <w:name w:val="Subtitle"/>
    <w:basedOn w:val="Normal"/>
    <w:link w:val="SubtitleChar"/>
    <w:uiPriority w:val="99"/>
    <w:qFormat/>
    <w:rsid w:val="00B51682"/>
    <w:rPr>
      <w:b/>
      <w:bCs/>
      <w:u w:val="single"/>
      <w:lang w:val="en-US" w:eastAsia="en-US"/>
    </w:rPr>
  </w:style>
  <w:style w:type="character" w:customStyle="1" w:styleId="SubtitleChar">
    <w:name w:val="Subtitle Char"/>
    <w:basedOn w:val="DefaultParagraphFont"/>
    <w:link w:val="Subtitle"/>
    <w:uiPriority w:val="99"/>
    <w:rsid w:val="00B51682"/>
    <w:rPr>
      <w:rFonts w:ascii="Arial" w:eastAsia="Times New Roman" w:hAnsi="Arial" w:cs="Times New Roman"/>
      <w:b/>
      <w:bCs/>
      <w:u w:val="single"/>
    </w:rPr>
  </w:style>
  <w:style w:type="character" w:styleId="PlaceholderText">
    <w:name w:val="Placeholder Text"/>
    <w:basedOn w:val="DefaultParagraphFont"/>
    <w:uiPriority w:val="99"/>
    <w:semiHidden/>
    <w:rsid w:val="002B5A0F"/>
    <w:rPr>
      <w:color w:val="808080"/>
    </w:rPr>
  </w:style>
  <w:style w:type="character" w:customStyle="1" w:styleId="Heading1Char">
    <w:name w:val="Heading 1 Char"/>
    <w:basedOn w:val="DefaultParagraphFont"/>
    <w:link w:val="Heading1"/>
    <w:uiPriority w:val="9"/>
    <w:rsid w:val="00444195"/>
    <w:rPr>
      <w:rFonts w:asciiTheme="majorHAnsi" w:eastAsiaTheme="majorEastAsia" w:hAnsiTheme="majorHAnsi" w:cstheme="majorBidi"/>
      <w:color w:val="365F91" w:themeColor="accent1" w:themeShade="BF"/>
      <w:sz w:val="32"/>
      <w:szCs w:val="32"/>
      <w:lang w:val="en-GB" w:eastAsia="en-GB"/>
    </w:rPr>
  </w:style>
  <w:style w:type="character" w:customStyle="1" w:styleId="Heading2Char">
    <w:name w:val="Heading 2 Char"/>
    <w:basedOn w:val="DefaultParagraphFont"/>
    <w:link w:val="Heading2"/>
    <w:uiPriority w:val="9"/>
    <w:rsid w:val="00444195"/>
    <w:rPr>
      <w:rFonts w:asciiTheme="majorHAnsi" w:eastAsiaTheme="majorEastAsia" w:hAnsiTheme="majorHAnsi" w:cstheme="majorBidi"/>
      <w:color w:val="365F91" w:themeColor="accent1" w:themeShade="BF"/>
      <w:sz w:val="26"/>
      <w:szCs w:val="26"/>
      <w:lang w:val="en-GB" w:eastAsia="en-GB"/>
    </w:rPr>
  </w:style>
  <w:style w:type="character" w:customStyle="1" w:styleId="Heading3Char">
    <w:name w:val="Heading 3 Char"/>
    <w:basedOn w:val="DefaultParagraphFont"/>
    <w:link w:val="Heading3"/>
    <w:uiPriority w:val="9"/>
    <w:rsid w:val="00444195"/>
    <w:rPr>
      <w:rFonts w:asciiTheme="majorHAnsi" w:eastAsiaTheme="majorEastAsia" w:hAnsiTheme="majorHAnsi" w:cstheme="majorBidi"/>
      <w:color w:val="243F60" w:themeColor="accent1" w:themeShade="7F"/>
      <w:lang w:val="en-GB" w:eastAsia="en-GB"/>
    </w:rPr>
  </w:style>
  <w:style w:type="paragraph" w:styleId="NoSpacing">
    <w:name w:val="No Spacing"/>
    <w:link w:val="NoSpacingChar"/>
    <w:uiPriority w:val="1"/>
    <w:qFormat/>
    <w:rsid w:val="0069676A"/>
    <w:rPr>
      <w:sz w:val="22"/>
      <w:szCs w:val="22"/>
    </w:rPr>
  </w:style>
  <w:style w:type="character" w:customStyle="1" w:styleId="NoSpacingChar">
    <w:name w:val="No Spacing Char"/>
    <w:basedOn w:val="DefaultParagraphFont"/>
    <w:link w:val="NoSpacing"/>
    <w:uiPriority w:val="1"/>
    <w:rsid w:val="0069676A"/>
    <w:rPr>
      <w:sz w:val="22"/>
      <w:szCs w:val="22"/>
    </w:rPr>
  </w:style>
  <w:style w:type="paragraph" w:styleId="TOCHeading">
    <w:name w:val="TOC Heading"/>
    <w:basedOn w:val="Heading1"/>
    <w:next w:val="Normal"/>
    <w:uiPriority w:val="39"/>
    <w:unhideWhenUsed/>
    <w:qFormat/>
    <w:rsid w:val="00EB4AC2"/>
    <w:pPr>
      <w:spacing w:line="259" w:lineRule="auto"/>
      <w:outlineLvl w:val="9"/>
    </w:pPr>
    <w:rPr>
      <w:lang w:val="en-US" w:eastAsia="en-US"/>
    </w:rPr>
  </w:style>
  <w:style w:type="paragraph" w:styleId="TOC1">
    <w:name w:val="toc 1"/>
    <w:basedOn w:val="Normal"/>
    <w:next w:val="Normal"/>
    <w:autoRedefine/>
    <w:uiPriority w:val="39"/>
    <w:unhideWhenUsed/>
    <w:rsid w:val="00EB4AC2"/>
    <w:pPr>
      <w:spacing w:after="100"/>
    </w:pPr>
  </w:style>
  <w:style w:type="paragraph" w:styleId="TOC2">
    <w:name w:val="toc 2"/>
    <w:basedOn w:val="Normal"/>
    <w:next w:val="Normal"/>
    <w:autoRedefine/>
    <w:uiPriority w:val="39"/>
    <w:unhideWhenUsed/>
    <w:rsid w:val="00EB4AC2"/>
    <w:pPr>
      <w:spacing w:after="100"/>
      <w:ind w:left="240"/>
    </w:pPr>
  </w:style>
  <w:style w:type="paragraph" w:styleId="TOC3">
    <w:name w:val="toc 3"/>
    <w:basedOn w:val="Normal"/>
    <w:next w:val="Normal"/>
    <w:autoRedefine/>
    <w:uiPriority w:val="39"/>
    <w:unhideWhenUsed/>
    <w:rsid w:val="00EB4AC2"/>
    <w:pPr>
      <w:spacing w:after="100"/>
      <w:ind w:left="480"/>
    </w:pPr>
  </w:style>
  <w:style w:type="character" w:styleId="Hyperlink">
    <w:name w:val="Hyperlink"/>
    <w:basedOn w:val="DefaultParagraphFont"/>
    <w:uiPriority w:val="99"/>
    <w:unhideWhenUsed/>
    <w:rsid w:val="00EB4AC2"/>
    <w:rPr>
      <w:color w:val="0000FF" w:themeColor="hyperlink"/>
      <w:u w:val="single"/>
    </w:rPr>
  </w:style>
  <w:style w:type="character" w:customStyle="1" w:styleId="xxcontentpasted0">
    <w:name w:val="x_x_contentpasted0"/>
    <w:basedOn w:val="DefaultParagraphFont"/>
    <w:rsid w:val="00AA1D91"/>
  </w:style>
  <w:style w:type="paragraph" w:customStyle="1" w:styleId="BodyText1">
    <w:name w:val="Body Text1"/>
    <w:basedOn w:val="BodyText"/>
    <w:autoRedefine/>
    <w:qFormat/>
    <w:rsid w:val="002F461D"/>
    <w:pPr>
      <w:spacing w:after="0"/>
      <w:jc w:val="both"/>
    </w:pPr>
    <w:rPr>
      <w:rFonts w:eastAsia="MS Mincho"/>
      <w:noProof/>
      <w:color w:val="000000" w:themeColor="text1"/>
      <w:sz w:val="22"/>
      <w:szCs w:val="20"/>
      <w:lang w:val="en-US"/>
      <w14:ligatures w14:val="standardContextual"/>
    </w:rPr>
  </w:style>
  <w:style w:type="paragraph" w:customStyle="1" w:styleId="Bullet1">
    <w:name w:val="Bullet 1"/>
    <w:basedOn w:val="BodyText1"/>
    <w:autoRedefine/>
    <w:qFormat/>
    <w:rsid w:val="00B80A2E"/>
    <w:pPr>
      <w:numPr>
        <w:numId w:val="24"/>
      </w:numPr>
      <w:spacing w:before="20" w:after="60"/>
    </w:pPr>
  </w:style>
  <w:style w:type="paragraph" w:styleId="BodyText">
    <w:name w:val="Body Text"/>
    <w:basedOn w:val="Normal"/>
    <w:link w:val="BodyTextChar"/>
    <w:uiPriority w:val="99"/>
    <w:semiHidden/>
    <w:unhideWhenUsed/>
    <w:rsid w:val="002F48F3"/>
    <w:pPr>
      <w:spacing w:after="120"/>
    </w:pPr>
  </w:style>
  <w:style w:type="character" w:customStyle="1" w:styleId="BodyTextChar">
    <w:name w:val="Body Text Char"/>
    <w:basedOn w:val="DefaultParagraphFont"/>
    <w:link w:val="BodyText"/>
    <w:uiPriority w:val="99"/>
    <w:semiHidden/>
    <w:rsid w:val="002F48F3"/>
    <w:rPr>
      <w:rFonts w:ascii="Arial" w:eastAsia="Times New Roman" w:hAnsi="Arial" w:cs="Times New Roman"/>
      <w:lang w:val="en-GB" w:eastAsia="en-GB"/>
    </w:rPr>
  </w:style>
  <w:style w:type="paragraph" w:styleId="Caption">
    <w:name w:val="caption"/>
    <w:basedOn w:val="Normal"/>
    <w:next w:val="BodyText1"/>
    <w:uiPriority w:val="35"/>
    <w:unhideWhenUsed/>
    <w:qFormat/>
    <w:rsid w:val="00ED7209"/>
    <w:pPr>
      <w:spacing w:before="120" w:after="180"/>
    </w:pPr>
    <w:rPr>
      <w:rFonts w:eastAsia="MS Mincho"/>
      <w:bCs/>
      <w:color w:val="2F598B"/>
      <w:sz w:val="18"/>
      <w:szCs w:val="18"/>
      <w:lang w:eastAsia="en-US"/>
    </w:rPr>
  </w:style>
  <w:style w:type="paragraph" w:customStyle="1" w:styleId="NumberedHeading3">
    <w:name w:val="Numbered Heading 3"/>
    <w:basedOn w:val="Normal"/>
    <w:next w:val="Normal"/>
    <w:qFormat/>
    <w:rsid w:val="00ED7209"/>
    <w:pPr>
      <w:numPr>
        <w:ilvl w:val="2"/>
        <w:numId w:val="20"/>
      </w:numPr>
      <w:spacing w:before="120" w:after="120"/>
    </w:pPr>
    <w:rPr>
      <w:rFonts w:eastAsia="MS Mincho"/>
      <w:b/>
      <w:noProof/>
      <w:color w:val="000000" w:themeColor="text1"/>
      <w:sz w:val="22"/>
    </w:rPr>
  </w:style>
  <w:style w:type="paragraph" w:customStyle="1" w:styleId="NumberedHeading2">
    <w:name w:val="Numbered Heading 2"/>
    <w:basedOn w:val="BodyText1"/>
    <w:next w:val="BodyText1"/>
    <w:qFormat/>
    <w:rsid w:val="00666F5D"/>
    <w:pPr>
      <w:spacing w:before="120"/>
      <w:ind w:left="1138" w:hanging="1138"/>
    </w:pPr>
    <w:rPr>
      <w:b/>
      <w:sz w:val="24"/>
    </w:rPr>
  </w:style>
  <w:style w:type="paragraph" w:customStyle="1" w:styleId="Tableheading">
    <w:name w:val="Table heading"/>
    <w:basedOn w:val="BodyText1"/>
    <w:qFormat/>
    <w:rsid w:val="00666F5D"/>
    <w:rPr>
      <w:b/>
      <w:color w:val="FFFFFF" w:themeColor="background1"/>
      <w:sz w:val="20"/>
    </w:rPr>
  </w:style>
  <w:style w:type="paragraph" w:customStyle="1" w:styleId="tableheading2">
    <w:name w:val="table heading 2"/>
    <w:basedOn w:val="BodyText1"/>
    <w:qFormat/>
    <w:rsid w:val="00666F5D"/>
    <w:rPr>
      <w:b/>
      <w:color w:val="FFFFFF" w:themeColor="background1"/>
      <w:sz w:val="20"/>
    </w:rPr>
  </w:style>
  <w:style w:type="paragraph" w:customStyle="1" w:styleId="TableText">
    <w:name w:val="Table Text"/>
    <w:basedOn w:val="BodyText1"/>
    <w:qFormat/>
    <w:rsid w:val="00666F5D"/>
    <w:pPr>
      <w:spacing w:before="60" w:after="60"/>
    </w:pPr>
    <w:rPr>
      <w:sz w:val="20"/>
    </w:rPr>
  </w:style>
  <w:style w:type="table" w:customStyle="1" w:styleId="table">
    <w:name w:val="table"/>
    <w:basedOn w:val="TableNormal"/>
    <w:uiPriority w:val="99"/>
    <w:rsid w:val="00666F5D"/>
    <w:rPr>
      <w:rFonts w:ascii="Arial" w:eastAsia="Calibri"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rFonts w:ascii="Arial" w:hAnsi="Arial"/>
        <w:color w:val="FFFFFF" w:themeColor="background1"/>
        <w:sz w:val="20"/>
      </w:rPr>
      <w:tblPr/>
      <w:tcPr>
        <w:shd w:val="clear" w:color="auto" w:fill="2F598B"/>
      </w:tcPr>
    </w:tblStylePr>
  </w:style>
  <w:style w:type="paragraph" w:customStyle="1" w:styleId="Tabletextbullets">
    <w:name w:val="Table text bullets"/>
    <w:basedOn w:val="TableText"/>
    <w:next w:val="TableText"/>
    <w:qFormat/>
    <w:rsid w:val="00666F5D"/>
    <w:pPr>
      <w:numPr>
        <w:numId w:val="21"/>
      </w:numPr>
      <w:spacing w:after="20"/>
    </w:pPr>
  </w:style>
  <w:style w:type="paragraph" w:styleId="Revision">
    <w:name w:val="Revision"/>
    <w:hidden/>
    <w:uiPriority w:val="99"/>
    <w:semiHidden/>
    <w:rsid w:val="00860AB5"/>
    <w:rPr>
      <w:rFonts w:ascii="Arial" w:eastAsia="Times New Roman" w:hAnsi="Arial" w:cs="Times New Roman"/>
      <w:lang w:val="en-GB" w:eastAsia="en-GB"/>
    </w:rPr>
  </w:style>
  <w:style w:type="character" w:customStyle="1" w:styleId="wacimagecontainer">
    <w:name w:val="wacimagecontainer"/>
    <w:basedOn w:val="DefaultParagraphFont"/>
    <w:rsid w:val="00BC1285"/>
  </w:style>
  <w:style w:type="character" w:styleId="UnresolvedMention">
    <w:name w:val="Unresolved Mention"/>
    <w:basedOn w:val="DefaultParagraphFont"/>
    <w:uiPriority w:val="99"/>
    <w:semiHidden/>
    <w:unhideWhenUsed/>
    <w:rsid w:val="0000421F"/>
    <w:rPr>
      <w:color w:val="605E5C"/>
      <w:shd w:val="clear" w:color="auto" w:fill="E1DFDD"/>
    </w:rPr>
  </w:style>
  <w:style w:type="character" w:styleId="CommentReference">
    <w:name w:val="annotation reference"/>
    <w:basedOn w:val="DefaultParagraphFont"/>
    <w:uiPriority w:val="99"/>
    <w:semiHidden/>
    <w:unhideWhenUsed/>
    <w:rsid w:val="007525C5"/>
    <w:rPr>
      <w:sz w:val="16"/>
      <w:szCs w:val="16"/>
    </w:rPr>
  </w:style>
  <w:style w:type="paragraph" w:styleId="CommentText">
    <w:name w:val="annotation text"/>
    <w:basedOn w:val="Normal"/>
    <w:link w:val="CommentTextChar"/>
    <w:uiPriority w:val="99"/>
    <w:unhideWhenUsed/>
    <w:rsid w:val="007525C5"/>
    <w:rPr>
      <w:sz w:val="20"/>
      <w:szCs w:val="20"/>
    </w:rPr>
  </w:style>
  <w:style w:type="character" w:customStyle="1" w:styleId="CommentTextChar">
    <w:name w:val="Comment Text Char"/>
    <w:basedOn w:val="DefaultParagraphFont"/>
    <w:link w:val="CommentText"/>
    <w:uiPriority w:val="99"/>
    <w:rsid w:val="007525C5"/>
    <w:rPr>
      <w:rFonts w:ascii="Arial" w:eastAsia="Times New Roman" w:hAnsi="Arial" w:cs="Times New Roman"/>
      <w:sz w:val="20"/>
      <w:szCs w:val="20"/>
      <w:lang w:val="en-GB" w:eastAsia="en-GB"/>
    </w:rPr>
  </w:style>
  <w:style w:type="paragraph" w:styleId="CommentSubject">
    <w:name w:val="annotation subject"/>
    <w:basedOn w:val="CommentText"/>
    <w:next w:val="CommentText"/>
    <w:link w:val="CommentSubjectChar"/>
    <w:uiPriority w:val="99"/>
    <w:semiHidden/>
    <w:unhideWhenUsed/>
    <w:rsid w:val="007525C5"/>
    <w:rPr>
      <w:b/>
      <w:bCs/>
    </w:rPr>
  </w:style>
  <w:style w:type="character" w:customStyle="1" w:styleId="CommentSubjectChar">
    <w:name w:val="Comment Subject Char"/>
    <w:basedOn w:val="CommentTextChar"/>
    <w:link w:val="CommentSubject"/>
    <w:uiPriority w:val="99"/>
    <w:semiHidden/>
    <w:rsid w:val="007525C5"/>
    <w:rPr>
      <w:rFonts w:ascii="Arial" w:eastAsia="Times New Roman" w:hAnsi="Arial" w:cs="Times New Roman"/>
      <w:b/>
      <w:bCs/>
      <w:sz w:val="20"/>
      <w:szCs w:val="20"/>
      <w:lang w:val="en-GB" w:eastAsia="en-GB"/>
    </w:rPr>
  </w:style>
  <w:style w:type="character" w:styleId="FollowedHyperlink">
    <w:name w:val="FollowedHyperlink"/>
    <w:basedOn w:val="DefaultParagraphFont"/>
    <w:uiPriority w:val="99"/>
    <w:semiHidden/>
    <w:unhideWhenUsed/>
    <w:rsid w:val="00E53B4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003398">
      <w:bodyDiv w:val="1"/>
      <w:marLeft w:val="0"/>
      <w:marRight w:val="0"/>
      <w:marTop w:val="0"/>
      <w:marBottom w:val="0"/>
      <w:divBdr>
        <w:top w:val="none" w:sz="0" w:space="0" w:color="auto"/>
        <w:left w:val="none" w:sz="0" w:space="0" w:color="auto"/>
        <w:bottom w:val="none" w:sz="0" w:space="0" w:color="auto"/>
        <w:right w:val="none" w:sz="0" w:space="0" w:color="auto"/>
      </w:divBdr>
      <w:divsChild>
        <w:div w:id="725639543">
          <w:marLeft w:val="0"/>
          <w:marRight w:val="0"/>
          <w:marTop w:val="0"/>
          <w:marBottom w:val="0"/>
          <w:divBdr>
            <w:top w:val="none" w:sz="0" w:space="0" w:color="auto"/>
            <w:left w:val="none" w:sz="0" w:space="0" w:color="auto"/>
            <w:bottom w:val="none" w:sz="0" w:space="0" w:color="auto"/>
            <w:right w:val="none" w:sz="0" w:space="0" w:color="auto"/>
          </w:divBdr>
        </w:div>
        <w:div w:id="893085376">
          <w:marLeft w:val="0"/>
          <w:marRight w:val="0"/>
          <w:marTop w:val="0"/>
          <w:marBottom w:val="0"/>
          <w:divBdr>
            <w:top w:val="none" w:sz="0" w:space="0" w:color="auto"/>
            <w:left w:val="none" w:sz="0" w:space="0" w:color="auto"/>
            <w:bottom w:val="none" w:sz="0" w:space="0" w:color="auto"/>
            <w:right w:val="none" w:sz="0" w:space="0" w:color="auto"/>
          </w:divBdr>
        </w:div>
      </w:divsChild>
    </w:div>
    <w:div w:id="215511717">
      <w:bodyDiv w:val="1"/>
      <w:marLeft w:val="0"/>
      <w:marRight w:val="0"/>
      <w:marTop w:val="0"/>
      <w:marBottom w:val="0"/>
      <w:divBdr>
        <w:top w:val="none" w:sz="0" w:space="0" w:color="auto"/>
        <w:left w:val="none" w:sz="0" w:space="0" w:color="auto"/>
        <w:bottom w:val="none" w:sz="0" w:space="0" w:color="auto"/>
        <w:right w:val="none" w:sz="0" w:space="0" w:color="auto"/>
      </w:divBdr>
    </w:div>
    <w:div w:id="261035586">
      <w:bodyDiv w:val="1"/>
      <w:marLeft w:val="0"/>
      <w:marRight w:val="0"/>
      <w:marTop w:val="0"/>
      <w:marBottom w:val="0"/>
      <w:divBdr>
        <w:top w:val="none" w:sz="0" w:space="0" w:color="auto"/>
        <w:left w:val="none" w:sz="0" w:space="0" w:color="auto"/>
        <w:bottom w:val="none" w:sz="0" w:space="0" w:color="auto"/>
        <w:right w:val="none" w:sz="0" w:space="0" w:color="auto"/>
      </w:divBdr>
    </w:div>
    <w:div w:id="353770673">
      <w:bodyDiv w:val="1"/>
      <w:marLeft w:val="0"/>
      <w:marRight w:val="0"/>
      <w:marTop w:val="0"/>
      <w:marBottom w:val="0"/>
      <w:divBdr>
        <w:top w:val="none" w:sz="0" w:space="0" w:color="auto"/>
        <w:left w:val="none" w:sz="0" w:space="0" w:color="auto"/>
        <w:bottom w:val="none" w:sz="0" w:space="0" w:color="auto"/>
        <w:right w:val="none" w:sz="0" w:space="0" w:color="auto"/>
      </w:divBdr>
    </w:div>
    <w:div w:id="435519174">
      <w:bodyDiv w:val="1"/>
      <w:marLeft w:val="0"/>
      <w:marRight w:val="0"/>
      <w:marTop w:val="0"/>
      <w:marBottom w:val="0"/>
      <w:divBdr>
        <w:top w:val="none" w:sz="0" w:space="0" w:color="auto"/>
        <w:left w:val="none" w:sz="0" w:space="0" w:color="auto"/>
        <w:bottom w:val="none" w:sz="0" w:space="0" w:color="auto"/>
        <w:right w:val="none" w:sz="0" w:space="0" w:color="auto"/>
      </w:divBdr>
    </w:div>
    <w:div w:id="531304938">
      <w:bodyDiv w:val="1"/>
      <w:marLeft w:val="0"/>
      <w:marRight w:val="0"/>
      <w:marTop w:val="0"/>
      <w:marBottom w:val="0"/>
      <w:divBdr>
        <w:top w:val="none" w:sz="0" w:space="0" w:color="auto"/>
        <w:left w:val="none" w:sz="0" w:space="0" w:color="auto"/>
        <w:bottom w:val="none" w:sz="0" w:space="0" w:color="auto"/>
        <w:right w:val="none" w:sz="0" w:space="0" w:color="auto"/>
      </w:divBdr>
    </w:div>
    <w:div w:id="703867010">
      <w:bodyDiv w:val="1"/>
      <w:marLeft w:val="0"/>
      <w:marRight w:val="0"/>
      <w:marTop w:val="0"/>
      <w:marBottom w:val="0"/>
      <w:divBdr>
        <w:top w:val="none" w:sz="0" w:space="0" w:color="auto"/>
        <w:left w:val="none" w:sz="0" w:space="0" w:color="auto"/>
        <w:bottom w:val="none" w:sz="0" w:space="0" w:color="auto"/>
        <w:right w:val="none" w:sz="0" w:space="0" w:color="auto"/>
      </w:divBdr>
      <w:divsChild>
        <w:div w:id="26612602">
          <w:marLeft w:val="0"/>
          <w:marRight w:val="0"/>
          <w:marTop w:val="0"/>
          <w:marBottom w:val="0"/>
          <w:divBdr>
            <w:top w:val="none" w:sz="0" w:space="0" w:color="auto"/>
            <w:left w:val="none" w:sz="0" w:space="0" w:color="auto"/>
            <w:bottom w:val="none" w:sz="0" w:space="0" w:color="auto"/>
            <w:right w:val="none" w:sz="0" w:space="0" w:color="auto"/>
          </w:divBdr>
        </w:div>
        <w:div w:id="1089499772">
          <w:marLeft w:val="0"/>
          <w:marRight w:val="0"/>
          <w:marTop w:val="0"/>
          <w:marBottom w:val="0"/>
          <w:divBdr>
            <w:top w:val="none" w:sz="0" w:space="0" w:color="auto"/>
            <w:left w:val="none" w:sz="0" w:space="0" w:color="auto"/>
            <w:bottom w:val="none" w:sz="0" w:space="0" w:color="auto"/>
            <w:right w:val="none" w:sz="0" w:space="0" w:color="auto"/>
          </w:divBdr>
        </w:div>
      </w:divsChild>
    </w:div>
    <w:div w:id="846943055">
      <w:bodyDiv w:val="1"/>
      <w:marLeft w:val="0"/>
      <w:marRight w:val="0"/>
      <w:marTop w:val="0"/>
      <w:marBottom w:val="0"/>
      <w:divBdr>
        <w:top w:val="none" w:sz="0" w:space="0" w:color="auto"/>
        <w:left w:val="none" w:sz="0" w:space="0" w:color="auto"/>
        <w:bottom w:val="none" w:sz="0" w:space="0" w:color="auto"/>
        <w:right w:val="none" w:sz="0" w:space="0" w:color="auto"/>
      </w:divBdr>
    </w:div>
    <w:div w:id="877737139">
      <w:bodyDiv w:val="1"/>
      <w:marLeft w:val="0"/>
      <w:marRight w:val="0"/>
      <w:marTop w:val="0"/>
      <w:marBottom w:val="0"/>
      <w:divBdr>
        <w:top w:val="none" w:sz="0" w:space="0" w:color="auto"/>
        <w:left w:val="none" w:sz="0" w:space="0" w:color="auto"/>
        <w:bottom w:val="none" w:sz="0" w:space="0" w:color="auto"/>
        <w:right w:val="none" w:sz="0" w:space="0" w:color="auto"/>
      </w:divBdr>
    </w:div>
    <w:div w:id="1082096958">
      <w:bodyDiv w:val="1"/>
      <w:marLeft w:val="0"/>
      <w:marRight w:val="0"/>
      <w:marTop w:val="0"/>
      <w:marBottom w:val="0"/>
      <w:divBdr>
        <w:top w:val="none" w:sz="0" w:space="0" w:color="auto"/>
        <w:left w:val="none" w:sz="0" w:space="0" w:color="auto"/>
        <w:bottom w:val="none" w:sz="0" w:space="0" w:color="auto"/>
        <w:right w:val="none" w:sz="0" w:space="0" w:color="auto"/>
      </w:divBdr>
    </w:div>
    <w:div w:id="1119839546">
      <w:bodyDiv w:val="1"/>
      <w:marLeft w:val="0"/>
      <w:marRight w:val="0"/>
      <w:marTop w:val="0"/>
      <w:marBottom w:val="0"/>
      <w:divBdr>
        <w:top w:val="none" w:sz="0" w:space="0" w:color="auto"/>
        <w:left w:val="none" w:sz="0" w:space="0" w:color="auto"/>
        <w:bottom w:val="none" w:sz="0" w:space="0" w:color="auto"/>
        <w:right w:val="none" w:sz="0" w:space="0" w:color="auto"/>
      </w:divBdr>
    </w:div>
    <w:div w:id="1253322575">
      <w:bodyDiv w:val="1"/>
      <w:marLeft w:val="0"/>
      <w:marRight w:val="0"/>
      <w:marTop w:val="0"/>
      <w:marBottom w:val="0"/>
      <w:divBdr>
        <w:top w:val="none" w:sz="0" w:space="0" w:color="auto"/>
        <w:left w:val="none" w:sz="0" w:space="0" w:color="auto"/>
        <w:bottom w:val="none" w:sz="0" w:space="0" w:color="auto"/>
        <w:right w:val="none" w:sz="0" w:space="0" w:color="auto"/>
      </w:divBdr>
    </w:div>
    <w:div w:id="1461846610">
      <w:bodyDiv w:val="1"/>
      <w:marLeft w:val="0"/>
      <w:marRight w:val="0"/>
      <w:marTop w:val="0"/>
      <w:marBottom w:val="0"/>
      <w:divBdr>
        <w:top w:val="none" w:sz="0" w:space="0" w:color="auto"/>
        <w:left w:val="none" w:sz="0" w:space="0" w:color="auto"/>
        <w:bottom w:val="none" w:sz="0" w:space="0" w:color="auto"/>
        <w:right w:val="none" w:sz="0" w:space="0" w:color="auto"/>
      </w:divBdr>
    </w:div>
    <w:div w:id="1660691969">
      <w:bodyDiv w:val="1"/>
      <w:marLeft w:val="0"/>
      <w:marRight w:val="0"/>
      <w:marTop w:val="0"/>
      <w:marBottom w:val="0"/>
      <w:divBdr>
        <w:top w:val="none" w:sz="0" w:space="0" w:color="auto"/>
        <w:left w:val="none" w:sz="0" w:space="0" w:color="auto"/>
        <w:bottom w:val="none" w:sz="0" w:space="0" w:color="auto"/>
        <w:right w:val="none" w:sz="0" w:space="0" w:color="auto"/>
      </w:divBdr>
    </w:div>
    <w:div w:id="1761872200">
      <w:bodyDiv w:val="1"/>
      <w:marLeft w:val="0"/>
      <w:marRight w:val="0"/>
      <w:marTop w:val="0"/>
      <w:marBottom w:val="0"/>
      <w:divBdr>
        <w:top w:val="none" w:sz="0" w:space="0" w:color="auto"/>
        <w:left w:val="none" w:sz="0" w:space="0" w:color="auto"/>
        <w:bottom w:val="none" w:sz="0" w:space="0" w:color="auto"/>
        <w:right w:val="none" w:sz="0" w:space="0" w:color="auto"/>
      </w:divBdr>
      <w:divsChild>
        <w:div w:id="1885554142">
          <w:marLeft w:val="0"/>
          <w:marRight w:val="0"/>
          <w:marTop w:val="120"/>
          <w:marBottom w:val="60"/>
          <w:divBdr>
            <w:top w:val="none" w:sz="0" w:space="0" w:color="auto"/>
            <w:left w:val="none" w:sz="0" w:space="0" w:color="auto"/>
            <w:bottom w:val="none" w:sz="0" w:space="0" w:color="auto"/>
            <w:right w:val="none" w:sz="0" w:space="0" w:color="auto"/>
          </w:divBdr>
        </w:div>
        <w:div w:id="1729454244">
          <w:marLeft w:val="0"/>
          <w:marRight w:val="0"/>
          <w:marTop w:val="120"/>
          <w:marBottom w:val="60"/>
          <w:divBdr>
            <w:top w:val="none" w:sz="0" w:space="0" w:color="auto"/>
            <w:left w:val="none" w:sz="0" w:space="0" w:color="auto"/>
            <w:bottom w:val="none" w:sz="0" w:space="0" w:color="auto"/>
            <w:right w:val="none" w:sz="0" w:space="0" w:color="auto"/>
          </w:divBdr>
        </w:div>
        <w:div w:id="329449785">
          <w:marLeft w:val="0"/>
          <w:marRight w:val="0"/>
          <w:marTop w:val="120"/>
          <w:marBottom w:val="60"/>
          <w:divBdr>
            <w:top w:val="none" w:sz="0" w:space="0" w:color="auto"/>
            <w:left w:val="none" w:sz="0" w:space="0" w:color="auto"/>
            <w:bottom w:val="none" w:sz="0" w:space="0" w:color="auto"/>
            <w:right w:val="none" w:sz="0" w:space="0" w:color="auto"/>
          </w:divBdr>
        </w:div>
      </w:divsChild>
    </w:div>
    <w:div w:id="1865485088">
      <w:bodyDiv w:val="1"/>
      <w:marLeft w:val="0"/>
      <w:marRight w:val="0"/>
      <w:marTop w:val="0"/>
      <w:marBottom w:val="0"/>
      <w:divBdr>
        <w:top w:val="none" w:sz="0" w:space="0" w:color="auto"/>
        <w:left w:val="none" w:sz="0" w:space="0" w:color="auto"/>
        <w:bottom w:val="none" w:sz="0" w:space="0" w:color="auto"/>
        <w:right w:val="none" w:sz="0" w:space="0" w:color="auto"/>
      </w:divBdr>
    </w:div>
    <w:div w:id="1867283590">
      <w:bodyDiv w:val="1"/>
      <w:marLeft w:val="0"/>
      <w:marRight w:val="0"/>
      <w:marTop w:val="0"/>
      <w:marBottom w:val="0"/>
      <w:divBdr>
        <w:top w:val="none" w:sz="0" w:space="0" w:color="auto"/>
        <w:left w:val="none" w:sz="0" w:space="0" w:color="auto"/>
        <w:bottom w:val="none" w:sz="0" w:space="0" w:color="auto"/>
        <w:right w:val="none" w:sz="0" w:space="0" w:color="auto"/>
      </w:divBdr>
    </w:div>
    <w:div w:id="1926332183">
      <w:bodyDiv w:val="1"/>
      <w:marLeft w:val="0"/>
      <w:marRight w:val="0"/>
      <w:marTop w:val="0"/>
      <w:marBottom w:val="0"/>
      <w:divBdr>
        <w:top w:val="none" w:sz="0" w:space="0" w:color="auto"/>
        <w:left w:val="none" w:sz="0" w:space="0" w:color="auto"/>
        <w:bottom w:val="none" w:sz="0" w:space="0" w:color="auto"/>
        <w:right w:val="none" w:sz="0" w:space="0" w:color="auto"/>
      </w:divBdr>
      <w:divsChild>
        <w:div w:id="1465999224">
          <w:marLeft w:val="0"/>
          <w:marRight w:val="0"/>
          <w:marTop w:val="120"/>
          <w:marBottom w:val="60"/>
          <w:divBdr>
            <w:top w:val="none" w:sz="0" w:space="0" w:color="auto"/>
            <w:left w:val="none" w:sz="0" w:space="0" w:color="auto"/>
            <w:bottom w:val="none" w:sz="0" w:space="0" w:color="auto"/>
            <w:right w:val="none" w:sz="0" w:space="0" w:color="auto"/>
          </w:divBdr>
        </w:div>
        <w:div w:id="712004872">
          <w:marLeft w:val="0"/>
          <w:marRight w:val="0"/>
          <w:marTop w:val="120"/>
          <w:marBottom w:val="60"/>
          <w:divBdr>
            <w:top w:val="none" w:sz="0" w:space="0" w:color="auto"/>
            <w:left w:val="none" w:sz="0" w:space="0" w:color="auto"/>
            <w:bottom w:val="none" w:sz="0" w:space="0" w:color="auto"/>
            <w:right w:val="none" w:sz="0" w:space="0" w:color="auto"/>
          </w:divBdr>
        </w:div>
        <w:div w:id="582683345">
          <w:marLeft w:val="0"/>
          <w:marRight w:val="0"/>
          <w:marTop w:val="120"/>
          <w:marBottom w:val="60"/>
          <w:divBdr>
            <w:top w:val="none" w:sz="0" w:space="0" w:color="auto"/>
            <w:left w:val="none" w:sz="0" w:space="0" w:color="auto"/>
            <w:bottom w:val="none" w:sz="0" w:space="0" w:color="auto"/>
            <w:right w:val="none" w:sz="0" w:space="0" w:color="auto"/>
          </w:divBdr>
        </w:div>
      </w:divsChild>
    </w:div>
    <w:div w:id="201178890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emf"/><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nhswales365.sharepoint.com/:b:/r/sites/CAV_StrategicPlanning/Shared%20Documents/CAV_WH@Park%20View/Business%20Cases/FBC/Business%20Case%20Drafting/250623%20Park%20View%20FBC%20Executive%20Summary%20Final%20v7.pdf?csf=1&amp;web=1&amp;e=rd5uug"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haredWithUsers xmlns="5bcdea2d-abdf-4f04-aecd-9592119794d4">
      <UserInfo>
        <DisplayName>Lynne Aston (Cardiff and Vale UHB - Finance)</DisplayName>
        <AccountId>26</AccountId>
        <AccountType/>
      </UserInfo>
      <UserInfo>
        <DisplayName>Ashleigh O'Callaghan (Cardiff and Vale UHB - Strategic &amp; Service Planning)</DisplayName>
        <AccountId>14</AccountId>
        <AccountType/>
      </UserInfo>
      <UserInfo>
        <DisplayName>Rhys Morris (Cardiff and Vale UHB - Medical Physics)</DisplayName>
        <AccountId>47</AccountId>
        <AccountType/>
      </UserInfo>
      <UserInfo>
        <DisplayName>Joanna North (Cardiff and Vale UHB - Operations)</DisplayName>
        <AccountId>48</AccountId>
        <AccountType/>
      </UserInfo>
      <UserInfo>
        <DisplayName>Carly Podger (Cardiff and Vale UHB - Finance)</DisplayName>
        <AccountId>49</AccountId>
        <AccountType/>
      </UserInfo>
      <UserInfo>
        <DisplayName>Calum Shaw (Cardiff and Vale UHB - Strategic Planning)</DisplayName>
        <AccountId>52</AccountId>
        <AccountType/>
      </UserInfo>
      <UserInfo>
        <DisplayName>Victoria Legrys (Cardiff and Vale UHB - Planning)</DisplayName>
        <AccountId>107</AccountId>
        <AccountType/>
      </UserInfo>
      <UserInfo>
        <DisplayName>Carys Prentis (Cardiff and Vale UHB - Executive HQ)</DisplayName>
        <AccountId>115</AccountId>
        <AccountType/>
      </UserInfo>
    </SharedWithUsers>
    <TaxCatchAll xmlns="5bcdea2d-abdf-4f04-aecd-9592119794d4" xsi:nil="true"/>
    <_ip_UnifiedCompliancePolicyUIAction xmlns="http://schemas.microsoft.com/sharepoint/v3" xsi:nil="true"/>
    <lcf76f155ced4ddcb4097134ff3c332f xmlns="e1a5355f-5c38-485d-917f-829a71416ef6">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D807CFCF-6F18-4D96-8440-DAAE732D6067}"/>
</file>

<file path=customXml/itemProps2.xml><?xml version="1.0" encoding="utf-8"?>
<ds:datastoreItem xmlns:ds="http://schemas.openxmlformats.org/officeDocument/2006/customXml" ds:itemID="{D12B4DE0-C78B-4BD3-894B-5BFDFD06A955}">
  <ds:schemaRefs>
    <ds:schemaRef ds:uri="http://schemas.microsoft.com/sharepoint/v3/contenttype/forms"/>
  </ds:schemaRefs>
</ds:datastoreItem>
</file>

<file path=customXml/itemProps3.xml><?xml version="1.0" encoding="utf-8"?>
<ds:datastoreItem xmlns:ds="http://schemas.openxmlformats.org/officeDocument/2006/customXml" ds:itemID="{2B0650E4-25CA-4CEC-8D90-DB695C3BE16B}">
  <ds:schemaRefs>
    <ds:schemaRef ds:uri="http://schemas.openxmlformats.org/officeDocument/2006/bibliography"/>
  </ds:schemaRefs>
</ds:datastoreItem>
</file>

<file path=customXml/itemProps4.xml><?xml version="1.0" encoding="utf-8"?>
<ds:datastoreItem xmlns:ds="http://schemas.openxmlformats.org/officeDocument/2006/customXml" ds:itemID="{CBED69D0-0954-402F-8CBA-417DF5D8318A}">
  <ds:schemaRefs>
    <ds:schemaRef ds:uri="http://schemas.microsoft.com/office/2006/metadata/properties"/>
    <ds:schemaRef ds:uri="http://schemas.microsoft.com/office/infopath/2007/PartnerControls"/>
    <ds:schemaRef ds:uri="7eb3d039-33b6-4495-9bc2-698ff4d5488a"/>
    <ds:schemaRef ds:uri="c9a6731c-53d6-464c-b253-c810b90fd6a8"/>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5314</Words>
  <Characters>30822</Characters>
  <Application>Microsoft Office Word</Application>
  <DocSecurity>0</DocSecurity>
  <Lines>994</Lines>
  <Paragraphs>516</Paragraphs>
  <ScaleCrop>false</ScaleCrop>
  <HeadingPairs>
    <vt:vector size="2" baseType="variant">
      <vt:variant>
        <vt:lpstr>Title</vt:lpstr>
      </vt:variant>
      <vt:variant>
        <vt:i4>1</vt:i4>
      </vt:variant>
    </vt:vector>
  </HeadingPairs>
  <TitlesOfParts>
    <vt:vector size="1" baseType="lpstr">
      <vt:lpstr>Bus</vt:lpstr>
    </vt:vector>
  </TitlesOfParts>
  <Company>Cardiff University</Company>
  <LinksUpToDate>false</LinksUpToDate>
  <CharactersWithSpaces>35620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dc:title>
  <dc:creator>Hy090577</dc:creator>
  <cp:lastModifiedBy>Nathan Saunders (Cardiff and Vale UHB - CORPORATE GOVERNANCE)</cp:lastModifiedBy>
  <cp:revision>1</cp:revision>
  <cp:lastPrinted>2016-05-13T14:03:00Z</cp:lastPrinted>
  <dcterms:created xsi:type="dcterms:W3CDTF">2025-11-20T14:55:00Z</dcterms:created>
  <dcterms:modified xsi:type="dcterms:W3CDTF">2025-11-20T14:55:00Z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