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E3" w:rsidRPr="00AE08FD" w:rsidRDefault="00314F44" w:rsidP="00B60180">
      <w:pPr>
        <w:ind w:left="-567"/>
        <w:rPr>
          <w:b/>
        </w:rPr>
      </w:pPr>
      <w:r w:rsidRPr="00AE08FD">
        <w:rPr>
          <w:b/>
        </w:rPr>
        <w:t>BOARD ASSURANCE FRAMEWORK</w:t>
      </w:r>
      <w:r w:rsidR="00627D9A">
        <w:rPr>
          <w:b/>
        </w:rPr>
        <w:t xml:space="preserve"> </w:t>
      </w:r>
      <w:r w:rsidR="00561DBA">
        <w:rPr>
          <w:b/>
        </w:rPr>
        <w:t>20</w:t>
      </w:r>
      <w:r w:rsidR="009A1FF6">
        <w:rPr>
          <w:b/>
        </w:rPr>
        <w:t>20</w:t>
      </w:r>
      <w:r w:rsidR="00561DBA">
        <w:rPr>
          <w:b/>
        </w:rPr>
        <w:t>/</w:t>
      </w:r>
      <w:r w:rsidR="009A1FF6">
        <w:rPr>
          <w:b/>
        </w:rPr>
        <w:t>21</w:t>
      </w:r>
      <w:r w:rsidR="00561DBA">
        <w:rPr>
          <w:b/>
        </w:rPr>
        <w:t xml:space="preserve"> – </w:t>
      </w:r>
      <w:r w:rsidR="00A6373D">
        <w:rPr>
          <w:b/>
        </w:rPr>
        <w:t>MARCH</w:t>
      </w:r>
      <w:r w:rsidR="0003550B">
        <w:rPr>
          <w:b/>
        </w:rPr>
        <w:t xml:space="preserve"> 2021</w:t>
      </w:r>
    </w:p>
    <w:p w:rsidR="00835FE3" w:rsidRPr="00A22FB0" w:rsidRDefault="00D77B23" w:rsidP="00BB7FDA">
      <w:pPr>
        <w:ind w:left="-567"/>
      </w:pPr>
      <w:r>
        <w:t xml:space="preserve">It is essential that Cardiff and Vale University Health Board </w:t>
      </w:r>
      <w:r w:rsidR="00D23E23">
        <w:t xml:space="preserve">is </w:t>
      </w:r>
      <w:r>
        <w:t xml:space="preserve">aware of the major risks which could impact upon the delivery of Strategic Objectives as set out </w:t>
      </w:r>
      <w:r w:rsidR="00D32F7E">
        <w:t>in Shaping Our Future Wellbeing.</w:t>
      </w:r>
    </w:p>
    <w:tbl>
      <w:tblPr>
        <w:tblStyle w:val="LightShading-Accent11"/>
        <w:tblW w:w="10269" w:type="dxa"/>
        <w:tblInd w:w="-610" w:type="dxa"/>
        <w:tblLook w:val="04A0" w:firstRow="1" w:lastRow="0" w:firstColumn="1" w:lastColumn="0" w:noHBand="0" w:noVBand="1"/>
      </w:tblPr>
      <w:tblGrid>
        <w:gridCol w:w="5449"/>
        <w:gridCol w:w="4820"/>
      </w:tblGrid>
      <w:tr w:rsidR="00DF64C3" w:rsidRPr="00DF64C3" w:rsidTr="00835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9" w:type="dxa"/>
          </w:tcPr>
          <w:p w:rsidR="00DF64C3" w:rsidRPr="00DF64C3" w:rsidRDefault="00DF64C3" w:rsidP="00224E51">
            <w:pPr>
              <w:pStyle w:val="ListParagraph"/>
              <w:ind w:left="0"/>
              <w:rPr>
                <w:b w:val="0"/>
              </w:rPr>
            </w:pPr>
            <w:r w:rsidRPr="00DF64C3">
              <w:t>Strategic Objectives</w:t>
            </w:r>
          </w:p>
        </w:tc>
        <w:tc>
          <w:tcPr>
            <w:tcW w:w="4820" w:type="dxa"/>
          </w:tcPr>
          <w:p w:rsidR="00DF64C3" w:rsidRPr="00DF64C3" w:rsidRDefault="00A22FB0" w:rsidP="00224E51">
            <w:pPr>
              <w:pStyle w:val="ListParagraph"/>
              <w:ind w:left="0"/>
              <w:cnfStyle w:val="100000000000" w:firstRow="1" w:lastRow="0" w:firstColumn="0" w:lastColumn="0" w:oddVBand="0" w:evenVBand="0" w:oddHBand="0" w:evenHBand="0" w:firstRowFirstColumn="0" w:firstRowLastColumn="0" w:lastRowFirstColumn="0" w:lastRowLastColumn="0"/>
              <w:rPr>
                <w:b w:val="0"/>
              </w:rPr>
            </w:pPr>
            <w:r>
              <w:t xml:space="preserve">Key </w:t>
            </w:r>
            <w:r w:rsidR="00DF64C3" w:rsidRPr="00DF64C3">
              <w:t>Risks</w:t>
            </w:r>
            <w:r w:rsidR="00132227">
              <w:t xml:space="preserve"> Mapped </w:t>
            </w:r>
            <w:r w:rsidR="00DF64C3" w:rsidRPr="00DF64C3">
              <w:t xml:space="preserve"> to</w:t>
            </w:r>
            <w:r>
              <w:t xml:space="preserve"> Delivery of</w:t>
            </w:r>
            <w:r w:rsidR="00EF64F8">
              <w:t xml:space="preserve"> Strategic Objective</w:t>
            </w:r>
          </w:p>
        </w:tc>
      </w:tr>
      <w:tr w:rsidR="00DF64C3" w:rsidTr="00835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Reduce health inequalities</w:t>
            </w:r>
          </w:p>
          <w:p w:rsidR="00DF64C3" w:rsidRDefault="00DF64C3" w:rsidP="00DF64C3">
            <w:pPr>
              <w:pStyle w:val="ListParagraph"/>
            </w:pPr>
          </w:p>
        </w:tc>
        <w:tc>
          <w:tcPr>
            <w:tcW w:w="4820" w:type="dxa"/>
          </w:tcPr>
          <w:p w:rsidR="00522DFD" w:rsidRDefault="00522DFD" w:rsidP="00BB7FDA">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Financial Sustainability</w:t>
            </w:r>
          </w:p>
          <w:p w:rsidR="00522DFD" w:rsidRDefault="00522DFD" w:rsidP="00BB7FDA">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Sustainable Primary and Community Care</w:t>
            </w:r>
          </w:p>
          <w:p w:rsidR="00522DFD" w:rsidRDefault="00522DFD" w:rsidP="00BB7FDA">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Sustainable Cultural Change</w:t>
            </w:r>
          </w:p>
          <w:p w:rsidR="00522DFD" w:rsidRDefault="00522DFD" w:rsidP="00BB7FDA">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Planned Care Capacity</w:t>
            </w:r>
          </w:p>
          <w:p w:rsidR="00522DFD" w:rsidRDefault="00522DFD" w:rsidP="00BB7FDA">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t>Delivery of IMTP</w:t>
            </w:r>
          </w:p>
          <w:p w:rsidR="00BB7FDA" w:rsidRDefault="00BB7FDA" w:rsidP="00BB7FDA">
            <w:pPr>
              <w:pStyle w:val="ListParagraph"/>
              <w:cnfStyle w:val="000000100000" w:firstRow="0" w:lastRow="0" w:firstColumn="0" w:lastColumn="0" w:oddVBand="0" w:evenVBand="0" w:oddHBand="1" w:evenHBand="0" w:firstRowFirstColumn="0" w:firstRowLastColumn="0" w:lastRowFirstColumn="0" w:lastRowLastColumn="0"/>
            </w:pPr>
          </w:p>
        </w:tc>
      </w:tr>
      <w:tr w:rsidR="00DF64C3" w:rsidTr="00835FE3">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Deliver outcomes that matter</w:t>
            </w:r>
          </w:p>
          <w:p w:rsidR="00DF64C3" w:rsidRDefault="00DF64C3" w:rsidP="00DF64C3">
            <w:pPr>
              <w:pStyle w:val="ListParagraph"/>
            </w:pPr>
          </w:p>
        </w:tc>
        <w:tc>
          <w:tcPr>
            <w:tcW w:w="4820" w:type="dxa"/>
          </w:tcPr>
          <w:p w:rsidR="00522DFD" w:rsidRDefault="00522DFD" w:rsidP="00BB7F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Sustainable Primary and Community Care</w:t>
            </w:r>
          </w:p>
          <w:p w:rsidR="00DF64C3" w:rsidRDefault="00522DFD" w:rsidP="00BB7F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Patient Safety</w:t>
            </w:r>
          </w:p>
          <w:p w:rsidR="00522DFD" w:rsidRDefault="00522DFD" w:rsidP="00BB7F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Sustainable Cultural Change</w:t>
            </w:r>
          </w:p>
          <w:p w:rsidR="00522DFD" w:rsidRDefault="00522DFD" w:rsidP="00BB7F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Financial Sustainability</w:t>
            </w:r>
          </w:p>
          <w:p w:rsidR="00522DFD" w:rsidRDefault="00522DFD" w:rsidP="00BB7FDA">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t>Delivery of IMTP</w:t>
            </w:r>
          </w:p>
          <w:p w:rsidR="00BB7FDA" w:rsidRDefault="00BB7FDA" w:rsidP="00BB7FDA">
            <w:pPr>
              <w:pStyle w:val="ListParagraph"/>
              <w:cnfStyle w:val="000000000000" w:firstRow="0" w:lastRow="0" w:firstColumn="0" w:lastColumn="0" w:oddVBand="0" w:evenVBand="0" w:oddHBand="0" w:evenHBand="0" w:firstRowFirstColumn="0" w:firstRowLastColumn="0" w:lastRowFirstColumn="0" w:lastRowLastColumn="0"/>
            </w:pPr>
          </w:p>
        </w:tc>
      </w:tr>
      <w:tr w:rsidR="00DF64C3" w:rsidTr="00835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Ensure that all take responsibility for improving our health and wellbeing</w:t>
            </w:r>
          </w:p>
          <w:p w:rsidR="00DF64C3" w:rsidRDefault="00DF64C3" w:rsidP="00DF64C3">
            <w:pPr>
              <w:pStyle w:val="ListParagraph"/>
            </w:pPr>
          </w:p>
        </w:tc>
        <w:tc>
          <w:tcPr>
            <w:tcW w:w="4820" w:type="dxa"/>
          </w:tcPr>
          <w:p w:rsidR="00522DFD" w:rsidRDefault="00522DFD" w:rsidP="00BB7FDA">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Sustainable Primary and Community Care</w:t>
            </w:r>
          </w:p>
          <w:p w:rsidR="00522DFD" w:rsidRDefault="00522DFD" w:rsidP="00BB7FDA">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Sustainable Cultural Change</w:t>
            </w:r>
          </w:p>
          <w:p w:rsidR="00DF64C3" w:rsidRDefault="00522DFD" w:rsidP="00BB7FDA">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Delivery of IMTP</w:t>
            </w:r>
          </w:p>
          <w:p w:rsidR="00BB7FDA" w:rsidRDefault="00BB7FDA" w:rsidP="00BB7FDA">
            <w:pPr>
              <w:pStyle w:val="ListParagraph"/>
              <w:cnfStyle w:val="000000100000" w:firstRow="0" w:lastRow="0" w:firstColumn="0" w:lastColumn="0" w:oddVBand="0" w:evenVBand="0" w:oddHBand="1" w:evenHBand="0" w:firstRowFirstColumn="0" w:firstRowLastColumn="0" w:lastRowFirstColumn="0" w:lastRowLastColumn="0"/>
            </w:pPr>
          </w:p>
        </w:tc>
      </w:tr>
      <w:tr w:rsidR="00DF64C3" w:rsidTr="00835FE3">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Offer services that deliver the population health our citizens are entitled to expect</w:t>
            </w:r>
          </w:p>
          <w:p w:rsidR="00DF64C3" w:rsidRDefault="00DF64C3" w:rsidP="00DF64C3">
            <w:pPr>
              <w:pStyle w:val="ListParagraph"/>
            </w:pPr>
          </w:p>
        </w:tc>
        <w:tc>
          <w:tcPr>
            <w:tcW w:w="4820" w:type="dxa"/>
          </w:tcPr>
          <w:p w:rsidR="00A22FB0" w:rsidRDefault="00A22FB0" w:rsidP="00BB7F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Sustainable Primary and Community Care</w:t>
            </w:r>
          </w:p>
          <w:p w:rsidR="00DF64C3" w:rsidRDefault="00A22FB0" w:rsidP="00BB7F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Delivery of IMTP</w:t>
            </w:r>
          </w:p>
          <w:p w:rsidR="00A22FB0" w:rsidRDefault="00A22FB0" w:rsidP="00BB7F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Planned Care Capacity</w:t>
            </w:r>
          </w:p>
          <w:p w:rsidR="00A22FB0" w:rsidRDefault="00A22FB0" w:rsidP="00BB7F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Workforce</w:t>
            </w:r>
          </w:p>
          <w:p w:rsidR="00A22FB0" w:rsidRDefault="00A22FB0" w:rsidP="00BB7F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Financial Sustainability</w:t>
            </w:r>
          </w:p>
          <w:p w:rsidR="00BB7FDA" w:rsidRPr="00364950" w:rsidRDefault="00364950" w:rsidP="00364950">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Test, Trace and Protect and Mass Vaccination</w:t>
            </w:r>
          </w:p>
        </w:tc>
      </w:tr>
      <w:tr w:rsidR="00DF64C3" w:rsidTr="00835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Have an unplanned care system that provides the right care, in the right place, first time.</w:t>
            </w:r>
          </w:p>
          <w:p w:rsidR="00DF64C3" w:rsidRDefault="00DF64C3" w:rsidP="00DF64C3">
            <w:pPr>
              <w:pStyle w:val="ListParagraph"/>
            </w:pPr>
          </w:p>
        </w:tc>
        <w:tc>
          <w:tcPr>
            <w:tcW w:w="4820" w:type="dxa"/>
          </w:tcPr>
          <w:p w:rsidR="00DF64C3" w:rsidRDefault="00A22FB0" w:rsidP="00BB7FD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Financial Sustainability</w:t>
            </w:r>
          </w:p>
          <w:p w:rsidR="00A22FB0" w:rsidRDefault="00A22FB0" w:rsidP="00BB7FD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Sustainable Primary and Community Care</w:t>
            </w:r>
          </w:p>
          <w:p w:rsidR="00A22FB0" w:rsidRDefault="00A22FB0" w:rsidP="00BB7FD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Patient Safety</w:t>
            </w:r>
          </w:p>
          <w:p w:rsidR="00A22FB0" w:rsidRDefault="00A22FB0" w:rsidP="00BB7FDA">
            <w:pPr>
              <w:pStyle w:val="ListParagraph"/>
              <w:numPr>
                <w:ilvl w:val="0"/>
                <w:numId w:val="38"/>
              </w:numPr>
              <w:cnfStyle w:val="000000100000" w:firstRow="0" w:lastRow="0" w:firstColumn="0" w:lastColumn="0" w:oddVBand="0" w:evenVBand="0" w:oddHBand="1" w:evenHBand="0" w:firstRowFirstColumn="0" w:firstRowLastColumn="0" w:lastRowFirstColumn="0" w:lastRowLastColumn="0"/>
            </w:pPr>
            <w:r>
              <w:t>Delivery of IMTP</w:t>
            </w:r>
          </w:p>
          <w:p w:rsidR="00A22FB0" w:rsidRDefault="00A22FB0" w:rsidP="00224E51">
            <w:pPr>
              <w:pStyle w:val="ListParagraph"/>
              <w:ind w:left="0"/>
              <w:cnfStyle w:val="000000100000" w:firstRow="0" w:lastRow="0" w:firstColumn="0" w:lastColumn="0" w:oddVBand="0" w:evenVBand="0" w:oddHBand="1" w:evenHBand="0" w:firstRowFirstColumn="0" w:firstRowLastColumn="0" w:lastRowFirstColumn="0" w:lastRowLastColumn="0"/>
            </w:pPr>
          </w:p>
        </w:tc>
      </w:tr>
      <w:tr w:rsidR="00DF64C3" w:rsidTr="00835FE3">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Have a planned care system where demand and capacity are in balance</w:t>
            </w:r>
          </w:p>
          <w:p w:rsidR="00DF64C3" w:rsidRDefault="00DF64C3" w:rsidP="00DF64C3">
            <w:pPr>
              <w:pStyle w:val="ListParagraph"/>
            </w:pPr>
          </w:p>
        </w:tc>
        <w:tc>
          <w:tcPr>
            <w:tcW w:w="4820" w:type="dxa"/>
          </w:tcPr>
          <w:p w:rsidR="00A22FB0" w:rsidRDefault="00A22FB0" w:rsidP="00BB7FD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Planned Care Capacity</w:t>
            </w:r>
          </w:p>
          <w:p w:rsidR="00A22FB0" w:rsidRDefault="00A22FB0" w:rsidP="00BB7FD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Financial Sustainability</w:t>
            </w:r>
          </w:p>
          <w:p w:rsidR="00A22FB0" w:rsidRDefault="00A22FB0" w:rsidP="00BB7FD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Workforce</w:t>
            </w:r>
          </w:p>
          <w:p w:rsidR="00A22FB0" w:rsidRDefault="00A22FB0" w:rsidP="00BB7FD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Sustainable Primary and Community Care</w:t>
            </w:r>
          </w:p>
          <w:p w:rsidR="00A22FB0" w:rsidRDefault="00A22FB0" w:rsidP="00BB7FD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Delivery of IMTP</w:t>
            </w:r>
          </w:p>
          <w:p w:rsidR="00DF64C3" w:rsidRDefault="00DF64C3" w:rsidP="00DF64C3">
            <w:pPr>
              <w:pStyle w:val="ListParagraph"/>
              <w:ind w:left="0"/>
              <w:cnfStyle w:val="000000000000" w:firstRow="0" w:lastRow="0" w:firstColumn="0" w:lastColumn="0" w:oddVBand="0" w:evenVBand="0" w:oddHBand="0" w:evenHBand="0" w:firstRowFirstColumn="0" w:firstRowLastColumn="0" w:lastRowFirstColumn="0" w:lastRowLastColumn="0"/>
            </w:pPr>
          </w:p>
        </w:tc>
      </w:tr>
      <w:tr w:rsidR="00DF64C3" w:rsidTr="00835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Reduce harm, waste and variation sustainably so that we live within the resource available</w:t>
            </w:r>
          </w:p>
          <w:p w:rsidR="00DF64C3" w:rsidRDefault="00DF64C3" w:rsidP="00DF64C3">
            <w:pPr>
              <w:pStyle w:val="ListParagraph"/>
            </w:pPr>
          </w:p>
        </w:tc>
        <w:tc>
          <w:tcPr>
            <w:tcW w:w="4820" w:type="dxa"/>
          </w:tcPr>
          <w:p w:rsidR="00DF64C3" w:rsidRDefault="00A22FB0" w:rsidP="00BB7F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Patient Safety</w:t>
            </w:r>
          </w:p>
          <w:p w:rsidR="00A22FB0" w:rsidRDefault="00A22FB0" w:rsidP="00BB7FDA">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t>Financial Sustainability</w:t>
            </w:r>
          </w:p>
        </w:tc>
      </w:tr>
      <w:tr w:rsidR="00DF64C3" w:rsidTr="00835FE3">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Be a great place to work and learn</w:t>
            </w:r>
          </w:p>
          <w:p w:rsidR="00DF64C3" w:rsidRDefault="00DF64C3" w:rsidP="00DF64C3">
            <w:pPr>
              <w:pStyle w:val="ListParagraph"/>
            </w:pPr>
          </w:p>
        </w:tc>
        <w:tc>
          <w:tcPr>
            <w:tcW w:w="4820" w:type="dxa"/>
          </w:tcPr>
          <w:p w:rsidR="00DF64C3" w:rsidRDefault="00A22FB0" w:rsidP="00BB7FDA">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Workforce</w:t>
            </w:r>
          </w:p>
          <w:p w:rsidR="00A22FB0" w:rsidRDefault="00A22FB0" w:rsidP="00BB7FDA">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Financial Sustainability</w:t>
            </w:r>
          </w:p>
          <w:p w:rsidR="00A22FB0" w:rsidRDefault="00A22FB0" w:rsidP="00BB7FDA">
            <w:pPr>
              <w:pStyle w:val="ListParagraph"/>
              <w:numPr>
                <w:ilvl w:val="0"/>
                <w:numId w:val="41"/>
              </w:numPr>
              <w:cnfStyle w:val="000000000000" w:firstRow="0" w:lastRow="0" w:firstColumn="0" w:lastColumn="0" w:oddVBand="0" w:evenVBand="0" w:oddHBand="0" w:evenHBand="0" w:firstRowFirstColumn="0" w:firstRowLastColumn="0" w:lastRowFirstColumn="0" w:lastRowLastColumn="0"/>
            </w:pPr>
            <w:r>
              <w:t>Sustainable Cultural Change</w:t>
            </w:r>
          </w:p>
          <w:p w:rsidR="00A22FB0" w:rsidRDefault="00A22FB0" w:rsidP="00DF64C3">
            <w:pPr>
              <w:pStyle w:val="ListParagraph"/>
              <w:ind w:left="0"/>
              <w:cnfStyle w:val="000000000000" w:firstRow="0" w:lastRow="0" w:firstColumn="0" w:lastColumn="0" w:oddVBand="0" w:evenVBand="0" w:oddHBand="0" w:evenHBand="0" w:firstRowFirstColumn="0" w:firstRowLastColumn="0" w:lastRowFirstColumn="0" w:lastRowLastColumn="0"/>
            </w:pPr>
          </w:p>
        </w:tc>
      </w:tr>
      <w:tr w:rsidR="00DF64C3" w:rsidTr="00835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Work better together with partners to deliver care and support across care sectors, making best use of people and technology</w:t>
            </w:r>
          </w:p>
          <w:p w:rsidR="00DF64C3" w:rsidRDefault="00DF64C3" w:rsidP="00DF64C3">
            <w:pPr>
              <w:pStyle w:val="ListParagraph"/>
            </w:pPr>
          </w:p>
        </w:tc>
        <w:tc>
          <w:tcPr>
            <w:tcW w:w="4820" w:type="dxa"/>
          </w:tcPr>
          <w:p w:rsidR="00A22FB0" w:rsidRDefault="00A22FB0" w:rsidP="00BB7FDA">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t>Workforce</w:t>
            </w:r>
          </w:p>
          <w:p w:rsidR="00A22FB0" w:rsidRDefault="00A22FB0" w:rsidP="00BB7FDA">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t>Financial Sustainability</w:t>
            </w:r>
          </w:p>
          <w:p w:rsidR="00A22FB0" w:rsidRDefault="00A22FB0" w:rsidP="00BB7FDA">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t>Sustainable Primary and Community Care</w:t>
            </w:r>
          </w:p>
          <w:p w:rsidR="00A22FB0" w:rsidRDefault="00A22FB0" w:rsidP="00BB7FDA">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t>Delivery of IMTP</w:t>
            </w:r>
          </w:p>
          <w:p w:rsidR="00A22FB0" w:rsidRDefault="00A22FB0" w:rsidP="00DF64C3">
            <w:pPr>
              <w:pStyle w:val="ListParagraph"/>
              <w:ind w:left="0"/>
              <w:cnfStyle w:val="000000100000" w:firstRow="0" w:lastRow="0" w:firstColumn="0" w:lastColumn="0" w:oddVBand="0" w:evenVBand="0" w:oddHBand="1" w:evenHBand="0" w:firstRowFirstColumn="0" w:firstRowLastColumn="0" w:lastRowFirstColumn="0" w:lastRowLastColumn="0"/>
            </w:pPr>
          </w:p>
        </w:tc>
      </w:tr>
      <w:tr w:rsidR="00DF64C3" w:rsidTr="00835FE3">
        <w:tc>
          <w:tcPr>
            <w:cnfStyle w:val="001000000000" w:firstRow="0" w:lastRow="0" w:firstColumn="1" w:lastColumn="0" w:oddVBand="0" w:evenVBand="0" w:oddHBand="0" w:evenHBand="0" w:firstRowFirstColumn="0" w:firstRowLastColumn="0" w:lastRowFirstColumn="0" w:lastRowLastColumn="0"/>
            <w:tcW w:w="5449" w:type="dxa"/>
          </w:tcPr>
          <w:p w:rsidR="00DF64C3" w:rsidRDefault="00DF64C3" w:rsidP="00DF64C3">
            <w:pPr>
              <w:pStyle w:val="ListParagraph"/>
              <w:numPr>
                <w:ilvl w:val="0"/>
                <w:numId w:val="30"/>
              </w:numPr>
            </w:pPr>
            <w:r>
              <w:t>Excel at teaching, research, innovation and improvement.</w:t>
            </w:r>
          </w:p>
          <w:p w:rsidR="00DF64C3" w:rsidRDefault="00DF64C3" w:rsidP="00DF64C3">
            <w:pPr>
              <w:pStyle w:val="ListParagraph"/>
            </w:pPr>
          </w:p>
        </w:tc>
        <w:tc>
          <w:tcPr>
            <w:tcW w:w="4820" w:type="dxa"/>
          </w:tcPr>
          <w:p w:rsidR="00DF64C3" w:rsidRDefault="00A22FB0" w:rsidP="00BB7FDA">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Workforce</w:t>
            </w:r>
          </w:p>
          <w:p w:rsidR="00A22FB0" w:rsidRDefault="00A22FB0" w:rsidP="00BB7FDA">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Financial Sustainability</w:t>
            </w:r>
          </w:p>
          <w:p w:rsidR="00A22FB0" w:rsidRPr="00BB7FDA" w:rsidRDefault="00A22FB0" w:rsidP="00BB7FDA">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Sustainable Cultural Change</w:t>
            </w:r>
          </w:p>
        </w:tc>
      </w:tr>
    </w:tbl>
    <w:p w:rsidR="00D32F7E" w:rsidRPr="00D32F7E" w:rsidRDefault="00186C46" w:rsidP="00D32F7E">
      <w:pPr>
        <w:ind w:hanging="567"/>
        <w:rPr>
          <w:b/>
        </w:rPr>
      </w:pPr>
      <w:r>
        <w:rPr>
          <w:b/>
        </w:rPr>
        <w:lastRenderedPageBreak/>
        <w:t xml:space="preserve">Key </w:t>
      </w:r>
      <w:r w:rsidRPr="00D32F7E">
        <w:rPr>
          <w:b/>
        </w:rPr>
        <w:t>Risks</w:t>
      </w:r>
      <w:r w:rsidR="00B60180">
        <w:rPr>
          <w:b/>
        </w:rPr>
        <w:t xml:space="preserve"> </w:t>
      </w:r>
    </w:p>
    <w:tbl>
      <w:tblPr>
        <w:tblStyle w:val="TableGrid"/>
        <w:tblW w:w="11199" w:type="dxa"/>
        <w:tblInd w:w="-1139" w:type="dxa"/>
        <w:tblLayout w:type="fixed"/>
        <w:tblLook w:val="04A0" w:firstRow="1" w:lastRow="0" w:firstColumn="1" w:lastColumn="0" w:noHBand="0" w:noVBand="1"/>
      </w:tblPr>
      <w:tblGrid>
        <w:gridCol w:w="1701"/>
        <w:gridCol w:w="993"/>
        <w:gridCol w:w="708"/>
        <w:gridCol w:w="624"/>
        <w:gridCol w:w="936"/>
        <w:gridCol w:w="850"/>
        <w:gridCol w:w="2183"/>
        <w:gridCol w:w="1418"/>
        <w:gridCol w:w="1786"/>
      </w:tblGrid>
      <w:tr w:rsidR="0045792D" w:rsidRPr="005078DF" w:rsidTr="00A6373D">
        <w:tc>
          <w:tcPr>
            <w:tcW w:w="1701" w:type="dxa"/>
            <w:shd w:val="clear" w:color="auto" w:fill="D9D9D9" w:themeFill="background1" w:themeFillShade="D9"/>
          </w:tcPr>
          <w:p w:rsidR="0045792D" w:rsidRPr="005078DF" w:rsidRDefault="0045792D">
            <w:pPr>
              <w:rPr>
                <w:b/>
                <w:sz w:val="21"/>
                <w:szCs w:val="21"/>
              </w:rPr>
            </w:pPr>
            <w:r w:rsidRPr="005078DF">
              <w:rPr>
                <w:b/>
                <w:sz w:val="21"/>
                <w:szCs w:val="21"/>
              </w:rPr>
              <w:t>Risk</w:t>
            </w:r>
          </w:p>
        </w:tc>
        <w:tc>
          <w:tcPr>
            <w:tcW w:w="993" w:type="dxa"/>
            <w:shd w:val="clear" w:color="auto" w:fill="D9D9D9" w:themeFill="background1" w:themeFillShade="D9"/>
          </w:tcPr>
          <w:p w:rsidR="0045792D" w:rsidRPr="005078DF" w:rsidRDefault="0045792D">
            <w:pPr>
              <w:rPr>
                <w:b/>
                <w:sz w:val="21"/>
                <w:szCs w:val="21"/>
              </w:rPr>
            </w:pPr>
            <w:r w:rsidRPr="005078DF">
              <w:rPr>
                <w:b/>
                <w:sz w:val="21"/>
                <w:szCs w:val="21"/>
              </w:rPr>
              <w:t>Corp Risk Register Ref.</w:t>
            </w:r>
          </w:p>
        </w:tc>
        <w:tc>
          <w:tcPr>
            <w:tcW w:w="708" w:type="dxa"/>
            <w:shd w:val="clear" w:color="auto" w:fill="D9D9D9" w:themeFill="background1" w:themeFillShade="D9"/>
          </w:tcPr>
          <w:p w:rsidR="0045792D" w:rsidRPr="005078DF" w:rsidRDefault="0045792D">
            <w:pPr>
              <w:rPr>
                <w:b/>
                <w:sz w:val="21"/>
                <w:szCs w:val="21"/>
              </w:rPr>
            </w:pPr>
            <w:r w:rsidRPr="005078DF">
              <w:rPr>
                <w:b/>
                <w:sz w:val="21"/>
                <w:szCs w:val="21"/>
              </w:rPr>
              <w:t>Gross Risk</w:t>
            </w:r>
          </w:p>
        </w:tc>
        <w:tc>
          <w:tcPr>
            <w:tcW w:w="624" w:type="dxa"/>
            <w:shd w:val="clear" w:color="auto" w:fill="D9D9D9" w:themeFill="background1" w:themeFillShade="D9"/>
          </w:tcPr>
          <w:p w:rsidR="0045792D" w:rsidRPr="005078DF" w:rsidRDefault="0045792D" w:rsidP="00600583">
            <w:pPr>
              <w:rPr>
                <w:b/>
                <w:sz w:val="21"/>
                <w:szCs w:val="21"/>
              </w:rPr>
            </w:pPr>
            <w:r w:rsidRPr="005078DF">
              <w:rPr>
                <w:b/>
                <w:sz w:val="21"/>
                <w:szCs w:val="21"/>
              </w:rPr>
              <w:t xml:space="preserve">Net Risk </w:t>
            </w:r>
          </w:p>
        </w:tc>
        <w:tc>
          <w:tcPr>
            <w:tcW w:w="936" w:type="dxa"/>
            <w:shd w:val="clear" w:color="auto" w:fill="D9D9D9" w:themeFill="background1" w:themeFillShade="D9"/>
          </w:tcPr>
          <w:p w:rsidR="0045792D" w:rsidRPr="005078DF" w:rsidRDefault="005078DF" w:rsidP="00A6373D">
            <w:pPr>
              <w:rPr>
                <w:b/>
                <w:sz w:val="21"/>
                <w:szCs w:val="21"/>
              </w:rPr>
            </w:pPr>
            <w:r w:rsidRPr="005078DF">
              <w:rPr>
                <w:b/>
                <w:sz w:val="21"/>
                <w:szCs w:val="21"/>
              </w:rPr>
              <w:t>Change</w:t>
            </w:r>
            <w:r w:rsidR="006646D8">
              <w:rPr>
                <w:b/>
                <w:sz w:val="21"/>
                <w:szCs w:val="21"/>
              </w:rPr>
              <w:t xml:space="preserve"> from </w:t>
            </w:r>
            <w:r w:rsidR="00A6373D">
              <w:rPr>
                <w:b/>
                <w:sz w:val="21"/>
                <w:szCs w:val="21"/>
              </w:rPr>
              <w:t>Jan 21</w:t>
            </w:r>
          </w:p>
        </w:tc>
        <w:tc>
          <w:tcPr>
            <w:tcW w:w="850" w:type="dxa"/>
            <w:shd w:val="clear" w:color="auto" w:fill="D9D9D9" w:themeFill="background1" w:themeFillShade="D9"/>
          </w:tcPr>
          <w:p w:rsidR="0045792D" w:rsidRPr="005078DF" w:rsidRDefault="0045792D">
            <w:pPr>
              <w:rPr>
                <w:b/>
                <w:sz w:val="21"/>
                <w:szCs w:val="21"/>
              </w:rPr>
            </w:pPr>
            <w:r w:rsidRPr="005078DF">
              <w:rPr>
                <w:b/>
                <w:sz w:val="21"/>
                <w:szCs w:val="21"/>
              </w:rPr>
              <w:t>Target</w:t>
            </w:r>
          </w:p>
          <w:p w:rsidR="0045792D" w:rsidRPr="005078DF" w:rsidRDefault="0045792D">
            <w:pPr>
              <w:rPr>
                <w:b/>
                <w:sz w:val="21"/>
                <w:szCs w:val="21"/>
              </w:rPr>
            </w:pPr>
            <w:r w:rsidRPr="005078DF">
              <w:rPr>
                <w:b/>
                <w:sz w:val="21"/>
                <w:szCs w:val="21"/>
              </w:rPr>
              <w:t>Risk</w:t>
            </w:r>
          </w:p>
        </w:tc>
        <w:tc>
          <w:tcPr>
            <w:tcW w:w="2183" w:type="dxa"/>
            <w:shd w:val="clear" w:color="auto" w:fill="D9D9D9" w:themeFill="background1" w:themeFillShade="D9"/>
          </w:tcPr>
          <w:p w:rsidR="0045792D" w:rsidRPr="005078DF" w:rsidRDefault="0045792D">
            <w:pPr>
              <w:rPr>
                <w:b/>
                <w:sz w:val="21"/>
                <w:szCs w:val="21"/>
              </w:rPr>
            </w:pPr>
            <w:r w:rsidRPr="005078DF">
              <w:rPr>
                <w:b/>
                <w:sz w:val="21"/>
                <w:szCs w:val="21"/>
              </w:rPr>
              <w:t>Context</w:t>
            </w:r>
          </w:p>
        </w:tc>
        <w:tc>
          <w:tcPr>
            <w:tcW w:w="1418" w:type="dxa"/>
            <w:shd w:val="clear" w:color="auto" w:fill="D9D9D9" w:themeFill="background1" w:themeFillShade="D9"/>
          </w:tcPr>
          <w:p w:rsidR="0045792D" w:rsidRPr="005078DF" w:rsidRDefault="0045792D">
            <w:pPr>
              <w:rPr>
                <w:b/>
                <w:sz w:val="21"/>
                <w:szCs w:val="21"/>
              </w:rPr>
            </w:pPr>
            <w:r w:rsidRPr="005078DF">
              <w:rPr>
                <w:b/>
                <w:sz w:val="21"/>
                <w:szCs w:val="21"/>
              </w:rPr>
              <w:t>Executive Lead</w:t>
            </w:r>
          </w:p>
        </w:tc>
        <w:tc>
          <w:tcPr>
            <w:tcW w:w="1786" w:type="dxa"/>
            <w:shd w:val="clear" w:color="auto" w:fill="D9D9D9" w:themeFill="background1" w:themeFillShade="D9"/>
          </w:tcPr>
          <w:p w:rsidR="0045792D" w:rsidRPr="005078DF" w:rsidRDefault="0045792D">
            <w:pPr>
              <w:rPr>
                <w:b/>
                <w:sz w:val="21"/>
                <w:szCs w:val="21"/>
              </w:rPr>
            </w:pPr>
            <w:r w:rsidRPr="005078DF">
              <w:rPr>
                <w:b/>
                <w:sz w:val="21"/>
                <w:szCs w:val="21"/>
              </w:rPr>
              <w:t>Committee</w:t>
            </w:r>
          </w:p>
        </w:tc>
      </w:tr>
      <w:tr w:rsidR="0045792D" w:rsidRPr="005078DF" w:rsidTr="00A6373D">
        <w:tc>
          <w:tcPr>
            <w:tcW w:w="1701" w:type="dxa"/>
          </w:tcPr>
          <w:p w:rsidR="0045792D" w:rsidRPr="005078DF" w:rsidRDefault="0045792D" w:rsidP="00D30574">
            <w:pPr>
              <w:pStyle w:val="ListParagraph"/>
              <w:numPr>
                <w:ilvl w:val="0"/>
                <w:numId w:val="1"/>
              </w:numPr>
              <w:ind w:left="426" w:hanging="284"/>
              <w:rPr>
                <w:sz w:val="21"/>
                <w:szCs w:val="21"/>
              </w:rPr>
            </w:pPr>
            <w:r w:rsidRPr="005078DF">
              <w:rPr>
                <w:sz w:val="21"/>
                <w:szCs w:val="21"/>
              </w:rPr>
              <w:t>Workforce</w:t>
            </w:r>
          </w:p>
        </w:tc>
        <w:tc>
          <w:tcPr>
            <w:tcW w:w="993" w:type="dxa"/>
            <w:shd w:val="clear" w:color="auto" w:fill="auto"/>
          </w:tcPr>
          <w:p w:rsidR="0045792D" w:rsidRPr="005078DF" w:rsidRDefault="00A34E3A" w:rsidP="00A34E3A">
            <w:pPr>
              <w:rPr>
                <w:sz w:val="21"/>
                <w:szCs w:val="21"/>
              </w:rPr>
            </w:pPr>
            <w:r>
              <w:rPr>
                <w:sz w:val="21"/>
                <w:szCs w:val="21"/>
              </w:rPr>
              <w:t>5,11,16</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25</w:t>
            </w:r>
          </w:p>
        </w:tc>
        <w:tc>
          <w:tcPr>
            <w:tcW w:w="624" w:type="dxa"/>
            <w:shd w:val="clear" w:color="auto" w:fill="FF0000"/>
          </w:tcPr>
          <w:p w:rsidR="0045792D" w:rsidRPr="005078DF" w:rsidRDefault="008D5AF4" w:rsidP="00B60180">
            <w:pPr>
              <w:jc w:val="center"/>
              <w:rPr>
                <w:b/>
                <w:sz w:val="21"/>
                <w:szCs w:val="21"/>
              </w:rPr>
            </w:pPr>
            <w:r>
              <w:rPr>
                <w:b/>
                <w:sz w:val="21"/>
                <w:szCs w:val="21"/>
              </w:rPr>
              <w:t>15</w:t>
            </w:r>
          </w:p>
        </w:tc>
        <w:tc>
          <w:tcPr>
            <w:tcW w:w="936" w:type="dxa"/>
            <w:shd w:val="clear" w:color="auto" w:fill="auto"/>
          </w:tcPr>
          <w:p w:rsidR="0045792D" w:rsidRPr="005078DF" w:rsidRDefault="00D4247B"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81792" behindDoc="0" locked="0" layoutInCell="1" allowOverlap="1" wp14:anchorId="3FE9436A" wp14:editId="72CC01A9">
                      <wp:simplePos x="0" y="0"/>
                      <wp:positionH relativeFrom="column">
                        <wp:posOffset>84455</wp:posOffset>
                      </wp:positionH>
                      <wp:positionV relativeFrom="paragraph">
                        <wp:posOffset>55245</wp:posOffset>
                      </wp:positionV>
                      <wp:extent cx="228600" cy="2571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E3E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65pt;margin-top:4.35pt;width:18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" adj="10800" fillcolor="#4f81bd [3204]" strokecolor="#243f60 [1604]" strokeweight="2pt"/>
                  </w:pict>
                </mc:Fallback>
              </mc:AlternateContent>
            </w:r>
          </w:p>
        </w:tc>
        <w:tc>
          <w:tcPr>
            <w:tcW w:w="850" w:type="dxa"/>
            <w:shd w:val="clear" w:color="auto" w:fill="FFC000"/>
          </w:tcPr>
          <w:p w:rsidR="0045792D" w:rsidRPr="005078DF" w:rsidRDefault="008D5AF4" w:rsidP="00B60180">
            <w:pPr>
              <w:jc w:val="center"/>
              <w:rPr>
                <w:b/>
                <w:sz w:val="21"/>
                <w:szCs w:val="21"/>
              </w:rPr>
            </w:pPr>
            <w:r>
              <w:rPr>
                <w:b/>
                <w:sz w:val="21"/>
                <w:szCs w:val="21"/>
              </w:rPr>
              <w:t>10</w:t>
            </w:r>
          </w:p>
        </w:tc>
        <w:tc>
          <w:tcPr>
            <w:tcW w:w="2183" w:type="dxa"/>
          </w:tcPr>
          <w:p w:rsidR="0045792D" w:rsidRPr="005078DF" w:rsidRDefault="0045792D" w:rsidP="00135575">
            <w:pPr>
              <w:pStyle w:val="Default"/>
              <w:rPr>
                <w:rFonts w:asciiTheme="minorHAnsi" w:hAnsiTheme="minorHAnsi"/>
                <w:sz w:val="21"/>
                <w:szCs w:val="21"/>
              </w:rPr>
            </w:pPr>
            <w:r w:rsidRPr="005078DF">
              <w:rPr>
                <w:rFonts w:asciiTheme="minorHAnsi" w:hAnsiTheme="minorHAnsi"/>
                <w:sz w:val="21"/>
                <w:szCs w:val="21"/>
              </w:rPr>
              <w:t xml:space="preserve">Across Wales there have been increasing challenges in recruiting healthcare professionals.  Meeting the requirements of a growing population which is older and with more complex health needs as well as increasing demand on health services has led for an increasing need in clinical staff. </w:t>
            </w:r>
          </w:p>
          <w:p w:rsidR="0045792D" w:rsidRPr="005078DF" w:rsidRDefault="0045792D" w:rsidP="00B60180">
            <w:pPr>
              <w:rPr>
                <w:sz w:val="21"/>
                <w:szCs w:val="21"/>
              </w:rPr>
            </w:pPr>
            <w:r w:rsidRPr="005078DF">
              <w:rPr>
                <w:sz w:val="21"/>
                <w:szCs w:val="21"/>
              </w:rPr>
              <w:t>Staff costs represent the largest expense for the NHS in Wales. The pay bill has continued to increase year on year, with a significant increase over the last three years.</w:t>
            </w:r>
          </w:p>
        </w:tc>
        <w:tc>
          <w:tcPr>
            <w:tcW w:w="1418" w:type="dxa"/>
          </w:tcPr>
          <w:p w:rsidR="0045792D" w:rsidRPr="005078DF" w:rsidRDefault="0045792D">
            <w:pPr>
              <w:rPr>
                <w:sz w:val="21"/>
                <w:szCs w:val="21"/>
              </w:rPr>
            </w:pPr>
            <w:r w:rsidRPr="005078DF">
              <w:rPr>
                <w:sz w:val="21"/>
                <w:szCs w:val="21"/>
              </w:rPr>
              <w:t>Deputy CEO &amp; Executive Director of Workforce and OD</w:t>
            </w:r>
          </w:p>
        </w:tc>
        <w:tc>
          <w:tcPr>
            <w:tcW w:w="1786" w:type="dxa"/>
          </w:tcPr>
          <w:p w:rsidR="0045792D" w:rsidRPr="005078DF" w:rsidRDefault="0045792D">
            <w:pPr>
              <w:rPr>
                <w:sz w:val="21"/>
                <w:szCs w:val="21"/>
              </w:rPr>
            </w:pPr>
            <w:r w:rsidRPr="005078DF">
              <w:rPr>
                <w:sz w:val="21"/>
                <w:szCs w:val="21"/>
              </w:rPr>
              <w:t>Strategy and Delivery Committee</w:t>
            </w:r>
          </w:p>
        </w:tc>
      </w:tr>
      <w:tr w:rsidR="0045792D" w:rsidRPr="005078DF" w:rsidTr="00A6373D">
        <w:trPr>
          <w:trHeight w:val="2684"/>
        </w:trPr>
        <w:tc>
          <w:tcPr>
            <w:tcW w:w="1701" w:type="dxa"/>
          </w:tcPr>
          <w:p w:rsidR="0045792D" w:rsidRPr="005078DF" w:rsidRDefault="0045792D" w:rsidP="00715A43">
            <w:pPr>
              <w:pStyle w:val="ListParagraph"/>
              <w:numPr>
                <w:ilvl w:val="0"/>
                <w:numId w:val="1"/>
              </w:numPr>
              <w:ind w:left="338" w:right="-391" w:hanging="283"/>
              <w:jc w:val="both"/>
              <w:rPr>
                <w:sz w:val="21"/>
                <w:szCs w:val="21"/>
              </w:rPr>
            </w:pPr>
            <w:r w:rsidRPr="005078DF">
              <w:rPr>
                <w:sz w:val="21"/>
                <w:szCs w:val="21"/>
              </w:rPr>
              <w:t>Financial Sustainability</w:t>
            </w:r>
          </w:p>
          <w:p w:rsidR="0045792D" w:rsidRPr="005078DF" w:rsidRDefault="0045792D" w:rsidP="00AE08FD">
            <w:pPr>
              <w:rPr>
                <w:sz w:val="21"/>
                <w:szCs w:val="21"/>
              </w:rPr>
            </w:pPr>
          </w:p>
          <w:p w:rsidR="0045792D" w:rsidRPr="005078DF" w:rsidRDefault="0045792D" w:rsidP="00AE08FD">
            <w:pPr>
              <w:rPr>
                <w:sz w:val="21"/>
                <w:szCs w:val="21"/>
              </w:rPr>
            </w:pPr>
          </w:p>
        </w:tc>
        <w:tc>
          <w:tcPr>
            <w:tcW w:w="993" w:type="dxa"/>
            <w:shd w:val="clear" w:color="auto" w:fill="auto"/>
          </w:tcPr>
          <w:p w:rsidR="0045792D" w:rsidRPr="005078DF" w:rsidRDefault="00A34E3A" w:rsidP="00A34E3A">
            <w:pPr>
              <w:rPr>
                <w:sz w:val="21"/>
                <w:szCs w:val="21"/>
              </w:rPr>
            </w:pPr>
            <w:r>
              <w:rPr>
                <w:sz w:val="21"/>
                <w:szCs w:val="21"/>
              </w:rPr>
              <w:t>31,32,33</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25</w:t>
            </w:r>
          </w:p>
        </w:tc>
        <w:tc>
          <w:tcPr>
            <w:tcW w:w="624" w:type="dxa"/>
            <w:shd w:val="clear" w:color="auto" w:fill="FFC000"/>
          </w:tcPr>
          <w:p w:rsidR="0045792D" w:rsidRPr="005078DF" w:rsidRDefault="006646D8" w:rsidP="00097138">
            <w:pPr>
              <w:jc w:val="center"/>
              <w:rPr>
                <w:b/>
                <w:sz w:val="21"/>
                <w:szCs w:val="21"/>
              </w:rPr>
            </w:pPr>
            <w:r>
              <w:rPr>
                <w:b/>
                <w:sz w:val="21"/>
                <w:szCs w:val="21"/>
              </w:rPr>
              <w:t>1</w:t>
            </w:r>
            <w:r w:rsidR="0045792D" w:rsidRPr="005078DF">
              <w:rPr>
                <w:b/>
                <w:sz w:val="21"/>
                <w:szCs w:val="21"/>
              </w:rPr>
              <w:t>0</w:t>
            </w:r>
          </w:p>
        </w:tc>
        <w:tc>
          <w:tcPr>
            <w:tcW w:w="936" w:type="dxa"/>
            <w:shd w:val="clear" w:color="auto" w:fill="auto"/>
          </w:tcPr>
          <w:p w:rsidR="0045792D" w:rsidRPr="005078DF" w:rsidRDefault="00D4247B"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83840" behindDoc="0" locked="0" layoutInCell="1" allowOverlap="1" wp14:anchorId="3FE9436A" wp14:editId="72CC01A9">
                      <wp:simplePos x="0" y="0"/>
                      <wp:positionH relativeFrom="column">
                        <wp:posOffset>93980</wp:posOffset>
                      </wp:positionH>
                      <wp:positionV relativeFrom="paragraph">
                        <wp:posOffset>105410</wp:posOffset>
                      </wp:positionV>
                      <wp:extent cx="228600" cy="25717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D782" id="Right Arrow 3" o:spid="_x0000_s1026" type="#_x0000_t13" style="position:absolute;margin-left:7.4pt;margin-top:8.3pt;width:18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" adj="10800" fillcolor="#4f81bd [3204]" strokecolor="#243f60 [1604]" strokeweight="2pt"/>
                  </w:pict>
                </mc:Fallback>
              </mc:AlternateContent>
            </w:r>
          </w:p>
        </w:tc>
        <w:tc>
          <w:tcPr>
            <w:tcW w:w="850" w:type="dxa"/>
            <w:shd w:val="clear" w:color="auto" w:fill="FFC000"/>
          </w:tcPr>
          <w:p w:rsidR="0045792D" w:rsidRPr="005078DF" w:rsidRDefault="006646D8" w:rsidP="00B60180">
            <w:pPr>
              <w:jc w:val="center"/>
              <w:rPr>
                <w:b/>
                <w:sz w:val="21"/>
                <w:szCs w:val="21"/>
              </w:rPr>
            </w:pPr>
            <w:r>
              <w:rPr>
                <w:b/>
                <w:sz w:val="21"/>
                <w:szCs w:val="21"/>
              </w:rPr>
              <w:t>8</w:t>
            </w:r>
          </w:p>
        </w:tc>
        <w:tc>
          <w:tcPr>
            <w:tcW w:w="2183" w:type="dxa"/>
          </w:tcPr>
          <w:p w:rsidR="0045792D" w:rsidRPr="005078DF" w:rsidRDefault="0045792D" w:rsidP="00B60180">
            <w:pPr>
              <w:rPr>
                <w:sz w:val="21"/>
                <w:szCs w:val="21"/>
              </w:rPr>
            </w:pPr>
            <w:r w:rsidRPr="005078DF">
              <w:rPr>
                <w:sz w:val="21"/>
                <w:szCs w:val="21"/>
              </w:rPr>
              <w:t>Across Wales, Health Boards and Trusts are seeking to manage their financial pressures by driving out inefficiencies, while at the same time looking to derive greater value from their resources through innovative ways of working and practicing prudent healthcare. As well as the NHS, public sector services, the third sector, and the public have significant roles to play to achieve a sustainable health and care system in the future.  Covid 19 has had a significant impact on the finances of Healthcare in Wales and the UHB has significant financial pressures to now deal with.</w:t>
            </w:r>
          </w:p>
        </w:tc>
        <w:tc>
          <w:tcPr>
            <w:tcW w:w="1418" w:type="dxa"/>
          </w:tcPr>
          <w:p w:rsidR="0045792D" w:rsidRPr="005078DF" w:rsidRDefault="0045792D" w:rsidP="00B838A9">
            <w:pPr>
              <w:rPr>
                <w:sz w:val="21"/>
                <w:szCs w:val="21"/>
              </w:rPr>
            </w:pPr>
            <w:r w:rsidRPr="005078DF">
              <w:rPr>
                <w:sz w:val="21"/>
                <w:szCs w:val="21"/>
              </w:rPr>
              <w:t xml:space="preserve">Executive Director of Finance </w:t>
            </w:r>
          </w:p>
        </w:tc>
        <w:tc>
          <w:tcPr>
            <w:tcW w:w="1786" w:type="dxa"/>
          </w:tcPr>
          <w:p w:rsidR="0045792D" w:rsidRPr="005078DF" w:rsidRDefault="0045792D" w:rsidP="00B838A9">
            <w:pPr>
              <w:rPr>
                <w:sz w:val="21"/>
                <w:szCs w:val="21"/>
              </w:rPr>
            </w:pPr>
            <w:r w:rsidRPr="005078DF">
              <w:rPr>
                <w:sz w:val="21"/>
                <w:szCs w:val="21"/>
              </w:rPr>
              <w:t>Finance Committee</w:t>
            </w:r>
          </w:p>
        </w:tc>
      </w:tr>
      <w:tr w:rsidR="0045792D" w:rsidRPr="005078DF" w:rsidTr="00A6373D">
        <w:tc>
          <w:tcPr>
            <w:tcW w:w="1701" w:type="dxa"/>
          </w:tcPr>
          <w:p w:rsidR="0045792D" w:rsidRPr="005078DF" w:rsidRDefault="0045792D" w:rsidP="00D30574">
            <w:pPr>
              <w:pStyle w:val="ListParagraph"/>
              <w:numPr>
                <w:ilvl w:val="0"/>
                <w:numId w:val="1"/>
              </w:numPr>
              <w:ind w:left="426" w:hanging="284"/>
              <w:rPr>
                <w:sz w:val="21"/>
                <w:szCs w:val="21"/>
              </w:rPr>
            </w:pPr>
            <w:r w:rsidRPr="005078DF">
              <w:rPr>
                <w:sz w:val="21"/>
                <w:szCs w:val="21"/>
              </w:rPr>
              <w:br w:type="page"/>
              <w:t xml:space="preserve">Sustainable Primary and </w:t>
            </w:r>
            <w:r w:rsidRPr="005078DF">
              <w:rPr>
                <w:sz w:val="21"/>
                <w:szCs w:val="21"/>
              </w:rPr>
              <w:lastRenderedPageBreak/>
              <w:t>Community Care</w:t>
            </w:r>
          </w:p>
          <w:p w:rsidR="0045792D" w:rsidRPr="005078DF" w:rsidRDefault="0045792D" w:rsidP="00AE08FD">
            <w:pPr>
              <w:rPr>
                <w:sz w:val="21"/>
                <w:szCs w:val="21"/>
              </w:rPr>
            </w:pPr>
          </w:p>
        </w:tc>
        <w:tc>
          <w:tcPr>
            <w:tcW w:w="993" w:type="dxa"/>
            <w:shd w:val="clear" w:color="auto" w:fill="auto"/>
          </w:tcPr>
          <w:p w:rsidR="0045792D" w:rsidRPr="005078DF" w:rsidRDefault="00A34E3A" w:rsidP="00B60180">
            <w:pPr>
              <w:jc w:val="center"/>
              <w:rPr>
                <w:sz w:val="21"/>
                <w:szCs w:val="21"/>
              </w:rPr>
            </w:pPr>
            <w:r>
              <w:rPr>
                <w:sz w:val="21"/>
                <w:szCs w:val="21"/>
              </w:rPr>
              <w:lastRenderedPageBreak/>
              <w:t>12,14</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20</w:t>
            </w:r>
          </w:p>
        </w:tc>
        <w:tc>
          <w:tcPr>
            <w:tcW w:w="624" w:type="dxa"/>
            <w:shd w:val="clear" w:color="auto" w:fill="FF0000"/>
          </w:tcPr>
          <w:p w:rsidR="0045792D" w:rsidRPr="005078DF" w:rsidRDefault="0045792D" w:rsidP="00B60180">
            <w:pPr>
              <w:jc w:val="center"/>
              <w:rPr>
                <w:b/>
                <w:sz w:val="21"/>
                <w:szCs w:val="21"/>
              </w:rPr>
            </w:pPr>
            <w:r w:rsidRPr="005078DF">
              <w:rPr>
                <w:b/>
                <w:sz w:val="21"/>
                <w:szCs w:val="21"/>
              </w:rPr>
              <w:t>15</w:t>
            </w:r>
          </w:p>
        </w:tc>
        <w:tc>
          <w:tcPr>
            <w:tcW w:w="936" w:type="dxa"/>
            <w:shd w:val="clear" w:color="auto" w:fill="auto"/>
          </w:tcPr>
          <w:p w:rsidR="0045792D" w:rsidRPr="005078DF" w:rsidRDefault="005078DF"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63360" behindDoc="0" locked="0" layoutInCell="1" allowOverlap="1" wp14:anchorId="1C2834EA" wp14:editId="4D82A436">
                      <wp:simplePos x="0" y="0"/>
                      <wp:positionH relativeFrom="column">
                        <wp:posOffset>122555</wp:posOffset>
                      </wp:positionH>
                      <wp:positionV relativeFrom="paragraph">
                        <wp:posOffset>87630</wp:posOffset>
                      </wp:positionV>
                      <wp:extent cx="228600" cy="2571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CD9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9.65pt;margin-top:6.9pt;width: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" adj="10800" fillcolor="#4f81bd [3204]" strokecolor="#243f60 [1604]" strokeweight="2pt"/>
                  </w:pict>
                </mc:Fallback>
              </mc:AlternateContent>
            </w:r>
          </w:p>
        </w:tc>
        <w:tc>
          <w:tcPr>
            <w:tcW w:w="850" w:type="dxa"/>
            <w:shd w:val="clear" w:color="auto" w:fill="FFC000"/>
          </w:tcPr>
          <w:p w:rsidR="0045792D" w:rsidRPr="005078DF" w:rsidRDefault="0045792D" w:rsidP="00B60180">
            <w:pPr>
              <w:jc w:val="center"/>
              <w:rPr>
                <w:b/>
                <w:sz w:val="21"/>
                <w:szCs w:val="21"/>
              </w:rPr>
            </w:pPr>
            <w:r w:rsidRPr="005078DF">
              <w:rPr>
                <w:b/>
                <w:sz w:val="21"/>
                <w:szCs w:val="21"/>
              </w:rPr>
              <w:t>10</w:t>
            </w:r>
          </w:p>
        </w:tc>
        <w:tc>
          <w:tcPr>
            <w:tcW w:w="2183" w:type="dxa"/>
          </w:tcPr>
          <w:p w:rsidR="0045792D" w:rsidRPr="005078DF" w:rsidRDefault="0045792D" w:rsidP="00B60180">
            <w:pPr>
              <w:rPr>
                <w:sz w:val="21"/>
                <w:szCs w:val="21"/>
              </w:rPr>
            </w:pPr>
            <w:r w:rsidRPr="005078DF">
              <w:rPr>
                <w:sz w:val="21"/>
                <w:szCs w:val="21"/>
              </w:rPr>
              <w:t xml:space="preserve">The strategy of “Care closer to home” is built on the </w:t>
            </w:r>
            <w:r w:rsidRPr="005078DF">
              <w:rPr>
                <w:sz w:val="21"/>
                <w:szCs w:val="21"/>
              </w:rPr>
              <w:lastRenderedPageBreak/>
              <w:t>assumption that there are a significant number of patients that are either referred to or turn up at a Hospital setting because there is no viable alternative at the time at which they become sick. They are then typically admitted because at that stage similarly there is no viable alternative to manage/support these patients in their local setting or their place of residence. Therefore it is important to create firstly the capacity of primary and Community Care, and then increase the capability of Primary and Community Care to be able to respond to the individual and varied needs of those patients in both crisis intervention but more commonly preventative and support arrangements.</w:t>
            </w:r>
          </w:p>
        </w:tc>
        <w:tc>
          <w:tcPr>
            <w:tcW w:w="1418" w:type="dxa"/>
          </w:tcPr>
          <w:p w:rsidR="0045792D" w:rsidRPr="005078DF" w:rsidRDefault="0045792D">
            <w:pPr>
              <w:rPr>
                <w:sz w:val="21"/>
                <w:szCs w:val="21"/>
              </w:rPr>
            </w:pPr>
            <w:r w:rsidRPr="005078DF">
              <w:rPr>
                <w:sz w:val="21"/>
                <w:szCs w:val="21"/>
              </w:rPr>
              <w:lastRenderedPageBreak/>
              <w:t>Chief Operating Officer</w:t>
            </w:r>
          </w:p>
        </w:tc>
        <w:tc>
          <w:tcPr>
            <w:tcW w:w="1786" w:type="dxa"/>
          </w:tcPr>
          <w:p w:rsidR="0045792D" w:rsidRPr="005078DF" w:rsidRDefault="0045792D">
            <w:pPr>
              <w:rPr>
                <w:sz w:val="21"/>
                <w:szCs w:val="21"/>
              </w:rPr>
            </w:pPr>
            <w:r w:rsidRPr="005078DF">
              <w:rPr>
                <w:sz w:val="21"/>
                <w:szCs w:val="21"/>
              </w:rPr>
              <w:t>Strategy and Delivery Committee</w:t>
            </w:r>
          </w:p>
        </w:tc>
      </w:tr>
      <w:tr w:rsidR="0045792D" w:rsidRPr="005078DF" w:rsidTr="00A6373D">
        <w:tc>
          <w:tcPr>
            <w:tcW w:w="1701" w:type="dxa"/>
          </w:tcPr>
          <w:p w:rsidR="0045792D" w:rsidRPr="005078DF" w:rsidRDefault="0045792D" w:rsidP="00D30574">
            <w:pPr>
              <w:pStyle w:val="ListParagraph"/>
              <w:numPr>
                <w:ilvl w:val="0"/>
                <w:numId w:val="1"/>
              </w:numPr>
              <w:ind w:left="426" w:hanging="284"/>
              <w:rPr>
                <w:sz w:val="21"/>
                <w:szCs w:val="21"/>
              </w:rPr>
            </w:pPr>
            <w:r w:rsidRPr="005078DF">
              <w:rPr>
                <w:sz w:val="21"/>
                <w:szCs w:val="21"/>
              </w:rPr>
              <w:t>Patient Safety</w:t>
            </w:r>
          </w:p>
          <w:p w:rsidR="0045792D" w:rsidRPr="005078DF" w:rsidRDefault="0045792D" w:rsidP="00AE08FD">
            <w:pPr>
              <w:rPr>
                <w:sz w:val="21"/>
                <w:szCs w:val="21"/>
              </w:rPr>
            </w:pPr>
          </w:p>
        </w:tc>
        <w:tc>
          <w:tcPr>
            <w:tcW w:w="993" w:type="dxa"/>
            <w:shd w:val="clear" w:color="auto" w:fill="auto"/>
          </w:tcPr>
          <w:p w:rsidR="0045792D" w:rsidRPr="005078DF" w:rsidRDefault="00A34E3A" w:rsidP="009F46D8">
            <w:pPr>
              <w:rPr>
                <w:sz w:val="21"/>
                <w:szCs w:val="21"/>
              </w:rPr>
            </w:pPr>
            <w:r>
              <w:rPr>
                <w:sz w:val="21"/>
                <w:szCs w:val="21"/>
              </w:rPr>
              <w:t>2,7,8,9,</w:t>
            </w:r>
            <w:r w:rsidR="00DB67B1">
              <w:rPr>
                <w:sz w:val="21"/>
                <w:szCs w:val="21"/>
              </w:rPr>
              <w:t>15,17,18,19,20,21,25,26,29,40,41,42</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25</w:t>
            </w:r>
          </w:p>
        </w:tc>
        <w:tc>
          <w:tcPr>
            <w:tcW w:w="624" w:type="dxa"/>
            <w:shd w:val="clear" w:color="auto" w:fill="FF0000"/>
          </w:tcPr>
          <w:p w:rsidR="0045792D" w:rsidRPr="005078DF" w:rsidRDefault="00525CD8" w:rsidP="00B60180">
            <w:pPr>
              <w:jc w:val="center"/>
              <w:rPr>
                <w:b/>
                <w:sz w:val="21"/>
                <w:szCs w:val="21"/>
              </w:rPr>
            </w:pPr>
            <w:r>
              <w:rPr>
                <w:b/>
                <w:sz w:val="21"/>
                <w:szCs w:val="21"/>
              </w:rPr>
              <w:t>20</w:t>
            </w:r>
          </w:p>
        </w:tc>
        <w:tc>
          <w:tcPr>
            <w:tcW w:w="936" w:type="dxa"/>
            <w:shd w:val="clear" w:color="auto" w:fill="auto"/>
          </w:tcPr>
          <w:p w:rsidR="0045792D" w:rsidRPr="005078DF" w:rsidRDefault="00D4247B"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85888" behindDoc="0" locked="0" layoutInCell="1" allowOverlap="1" wp14:anchorId="3FE9436A" wp14:editId="72CC01A9">
                      <wp:simplePos x="0" y="0"/>
                      <wp:positionH relativeFrom="column">
                        <wp:posOffset>93980</wp:posOffset>
                      </wp:positionH>
                      <wp:positionV relativeFrom="paragraph">
                        <wp:posOffset>76200</wp:posOffset>
                      </wp:positionV>
                      <wp:extent cx="228600" cy="2571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2FCE6" id="Right Arrow 5" o:spid="_x0000_s1026" type="#_x0000_t13" style="position:absolute;margin-left:7.4pt;margin-top:6pt;width:18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" adj="10800" fillcolor="#4f81bd [3204]" strokecolor="#243f60 [1604]" strokeweight="2pt"/>
                  </w:pict>
                </mc:Fallback>
              </mc:AlternateContent>
            </w:r>
          </w:p>
        </w:tc>
        <w:tc>
          <w:tcPr>
            <w:tcW w:w="850" w:type="dxa"/>
            <w:shd w:val="clear" w:color="auto" w:fill="FFC000"/>
          </w:tcPr>
          <w:p w:rsidR="0045792D" w:rsidRPr="005078DF" w:rsidRDefault="0045792D" w:rsidP="00B60180">
            <w:pPr>
              <w:jc w:val="center"/>
              <w:rPr>
                <w:b/>
                <w:sz w:val="21"/>
                <w:szCs w:val="21"/>
              </w:rPr>
            </w:pPr>
            <w:r w:rsidRPr="005078DF">
              <w:rPr>
                <w:b/>
                <w:sz w:val="21"/>
                <w:szCs w:val="21"/>
              </w:rPr>
              <w:t>10</w:t>
            </w:r>
          </w:p>
        </w:tc>
        <w:tc>
          <w:tcPr>
            <w:tcW w:w="2183" w:type="dxa"/>
          </w:tcPr>
          <w:p w:rsidR="0045792D" w:rsidRPr="005078DF" w:rsidRDefault="0045792D" w:rsidP="005F789E">
            <w:pPr>
              <w:rPr>
                <w:sz w:val="21"/>
                <w:szCs w:val="21"/>
              </w:rPr>
            </w:pPr>
            <w:r w:rsidRPr="005078DF">
              <w:rPr>
                <w:rFonts w:cs="Tahoma"/>
                <w:sz w:val="21"/>
                <w:szCs w:val="21"/>
              </w:rPr>
              <w:t>Patient safety should be above all else for the Cardiff and Vale University Health Board.</w:t>
            </w:r>
            <w:r w:rsidRPr="005078DF">
              <w:rPr>
                <w:rFonts w:cs="Tahoma"/>
                <w:sz w:val="21"/>
                <w:szCs w:val="21"/>
              </w:rPr>
              <w:br/>
              <w:t>Safer patient care includes the identification and management of patient-related risks, reporting and analysis of patient safety incidents, concerns,  claims  and learning from such  then implementing solutions to minimise/mitigate  the risk of them recurring.</w:t>
            </w:r>
          </w:p>
        </w:tc>
        <w:tc>
          <w:tcPr>
            <w:tcW w:w="1418" w:type="dxa"/>
          </w:tcPr>
          <w:p w:rsidR="0045792D" w:rsidRPr="005078DF" w:rsidRDefault="0045792D">
            <w:pPr>
              <w:rPr>
                <w:sz w:val="21"/>
                <w:szCs w:val="21"/>
              </w:rPr>
            </w:pPr>
            <w:r w:rsidRPr="005078DF">
              <w:rPr>
                <w:sz w:val="21"/>
                <w:szCs w:val="21"/>
              </w:rPr>
              <w:t>Executive Nurse Director/ Executive Medical Director /Executive Director for Therapies and Health Science</w:t>
            </w:r>
          </w:p>
        </w:tc>
        <w:tc>
          <w:tcPr>
            <w:tcW w:w="1786" w:type="dxa"/>
          </w:tcPr>
          <w:p w:rsidR="0045792D" w:rsidRPr="005078DF" w:rsidRDefault="0045792D">
            <w:pPr>
              <w:rPr>
                <w:sz w:val="21"/>
                <w:szCs w:val="21"/>
              </w:rPr>
            </w:pPr>
            <w:r w:rsidRPr="005078DF">
              <w:rPr>
                <w:sz w:val="21"/>
                <w:szCs w:val="21"/>
              </w:rPr>
              <w:t>Quality, Safety and Experience</w:t>
            </w:r>
          </w:p>
        </w:tc>
      </w:tr>
      <w:tr w:rsidR="0045792D" w:rsidRPr="005078DF" w:rsidTr="00A6373D">
        <w:tc>
          <w:tcPr>
            <w:tcW w:w="1701" w:type="dxa"/>
          </w:tcPr>
          <w:p w:rsidR="0045792D" w:rsidRPr="005078DF" w:rsidRDefault="0045792D" w:rsidP="00D30574">
            <w:pPr>
              <w:pStyle w:val="ListParagraph"/>
              <w:numPr>
                <w:ilvl w:val="0"/>
                <w:numId w:val="1"/>
              </w:numPr>
              <w:ind w:left="426" w:hanging="284"/>
              <w:rPr>
                <w:sz w:val="21"/>
                <w:szCs w:val="21"/>
              </w:rPr>
            </w:pPr>
            <w:r w:rsidRPr="005078DF">
              <w:rPr>
                <w:sz w:val="21"/>
                <w:szCs w:val="21"/>
              </w:rPr>
              <w:t>Sustainable Culture Change</w:t>
            </w:r>
          </w:p>
          <w:p w:rsidR="0045792D" w:rsidRPr="005078DF" w:rsidRDefault="0045792D" w:rsidP="00AE08FD">
            <w:pPr>
              <w:rPr>
                <w:sz w:val="21"/>
                <w:szCs w:val="21"/>
              </w:rPr>
            </w:pPr>
          </w:p>
          <w:p w:rsidR="0045792D" w:rsidRPr="005078DF" w:rsidRDefault="0045792D" w:rsidP="00AE08FD">
            <w:pPr>
              <w:rPr>
                <w:sz w:val="21"/>
                <w:szCs w:val="21"/>
              </w:rPr>
            </w:pPr>
          </w:p>
          <w:p w:rsidR="0045792D" w:rsidRPr="005078DF" w:rsidRDefault="0045792D" w:rsidP="00AE08FD">
            <w:pPr>
              <w:rPr>
                <w:sz w:val="21"/>
                <w:szCs w:val="21"/>
              </w:rPr>
            </w:pPr>
          </w:p>
        </w:tc>
        <w:tc>
          <w:tcPr>
            <w:tcW w:w="993" w:type="dxa"/>
            <w:shd w:val="clear" w:color="auto" w:fill="auto"/>
          </w:tcPr>
          <w:p w:rsidR="0045792D" w:rsidRPr="005078DF" w:rsidRDefault="0045792D" w:rsidP="009F46D8">
            <w:pPr>
              <w:rPr>
                <w:sz w:val="21"/>
                <w:szCs w:val="21"/>
              </w:rPr>
            </w:pPr>
          </w:p>
        </w:tc>
        <w:tc>
          <w:tcPr>
            <w:tcW w:w="708" w:type="dxa"/>
            <w:shd w:val="clear" w:color="auto" w:fill="FF0000"/>
          </w:tcPr>
          <w:p w:rsidR="0045792D" w:rsidRPr="005078DF" w:rsidRDefault="0045792D" w:rsidP="00B60180">
            <w:pPr>
              <w:jc w:val="center"/>
              <w:rPr>
                <w:b/>
                <w:sz w:val="21"/>
                <w:szCs w:val="21"/>
              </w:rPr>
            </w:pPr>
            <w:r w:rsidRPr="005078DF">
              <w:rPr>
                <w:b/>
                <w:sz w:val="21"/>
                <w:szCs w:val="21"/>
              </w:rPr>
              <w:t>16</w:t>
            </w:r>
          </w:p>
        </w:tc>
        <w:tc>
          <w:tcPr>
            <w:tcW w:w="624" w:type="dxa"/>
            <w:shd w:val="clear" w:color="auto" w:fill="FFC000"/>
          </w:tcPr>
          <w:p w:rsidR="0045792D" w:rsidRPr="005078DF" w:rsidRDefault="0045792D" w:rsidP="00B60180">
            <w:pPr>
              <w:jc w:val="center"/>
              <w:rPr>
                <w:b/>
                <w:sz w:val="21"/>
                <w:szCs w:val="21"/>
              </w:rPr>
            </w:pPr>
            <w:r w:rsidRPr="005078DF">
              <w:rPr>
                <w:b/>
                <w:sz w:val="21"/>
                <w:szCs w:val="21"/>
              </w:rPr>
              <w:t>8</w:t>
            </w:r>
          </w:p>
        </w:tc>
        <w:tc>
          <w:tcPr>
            <w:tcW w:w="936" w:type="dxa"/>
            <w:shd w:val="clear" w:color="auto" w:fill="auto"/>
          </w:tcPr>
          <w:p w:rsidR="0045792D" w:rsidRPr="005078DF" w:rsidRDefault="005078DF"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67456" behindDoc="0" locked="0" layoutInCell="1" allowOverlap="1" wp14:anchorId="1C2834EA" wp14:editId="4D82A436">
                      <wp:simplePos x="0" y="0"/>
                      <wp:positionH relativeFrom="column">
                        <wp:posOffset>113030</wp:posOffset>
                      </wp:positionH>
                      <wp:positionV relativeFrom="paragraph">
                        <wp:posOffset>86360</wp:posOffset>
                      </wp:positionV>
                      <wp:extent cx="228600" cy="257175"/>
                      <wp:effectExtent l="0" t="19050" r="38100" b="47625"/>
                      <wp:wrapNone/>
                      <wp:docPr id="6" name="Right Arrow 6"/>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D69E" id="Right Arrow 6" o:spid="_x0000_s1026" type="#_x0000_t13" style="position:absolute;margin-left:8.9pt;margin-top:6.8pt;width: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" adj="10800" fillcolor="#4f81bd [3204]" strokecolor="#243f60 [1604]" strokeweight="2pt"/>
                  </w:pict>
                </mc:Fallback>
              </mc:AlternateContent>
            </w:r>
          </w:p>
        </w:tc>
        <w:tc>
          <w:tcPr>
            <w:tcW w:w="850" w:type="dxa"/>
            <w:shd w:val="clear" w:color="auto" w:fill="FFFF00"/>
          </w:tcPr>
          <w:p w:rsidR="0045792D" w:rsidRPr="005078DF" w:rsidRDefault="0045792D" w:rsidP="00B60180">
            <w:pPr>
              <w:jc w:val="center"/>
              <w:rPr>
                <w:b/>
                <w:sz w:val="21"/>
                <w:szCs w:val="21"/>
              </w:rPr>
            </w:pPr>
            <w:r w:rsidRPr="005078DF">
              <w:rPr>
                <w:b/>
                <w:sz w:val="21"/>
                <w:szCs w:val="21"/>
              </w:rPr>
              <w:t>4</w:t>
            </w:r>
          </w:p>
        </w:tc>
        <w:tc>
          <w:tcPr>
            <w:tcW w:w="2183" w:type="dxa"/>
          </w:tcPr>
          <w:p w:rsidR="0045792D" w:rsidRPr="005078DF" w:rsidRDefault="0045792D" w:rsidP="009235AB">
            <w:pPr>
              <w:rPr>
                <w:sz w:val="21"/>
                <w:szCs w:val="21"/>
              </w:rPr>
            </w:pPr>
            <w:r w:rsidRPr="005078DF">
              <w:rPr>
                <w:sz w:val="21"/>
                <w:szCs w:val="21"/>
              </w:rPr>
              <w:t xml:space="preserve">In line with UHB’s Strategy, Shaping Our Future Wellbeing and aligned to the Healthier Wales plan (2018), the case for change is pivotal to </w:t>
            </w:r>
            <w:r w:rsidRPr="005078DF">
              <w:rPr>
                <w:sz w:val="21"/>
                <w:szCs w:val="21"/>
              </w:rPr>
              <w:lastRenderedPageBreak/>
              <w:t>transfer our services to ensure we can meet our future challenges and opportunities.  Creating a belief which continues to build upon our values and behaviours framework will make a positive cultural change in our health system for our staff and the population of Cardiff and the Vale.</w:t>
            </w:r>
          </w:p>
        </w:tc>
        <w:tc>
          <w:tcPr>
            <w:tcW w:w="1418" w:type="dxa"/>
          </w:tcPr>
          <w:p w:rsidR="0045792D" w:rsidRPr="005078DF" w:rsidRDefault="0045792D" w:rsidP="00DD6D38">
            <w:pPr>
              <w:rPr>
                <w:sz w:val="21"/>
                <w:szCs w:val="21"/>
              </w:rPr>
            </w:pPr>
            <w:r w:rsidRPr="005078DF">
              <w:rPr>
                <w:sz w:val="21"/>
                <w:szCs w:val="21"/>
              </w:rPr>
              <w:lastRenderedPageBreak/>
              <w:t xml:space="preserve">Executive Director of Workforce and OD </w:t>
            </w:r>
          </w:p>
        </w:tc>
        <w:tc>
          <w:tcPr>
            <w:tcW w:w="1786" w:type="dxa"/>
          </w:tcPr>
          <w:p w:rsidR="0045792D" w:rsidRPr="005078DF" w:rsidRDefault="0045792D">
            <w:pPr>
              <w:rPr>
                <w:sz w:val="21"/>
                <w:szCs w:val="21"/>
              </w:rPr>
            </w:pPr>
            <w:r w:rsidRPr="005078DF">
              <w:rPr>
                <w:sz w:val="21"/>
                <w:szCs w:val="21"/>
              </w:rPr>
              <w:t>Strategy and Delivery Committee</w:t>
            </w:r>
          </w:p>
        </w:tc>
      </w:tr>
      <w:tr w:rsidR="0045792D" w:rsidRPr="005078DF" w:rsidTr="00A6373D">
        <w:tc>
          <w:tcPr>
            <w:tcW w:w="1701" w:type="dxa"/>
          </w:tcPr>
          <w:p w:rsidR="0045792D" w:rsidRPr="005078DF" w:rsidRDefault="0045792D" w:rsidP="00D15AB2">
            <w:pPr>
              <w:pStyle w:val="ListParagraph"/>
              <w:numPr>
                <w:ilvl w:val="0"/>
                <w:numId w:val="1"/>
              </w:numPr>
              <w:ind w:left="176" w:hanging="176"/>
              <w:rPr>
                <w:sz w:val="21"/>
                <w:szCs w:val="21"/>
              </w:rPr>
            </w:pPr>
            <w:r w:rsidRPr="005078DF">
              <w:rPr>
                <w:sz w:val="21"/>
                <w:szCs w:val="21"/>
              </w:rPr>
              <w:t xml:space="preserve">Capital Assets </w:t>
            </w:r>
          </w:p>
        </w:tc>
        <w:tc>
          <w:tcPr>
            <w:tcW w:w="993" w:type="dxa"/>
            <w:shd w:val="clear" w:color="auto" w:fill="auto"/>
          </w:tcPr>
          <w:p w:rsidR="0045792D" w:rsidRPr="005078DF" w:rsidRDefault="00DB67B1" w:rsidP="009F46D8">
            <w:pPr>
              <w:rPr>
                <w:sz w:val="21"/>
                <w:szCs w:val="21"/>
              </w:rPr>
            </w:pPr>
            <w:r>
              <w:rPr>
                <w:sz w:val="21"/>
                <w:szCs w:val="21"/>
              </w:rPr>
              <w:t>3,4,18,19,21</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25</w:t>
            </w:r>
          </w:p>
        </w:tc>
        <w:tc>
          <w:tcPr>
            <w:tcW w:w="624" w:type="dxa"/>
            <w:shd w:val="clear" w:color="auto" w:fill="FF0000"/>
          </w:tcPr>
          <w:p w:rsidR="0045792D" w:rsidRPr="005078DF" w:rsidRDefault="0045792D" w:rsidP="00B60180">
            <w:pPr>
              <w:jc w:val="center"/>
              <w:rPr>
                <w:b/>
                <w:sz w:val="21"/>
                <w:szCs w:val="21"/>
              </w:rPr>
            </w:pPr>
            <w:r w:rsidRPr="005078DF">
              <w:rPr>
                <w:b/>
                <w:sz w:val="21"/>
                <w:szCs w:val="21"/>
              </w:rPr>
              <w:t>20</w:t>
            </w:r>
          </w:p>
        </w:tc>
        <w:tc>
          <w:tcPr>
            <w:tcW w:w="936" w:type="dxa"/>
            <w:shd w:val="clear" w:color="auto" w:fill="auto"/>
          </w:tcPr>
          <w:p w:rsidR="0045792D" w:rsidRPr="005078DF" w:rsidRDefault="005078DF"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69504" behindDoc="0" locked="0" layoutInCell="1" allowOverlap="1" wp14:anchorId="1C2834EA" wp14:editId="4D82A436">
                      <wp:simplePos x="0" y="0"/>
                      <wp:positionH relativeFrom="column">
                        <wp:posOffset>84455</wp:posOffset>
                      </wp:positionH>
                      <wp:positionV relativeFrom="paragraph">
                        <wp:posOffset>120650</wp:posOffset>
                      </wp:positionV>
                      <wp:extent cx="228600" cy="2571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8479C" id="Right Arrow 7" o:spid="_x0000_s1026" type="#_x0000_t13" style="position:absolute;margin-left:6.65pt;margin-top:9.5pt;width:18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" adj="10800" fillcolor="#4f81bd [3204]" strokecolor="#243f60 [1604]" strokeweight="2pt"/>
                  </w:pict>
                </mc:Fallback>
              </mc:AlternateContent>
            </w:r>
          </w:p>
        </w:tc>
        <w:tc>
          <w:tcPr>
            <w:tcW w:w="850" w:type="dxa"/>
            <w:shd w:val="clear" w:color="auto" w:fill="FFC000"/>
          </w:tcPr>
          <w:p w:rsidR="0045792D" w:rsidRPr="005078DF" w:rsidRDefault="0045792D" w:rsidP="00B60180">
            <w:pPr>
              <w:jc w:val="center"/>
              <w:rPr>
                <w:b/>
                <w:sz w:val="21"/>
                <w:szCs w:val="21"/>
              </w:rPr>
            </w:pPr>
            <w:r w:rsidRPr="005078DF">
              <w:rPr>
                <w:b/>
                <w:sz w:val="21"/>
                <w:szCs w:val="21"/>
              </w:rPr>
              <w:t>10</w:t>
            </w:r>
          </w:p>
        </w:tc>
        <w:tc>
          <w:tcPr>
            <w:tcW w:w="2183" w:type="dxa"/>
          </w:tcPr>
          <w:p w:rsidR="0045792D" w:rsidRPr="005078DF" w:rsidRDefault="0045792D" w:rsidP="00627D9A">
            <w:pPr>
              <w:rPr>
                <w:sz w:val="21"/>
                <w:szCs w:val="21"/>
              </w:rPr>
            </w:pPr>
            <w:r w:rsidRPr="005078DF">
              <w:rPr>
                <w:sz w:val="21"/>
                <w:szCs w:val="21"/>
              </w:rPr>
              <w:t xml:space="preserve">The UHB delivers services through a number of buildings across Cardiff and the Vale of Glamorgan, from health centres to the Tertiary Centre at UHW.  All NHS organisations have statutory responsibilities to manage their assets effectively: an up to date estate strategy is evidence of the management of the estate.  The IT SOP sets out priorities for the next five years and Medical Equipment is replaced in a timely manner. </w:t>
            </w:r>
          </w:p>
        </w:tc>
        <w:tc>
          <w:tcPr>
            <w:tcW w:w="1418" w:type="dxa"/>
          </w:tcPr>
          <w:p w:rsidR="0045792D" w:rsidRPr="005078DF" w:rsidRDefault="0045792D">
            <w:pPr>
              <w:rPr>
                <w:sz w:val="21"/>
                <w:szCs w:val="21"/>
              </w:rPr>
            </w:pPr>
            <w:r w:rsidRPr="005078DF">
              <w:rPr>
                <w:sz w:val="21"/>
                <w:szCs w:val="21"/>
              </w:rPr>
              <w:t>Executive Director of Strategic Planning, Deputy Chief Executive,</w:t>
            </w:r>
          </w:p>
          <w:p w:rsidR="0045792D" w:rsidRPr="005078DF" w:rsidRDefault="0045792D">
            <w:pPr>
              <w:rPr>
                <w:sz w:val="21"/>
                <w:szCs w:val="21"/>
              </w:rPr>
            </w:pPr>
            <w:r w:rsidRPr="005078DF">
              <w:rPr>
                <w:sz w:val="21"/>
                <w:szCs w:val="21"/>
              </w:rPr>
              <w:t>Executive Director of Therapies and Health Science</w:t>
            </w:r>
          </w:p>
        </w:tc>
        <w:tc>
          <w:tcPr>
            <w:tcW w:w="1786" w:type="dxa"/>
          </w:tcPr>
          <w:p w:rsidR="0045792D" w:rsidRPr="005078DF" w:rsidRDefault="0045792D" w:rsidP="00D15AB2">
            <w:pPr>
              <w:rPr>
                <w:sz w:val="21"/>
                <w:szCs w:val="21"/>
              </w:rPr>
            </w:pPr>
            <w:r w:rsidRPr="005078DF">
              <w:rPr>
                <w:sz w:val="21"/>
                <w:szCs w:val="21"/>
              </w:rPr>
              <w:t>Finance Committee</w:t>
            </w:r>
            <w:r w:rsidR="00A6373D">
              <w:rPr>
                <w:sz w:val="21"/>
                <w:szCs w:val="21"/>
              </w:rPr>
              <w:t xml:space="preserve"> &amp; Strategy and Delivery Committee</w:t>
            </w:r>
          </w:p>
        </w:tc>
      </w:tr>
      <w:tr w:rsidR="0045792D" w:rsidRPr="005078DF" w:rsidTr="00AD032A">
        <w:tc>
          <w:tcPr>
            <w:tcW w:w="1701" w:type="dxa"/>
          </w:tcPr>
          <w:p w:rsidR="0045792D" w:rsidRPr="005078DF" w:rsidRDefault="0045792D" w:rsidP="00715A43">
            <w:pPr>
              <w:pStyle w:val="ListParagraph"/>
              <w:numPr>
                <w:ilvl w:val="0"/>
                <w:numId w:val="1"/>
              </w:numPr>
              <w:ind w:left="176" w:hanging="176"/>
              <w:rPr>
                <w:sz w:val="21"/>
                <w:szCs w:val="21"/>
              </w:rPr>
            </w:pPr>
            <w:r w:rsidRPr="005078DF">
              <w:rPr>
                <w:sz w:val="21"/>
                <w:szCs w:val="21"/>
              </w:rPr>
              <w:t>Test, Trace and Protect</w:t>
            </w:r>
            <w:r w:rsidR="00A6373D">
              <w:rPr>
                <w:sz w:val="21"/>
                <w:szCs w:val="21"/>
              </w:rPr>
              <w:t xml:space="preserve"> &amp; Mass Vaccination</w:t>
            </w:r>
          </w:p>
        </w:tc>
        <w:tc>
          <w:tcPr>
            <w:tcW w:w="993" w:type="dxa"/>
            <w:shd w:val="clear" w:color="auto" w:fill="auto"/>
          </w:tcPr>
          <w:p w:rsidR="0045792D" w:rsidRPr="005078DF" w:rsidRDefault="00DB67B1" w:rsidP="009F46D8">
            <w:pPr>
              <w:rPr>
                <w:sz w:val="21"/>
                <w:szCs w:val="21"/>
              </w:rPr>
            </w:pPr>
            <w:r>
              <w:rPr>
                <w:sz w:val="21"/>
                <w:szCs w:val="21"/>
              </w:rPr>
              <w:t>13</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20</w:t>
            </w:r>
          </w:p>
        </w:tc>
        <w:tc>
          <w:tcPr>
            <w:tcW w:w="624" w:type="dxa"/>
            <w:shd w:val="clear" w:color="auto" w:fill="FFC000"/>
          </w:tcPr>
          <w:p w:rsidR="0045792D" w:rsidRPr="005078DF" w:rsidRDefault="00AD032A" w:rsidP="00B60180">
            <w:pPr>
              <w:jc w:val="center"/>
              <w:rPr>
                <w:b/>
                <w:sz w:val="21"/>
                <w:szCs w:val="21"/>
              </w:rPr>
            </w:pPr>
            <w:r>
              <w:rPr>
                <w:b/>
                <w:sz w:val="21"/>
                <w:szCs w:val="21"/>
              </w:rPr>
              <w:t>10</w:t>
            </w:r>
          </w:p>
        </w:tc>
        <w:tc>
          <w:tcPr>
            <w:tcW w:w="936" w:type="dxa"/>
            <w:shd w:val="clear" w:color="auto" w:fill="auto"/>
          </w:tcPr>
          <w:p w:rsidR="0045792D" w:rsidRPr="005078DF" w:rsidRDefault="00AD032A" w:rsidP="00B60180">
            <w:pPr>
              <w:jc w:val="center"/>
              <w:rPr>
                <w:b/>
                <w:sz w:val="21"/>
                <w:szCs w:val="21"/>
              </w:rPr>
            </w:pPr>
            <w:r>
              <w:rPr>
                <w:b/>
                <w:noProof/>
                <w:sz w:val="21"/>
                <w:szCs w:val="21"/>
                <w:lang w:eastAsia="en-GB"/>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123190</wp:posOffset>
                      </wp:positionV>
                      <wp:extent cx="276225" cy="2571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2762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528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pt;margin-top:9.7pt;width:21.7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" adj="10800" fillcolor="#4f81bd [3204]" strokecolor="#243f60 [1604]" strokeweight="2pt"/>
                  </w:pict>
                </mc:Fallback>
              </mc:AlternateContent>
            </w:r>
          </w:p>
        </w:tc>
        <w:tc>
          <w:tcPr>
            <w:tcW w:w="850" w:type="dxa"/>
            <w:shd w:val="clear" w:color="auto" w:fill="FFC000"/>
          </w:tcPr>
          <w:p w:rsidR="0045792D" w:rsidRPr="005078DF" w:rsidRDefault="0045792D" w:rsidP="00B60180">
            <w:pPr>
              <w:jc w:val="center"/>
              <w:rPr>
                <w:b/>
                <w:sz w:val="21"/>
                <w:szCs w:val="21"/>
              </w:rPr>
            </w:pPr>
            <w:r w:rsidRPr="005078DF">
              <w:rPr>
                <w:b/>
                <w:sz w:val="21"/>
                <w:szCs w:val="21"/>
              </w:rPr>
              <w:t>10</w:t>
            </w:r>
          </w:p>
        </w:tc>
        <w:tc>
          <w:tcPr>
            <w:tcW w:w="2183" w:type="dxa"/>
          </w:tcPr>
          <w:p w:rsidR="0045792D" w:rsidRPr="005078DF" w:rsidRDefault="0045792D" w:rsidP="005F789E">
            <w:pPr>
              <w:rPr>
                <w:sz w:val="21"/>
                <w:szCs w:val="21"/>
              </w:rPr>
            </w:pPr>
            <w:r w:rsidRPr="005078DF">
              <w:rPr>
                <w:sz w:val="21"/>
                <w:szCs w:val="21"/>
              </w:rPr>
              <w:t>The Welsh  Test, Trace, Protect strategy is to enhance health surveillance in the community, undertake effective and extensive contact tracing, and support people to self-is</w:t>
            </w:r>
            <w:r w:rsidR="00530294">
              <w:rPr>
                <w:sz w:val="21"/>
                <w:szCs w:val="21"/>
              </w:rPr>
              <w:t xml:space="preserve">olate where required to do so. </w:t>
            </w:r>
          </w:p>
          <w:p w:rsidR="00A6373D" w:rsidRPr="005078DF" w:rsidRDefault="00A6373D" w:rsidP="00A6373D">
            <w:pPr>
              <w:rPr>
                <w:sz w:val="21"/>
                <w:szCs w:val="21"/>
              </w:rPr>
            </w:pPr>
            <w:r>
              <w:rPr>
                <w:sz w:val="21"/>
                <w:szCs w:val="21"/>
              </w:rPr>
              <w:t>The Health Board is also leading on Mass Vaccination.</w:t>
            </w:r>
          </w:p>
        </w:tc>
        <w:tc>
          <w:tcPr>
            <w:tcW w:w="1418" w:type="dxa"/>
          </w:tcPr>
          <w:p w:rsidR="0045792D" w:rsidRPr="005078DF" w:rsidRDefault="0045792D">
            <w:pPr>
              <w:rPr>
                <w:sz w:val="21"/>
                <w:szCs w:val="21"/>
              </w:rPr>
            </w:pPr>
            <w:r w:rsidRPr="005078DF">
              <w:rPr>
                <w:sz w:val="21"/>
                <w:szCs w:val="21"/>
              </w:rPr>
              <w:t>Executive Director of Public Health</w:t>
            </w:r>
          </w:p>
        </w:tc>
        <w:tc>
          <w:tcPr>
            <w:tcW w:w="1786" w:type="dxa"/>
          </w:tcPr>
          <w:p w:rsidR="0045792D" w:rsidRPr="005078DF" w:rsidRDefault="0045792D">
            <w:pPr>
              <w:rPr>
                <w:sz w:val="21"/>
                <w:szCs w:val="21"/>
              </w:rPr>
            </w:pPr>
            <w:r w:rsidRPr="005078DF">
              <w:rPr>
                <w:sz w:val="21"/>
                <w:szCs w:val="21"/>
              </w:rPr>
              <w:t>Strategy and Delivery Committee</w:t>
            </w:r>
          </w:p>
        </w:tc>
      </w:tr>
      <w:tr w:rsidR="0045792D" w:rsidRPr="005078DF" w:rsidTr="00A6373D">
        <w:trPr>
          <w:trHeight w:val="5037"/>
        </w:trPr>
        <w:tc>
          <w:tcPr>
            <w:tcW w:w="1701" w:type="dxa"/>
          </w:tcPr>
          <w:p w:rsidR="0045792D" w:rsidRPr="005078DF" w:rsidRDefault="0045792D" w:rsidP="00715A43">
            <w:pPr>
              <w:pStyle w:val="ListParagraph"/>
              <w:numPr>
                <w:ilvl w:val="0"/>
                <w:numId w:val="1"/>
              </w:numPr>
              <w:ind w:left="176" w:hanging="176"/>
              <w:rPr>
                <w:sz w:val="21"/>
                <w:szCs w:val="21"/>
              </w:rPr>
            </w:pPr>
            <w:r w:rsidRPr="005078DF">
              <w:rPr>
                <w:sz w:val="21"/>
                <w:szCs w:val="21"/>
              </w:rPr>
              <w:lastRenderedPageBreak/>
              <w:t>Planned Care Capacity</w:t>
            </w:r>
          </w:p>
        </w:tc>
        <w:tc>
          <w:tcPr>
            <w:tcW w:w="993" w:type="dxa"/>
            <w:shd w:val="clear" w:color="auto" w:fill="auto"/>
          </w:tcPr>
          <w:p w:rsidR="0045792D" w:rsidRPr="005078DF" w:rsidRDefault="00DB67B1" w:rsidP="009F46D8">
            <w:pPr>
              <w:rPr>
                <w:sz w:val="21"/>
                <w:szCs w:val="21"/>
              </w:rPr>
            </w:pPr>
            <w:r>
              <w:rPr>
                <w:sz w:val="21"/>
                <w:szCs w:val="21"/>
              </w:rPr>
              <w:t>9,11,15,26,42</w:t>
            </w:r>
          </w:p>
        </w:tc>
        <w:tc>
          <w:tcPr>
            <w:tcW w:w="708" w:type="dxa"/>
            <w:shd w:val="clear" w:color="auto" w:fill="FF0000"/>
          </w:tcPr>
          <w:p w:rsidR="0045792D" w:rsidRPr="005078DF" w:rsidRDefault="0045792D" w:rsidP="00B60180">
            <w:pPr>
              <w:jc w:val="center"/>
              <w:rPr>
                <w:b/>
                <w:sz w:val="21"/>
                <w:szCs w:val="21"/>
              </w:rPr>
            </w:pPr>
            <w:r w:rsidRPr="005078DF">
              <w:rPr>
                <w:b/>
                <w:sz w:val="21"/>
                <w:szCs w:val="21"/>
              </w:rPr>
              <w:t>20</w:t>
            </w:r>
          </w:p>
        </w:tc>
        <w:tc>
          <w:tcPr>
            <w:tcW w:w="624" w:type="dxa"/>
            <w:shd w:val="clear" w:color="auto" w:fill="FF0000"/>
          </w:tcPr>
          <w:p w:rsidR="0045792D" w:rsidRPr="005078DF" w:rsidRDefault="0045792D" w:rsidP="00B60180">
            <w:pPr>
              <w:jc w:val="center"/>
              <w:rPr>
                <w:b/>
                <w:sz w:val="21"/>
                <w:szCs w:val="21"/>
              </w:rPr>
            </w:pPr>
            <w:r w:rsidRPr="005078DF">
              <w:rPr>
                <w:b/>
                <w:sz w:val="21"/>
                <w:szCs w:val="21"/>
              </w:rPr>
              <w:t>16</w:t>
            </w:r>
          </w:p>
        </w:tc>
        <w:tc>
          <w:tcPr>
            <w:tcW w:w="936" w:type="dxa"/>
            <w:shd w:val="clear" w:color="auto" w:fill="auto"/>
          </w:tcPr>
          <w:p w:rsidR="0045792D" w:rsidRPr="005078DF" w:rsidRDefault="005078DF"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73600" behindDoc="0" locked="0" layoutInCell="1" allowOverlap="1" wp14:anchorId="1C2834EA" wp14:editId="4D82A436">
                      <wp:simplePos x="0" y="0"/>
                      <wp:positionH relativeFrom="column">
                        <wp:posOffset>84455</wp:posOffset>
                      </wp:positionH>
                      <wp:positionV relativeFrom="paragraph">
                        <wp:posOffset>118110</wp:posOffset>
                      </wp:positionV>
                      <wp:extent cx="228600" cy="2571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72DC" id="Right Arrow 9" o:spid="_x0000_s1026" type="#_x0000_t13" style="position:absolute;margin-left:6.65pt;margin-top:9.3pt;width:1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" adj="10800" fillcolor="#4f81bd [3204]" strokecolor="#243f60 [1604]" strokeweight="2pt"/>
                  </w:pict>
                </mc:Fallback>
              </mc:AlternateContent>
            </w:r>
          </w:p>
        </w:tc>
        <w:tc>
          <w:tcPr>
            <w:tcW w:w="850" w:type="dxa"/>
            <w:shd w:val="clear" w:color="auto" w:fill="FFC000"/>
          </w:tcPr>
          <w:p w:rsidR="0045792D" w:rsidRPr="005078DF" w:rsidRDefault="0045792D" w:rsidP="00B60180">
            <w:pPr>
              <w:jc w:val="center"/>
              <w:rPr>
                <w:b/>
                <w:sz w:val="21"/>
                <w:szCs w:val="21"/>
              </w:rPr>
            </w:pPr>
            <w:r w:rsidRPr="005078DF">
              <w:rPr>
                <w:b/>
                <w:sz w:val="21"/>
                <w:szCs w:val="21"/>
              </w:rPr>
              <w:t>12</w:t>
            </w:r>
          </w:p>
        </w:tc>
        <w:tc>
          <w:tcPr>
            <w:tcW w:w="2183" w:type="dxa"/>
          </w:tcPr>
          <w:p w:rsidR="0045792D" w:rsidRPr="005078DF" w:rsidRDefault="0045792D" w:rsidP="00D15AB2">
            <w:pPr>
              <w:ind w:left="6" w:hanging="6"/>
              <w:rPr>
                <w:sz w:val="21"/>
                <w:szCs w:val="21"/>
              </w:rPr>
            </w:pPr>
            <w:r w:rsidRPr="005078DF">
              <w:rPr>
                <w:sz w:val="21"/>
                <w:szCs w:val="21"/>
              </w:rPr>
              <w:t>The impact of COVID 19 has had many consequences to Healthcare and in particular the continuation of the Health Board being able to undertake Planned Care both during the peak of the pandemic and any future peaks.  This is due to the need to ensure that there is available capacity should there be a further peak in COVID 19 patients requiring hospital treatment.</w:t>
            </w:r>
          </w:p>
          <w:p w:rsidR="0045792D" w:rsidRPr="005078DF" w:rsidRDefault="0045792D" w:rsidP="00D15AB2">
            <w:pPr>
              <w:ind w:left="148"/>
              <w:rPr>
                <w:sz w:val="21"/>
                <w:szCs w:val="21"/>
              </w:rPr>
            </w:pPr>
          </w:p>
        </w:tc>
        <w:tc>
          <w:tcPr>
            <w:tcW w:w="1418" w:type="dxa"/>
          </w:tcPr>
          <w:p w:rsidR="0045792D" w:rsidRPr="005078DF" w:rsidRDefault="0045792D">
            <w:pPr>
              <w:rPr>
                <w:sz w:val="21"/>
                <w:szCs w:val="21"/>
              </w:rPr>
            </w:pPr>
            <w:r w:rsidRPr="005078DF">
              <w:rPr>
                <w:sz w:val="21"/>
                <w:szCs w:val="21"/>
              </w:rPr>
              <w:t>Chief Operating Officer</w:t>
            </w:r>
          </w:p>
        </w:tc>
        <w:tc>
          <w:tcPr>
            <w:tcW w:w="1786" w:type="dxa"/>
          </w:tcPr>
          <w:p w:rsidR="0045792D" w:rsidRPr="005078DF" w:rsidRDefault="0045792D">
            <w:pPr>
              <w:rPr>
                <w:sz w:val="21"/>
                <w:szCs w:val="21"/>
              </w:rPr>
            </w:pPr>
            <w:r w:rsidRPr="005078DF">
              <w:rPr>
                <w:sz w:val="21"/>
                <w:szCs w:val="21"/>
              </w:rPr>
              <w:t xml:space="preserve">Strategy and Delivery </w:t>
            </w:r>
          </w:p>
        </w:tc>
      </w:tr>
      <w:tr w:rsidR="0045792D" w:rsidRPr="005078DF" w:rsidTr="00A6373D">
        <w:tc>
          <w:tcPr>
            <w:tcW w:w="1701" w:type="dxa"/>
          </w:tcPr>
          <w:p w:rsidR="0045792D" w:rsidRPr="005078DF" w:rsidRDefault="0045792D" w:rsidP="00715A43">
            <w:pPr>
              <w:pStyle w:val="ListParagraph"/>
              <w:numPr>
                <w:ilvl w:val="0"/>
                <w:numId w:val="1"/>
              </w:numPr>
              <w:ind w:left="176" w:hanging="176"/>
              <w:rPr>
                <w:sz w:val="21"/>
                <w:szCs w:val="21"/>
              </w:rPr>
            </w:pPr>
            <w:r w:rsidRPr="005078DF">
              <w:rPr>
                <w:sz w:val="21"/>
                <w:szCs w:val="21"/>
              </w:rPr>
              <w:t>Delivery of IMTP</w:t>
            </w:r>
          </w:p>
        </w:tc>
        <w:tc>
          <w:tcPr>
            <w:tcW w:w="993" w:type="dxa"/>
            <w:shd w:val="clear" w:color="auto" w:fill="auto"/>
          </w:tcPr>
          <w:p w:rsidR="0045792D" w:rsidRPr="005078DF" w:rsidRDefault="0045792D" w:rsidP="009F46D8">
            <w:pPr>
              <w:rPr>
                <w:sz w:val="21"/>
                <w:szCs w:val="21"/>
              </w:rPr>
            </w:pPr>
          </w:p>
        </w:tc>
        <w:tc>
          <w:tcPr>
            <w:tcW w:w="708" w:type="dxa"/>
            <w:shd w:val="clear" w:color="auto" w:fill="FF0000"/>
          </w:tcPr>
          <w:p w:rsidR="0045792D" w:rsidRPr="005078DF" w:rsidRDefault="0045792D" w:rsidP="00B60180">
            <w:pPr>
              <w:jc w:val="center"/>
              <w:rPr>
                <w:b/>
                <w:sz w:val="21"/>
                <w:szCs w:val="21"/>
              </w:rPr>
            </w:pPr>
            <w:r w:rsidRPr="005078DF">
              <w:rPr>
                <w:b/>
                <w:sz w:val="21"/>
                <w:szCs w:val="21"/>
              </w:rPr>
              <w:t>20</w:t>
            </w:r>
          </w:p>
        </w:tc>
        <w:tc>
          <w:tcPr>
            <w:tcW w:w="624" w:type="dxa"/>
            <w:shd w:val="clear" w:color="auto" w:fill="FF0000"/>
          </w:tcPr>
          <w:p w:rsidR="0045792D" w:rsidRPr="005078DF" w:rsidRDefault="0045792D" w:rsidP="00B60180">
            <w:pPr>
              <w:jc w:val="center"/>
              <w:rPr>
                <w:b/>
                <w:sz w:val="21"/>
                <w:szCs w:val="21"/>
              </w:rPr>
            </w:pPr>
            <w:r w:rsidRPr="005078DF">
              <w:rPr>
                <w:b/>
                <w:sz w:val="21"/>
                <w:szCs w:val="21"/>
              </w:rPr>
              <w:t>15</w:t>
            </w:r>
          </w:p>
        </w:tc>
        <w:tc>
          <w:tcPr>
            <w:tcW w:w="936" w:type="dxa"/>
            <w:shd w:val="clear" w:color="auto" w:fill="auto"/>
          </w:tcPr>
          <w:p w:rsidR="0045792D" w:rsidRPr="005078DF" w:rsidRDefault="005078DF" w:rsidP="00B60180">
            <w:pPr>
              <w:jc w:val="center"/>
              <w:rPr>
                <w:b/>
                <w:sz w:val="21"/>
                <w:szCs w:val="21"/>
              </w:rPr>
            </w:pPr>
            <w:r w:rsidRPr="005078DF">
              <w:rPr>
                <w:b/>
                <w:noProof/>
                <w:sz w:val="21"/>
                <w:szCs w:val="21"/>
                <w:lang w:eastAsia="en-GB"/>
              </w:rPr>
              <mc:AlternateContent>
                <mc:Choice Requires="wps">
                  <w:drawing>
                    <wp:anchor distT="0" distB="0" distL="114300" distR="114300" simplePos="0" relativeHeight="251675648" behindDoc="0" locked="0" layoutInCell="1" allowOverlap="1" wp14:anchorId="1C2834EA" wp14:editId="4D82A436">
                      <wp:simplePos x="0" y="0"/>
                      <wp:positionH relativeFrom="column">
                        <wp:posOffset>113030</wp:posOffset>
                      </wp:positionH>
                      <wp:positionV relativeFrom="paragraph">
                        <wp:posOffset>101600</wp:posOffset>
                      </wp:positionV>
                      <wp:extent cx="228600" cy="25717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228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5CB8" id="Right Arrow 10" o:spid="_x0000_s1026" type="#_x0000_t13" style="position:absolute;margin-left:8.9pt;margin-top:8pt;width:1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" adj="10800" fillcolor="#4f81bd [3204]" strokecolor="#243f60 [1604]" strokeweight="2pt"/>
                  </w:pict>
                </mc:Fallback>
              </mc:AlternateContent>
            </w:r>
          </w:p>
        </w:tc>
        <w:tc>
          <w:tcPr>
            <w:tcW w:w="850" w:type="dxa"/>
            <w:shd w:val="clear" w:color="auto" w:fill="FFC000"/>
          </w:tcPr>
          <w:p w:rsidR="0045792D" w:rsidRPr="005078DF" w:rsidRDefault="0045792D" w:rsidP="00B60180">
            <w:pPr>
              <w:jc w:val="center"/>
              <w:rPr>
                <w:b/>
                <w:sz w:val="21"/>
                <w:szCs w:val="21"/>
              </w:rPr>
            </w:pPr>
            <w:r w:rsidRPr="005078DF">
              <w:rPr>
                <w:b/>
                <w:sz w:val="21"/>
                <w:szCs w:val="21"/>
              </w:rPr>
              <w:t>10</w:t>
            </w:r>
          </w:p>
        </w:tc>
        <w:tc>
          <w:tcPr>
            <w:tcW w:w="2183" w:type="dxa"/>
          </w:tcPr>
          <w:p w:rsidR="0045792D" w:rsidRPr="005078DF" w:rsidRDefault="0045792D" w:rsidP="00D15AB2">
            <w:pPr>
              <w:rPr>
                <w:sz w:val="21"/>
                <w:szCs w:val="21"/>
              </w:rPr>
            </w:pPr>
            <w:r w:rsidRPr="005078DF">
              <w:rPr>
                <w:sz w:val="21"/>
                <w:szCs w:val="21"/>
              </w:rPr>
              <w:t>The Integrated Medium Term Plan is the key planning document for the Health Board setting out the milestones and actions we are taking in the next 1 to 3 years in order to progress Shaping Our Future We</w:t>
            </w:r>
            <w:r w:rsidR="00530294">
              <w:rPr>
                <w:sz w:val="21"/>
                <w:szCs w:val="21"/>
              </w:rPr>
              <w:t>llbeing, our ten-year strategy.</w:t>
            </w:r>
          </w:p>
          <w:p w:rsidR="0045792D" w:rsidRPr="005078DF" w:rsidRDefault="0045792D" w:rsidP="00D15AB2">
            <w:pPr>
              <w:rPr>
                <w:sz w:val="21"/>
                <w:szCs w:val="21"/>
              </w:rPr>
            </w:pPr>
            <w:r w:rsidRPr="005078DF">
              <w:rPr>
                <w:sz w:val="21"/>
                <w:szCs w:val="21"/>
              </w:rPr>
              <w:t>It is based on the health needs of our population, delivering quality services and ensuring equitable and timely access to services and sets out how we will deliver our mission Caring for People; Keeping People Well, and vision that a person’s chance of leading a healthy life is the same wherever they live and whoever they are.</w:t>
            </w:r>
          </w:p>
        </w:tc>
        <w:tc>
          <w:tcPr>
            <w:tcW w:w="1418" w:type="dxa"/>
          </w:tcPr>
          <w:p w:rsidR="0045792D" w:rsidRPr="005078DF" w:rsidRDefault="0045792D">
            <w:pPr>
              <w:rPr>
                <w:sz w:val="21"/>
                <w:szCs w:val="21"/>
              </w:rPr>
            </w:pPr>
            <w:r w:rsidRPr="005078DF">
              <w:rPr>
                <w:sz w:val="21"/>
                <w:szCs w:val="21"/>
              </w:rPr>
              <w:t>Executive Director of Strategic Planning</w:t>
            </w:r>
          </w:p>
        </w:tc>
        <w:tc>
          <w:tcPr>
            <w:tcW w:w="1786" w:type="dxa"/>
          </w:tcPr>
          <w:p w:rsidR="0045792D" w:rsidRPr="005078DF" w:rsidRDefault="0045792D">
            <w:pPr>
              <w:rPr>
                <w:sz w:val="21"/>
                <w:szCs w:val="21"/>
              </w:rPr>
            </w:pPr>
            <w:r w:rsidRPr="005078DF">
              <w:rPr>
                <w:sz w:val="21"/>
                <w:szCs w:val="21"/>
              </w:rPr>
              <w:t>Strategy and Delivery Committee</w:t>
            </w:r>
          </w:p>
        </w:tc>
      </w:tr>
    </w:tbl>
    <w:p w:rsidR="003E6DFD" w:rsidRPr="005078DF" w:rsidRDefault="003E6DFD">
      <w:pPr>
        <w:rPr>
          <w:sz w:val="21"/>
          <w:szCs w:val="21"/>
        </w:rPr>
      </w:pPr>
    </w:p>
    <w:p w:rsidR="000C746F" w:rsidRPr="00530294" w:rsidRDefault="003E6DFD" w:rsidP="000C746F">
      <w:pPr>
        <w:pStyle w:val="ListParagraph"/>
        <w:numPr>
          <w:ilvl w:val="0"/>
          <w:numId w:val="44"/>
        </w:numPr>
        <w:rPr>
          <w:b/>
        </w:rPr>
      </w:pPr>
      <w:r>
        <w:br w:type="page"/>
      </w:r>
      <w:r w:rsidR="000C746F" w:rsidRPr="00530294">
        <w:rPr>
          <w:b/>
        </w:rPr>
        <w:lastRenderedPageBreak/>
        <w:t xml:space="preserve">Workforce – Lead Executive </w:t>
      </w:r>
      <w:r w:rsidR="000C746F">
        <w:rPr>
          <w:b/>
        </w:rPr>
        <w:t>Rachel Gidman</w:t>
      </w:r>
    </w:p>
    <w:p w:rsidR="000C746F" w:rsidRPr="00AE08FD" w:rsidRDefault="000C746F" w:rsidP="000C746F">
      <w:pPr>
        <w:ind w:left="-567"/>
        <w:jc w:val="both"/>
      </w:pPr>
      <w:r w:rsidRPr="00AE08FD">
        <w:t xml:space="preserve">Across </w:t>
      </w:r>
      <w:r>
        <w:t>Wales</w:t>
      </w:r>
      <w:r w:rsidRPr="00AE08FD">
        <w:t xml:space="preserve"> there </w:t>
      </w:r>
      <w:r>
        <w:t>are</w:t>
      </w:r>
      <w:r w:rsidRPr="00AE08FD">
        <w:t xml:space="preserve"> increasing challenges in recruiting healthcare professionals.  Meeting the requirements of a growing population which is older and with more complex health needs as well as increasing demand on health services has led for an increasing need in clinical </w:t>
      </w:r>
      <w:r>
        <w:t>staff. This has been further exacerbated with COVID 19, winter and the Mass Immunisation Programme.</w:t>
      </w:r>
    </w:p>
    <w:tbl>
      <w:tblPr>
        <w:tblStyle w:val="TableGrid"/>
        <w:tblW w:w="10348" w:type="dxa"/>
        <w:tblInd w:w="-459" w:type="dxa"/>
        <w:tblLook w:val="04A0" w:firstRow="1" w:lastRow="0" w:firstColumn="1" w:lastColumn="0" w:noHBand="0" w:noVBand="1"/>
      </w:tblPr>
      <w:tblGrid>
        <w:gridCol w:w="2358"/>
        <w:gridCol w:w="2605"/>
        <w:gridCol w:w="2307"/>
        <w:gridCol w:w="3078"/>
      </w:tblGrid>
      <w:tr w:rsidR="000C746F" w:rsidTr="00ED70C9">
        <w:tc>
          <w:tcPr>
            <w:tcW w:w="2358" w:type="dxa"/>
            <w:tcBorders>
              <w:bottom w:val="single" w:sz="4" w:space="0" w:color="auto"/>
              <w:right w:val="nil"/>
            </w:tcBorders>
          </w:tcPr>
          <w:p w:rsidR="000C746F" w:rsidRDefault="000C746F" w:rsidP="00ED70C9">
            <w:pPr>
              <w:spacing w:before="100" w:beforeAutospacing="1" w:after="100" w:afterAutospacing="1"/>
              <w:contextualSpacing/>
              <w:rPr>
                <w:b/>
              </w:rPr>
            </w:pPr>
            <w:r w:rsidRPr="00B838A9">
              <w:rPr>
                <w:b/>
              </w:rPr>
              <w:t>Risk</w:t>
            </w:r>
          </w:p>
          <w:p w:rsidR="000C746F" w:rsidRPr="00B838A9" w:rsidRDefault="000C746F" w:rsidP="00ED70C9">
            <w:pPr>
              <w:spacing w:before="100" w:beforeAutospacing="1" w:after="100" w:afterAutospacing="1"/>
              <w:contextualSpacing/>
              <w:rPr>
                <w:b/>
              </w:rPr>
            </w:pPr>
            <w:r w:rsidRPr="00C1191D">
              <w:rPr>
                <w:b/>
              </w:rPr>
              <w:t>Date added:  2.7.2020</w:t>
            </w:r>
          </w:p>
        </w:tc>
        <w:tc>
          <w:tcPr>
            <w:tcW w:w="7990" w:type="dxa"/>
            <w:gridSpan w:val="3"/>
            <w:tcBorders>
              <w:left w:val="nil"/>
            </w:tcBorders>
          </w:tcPr>
          <w:p w:rsidR="000C746F" w:rsidRPr="0081110D" w:rsidRDefault="000C746F" w:rsidP="00ED70C9">
            <w:pPr>
              <w:spacing w:before="100" w:beforeAutospacing="1" w:after="100" w:afterAutospacing="1"/>
              <w:contextualSpacing/>
            </w:pPr>
            <w:r w:rsidRPr="0081110D">
              <w:t xml:space="preserve">There is a risk that the organisation will not be able to recruit and retain a clinical workforce to deliver high quality care for the population of Cardiff and the Vale.  </w:t>
            </w:r>
          </w:p>
          <w:p w:rsidR="000C746F" w:rsidRPr="0081110D" w:rsidRDefault="000C746F" w:rsidP="00ED70C9">
            <w:pPr>
              <w:spacing w:before="100" w:beforeAutospacing="1" w:after="100" w:afterAutospacing="1"/>
              <w:contextualSpacing/>
            </w:pPr>
            <w:r w:rsidRPr="0081110D">
              <w:t xml:space="preserve">This may be further exacerbated by the demand to simultaneously stretch our workforce capacity to cover Covid-19 pandemic, Mass Immunisation Programme as well as business as usual.   </w:t>
            </w:r>
          </w:p>
        </w:tc>
      </w:tr>
      <w:tr w:rsidR="000C746F" w:rsidTr="00ED70C9">
        <w:tc>
          <w:tcPr>
            <w:tcW w:w="2358" w:type="dxa"/>
            <w:tcBorders>
              <w:bottom w:val="single" w:sz="4" w:space="0" w:color="auto"/>
              <w:right w:val="nil"/>
            </w:tcBorders>
          </w:tcPr>
          <w:p w:rsidR="000C746F" w:rsidRPr="00B838A9" w:rsidRDefault="000C746F" w:rsidP="00ED70C9">
            <w:pPr>
              <w:spacing w:before="100" w:beforeAutospacing="1" w:after="100" w:afterAutospacing="1"/>
              <w:rPr>
                <w:b/>
              </w:rPr>
            </w:pPr>
            <w:r w:rsidRPr="00B838A9">
              <w:rPr>
                <w:b/>
              </w:rPr>
              <w:t>Cause</w:t>
            </w:r>
          </w:p>
        </w:tc>
        <w:tc>
          <w:tcPr>
            <w:tcW w:w="7990" w:type="dxa"/>
            <w:gridSpan w:val="3"/>
            <w:tcBorders>
              <w:left w:val="nil"/>
            </w:tcBorders>
          </w:tcPr>
          <w:p w:rsidR="000C746F" w:rsidRPr="0081110D" w:rsidRDefault="000C746F" w:rsidP="00ED70C9">
            <w:pPr>
              <w:spacing w:before="100" w:beforeAutospacing="1" w:after="100" w:afterAutospacing="1"/>
              <w:contextualSpacing/>
            </w:pPr>
            <w:r w:rsidRPr="0081110D">
              <w:t xml:space="preserve">Increased vacancies in substantive clinical workforce –  to cover MTC specialist skill requirement and CAV 24/7. </w:t>
            </w:r>
          </w:p>
          <w:p w:rsidR="000C746F" w:rsidRPr="0081110D" w:rsidRDefault="000C746F" w:rsidP="00ED70C9">
            <w:pPr>
              <w:spacing w:before="100" w:beforeAutospacing="1" w:after="100" w:afterAutospacing="1"/>
              <w:contextualSpacing/>
            </w:pPr>
            <w:r w:rsidRPr="0081110D">
              <w:t>Winter Wards temporary bed expansion and COVID-19 – temporary bed expansion, community testing, mass vaccine immunisation, high staff absence due to covid-19 , increased demands on step up and step down demand for GP and CRT requirements of the Nurse Staffing Act and BAPM Standards.</w:t>
            </w:r>
          </w:p>
          <w:p w:rsidR="000C746F" w:rsidRPr="0081110D" w:rsidRDefault="000C746F" w:rsidP="00ED70C9">
            <w:pPr>
              <w:spacing w:before="100" w:beforeAutospacing="1" w:after="100" w:afterAutospacing="1"/>
              <w:contextualSpacing/>
            </w:pPr>
            <w:r w:rsidRPr="0081110D">
              <w:t>Ageing workforce</w:t>
            </w:r>
          </w:p>
          <w:p w:rsidR="000C746F" w:rsidRPr="0081110D" w:rsidRDefault="000C746F" w:rsidP="00ED70C9">
            <w:pPr>
              <w:spacing w:before="100" w:beforeAutospacing="1" w:after="100" w:afterAutospacing="1"/>
              <w:contextualSpacing/>
            </w:pPr>
            <w:r w:rsidRPr="0081110D">
              <w:t>Insufficient supply of registered Nurses at UK national level.</w:t>
            </w:r>
          </w:p>
          <w:p w:rsidR="000C746F" w:rsidRPr="0081110D" w:rsidRDefault="000C746F" w:rsidP="00ED70C9">
            <w:pPr>
              <w:spacing w:before="100" w:beforeAutospacing="1" w:after="100" w:afterAutospacing="1"/>
              <w:contextualSpacing/>
            </w:pPr>
            <w:r w:rsidRPr="0081110D">
              <w:t>High nurse turnover in Medicine,  Surgery and Specialist Services Clinical Boards</w:t>
            </w:r>
          </w:p>
          <w:p w:rsidR="000C746F" w:rsidRPr="0081110D" w:rsidRDefault="000C746F" w:rsidP="00ED70C9">
            <w:pPr>
              <w:spacing w:before="100" w:beforeAutospacing="1" w:after="100" w:afterAutospacing="1"/>
              <w:contextualSpacing/>
            </w:pPr>
            <w:r w:rsidRPr="0081110D">
              <w:t>Insufficient supply of Doctors in certain specialties at UK national level (e.g., Adult Psychiatry, Anaesthetics, General Medicine, Histopathology, Neurosurgery, GP)</w:t>
            </w:r>
          </w:p>
          <w:p w:rsidR="000C746F" w:rsidRPr="0081110D" w:rsidRDefault="000C746F" w:rsidP="00ED70C9">
            <w:pPr>
              <w:spacing w:before="100" w:beforeAutospacing="1" w:after="100" w:afterAutospacing="1"/>
              <w:contextualSpacing/>
            </w:pPr>
            <w:r w:rsidRPr="0081110D">
              <w:t>Changes to Junior Doctor Training Rotations (Deanery).</w:t>
            </w:r>
          </w:p>
          <w:p w:rsidR="000C746F" w:rsidRPr="0081110D" w:rsidRDefault="000C746F" w:rsidP="00ED70C9">
            <w:pPr>
              <w:spacing w:before="100" w:beforeAutospacing="1" w:after="100" w:afterAutospacing="1"/>
              <w:contextualSpacing/>
            </w:pPr>
            <w:r w:rsidRPr="0081110D">
              <w:t>Brexit.</w:t>
            </w:r>
          </w:p>
          <w:p w:rsidR="000C746F" w:rsidRPr="00AD4608" w:rsidRDefault="000C746F" w:rsidP="00ED70C9">
            <w:pPr>
              <w:spacing w:before="100" w:beforeAutospacing="1" w:after="100" w:afterAutospacing="1"/>
              <w:contextualSpacing/>
              <w:rPr>
                <w:color w:val="FF0000"/>
              </w:rPr>
            </w:pPr>
            <w:r w:rsidRPr="0081110D">
              <w:t xml:space="preserve">Further extension of Government CMO shielding letters from 22 December </w:t>
            </w:r>
            <w:r w:rsidRPr="00AD4608">
              <w:rPr>
                <w:color w:val="FF0000"/>
              </w:rPr>
              <w:t xml:space="preserve">–  31 March 2021   </w:t>
            </w:r>
          </w:p>
          <w:p w:rsidR="000C746F" w:rsidRPr="0081110D" w:rsidRDefault="000C746F" w:rsidP="00ED70C9">
            <w:pPr>
              <w:spacing w:before="100" w:beforeAutospacing="1" w:after="100" w:afterAutospacing="1"/>
              <w:contextualSpacing/>
            </w:pPr>
            <w:r>
              <w:t xml:space="preserve">Volatile </w:t>
            </w:r>
            <w:r w:rsidRPr="0081110D">
              <w:t xml:space="preserve"> prevalence of COVID-19 within community which </w:t>
            </w:r>
            <w:r>
              <w:t>does impact</w:t>
            </w:r>
            <w:r w:rsidRPr="0081110D">
              <w:t xml:space="preserve"> our own staff absence levels.</w:t>
            </w:r>
          </w:p>
          <w:p w:rsidR="000C746F" w:rsidRPr="0081110D" w:rsidRDefault="000C746F" w:rsidP="00ED70C9">
            <w:pPr>
              <w:spacing w:before="100" w:beforeAutospacing="1" w:after="100" w:afterAutospacing="1"/>
              <w:contextualSpacing/>
            </w:pPr>
          </w:p>
        </w:tc>
      </w:tr>
      <w:tr w:rsidR="000C746F" w:rsidTr="00ED70C9">
        <w:tc>
          <w:tcPr>
            <w:tcW w:w="2358" w:type="dxa"/>
            <w:tcBorders>
              <w:right w:val="nil"/>
            </w:tcBorders>
          </w:tcPr>
          <w:p w:rsidR="000C746F" w:rsidRPr="00B838A9" w:rsidRDefault="000C746F" w:rsidP="00ED70C9">
            <w:pPr>
              <w:spacing w:before="100" w:beforeAutospacing="1" w:after="100" w:afterAutospacing="1"/>
              <w:rPr>
                <w:b/>
              </w:rPr>
            </w:pPr>
            <w:r w:rsidRPr="00B838A9">
              <w:rPr>
                <w:b/>
              </w:rPr>
              <w:t>Impact</w:t>
            </w:r>
          </w:p>
        </w:tc>
        <w:tc>
          <w:tcPr>
            <w:tcW w:w="7990" w:type="dxa"/>
            <w:gridSpan w:val="3"/>
            <w:tcBorders>
              <w:left w:val="nil"/>
            </w:tcBorders>
          </w:tcPr>
          <w:p w:rsidR="000C746F" w:rsidRDefault="000C746F" w:rsidP="00ED70C9">
            <w:pPr>
              <w:spacing w:before="100" w:beforeAutospacing="1" w:after="100" w:afterAutospacing="1"/>
              <w:contextualSpacing/>
            </w:pPr>
            <w:r>
              <w:t>Impact on quality of care provided to the population.</w:t>
            </w:r>
          </w:p>
          <w:p w:rsidR="000C746F" w:rsidRDefault="000C746F" w:rsidP="00ED70C9">
            <w:pPr>
              <w:spacing w:before="100" w:beforeAutospacing="1" w:after="100" w:afterAutospacing="1"/>
              <w:contextualSpacing/>
            </w:pPr>
            <w:r>
              <w:t>Inability to meet demands of both pandemic and business as usual.</w:t>
            </w:r>
          </w:p>
          <w:p w:rsidR="000C746F" w:rsidRDefault="000C746F" w:rsidP="00ED70C9">
            <w:pPr>
              <w:spacing w:before="100" w:beforeAutospacing="1" w:after="100" w:afterAutospacing="1"/>
              <w:contextualSpacing/>
            </w:pPr>
            <w:r>
              <w:t>Potentially  inadequate levels of staffing.</w:t>
            </w:r>
          </w:p>
          <w:p w:rsidR="000C746F" w:rsidRDefault="000C746F" w:rsidP="00ED70C9">
            <w:pPr>
              <w:spacing w:before="100" w:beforeAutospacing="1" w:after="100" w:afterAutospacing="1"/>
              <w:contextualSpacing/>
            </w:pPr>
            <w:r>
              <w:t>Increase in agency and locum usage and increased workforce costs.</w:t>
            </w:r>
          </w:p>
          <w:p w:rsidR="000C746F" w:rsidRDefault="000C746F" w:rsidP="00ED70C9">
            <w:pPr>
              <w:spacing w:before="100" w:beforeAutospacing="1" w:after="100" w:afterAutospacing="1"/>
              <w:contextualSpacing/>
            </w:pPr>
            <w:r>
              <w:t>Rates above Welsh Government Cap (Medical staff).</w:t>
            </w:r>
          </w:p>
          <w:p w:rsidR="000C746F" w:rsidRDefault="000C746F" w:rsidP="00ED70C9">
            <w:pPr>
              <w:spacing w:before="100" w:beforeAutospacing="1" w:after="100" w:afterAutospacing="1"/>
              <w:contextualSpacing/>
            </w:pPr>
            <w:r>
              <w:t>Low Staff moral and higher sickness absence.</w:t>
            </w:r>
          </w:p>
          <w:p w:rsidR="000C746F" w:rsidRDefault="000C746F" w:rsidP="00ED70C9">
            <w:pPr>
              <w:spacing w:before="100" w:beforeAutospacing="1" w:after="100" w:afterAutospacing="1"/>
              <w:contextualSpacing/>
            </w:pPr>
            <w:r>
              <w:t>Poor attendance at statutory and mandatory Training.</w:t>
            </w:r>
          </w:p>
        </w:tc>
      </w:tr>
      <w:tr w:rsidR="000C746F" w:rsidTr="00ED70C9">
        <w:tc>
          <w:tcPr>
            <w:tcW w:w="2358" w:type="dxa"/>
            <w:tcBorders>
              <w:bottom w:val="single" w:sz="4" w:space="0" w:color="auto"/>
            </w:tcBorders>
          </w:tcPr>
          <w:p w:rsidR="000C746F" w:rsidRPr="00F42466" w:rsidRDefault="000C746F" w:rsidP="00ED70C9">
            <w:pPr>
              <w:spacing w:before="100" w:beforeAutospacing="1" w:after="100" w:afterAutospacing="1"/>
            </w:pPr>
            <w:r w:rsidRPr="00F42466">
              <w:t>Impact Score:</w:t>
            </w:r>
            <w:r>
              <w:t xml:space="preserve">   5</w:t>
            </w:r>
          </w:p>
        </w:tc>
        <w:tc>
          <w:tcPr>
            <w:tcW w:w="2605" w:type="dxa"/>
          </w:tcPr>
          <w:p w:rsidR="000C746F" w:rsidRDefault="000C746F" w:rsidP="00ED70C9">
            <w:pPr>
              <w:spacing w:before="100" w:beforeAutospacing="1" w:after="100" w:afterAutospacing="1"/>
            </w:pPr>
            <w:r>
              <w:t>Likelihood Score:  5</w:t>
            </w:r>
          </w:p>
        </w:tc>
        <w:tc>
          <w:tcPr>
            <w:tcW w:w="2307" w:type="dxa"/>
          </w:tcPr>
          <w:p w:rsidR="000C746F" w:rsidRDefault="000C746F" w:rsidP="00ED70C9">
            <w:pPr>
              <w:spacing w:before="100" w:beforeAutospacing="1" w:after="100" w:afterAutospacing="1"/>
            </w:pPr>
            <w:r>
              <w:t>Gross Risk Score:</w:t>
            </w:r>
          </w:p>
        </w:tc>
        <w:tc>
          <w:tcPr>
            <w:tcW w:w="3078" w:type="dxa"/>
            <w:shd w:val="clear" w:color="auto" w:fill="FF0000"/>
          </w:tcPr>
          <w:p w:rsidR="000C746F" w:rsidRPr="00F42466" w:rsidRDefault="000C746F" w:rsidP="00ED70C9">
            <w:pPr>
              <w:spacing w:before="100" w:beforeAutospacing="1" w:after="100" w:afterAutospacing="1"/>
              <w:rPr>
                <w:b/>
              </w:rPr>
            </w:pPr>
            <w:r w:rsidRPr="00F42466">
              <w:rPr>
                <w:b/>
              </w:rPr>
              <w:t>2</w:t>
            </w:r>
            <w:r>
              <w:rPr>
                <w:b/>
              </w:rPr>
              <w:t>5</w:t>
            </w:r>
            <w:r w:rsidRPr="00F42466">
              <w:rPr>
                <w:b/>
              </w:rPr>
              <w:t xml:space="preserve"> (</w:t>
            </w:r>
            <w:r>
              <w:rPr>
                <w:b/>
              </w:rPr>
              <w:t>Extreme</w:t>
            </w:r>
            <w:r w:rsidRPr="00F42466">
              <w:rPr>
                <w:b/>
              </w:rPr>
              <w:t>)</w:t>
            </w:r>
          </w:p>
        </w:tc>
      </w:tr>
      <w:tr w:rsidR="000C746F" w:rsidTr="00ED70C9">
        <w:tc>
          <w:tcPr>
            <w:tcW w:w="2358" w:type="dxa"/>
            <w:tcBorders>
              <w:bottom w:val="single" w:sz="4" w:space="0" w:color="auto"/>
              <w:right w:val="nil"/>
            </w:tcBorders>
          </w:tcPr>
          <w:p w:rsidR="000C746F" w:rsidRPr="00B838A9" w:rsidRDefault="000C746F" w:rsidP="00ED70C9">
            <w:pPr>
              <w:spacing w:before="100" w:beforeAutospacing="1" w:after="100" w:afterAutospacing="1"/>
              <w:rPr>
                <w:b/>
              </w:rPr>
            </w:pPr>
            <w:r w:rsidRPr="00B838A9">
              <w:rPr>
                <w:b/>
              </w:rPr>
              <w:t>Current Controls</w:t>
            </w:r>
          </w:p>
        </w:tc>
        <w:tc>
          <w:tcPr>
            <w:tcW w:w="7990" w:type="dxa"/>
            <w:gridSpan w:val="3"/>
            <w:tcBorders>
              <w:left w:val="nil"/>
            </w:tcBorders>
          </w:tcPr>
          <w:p w:rsidR="000C746F" w:rsidRPr="0081110D" w:rsidRDefault="000C746F" w:rsidP="00ED70C9">
            <w:pPr>
              <w:spacing w:before="100" w:beforeAutospacing="1" w:after="100" w:afterAutospacing="1"/>
              <w:contextualSpacing/>
            </w:pPr>
            <w:r w:rsidRPr="0081110D">
              <w:t>Recruitment campaign through social media with strong branding</w:t>
            </w:r>
          </w:p>
          <w:p w:rsidR="000C746F" w:rsidRPr="0081110D" w:rsidRDefault="000C746F" w:rsidP="00ED70C9">
            <w:pPr>
              <w:spacing w:before="100" w:beforeAutospacing="1" w:after="100" w:afterAutospacing="1"/>
              <w:contextualSpacing/>
            </w:pPr>
            <w:r w:rsidRPr="0081110D">
              <w:t xml:space="preserve">Job of the week, Skype Interviews. </w:t>
            </w:r>
          </w:p>
          <w:p w:rsidR="000C746F" w:rsidRPr="0081110D" w:rsidRDefault="000C746F" w:rsidP="00ED70C9">
            <w:pPr>
              <w:spacing w:before="100" w:beforeAutospacing="1" w:after="100" w:afterAutospacing="1"/>
              <w:contextualSpacing/>
            </w:pPr>
            <w:r w:rsidRPr="0081110D">
              <w:t xml:space="preserve">Social Media Campaign Open Days Nurse-led leadership embedded within recruitment drive. </w:t>
            </w:r>
          </w:p>
          <w:p w:rsidR="000C746F" w:rsidRPr="0081110D" w:rsidRDefault="000C746F" w:rsidP="00ED70C9">
            <w:pPr>
              <w:spacing w:before="100" w:beforeAutospacing="1" w:after="100" w:afterAutospacing="1"/>
              <w:contextualSpacing/>
            </w:pPr>
            <w:r w:rsidRPr="0081110D">
              <w:t>Values based recruitment.</w:t>
            </w:r>
          </w:p>
          <w:p w:rsidR="000C746F" w:rsidRPr="0081110D" w:rsidRDefault="000C746F" w:rsidP="00ED70C9">
            <w:pPr>
              <w:spacing w:before="100" w:beforeAutospacing="1" w:after="100" w:afterAutospacing="1"/>
              <w:contextualSpacing/>
            </w:pPr>
            <w:r w:rsidRPr="0081110D">
              <w:t xml:space="preserve">Comprehensive Retention Plan introduced from October 2018 – Internal Career. Development Scheme launched in September for band 5 nurses.  </w:t>
            </w:r>
          </w:p>
          <w:p w:rsidR="000C746F" w:rsidRPr="0081110D" w:rsidRDefault="000C746F" w:rsidP="00ED70C9">
            <w:pPr>
              <w:spacing w:before="100" w:beforeAutospacing="1" w:after="100" w:afterAutospacing="1"/>
              <w:contextualSpacing/>
            </w:pPr>
            <w:r w:rsidRPr="0081110D">
              <w:t>Nurse Adaptation Programme commenced October 2018 (in house OSCE programme) – over 75 UK based nurses have qualified to date (100% pass rate).</w:t>
            </w:r>
          </w:p>
          <w:p w:rsidR="000C746F" w:rsidRPr="0081110D" w:rsidRDefault="000C746F" w:rsidP="00ED70C9">
            <w:pPr>
              <w:spacing w:before="100" w:beforeAutospacing="1" w:after="100" w:afterAutospacing="1"/>
              <w:contextualSpacing/>
            </w:pPr>
            <w:r w:rsidRPr="0081110D">
              <w:t>Returners Programme in conjunction with Cardiff University.</w:t>
            </w:r>
          </w:p>
          <w:p w:rsidR="000C746F" w:rsidRPr="0081110D" w:rsidRDefault="000C746F" w:rsidP="00ED70C9">
            <w:pPr>
              <w:spacing w:before="100" w:beforeAutospacing="1" w:after="100" w:afterAutospacing="1"/>
              <w:contextualSpacing/>
            </w:pPr>
            <w:r w:rsidRPr="0081110D">
              <w:t>Student Nurse clinical placement and on-going nurturing of talent.</w:t>
            </w:r>
          </w:p>
          <w:p w:rsidR="000C746F" w:rsidRPr="0081110D" w:rsidRDefault="000C746F" w:rsidP="00ED70C9">
            <w:pPr>
              <w:spacing w:before="100" w:beforeAutospacing="1" w:after="100" w:afterAutospacing="1"/>
              <w:contextualSpacing/>
            </w:pPr>
            <w:r w:rsidRPr="0081110D">
              <w:t xml:space="preserve">International Nurse Recruitment in place – international supply plentiful, local support mechanism to support new recruits in place – </w:t>
            </w:r>
            <w:r>
              <w:t>78</w:t>
            </w:r>
            <w:r w:rsidRPr="0081110D">
              <w:t xml:space="preserve"> international nurses have joined us to date.  A</w:t>
            </w:r>
            <w:r>
              <w:t xml:space="preserve"> total of 185 </w:t>
            </w:r>
            <w:r w:rsidRPr="0081110D">
              <w:t xml:space="preserve"> have </w:t>
            </w:r>
            <w:r>
              <w:t xml:space="preserve">now </w:t>
            </w:r>
            <w:r w:rsidRPr="0081110D">
              <w:t>been commissioned</w:t>
            </w:r>
            <w:r>
              <w:t xml:space="preserve"> and recruitment offers already made to the majority.   </w:t>
            </w:r>
            <w:r w:rsidRPr="0081110D">
              <w:t xml:space="preserve">.  The Framework remains open to us going forward.     </w:t>
            </w:r>
          </w:p>
          <w:p w:rsidR="000C746F" w:rsidRPr="0081110D" w:rsidRDefault="000C746F" w:rsidP="00ED70C9">
            <w:pPr>
              <w:spacing w:before="100" w:beforeAutospacing="1" w:after="100" w:afterAutospacing="1"/>
              <w:contextualSpacing/>
            </w:pPr>
            <w:r w:rsidRPr="0081110D">
              <w:t xml:space="preserve">Medical international recruitment strategies. </w:t>
            </w:r>
          </w:p>
          <w:p w:rsidR="000C746F" w:rsidRPr="0081110D" w:rsidRDefault="000C746F" w:rsidP="00ED70C9">
            <w:pPr>
              <w:spacing w:before="100" w:beforeAutospacing="1" w:after="100" w:afterAutospacing="1"/>
              <w:contextualSpacing/>
            </w:pPr>
            <w:r w:rsidRPr="0081110D">
              <w:t>Programme of talent management and succession planning.</w:t>
            </w:r>
          </w:p>
          <w:p w:rsidR="000C746F" w:rsidRPr="0081110D" w:rsidRDefault="000C746F" w:rsidP="00ED70C9">
            <w:pPr>
              <w:spacing w:before="100" w:beforeAutospacing="1" w:after="100" w:afterAutospacing="1"/>
              <w:contextualSpacing/>
            </w:pPr>
            <w:r w:rsidRPr="0081110D">
              <w:t>Medical Training Initiative (MTI) 2 year placement scheme.</w:t>
            </w:r>
          </w:p>
          <w:p w:rsidR="000C746F" w:rsidRPr="0081110D" w:rsidRDefault="000C746F" w:rsidP="00ED70C9">
            <w:pPr>
              <w:spacing w:before="100" w:beforeAutospacing="1" w:after="100" w:afterAutospacing="1"/>
              <w:contextualSpacing/>
            </w:pPr>
            <w:r w:rsidRPr="0081110D">
              <w:t xml:space="preserve">Collaboration with Medics to fill hard to fill roles, search and selection methods, CV scanning by speciality. </w:t>
            </w:r>
          </w:p>
          <w:p w:rsidR="000C746F" w:rsidRPr="0081110D" w:rsidRDefault="000C746F" w:rsidP="00ED70C9">
            <w:pPr>
              <w:spacing w:before="100" w:beforeAutospacing="1" w:after="100" w:afterAutospacing="1"/>
              <w:contextualSpacing/>
            </w:pPr>
            <w:r w:rsidRPr="0081110D">
              <w:lastRenderedPageBreak/>
              <w:t xml:space="preserve">Link with Welsh Government Campaign </w:t>
            </w:r>
            <w:r w:rsidRPr="0081110D">
              <w:rPr>
                <w:i/>
              </w:rPr>
              <w:t>Train, Work, Live</w:t>
            </w:r>
            <w:r w:rsidRPr="0081110D">
              <w:t xml:space="preserve"> to attract for Wales - GP, Doctors, Nursing and Therapies .</w:t>
            </w:r>
          </w:p>
          <w:p w:rsidR="000C746F" w:rsidRPr="0081110D" w:rsidRDefault="000C746F" w:rsidP="00ED70C9">
            <w:pPr>
              <w:spacing w:before="100" w:beforeAutospacing="1" w:after="100" w:afterAutospacing="1"/>
              <w:contextualSpacing/>
            </w:pPr>
            <w:r w:rsidRPr="0081110D">
              <w:t>Operationally, the development of Green Zones etc. which help stratify the workforce and maximise availability.</w:t>
            </w:r>
          </w:p>
          <w:p w:rsidR="000C746F" w:rsidRPr="0081110D" w:rsidRDefault="000C746F" w:rsidP="00ED70C9">
            <w:pPr>
              <w:spacing w:before="100" w:beforeAutospacing="1" w:after="100" w:afterAutospacing="1"/>
              <w:contextualSpacing/>
            </w:pPr>
            <w:r w:rsidRPr="0081110D">
              <w:t>Review of staff shielding to maximise home working, track and tracing etc.</w:t>
            </w:r>
          </w:p>
          <w:p w:rsidR="000C746F" w:rsidRPr="0081110D" w:rsidRDefault="000C746F" w:rsidP="00ED70C9">
            <w:pPr>
              <w:spacing w:before="100" w:beforeAutospacing="1" w:after="100" w:afterAutospacing="1"/>
              <w:contextualSpacing/>
            </w:pPr>
            <w:r w:rsidRPr="0081110D">
              <w:t xml:space="preserve">Central workforce hub meets </w:t>
            </w:r>
            <w:r>
              <w:t>weekly</w:t>
            </w:r>
            <w:r w:rsidRPr="0081110D">
              <w:t xml:space="preserve">  to meet demand of recruiting temporary workforce.  This has now been expanded to co-ordinate all Hubs, chaired by the Executive Director of Workforce &amp; OD.  CNS and nursing staff from elective, outpatient and corporate areas being deployed to support urgent need.  </w:t>
            </w:r>
          </w:p>
          <w:p w:rsidR="000C746F" w:rsidRPr="0081110D" w:rsidRDefault="000C746F" w:rsidP="00ED70C9">
            <w:pPr>
              <w:spacing w:before="100" w:beforeAutospacing="1" w:after="100" w:afterAutospacing="1"/>
              <w:contextualSpacing/>
            </w:pPr>
            <w:r w:rsidRPr="0081110D">
              <w:t xml:space="preserve">Ceasing of non-urgent surgery and planned care during January will ensure clinical workforce capacity in place. </w:t>
            </w:r>
          </w:p>
          <w:p w:rsidR="000C746F" w:rsidRPr="0081110D" w:rsidRDefault="000C746F" w:rsidP="00ED70C9">
            <w:pPr>
              <w:spacing w:before="100" w:beforeAutospacing="1" w:after="100" w:afterAutospacing="1"/>
              <w:contextualSpacing/>
            </w:pPr>
            <w:r w:rsidRPr="0081110D">
              <w:t>On-going review of medical rotas to flex and increase medical cover capacity.</w:t>
            </w:r>
          </w:p>
          <w:p w:rsidR="000C746F" w:rsidRPr="0081110D" w:rsidRDefault="000C746F" w:rsidP="00ED70C9">
            <w:pPr>
              <w:spacing w:before="100" w:beforeAutospacing="1" w:after="100" w:afterAutospacing="1"/>
              <w:contextualSpacing/>
            </w:pPr>
            <w:r w:rsidRPr="0081110D">
              <w:t>Appointment of 9  Physician Associates to supplement MDT in a number of Clinical Boards – further commissioning being explored with CB’s.</w:t>
            </w:r>
          </w:p>
          <w:p w:rsidR="000C746F" w:rsidRPr="0081110D" w:rsidRDefault="000C746F" w:rsidP="00ED70C9">
            <w:pPr>
              <w:spacing w:before="100" w:beforeAutospacing="1" w:after="100" w:afterAutospacing="1"/>
              <w:contextualSpacing/>
            </w:pPr>
            <w:r w:rsidRPr="0081110D">
              <w:t>Temporary recruitment of medical,  nursing and therapy students.</w:t>
            </w:r>
          </w:p>
          <w:p w:rsidR="000C746F" w:rsidRPr="0081110D" w:rsidRDefault="000C746F" w:rsidP="00ED70C9">
            <w:pPr>
              <w:spacing w:before="100" w:beforeAutospacing="1" w:after="100" w:afterAutospacing="1"/>
              <w:contextualSpacing/>
            </w:pPr>
            <w:r w:rsidRPr="0081110D">
              <w:t>Retirement returners – noting positive change to the NMC register being expanded to support temporary workers.</w:t>
            </w:r>
          </w:p>
          <w:p w:rsidR="000C746F" w:rsidRPr="0081110D" w:rsidRDefault="000C746F" w:rsidP="00ED70C9">
            <w:pPr>
              <w:spacing w:before="100" w:beforeAutospacing="1" w:after="100" w:afterAutospacing="1"/>
              <w:contextualSpacing/>
            </w:pPr>
            <w:r w:rsidRPr="0081110D">
              <w:t xml:space="preserve">New initiatives on-going e.g., working with St Johns Ambulance.    </w:t>
            </w:r>
          </w:p>
          <w:p w:rsidR="000C746F" w:rsidRPr="0081110D" w:rsidRDefault="000C746F" w:rsidP="00ED70C9">
            <w:pPr>
              <w:spacing w:before="100" w:beforeAutospacing="1" w:after="100" w:afterAutospacing="1"/>
              <w:contextualSpacing/>
            </w:pPr>
            <w:r w:rsidRPr="0081110D">
              <w:t>Enhanced overtime provisions for substantive nursing and HCSW staff to encourage take up of additional hours.</w:t>
            </w:r>
          </w:p>
        </w:tc>
      </w:tr>
      <w:tr w:rsidR="000C746F" w:rsidTr="00ED70C9">
        <w:tc>
          <w:tcPr>
            <w:tcW w:w="2358" w:type="dxa"/>
            <w:tcBorders>
              <w:right w:val="nil"/>
            </w:tcBorders>
          </w:tcPr>
          <w:p w:rsidR="000C746F" w:rsidRPr="003C1AA4" w:rsidRDefault="000C746F" w:rsidP="00ED70C9">
            <w:pPr>
              <w:spacing w:before="100" w:beforeAutospacing="1" w:after="100" w:afterAutospacing="1"/>
              <w:rPr>
                <w:b/>
              </w:rPr>
            </w:pPr>
            <w:r w:rsidRPr="003C1AA4">
              <w:rPr>
                <w:b/>
              </w:rPr>
              <w:lastRenderedPageBreak/>
              <w:t>Current Assurances</w:t>
            </w:r>
          </w:p>
        </w:tc>
        <w:tc>
          <w:tcPr>
            <w:tcW w:w="7990" w:type="dxa"/>
            <w:gridSpan w:val="3"/>
            <w:tcBorders>
              <w:left w:val="nil"/>
            </w:tcBorders>
          </w:tcPr>
          <w:p w:rsidR="000C746F" w:rsidRPr="0081110D" w:rsidRDefault="000C746F" w:rsidP="00ED70C9">
            <w:pPr>
              <w:spacing w:before="100" w:beforeAutospacing="1" w:after="100" w:afterAutospacing="1"/>
              <w:contextualSpacing/>
            </w:pPr>
            <w:r w:rsidRPr="0081110D">
              <w:t xml:space="preserve">Daily COVID LCC Sitrep incorporates workforce status and escalation requirement – currently </w:t>
            </w:r>
            <w:r>
              <w:t xml:space="preserve">green </w:t>
            </w:r>
            <w:r w:rsidRPr="0081110D">
              <w:t xml:space="preserve"> in most areas.</w:t>
            </w:r>
          </w:p>
          <w:p w:rsidR="000C746F" w:rsidRPr="0081110D" w:rsidRDefault="000C746F" w:rsidP="00ED70C9">
            <w:pPr>
              <w:spacing w:before="100" w:beforeAutospacing="1" w:after="100" w:afterAutospacing="1"/>
              <w:contextualSpacing/>
            </w:pPr>
            <w:r w:rsidRPr="0081110D">
              <w:t>Daily absence monitoring undertaken by Clinical Boards and compiled centrally.</w:t>
            </w:r>
          </w:p>
          <w:p w:rsidR="000C746F" w:rsidRPr="0081110D" w:rsidRDefault="000C746F" w:rsidP="00ED70C9">
            <w:pPr>
              <w:spacing w:before="100" w:beforeAutospacing="1" w:after="100" w:afterAutospacing="1"/>
              <w:contextualSpacing/>
            </w:pPr>
            <w:r w:rsidRPr="0081110D">
              <w:t xml:space="preserve">Workforce metrics reported to COVID-19 Operation Meetings, HSMB and Strategy and Delivery Committee </w:t>
            </w:r>
          </w:p>
          <w:p w:rsidR="000C746F" w:rsidRPr="0081110D" w:rsidRDefault="000C746F" w:rsidP="00ED70C9">
            <w:pPr>
              <w:spacing w:before="100" w:beforeAutospacing="1" w:after="100" w:afterAutospacing="1"/>
              <w:contextualSpacing/>
            </w:pPr>
            <w:r w:rsidRPr="0081110D">
              <w:t>High level temporary recruitment achieved at pace since March 2020</w:t>
            </w:r>
          </w:p>
          <w:p w:rsidR="000C746F" w:rsidRPr="0081110D" w:rsidRDefault="000C746F" w:rsidP="00ED70C9">
            <w:pPr>
              <w:spacing w:before="100" w:beforeAutospacing="1" w:after="100" w:afterAutospacing="1"/>
              <w:contextualSpacing/>
            </w:pPr>
            <w:r w:rsidRPr="0081110D">
              <w:t>Mass Immunisation Workforce Plan in place to increase recruitment on a phased basis to meet demand.  Ratio of registered to non-registered reviewed nationally to ensure HCSW role utilised fully.</w:t>
            </w:r>
          </w:p>
          <w:p w:rsidR="000C746F" w:rsidRPr="0081110D" w:rsidRDefault="000C746F" w:rsidP="00ED70C9">
            <w:pPr>
              <w:spacing w:before="100" w:beforeAutospacing="1" w:after="100" w:afterAutospacing="1"/>
              <w:contextualSpacing/>
            </w:pPr>
            <w:r w:rsidRPr="0081110D">
              <w:t>High conversion rates from media campaign and Open Day (some virtual ongoing).</w:t>
            </w:r>
          </w:p>
          <w:p w:rsidR="000C746F" w:rsidRPr="003C1AA4" w:rsidRDefault="000C746F" w:rsidP="00ED70C9">
            <w:pPr>
              <w:spacing w:before="100" w:beforeAutospacing="1" w:after="100" w:afterAutospacing="1"/>
              <w:contextualSpacing/>
            </w:pPr>
            <w:r>
              <w:t xml:space="preserve">Last </w:t>
            </w:r>
            <w:r w:rsidRPr="003C1AA4">
              <w:t xml:space="preserve"> summer, student streamlining produced the biggest intake at C&amp;V in Wales due to the way we engage, attract and support students</w:t>
            </w:r>
            <w:r>
              <w:t>.</w:t>
            </w:r>
            <w:r w:rsidRPr="003C1AA4">
              <w:t xml:space="preserve"> </w:t>
            </w:r>
          </w:p>
          <w:p w:rsidR="000C746F" w:rsidRPr="003C1AA4" w:rsidRDefault="000C746F" w:rsidP="00ED70C9">
            <w:pPr>
              <w:spacing w:before="100" w:beforeAutospacing="1" w:after="100" w:afterAutospacing="1"/>
              <w:contextualSpacing/>
            </w:pPr>
            <w:r w:rsidRPr="003C1AA4">
              <w:t>Nurse vacancy monitoring at meetings with CB’s</w:t>
            </w:r>
            <w:r>
              <w:t>.</w:t>
            </w:r>
          </w:p>
          <w:p w:rsidR="000C746F" w:rsidRPr="003C1AA4" w:rsidRDefault="000C746F" w:rsidP="00ED70C9">
            <w:pPr>
              <w:spacing w:before="100" w:beforeAutospacing="1" w:after="100" w:afterAutospacing="1"/>
              <w:contextualSpacing/>
            </w:pPr>
            <w:r w:rsidRPr="003C1AA4">
              <w:t>Trajectory showing next vacancies in nursing</w:t>
            </w:r>
            <w:r>
              <w:t>.</w:t>
            </w:r>
            <w:r w:rsidRPr="003C1AA4">
              <w:t xml:space="preserve"> </w:t>
            </w:r>
          </w:p>
          <w:p w:rsidR="000C746F" w:rsidRPr="003C1AA4" w:rsidRDefault="000C746F" w:rsidP="00ED70C9">
            <w:pPr>
              <w:spacing w:before="100" w:beforeAutospacing="1" w:after="100" w:afterAutospacing="1"/>
              <w:contextualSpacing/>
            </w:pPr>
            <w:r w:rsidRPr="003C1AA4">
              <w:t>Majority of MTC posts filled successfully and high engagement</w:t>
            </w:r>
            <w:r>
              <w:t>.</w:t>
            </w:r>
          </w:p>
          <w:p w:rsidR="000C746F" w:rsidRPr="003C1AA4" w:rsidRDefault="000C746F" w:rsidP="00ED70C9">
            <w:pPr>
              <w:spacing w:before="100" w:beforeAutospacing="1" w:after="100" w:afterAutospacing="1"/>
              <w:contextualSpacing/>
            </w:pPr>
            <w:r w:rsidRPr="003C1AA4">
              <w:t>As at 3</w:t>
            </w:r>
            <w:r>
              <w:t>1.12.</w:t>
            </w:r>
            <w:r w:rsidRPr="003C1AA4">
              <w:t>2020 9</w:t>
            </w:r>
            <w:r>
              <w:t>3</w:t>
            </w:r>
            <w:r w:rsidRPr="003C1AA4">
              <w:t>% substantive posts filled at Bands 5 &amp; 6 (combined).</w:t>
            </w:r>
            <w:r>
              <w:t xml:space="preserve"> </w:t>
            </w:r>
          </w:p>
          <w:p w:rsidR="000C746F" w:rsidRDefault="000C746F" w:rsidP="00ED70C9">
            <w:pPr>
              <w:spacing w:before="100" w:beforeAutospacing="1" w:after="100" w:afterAutospacing="1"/>
            </w:pPr>
            <w:r w:rsidRPr="003C1AA4">
              <w:t>Deep dive monitoring at Clinical Board and operational level being undertaken monthly to ensure nursing capacity</w:t>
            </w:r>
            <w:r>
              <w:t xml:space="preserve">. </w:t>
            </w:r>
          </w:p>
          <w:p w:rsidR="000C746F" w:rsidRPr="003C1AA4" w:rsidRDefault="000C746F" w:rsidP="00ED70C9">
            <w:pPr>
              <w:spacing w:before="100" w:beforeAutospacing="1" w:after="100" w:afterAutospacing="1"/>
              <w:contextualSpacing/>
            </w:pPr>
            <w:r w:rsidRPr="003C1AA4">
              <w:t>Medical monitoring at Medical Workforce Advisory Group (MWAG)</w:t>
            </w:r>
          </w:p>
          <w:p w:rsidR="000C746F" w:rsidRPr="003C1AA4" w:rsidRDefault="000C746F" w:rsidP="00ED70C9">
            <w:pPr>
              <w:spacing w:before="100" w:beforeAutospacing="1" w:after="100" w:afterAutospacing="1"/>
              <w:contextualSpacing/>
            </w:pPr>
            <w:r w:rsidRPr="003C1AA4">
              <w:t>Paediatric Surgery now fully established</w:t>
            </w:r>
          </w:p>
          <w:p w:rsidR="000C746F" w:rsidRPr="003C1AA4" w:rsidRDefault="000C746F" w:rsidP="00ED70C9">
            <w:pPr>
              <w:spacing w:before="100" w:beforeAutospacing="1" w:after="100" w:afterAutospacing="1"/>
              <w:contextualSpacing/>
            </w:pPr>
            <w:r w:rsidRPr="003C1AA4">
              <w:t>A &amp; E fully established since February 2019</w:t>
            </w:r>
          </w:p>
          <w:p w:rsidR="000C746F" w:rsidRPr="003C1AA4" w:rsidRDefault="000C746F" w:rsidP="00ED70C9">
            <w:pPr>
              <w:spacing w:before="100" w:beforeAutospacing="1" w:after="100" w:afterAutospacing="1"/>
              <w:contextualSpacing/>
            </w:pPr>
            <w:r w:rsidRPr="003C1AA4">
              <w:t>Medical rotas being monitored by COVID-19 Operations team to ensure flexibility in place (RAG rated system)</w:t>
            </w:r>
          </w:p>
          <w:p w:rsidR="000C746F" w:rsidRPr="003C1AA4" w:rsidRDefault="000C746F" w:rsidP="00ED70C9">
            <w:pPr>
              <w:spacing w:before="100" w:beforeAutospacing="1" w:after="100" w:afterAutospacing="1"/>
              <w:contextualSpacing/>
            </w:pPr>
            <w:r w:rsidRPr="003C1AA4">
              <w:t>Medicine 2% gap (98% fully established) - on permanent nursing lowest it’s been for 3 years</w:t>
            </w:r>
          </w:p>
        </w:tc>
      </w:tr>
      <w:tr w:rsidR="000C746F" w:rsidRPr="00E04565" w:rsidTr="00ED70C9">
        <w:tc>
          <w:tcPr>
            <w:tcW w:w="2358" w:type="dxa"/>
            <w:tcBorders>
              <w:bottom w:val="single" w:sz="4" w:space="0" w:color="auto"/>
            </w:tcBorders>
          </w:tcPr>
          <w:p w:rsidR="000C746F" w:rsidRPr="00E04565" w:rsidRDefault="000C746F" w:rsidP="00ED70C9">
            <w:pPr>
              <w:spacing w:before="100" w:beforeAutospacing="1" w:after="100" w:afterAutospacing="1"/>
            </w:pPr>
            <w:r w:rsidRPr="00E04565">
              <w:t>Impact Score:</w:t>
            </w:r>
            <w:r>
              <w:t xml:space="preserve"> 5</w:t>
            </w:r>
          </w:p>
        </w:tc>
        <w:tc>
          <w:tcPr>
            <w:tcW w:w="2605" w:type="dxa"/>
          </w:tcPr>
          <w:p w:rsidR="000C746F" w:rsidRPr="00E04565" w:rsidRDefault="000C746F" w:rsidP="00ED70C9">
            <w:pPr>
              <w:spacing w:before="100" w:beforeAutospacing="1" w:after="100" w:afterAutospacing="1"/>
            </w:pPr>
            <w:r w:rsidRPr="00E04565">
              <w:t>Likelihood Score:</w:t>
            </w:r>
            <w:r>
              <w:t xml:space="preserve"> 3</w:t>
            </w:r>
          </w:p>
        </w:tc>
        <w:tc>
          <w:tcPr>
            <w:tcW w:w="2307" w:type="dxa"/>
          </w:tcPr>
          <w:p w:rsidR="000C746F" w:rsidRPr="00E04565" w:rsidRDefault="000C746F" w:rsidP="00ED70C9">
            <w:pPr>
              <w:spacing w:before="100" w:beforeAutospacing="1" w:after="100" w:afterAutospacing="1"/>
            </w:pPr>
            <w:r w:rsidRPr="00E04565">
              <w:t>Net Risk Score:</w:t>
            </w:r>
          </w:p>
        </w:tc>
        <w:tc>
          <w:tcPr>
            <w:tcW w:w="3078" w:type="dxa"/>
            <w:shd w:val="clear" w:color="auto" w:fill="FF0000"/>
          </w:tcPr>
          <w:p w:rsidR="000C746F" w:rsidRPr="002A6CD9" w:rsidRDefault="000C746F" w:rsidP="00ED70C9">
            <w:pPr>
              <w:spacing w:before="100" w:beforeAutospacing="1" w:after="100" w:afterAutospacing="1"/>
              <w:rPr>
                <w:b/>
              </w:rPr>
            </w:pPr>
            <w:r>
              <w:rPr>
                <w:b/>
              </w:rPr>
              <w:t>15(High</w:t>
            </w:r>
            <w:r w:rsidRPr="002A6CD9">
              <w:rPr>
                <w:b/>
              </w:rPr>
              <w:t>)</w:t>
            </w:r>
          </w:p>
        </w:tc>
      </w:tr>
      <w:tr w:rsidR="000C746F" w:rsidTr="00ED70C9">
        <w:tc>
          <w:tcPr>
            <w:tcW w:w="2358" w:type="dxa"/>
            <w:tcBorders>
              <w:bottom w:val="single" w:sz="4" w:space="0" w:color="auto"/>
              <w:right w:val="nil"/>
            </w:tcBorders>
          </w:tcPr>
          <w:p w:rsidR="000C746F" w:rsidRPr="00B838A9" w:rsidRDefault="000C746F" w:rsidP="00ED70C9">
            <w:pPr>
              <w:spacing w:before="100" w:beforeAutospacing="1" w:after="100" w:afterAutospacing="1"/>
              <w:rPr>
                <w:b/>
              </w:rPr>
            </w:pPr>
            <w:r>
              <w:br w:type="page"/>
            </w:r>
            <w:r w:rsidRPr="00B838A9">
              <w:rPr>
                <w:b/>
              </w:rPr>
              <w:t>Gap in Controls</w:t>
            </w:r>
          </w:p>
        </w:tc>
        <w:tc>
          <w:tcPr>
            <w:tcW w:w="7990" w:type="dxa"/>
            <w:gridSpan w:val="3"/>
            <w:tcBorders>
              <w:left w:val="nil"/>
            </w:tcBorders>
          </w:tcPr>
          <w:p w:rsidR="000C746F" w:rsidRPr="0081110D" w:rsidRDefault="000C746F" w:rsidP="00ED70C9">
            <w:pPr>
              <w:spacing w:before="100" w:beforeAutospacing="1" w:after="100" w:afterAutospacing="1"/>
              <w:contextualSpacing/>
            </w:pPr>
            <w:r w:rsidRPr="003C1AA4">
              <w:t xml:space="preserve">Ability to retain flexible recruitment methods as </w:t>
            </w:r>
            <w:r w:rsidRPr="0081110D">
              <w:t>level of permanent recruitment. resumes and further temporary requirement for COVID-19 and Mass Immunisation remains unpredictable.</w:t>
            </w:r>
          </w:p>
          <w:p w:rsidR="000C746F" w:rsidRPr="0081110D" w:rsidRDefault="000C746F" w:rsidP="00ED70C9">
            <w:pPr>
              <w:spacing w:before="100" w:beforeAutospacing="1" w:after="100" w:afterAutospacing="1"/>
              <w:contextualSpacing/>
            </w:pPr>
            <w:r w:rsidRPr="0081110D">
              <w:t xml:space="preserve">Further extension of Government CMO shielding letters from 22 December – </w:t>
            </w:r>
            <w:r>
              <w:t xml:space="preserve">31 March </w:t>
            </w:r>
            <w:r w:rsidRPr="0081110D">
              <w:t xml:space="preserve"> 2021.   </w:t>
            </w:r>
          </w:p>
          <w:p w:rsidR="000C746F" w:rsidRDefault="000C746F" w:rsidP="00ED70C9">
            <w:pPr>
              <w:spacing w:before="100" w:beforeAutospacing="1" w:after="100" w:afterAutospacing="1"/>
              <w:contextualSpacing/>
            </w:pPr>
            <w:r>
              <w:t xml:space="preserve">On-going increased </w:t>
            </w:r>
            <w:r w:rsidRPr="0081110D">
              <w:t xml:space="preserve"> absence levels due to staff having COVid-19</w:t>
            </w:r>
            <w:r>
              <w:t>, however, the trend is now reducing</w:t>
            </w:r>
            <w:r w:rsidRPr="0081110D">
              <w:t>.</w:t>
            </w:r>
          </w:p>
        </w:tc>
      </w:tr>
      <w:tr w:rsidR="000C746F" w:rsidTr="00ED70C9">
        <w:tc>
          <w:tcPr>
            <w:tcW w:w="2358" w:type="dxa"/>
            <w:tcBorders>
              <w:bottom w:val="single" w:sz="4" w:space="0" w:color="auto"/>
              <w:right w:val="nil"/>
            </w:tcBorders>
          </w:tcPr>
          <w:p w:rsidR="000C746F" w:rsidRPr="00B838A9" w:rsidRDefault="000C746F" w:rsidP="00ED70C9">
            <w:pPr>
              <w:spacing w:before="100" w:beforeAutospacing="1" w:after="100" w:afterAutospacing="1"/>
              <w:rPr>
                <w:b/>
              </w:rPr>
            </w:pPr>
            <w:r w:rsidRPr="00B838A9">
              <w:rPr>
                <w:b/>
              </w:rPr>
              <w:t>Gap in Assurances</w:t>
            </w:r>
          </w:p>
        </w:tc>
        <w:tc>
          <w:tcPr>
            <w:tcW w:w="7990" w:type="dxa"/>
            <w:gridSpan w:val="3"/>
            <w:tcBorders>
              <w:left w:val="nil"/>
              <w:bottom w:val="single" w:sz="4" w:space="0" w:color="auto"/>
            </w:tcBorders>
          </w:tcPr>
          <w:p w:rsidR="000C746F" w:rsidRDefault="000C746F" w:rsidP="00ED70C9">
            <w:pPr>
              <w:spacing w:before="100" w:beforeAutospacing="1" w:after="100" w:afterAutospacing="1"/>
            </w:pPr>
          </w:p>
        </w:tc>
      </w:tr>
    </w:tbl>
    <w:p w:rsidR="000C746F" w:rsidRDefault="000C746F" w:rsidP="000C746F">
      <w:r>
        <w:br w:type="page"/>
      </w:r>
    </w:p>
    <w:tbl>
      <w:tblPr>
        <w:tblStyle w:val="TableGrid"/>
        <w:tblW w:w="10348" w:type="dxa"/>
        <w:tblInd w:w="-459" w:type="dxa"/>
        <w:tblLook w:val="04A0" w:firstRow="1" w:lastRow="0" w:firstColumn="1" w:lastColumn="0" w:noHBand="0" w:noVBand="1"/>
      </w:tblPr>
      <w:tblGrid>
        <w:gridCol w:w="2350"/>
        <w:gridCol w:w="2834"/>
        <w:gridCol w:w="922"/>
        <w:gridCol w:w="1278"/>
        <w:gridCol w:w="2964"/>
      </w:tblGrid>
      <w:tr w:rsidR="000C746F" w:rsidTr="00ED70C9">
        <w:tc>
          <w:tcPr>
            <w:tcW w:w="2350" w:type="dxa"/>
            <w:tcBorders>
              <w:bottom w:val="single" w:sz="4" w:space="0" w:color="auto"/>
              <w:right w:val="nil"/>
            </w:tcBorders>
            <w:shd w:val="clear" w:color="auto" w:fill="8DB3E2" w:themeFill="text2" w:themeFillTint="66"/>
          </w:tcPr>
          <w:p w:rsidR="000C746F" w:rsidRPr="00B838A9" w:rsidRDefault="000C746F" w:rsidP="00ED70C9">
            <w:pPr>
              <w:spacing w:before="100" w:beforeAutospacing="1" w:after="100" w:afterAutospacing="1"/>
              <w:rPr>
                <w:b/>
              </w:rPr>
            </w:pPr>
            <w:r>
              <w:lastRenderedPageBreak/>
              <w:br w:type="page"/>
            </w:r>
            <w:r w:rsidRPr="00B838A9">
              <w:rPr>
                <w:b/>
              </w:rPr>
              <w:t>Actions</w:t>
            </w:r>
          </w:p>
        </w:tc>
        <w:tc>
          <w:tcPr>
            <w:tcW w:w="2834" w:type="dxa"/>
            <w:tcBorders>
              <w:left w:val="nil"/>
              <w:bottom w:val="single" w:sz="4" w:space="0" w:color="auto"/>
              <w:right w:val="single" w:sz="4" w:space="0" w:color="auto"/>
            </w:tcBorders>
            <w:shd w:val="clear" w:color="auto" w:fill="8DB3E2" w:themeFill="text2" w:themeFillTint="66"/>
          </w:tcPr>
          <w:p w:rsidR="000C746F" w:rsidRDefault="000C746F" w:rsidP="00ED70C9">
            <w:pPr>
              <w:spacing w:before="100" w:beforeAutospacing="1" w:after="100" w:afterAutospacing="1"/>
            </w:pPr>
          </w:p>
        </w:tc>
        <w:tc>
          <w:tcPr>
            <w:tcW w:w="922" w:type="dxa"/>
            <w:tcBorders>
              <w:left w:val="single" w:sz="4" w:space="0" w:color="auto"/>
              <w:bottom w:val="single" w:sz="4" w:space="0" w:color="auto"/>
              <w:right w:val="single" w:sz="4" w:space="0" w:color="auto"/>
            </w:tcBorders>
            <w:shd w:val="clear" w:color="auto" w:fill="8DB3E2" w:themeFill="text2" w:themeFillTint="66"/>
          </w:tcPr>
          <w:p w:rsidR="000C746F" w:rsidRPr="006A44E4" w:rsidRDefault="000C746F" w:rsidP="00ED70C9">
            <w:pPr>
              <w:spacing w:before="100" w:beforeAutospacing="1" w:after="100" w:afterAutospacing="1"/>
              <w:rPr>
                <w:b/>
              </w:rPr>
            </w:pPr>
            <w:r w:rsidRPr="006A44E4">
              <w:rPr>
                <w:b/>
              </w:rPr>
              <w:t>Lead</w:t>
            </w:r>
          </w:p>
        </w:tc>
        <w:tc>
          <w:tcPr>
            <w:tcW w:w="1278" w:type="dxa"/>
            <w:tcBorders>
              <w:left w:val="single" w:sz="4" w:space="0" w:color="auto"/>
              <w:bottom w:val="single" w:sz="4" w:space="0" w:color="auto"/>
            </w:tcBorders>
            <w:shd w:val="clear" w:color="auto" w:fill="8DB3E2" w:themeFill="text2" w:themeFillTint="66"/>
          </w:tcPr>
          <w:p w:rsidR="000C746F" w:rsidRPr="006A44E4" w:rsidRDefault="000C746F" w:rsidP="00ED70C9">
            <w:pPr>
              <w:spacing w:before="100" w:beforeAutospacing="1" w:after="100" w:afterAutospacing="1"/>
              <w:rPr>
                <w:b/>
              </w:rPr>
            </w:pPr>
            <w:r w:rsidRPr="006A44E4">
              <w:rPr>
                <w:b/>
              </w:rPr>
              <w:t>By when</w:t>
            </w:r>
          </w:p>
        </w:tc>
        <w:tc>
          <w:tcPr>
            <w:tcW w:w="2964" w:type="dxa"/>
            <w:tcBorders>
              <w:left w:val="single" w:sz="4" w:space="0" w:color="auto"/>
              <w:bottom w:val="single" w:sz="4" w:space="0" w:color="auto"/>
            </w:tcBorders>
            <w:shd w:val="clear" w:color="auto" w:fill="8DB3E2" w:themeFill="text2" w:themeFillTint="66"/>
          </w:tcPr>
          <w:p w:rsidR="000C746F" w:rsidRPr="006A44E4" w:rsidRDefault="000C746F" w:rsidP="00ED70C9">
            <w:pPr>
              <w:spacing w:before="100" w:beforeAutospacing="1" w:after="100" w:afterAutospacing="1"/>
              <w:rPr>
                <w:b/>
              </w:rPr>
            </w:pPr>
            <w:r>
              <w:rPr>
                <w:b/>
              </w:rPr>
              <w:t>Update since January 21</w:t>
            </w:r>
          </w:p>
        </w:tc>
      </w:tr>
      <w:tr w:rsidR="000C746F" w:rsidTr="00ED70C9">
        <w:tc>
          <w:tcPr>
            <w:tcW w:w="5184" w:type="dxa"/>
            <w:gridSpan w:val="2"/>
            <w:tcBorders>
              <w:top w:val="single" w:sz="4" w:space="0" w:color="auto"/>
              <w:right w:val="single" w:sz="4" w:space="0" w:color="auto"/>
            </w:tcBorders>
          </w:tcPr>
          <w:p w:rsidR="000C746F" w:rsidRDefault="000C746F" w:rsidP="000C746F">
            <w:pPr>
              <w:pStyle w:val="ListParagraph"/>
              <w:numPr>
                <w:ilvl w:val="0"/>
                <w:numId w:val="4"/>
              </w:numPr>
              <w:spacing w:before="100" w:beforeAutospacing="1" w:after="100" w:afterAutospacing="1"/>
            </w:pPr>
            <w:r>
              <w:t>Internal Nurse Career Development  Scheme</w:t>
            </w:r>
          </w:p>
        </w:tc>
        <w:tc>
          <w:tcPr>
            <w:tcW w:w="922" w:type="dxa"/>
            <w:tcBorders>
              <w:top w:val="single" w:sz="4" w:space="0" w:color="auto"/>
              <w:left w:val="single" w:sz="4" w:space="0" w:color="auto"/>
              <w:right w:val="single" w:sz="4" w:space="0" w:color="auto"/>
            </w:tcBorders>
          </w:tcPr>
          <w:p w:rsidR="000C746F" w:rsidRDefault="000C746F" w:rsidP="00ED70C9">
            <w:pPr>
              <w:spacing w:before="100" w:beforeAutospacing="1" w:after="100" w:afterAutospacing="1"/>
            </w:pPr>
            <w:r>
              <w:t>RW</w:t>
            </w:r>
          </w:p>
        </w:tc>
        <w:tc>
          <w:tcPr>
            <w:tcW w:w="1278" w:type="dxa"/>
            <w:tcBorders>
              <w:top w:val="single" w:sz="4" w:space="0" w:color="auto"/>
              <w:left w:val="single" w:sz="4" w:space="0" w:color="auto"/>
            </w:tcBorders>
          </w:tcPr>
          <w:p w:rsidR="000C746F" w:rsidRDefault="000C746F" w:rsidP="00ED70C9">
            <w:pPr>
              <w:spacing w:before="100" w:beforeAutospacing="1" w:after="100" w:afterAutospacing="1"/>
            </w:pPr>
            <w:r>
              <w:t>Relaunched in April 2020 and continuing</w:t>
            </w:r>
          </w:p>
        </w:tc>
        <w:tc>
          <w:tcPr>
            <w:tcW w:w="2964" w:type="dxa"/>
            <w:tcBorders>
              <w:top w:val="single" w:sz="4" w:space="0" w:color="auto"/>
              <w:left w:val="single" w:sz="4" w:space="0" w:color="auto"/>
            </w:tcBorders>
            <w:shd w:val="clear" w:color="auto" w:fill="FFFFFF" w:themeFill="background1"/>
          </w:tcPr>
          <w:p w:rsidR="000C746F" w:rsidRPr="003F34D2" w:rsidRDefault="000C746F" w:rsidP="00ED70C9">
            <w:pPr>
              <w:spacing w:before="100" w:beforeAutospacing="1" w:after="100" w:afterAutospacing="1"/>
              <w:rPr>
                <w:color w:val="000000" w:themeColor="text1"/>
              </w:rPr>
            </w:pPr>
            <w:r w:rsidRPr="00EA471F">
              <w:rPr>
                <w:color w:val="000000" w:themeColor="text1"/>
              </w:rPr>
              <w:t xml:space="preserve">This scheme started in September 2019 but </w:t>
            </w:r>
            <w:r>
              <w:rPr>
                <w:color w:val="000000" w:themeColor="text1"/>
              </w:rPr>
              <w:t>was</w:t>
            </w:r>
            <w:r w:rsidRPr="00EA471F">
              <w:rPr>
                <w:color w:val="000000" w:themeColor="text1"/>
              </w:rPr>
              <w:t xml:space="preserve"> re</w:t>
            </w:r>
            <w:r>
              <w:rPr>
                <w:color w:val="000000" w:themeColor="text1"/>
              </w:rPr>
              <w:t>-</w:t>
            </w:r>
            <w:r w:rsidRPr="00EA471F">
              <w:rPr>
                <w:color w:val="000000" w:themeColor="text1"/>
              </w:rPr>
              <w:t xml:space="preserve">launched in </w:t>
            </w:r>
            <w:r>
              <w:rPr>
                <w:color w:val="000000" w:themeColor="text1"/>
              </w:rPr>
              <w:t>September</w:t>
            </w:r>
            <w:r w:rsidRPr="00EA471F">
              <w:rPr>
                <w:color w:val="000000" w:themeColor="text1"/>
              </w:rPr>
              <w:t xml:space="preserve"> 2020</w:t>
            </w:r>
          </w:p>
        </w:tc>
      </w:tr>
      <w:tr w:rsidR="000C746F" w:rsidTr="00ED70C9">
        <w:tc>
          <w:tcPr>
            <w:tcW w:w="5184" w:type="dxa"/>
            <w:gridSpan w:val="2"/>
            <w:tcBorders>
              <w:top w:val="single" w:sz="4" w:space="0" w:color="auto"/>
              <w:right w:val="single" w:sz="4" w:space="0" w:color="auto"/>
            </w:tcBorders>
          </w:tcPr>
          <w:p w:rsidR="000C746F" w:rsidRDefault="000C746F" w:rsidP="000C746F">
            <w:pPr>
              <w:pStyle w:val="ListParagraph"/>
              <w:numPr>
                <w:ilvl w:val="0"/>
                <w:numId w:val="4"/>
              </w:numPr>
              <w:spacing w:before="100" w:beforeAutospacing="1" w:after="100" w:afterAutospacing="1"/>
            </w:pPr>
            <w:r>
              <w:t>Nurse recovery plan for Medicine and Surgery as part of financial recovery plan and business case for international recruitment</w:t>
            </w:r>
          </w:p>
        </w:tc>
        <w:tc>
          <w:tcPr>
            <w:tcW w:w="922" w:type="dxa"/>
            <w:tcBorders>
              <w:top w:val="single" w:sz="4" w:space="0" w:color="auto"/>
              <w:left w:val="single" w:sz="4" w:space="0" w:color="auto"/>
              <w:right w:val="single" w:sz="4" w:space="0" w:color="auto"/>
            </w:tcBorders>
          </w:tcPr>
          <w:p w:rsidR="000C746F" w:rsidRDefault="000C746F" w:rsidP="00ED70C9">
            <w:pPr>
              <w:spacing w:before="100" w:beforeAutospacing="1" w:after="100" w:afterAutospacing="1"/>
            </w:pPr>
            <w:r>
              <w:t>SC</w:t>
            </w:r>
          </w:p>
        </w:tc>
        <w:tc>
          <w:tcPr>
            <w:tcW w:w="1278" w:type="dxa"/>
            <w:tcBorders>
              <w:top w:val="single" w:sz="4" w:space="0" w:color="auto"/>
              <w:left w:val="single" w:sz="4" w:space="0" w:color="auto"/>
            </w:tcBorders>
          </w:tcPr>
          <w:p w:rsidR="000C746F" w:rsidRDefault="000C746F" w:rsidP="00ED70C9">
            <w:pPr>
              <w:spacing w:before="100" w:beforeAutospacing="1" w:after="100" w:afterAutospacing="1"/>
            </w:pPr>
            <w:r>
              <w:t>31/03/21</w:t>
            </w:r>
          </w:p>
        </w:tc>
        <w:tc>
          <w:tcPr>
            <w:tcW w:w="2964" w:type="dxa"/>
            <w:tcBorders>
              <w:top w:val="single" w:sz="4" w:space="0" w:color="auto"/>
              <w:left w:val="single" w:sz="4" w:space="0" w:color="auto"/>
            </w:tcBorders>
            <w:shd w:val="clear" w:color="auto" w:fill="FFFFFF" w:themeFill="background1"/>
          </w:tcPr>
          <w:p w:rsidR="000C746F" w:rsidRDefault="000C746F" w:rsidP="00ED70C9">
            <w:pPr>
              <w:spacing w:before="100" w:beforeAutospacing="1" w:after="100" w:afterAutospacing="1"/>
            </w:pPr>
            <w:r w:rsidRPr="001E6BF9">
              <w:rPr>
                <w:b/>
                <w:u w:val="single"/>
              </w:rPr>
              <w:t>Complete</w:t>
            </w:r>
            <w:r>
              <w:t xml:space="preserve"> - </w:t>
            </w:r>
            <w:r w:rsidRPr="00CA7012">
              <w:t>Plan in place with 2</w:t>
            </w:r>
            <w:r w:rsidRPr="00CA7012">
              <w:rPr>
                <w:vertAlign w:val="superscript"/>
              </w:rPr>
              <w:t>nd</w:t>
            </w:r>
            <w:r w:rsidRPr="00CA7012">
              <w:t xml:space="preserve"> part of International Nurse Recruitment approved. </w:t>
            </w:r>
          </w:p>
          <w:p w:rsidR="000C746F" w:rsidRDefault="000C746F" w:rsidP="00ED70C9">
            <w:pPr>
              <w:spacing w:before="100" w:beforeAutospacing="1" w:after="100" w:afterAutospacing="1"/>
              <w:rPr>
                <w:color w:val="000000" w:themeColor="text1"/>
              </w:rPr>
            </w:pPr>
            <w:r w:rsidRPr="00CA7012">
              <w:t xml:space="preserve">Financial Savings still being monitored </w:t>
            </w:r>
            <w:r w:rsidRPr="00EA471F">
              <w:rPr>
                <w:color w:val="000000" w:themeColor="text1"/>
              </w:rPr>
              <w:t>and actions include Switch Off Sunday to help manage costs.</w:t>
            </w:r>
          </w:p>
          <w:p w:rsidR="000C746F" w:rsidRPr="00302320" w:rsidRDefault="000C746F" w:rsidP="00ED70C9">
            <w:pPr>
              <w:spacing w:before="100" w:beforeAutospacing="1" w:after="100" w:afterAutospacing="1"/>
              <w:rPr>
                <w:color w:val="000000" w:themeColor="text1"/>
              </w:rPr>
            </w:pPr>
            <w:r>
              <w:rPr>
                <w:color w:val="000000" w:themeColor="text1"/>
              </w:rPr>
              <w:t xml:space="preserve">Some international nurses delayed due to worldwide travel restrictions.  Resumed </w:t>
            </w:r>
          </w:p>
        </w:tc>
      </w:tr>
      <w:tr w:rsidR="000C746F" w:rsidTr="00ED70C9">
        <w:tc>
          <w:tcPr>
            <w:tcW w:w="5184" w:type="dxa"/>
            <w:gridSpan w:val="2"/>
            <w:tcBorders>
              <w:top w:val="single" w:sz="4" w:space="0" w:color="auto"/>
              <w:right w:val="single" w:sz="4" w:space="0" w:color="auto"/>
            </w:tcBorders>
          </w:tcPr>
          <w:p w:rsidR="000C746F" w:rsidRDefault="000C746F" w:rsidP="000C746F">
            <w:pPr>
              <w:pStyle w:val="ListParagraph"/>
              <w:numPr>
                <w:ilvl w:val="0"/>
                <w:numId w:val="4"/>
              </w:numPr>
              <w:spacing w:before="100" w:beforeAutospacing="1" w:after="100" w:afterAutospacing="1"/>
            </w:pPr>
            <w:r>
              <w:t>To consider how resources are used going forward in nursing</w:t>
            </w:r>
          </w:p>
        </w:tc>
        <w:tc>
          <w:tcPr>
            <w:tcW w:w="922" w:type="dxa"/>
            <w:tcBorders>
              <w:top w:val="single" w:sz="4" w:space="0" w:color="auto"/>
              <w:left w:val="single" w:sz="4" w:space="0" w:color="auto"/>
              <w:right w:val="single" w:sz="4" w:space="0" w:color="auto"/>
            </w:tcBorders>
          </w:tcPr>
          <w:p w:rsidR="000C746F" w:rsidRDefault="000C746F" w:rsidP="00ED70C9">
            <w:pPr>
              <w:spacing w:before="100" w:beforeAutospacing="1" w:after="100" w:afterAutospacing="1"/>
            </w:pPr>
            <w:r>
              <w:t>SC</w:t>
            </w:r>
          </w:p>
        </w:tc>
        <w:tc>
          <w:tcPr>
            <w:tcW w:w="1278" w:type="dxa"/>
            <w:tcBorders>
              <w:top w:val="single" w:sz="4" w:space="0" w:color="auto"/>
              <w:left w:val="single" w:sz="4" w:space="0" w:color="auto"/>
            </w:tcBorders>
          </w:tcPr>
          <w:p w:rsidR="000C746F" w:rsidRDefault="000C746F" w:rsidP="00ED70C9">
            <w:pPr>
              <w:spacing w:before="100" w:beforeAutospacing="1" w:after="100" w:afterAutospacing="1"/>
            </w:pPr>
            <w:r>
              <w:t>31/03/2021</w:t>
            </w:r>
          </w:p>
        </w:tc>
        <w:tc>
          <w:tcPr>
            <w:tcW w:w="2964" w:type="dxa"/>
            <w:tcBorders>
              <w:top w:val="single" w:sz="4" w:space="0" w:color="auto"/>
              <w:left w:val="single" w:sz="4" w:space="0" w:color="auto"/>
            </w:tcBorders>
            <w:shd w:val="clear" w:color="auto" w:fill="FFFFFF" w:themeFill="background1"/>
          </w:tcPr>
          <w:p w:rsidR="000C746F" w:rsidRPr="00EA471F" w:rsidRDefault="000C746F" w:rsidP="00ED70C9">
            <w:pPr>
              <w:spacing w:before="100" w:beforeAutospacing="1" w:after="100" w:afterAutospacing="1"/>
              <w:rPr>
                <w:color w:val="000000" w:themeColor="text1"/>
              </w:rPr>
            </w:pPr>
            <w:r w:rsidRPr="00EA471F">
              <w:rPr>
                <w:color w:val="000000" w:themeColor="text1"/>
              </w:rPr>
              <w:t>Resources being considered alongside bed occupancy plans – action ongoing</w:t>
            </w:r>
          </w:p>
        </w:tc>
      </w:tr>
      <w:tr w:rsidR="000C746F" w:rsidTr="00ED70C9">
        <w:tc>
          <w:tcPr>
            <w:tcW w:w="5184" w:type="dxa"/>
            <w:gridSpan w:val="2"/>
            <w:tcBorders>
              <w:top w:val="single" w:sz="4" w:space="0" w:color="auto"/>
              <w:right w:val="single" w:sz="4" w:space="0" w:color="auto"/>
            </w:tcBorders>
          </w:tcPr>
          <w:p w:rsidR="000C746F" w:rsidRPr="003C1AA4" w:rsidRDefault="000C746F" w:rsidP="000C746F">
            <w:pPr>
              <w:pStyle w:val="ListParagraph"/>
              <w:numPr>
                <w:ilvl w:val="0"/>
                <w:numId w:val="4"/>
              </w:numPr>
              <w:spacing w:before="100" w:beforeAutospacing="1" w:after="100" w:afterAutospacing="1"/>
            </w:pPr>
            <w:r w:rsidRPr="003C1AA4">
              <w:t>Local Social Media and Virtual Interview Campaigns to resume to support permanent nurse recruitment</w:t>
            </w:r>
          </w:p>
          <w:p w:rsidR="000C746F" w:rsidRPr="003C1AA4" w:rsidRDefault="000C746F" w:rsidP="00ED70C9">
            <w:pPr>
              <w:pStyle w:val="ListParagraph"/>
              <w:spacing w:before="100" w:beforeAutospacing="1" w:after="100" w:afterAutospacing="1"/>
            </w:pPr>
          </w:p>
        </w:tc>
        <w:tc>
          <w:tcPr>
            <w:tcW w:w="922" w:type="dxa"/>
            <w:tcBorders>
              <w:top w:val="single" w:sz="4" w:space="0" w:color="auto"/>
              <w:left w:val="single" w:sz="4" w:space="0" w:color="auto"/>
              <w:right w:val="single" w:sz="4" w:space="0" w:color="auto"/>
            </w:tcBorders>
          </w:tcPr>
          <w:p w:rsidR="000C746F" w:rsidRPr="003C1AA4" w:rsidRDefault="000C746F" w:rsidP="00ED70C9">
            <w:pPr>
              <w:spacing w:before="100" w:beforeAutospacing="1" w:after="100" w:afterAutospacing="1"/>
            </w:pPr>
            <w:r>
              <w:t>RG</w:t>
            </w:r>
          </w:p>
        </w:tc>
        <w:tc>
          <w:tcPr>
            <w:tcW w:w="1278" w:type="dxa"/>
            <w:tcBorders>
              <w:top w:val="single" w:sz="4" w:space="0" w:color="auto"/>
              <w:left w:val="single" w:sz="4" w:space="0" w:color="auto"/>
            </w:tcBorders>
          </w:tcPr>
          <w:p w:rsidR="000C746F" w:rsidRPr="003C1AA4" w:rsidRDefault="000C746F" w:rsidP="00ED70C9">
            <w:pPr>
              <w:spacing w:before="100" w:beforeAutospacing="1" w:after="100" w:afterAutospacing="1"/>
            </w:pPr>
            <w:r w:rsidRPr="003C1AA4">
              <w:t>From 31/10/2020</w:t>
            </w:r>
          </w:p>
          <w:p w:rsidR="000C746F" w:rsidRPr="003C1AA4" w:rsidRDefault="000C746F" w:rsidP="00ED70C9">
            <w:pPr>
              <w:spacing w:before="100" w:beforeAutospacing="1" w:after="100" w:afterAutospacing="1"/>
            </w:pPr>
          </w:p>
          <w:p w:rsidR="000C746F" w:rsidRPr="003C1AA4" w:rsidRDefault="000C746F" w:rsidP="00ED70C9">
            <w:pPr>
              <w:spacing w:before="100" w:beforeAutospacing="1" w:after="100" w:afterAutospacing="1"/>
            </w:pPr>
          </w:p>
        </w:tc>
        <w:tc>
          <w:tcPr>
            <w:tcW w:w="2964" w:type="dxa"/>
            <w:tcBorders>
              <w:top w:val="single" w:sz="4" w:space="0" w:color="auto"/>
              <w:left w:val="single" w:sz="4" w:space="0" w:color="auto"/>
            </w:tcBorders>
            <w:shd w:val="clear" w:color="auto" w:fill="FFFFFF" w:themeFill="background1"/>
          </w:tcPr>
          <w:p w:rsidR="000C746F" w:rsidRPr="003C1AA4" w:rsidRDefault="000C746F" w:rsidP="00ED70C9">
            <w:pPr>
              <w:spacing w:before="100" w:beforeAutospacing="1" w:after="100" w:afterAutospacing="1"/>
            </w:pPr>
            <w:r w:rsidRPr="003C1AA4">
              <w:t>Campaign took place July and October.  New social media plan in place.  Virtual recruitment on-going to support social distancing</w:t>
            </w:r>
            <w:r>
              <w:t xml:space="preserve"> with some face to face happening at CB level. </w:t>
            </w:r>
            <w:r w:rsidRPr="003C1AA4">
              <w:t xml:space="preserve">   </w:t>
            </w:r>
            <w:r w:rsidRPr="00AD4608">
              <w:rPr>
                <w:color w:val="FF0000"/>
              </w:rPr>
              <w:t>International Nursing commissioning extended to total of 185 posts</w:t>
            </w:r>
          </w:p>
        </w:tc>
      </w:tr>
      <w:tr w:rsidR="000C746F" w:rsidTr="00ED70C9">
        <w:tc>
          <w:tcPr>
            <w:tcW w:w="5184" w:type="dxa"/>
            <w:gridSpan w:val="2"/>
            <w:tcBorders>
              <w:top w:val="single" w:sz="4" w:space="0" w:color="auto"/>
              <w:right w:val="single" w:sz="4" w:space="0" w:color="auto"/>
            </w:tcBorders>
          </w:tcPr>
          <w:p w:rsidR="000C746F" w:rsidRPr="003C1AA4" w:rsidRDefault="000C746F" w:rsidP="000C746F">
            <w:pPr>
              <w:pStyle w:val="ListParagraph"/>
              <w:numPr>
                <w:ilvl w:val="0"/>
                <w:numId w:val="4"/>
              </w:numPr>
              <w:spacing w:before="100" w:beforeAutospacing="1" w:after="100" w:afterAutospacing="1"/>
            </w:pPr>
            <w:r w:rsidRPr="003C1AA4">
              <w:t>Virtual Recruitment Panels established up to recruit to Consultant posts</w:t>
            </w:r>
          </w:p>
        </w:tc>
        <w:tc>
          <w:tcPr>
            <w:tcW w:w="922" w:type="dxa"/>
            <w:tcBorders>
              <w:top w:val="single" w:sz="4" w:space="0" w:color="auto"/>
              <w:left w:val="single" w:sz="4" w:space="0" w:color="auto"/>
              <w:right w:val="single" w:sz="4" w:space="0" w:color="auto"/>
            </w:tcBorders>
          </w:tcPr>
          <w:p w:rsidR="000C746F" w:rsidRPr="003C1AA4" w:rsidRDefault="000C746F" w:rsidP="00ED70C9">
            <w:pPr>
              <w:spacing w:before="100" w:beforeAutospacing="1" w:after="100" w:afterAutospacing="1"/>
            </w:pPr>
            <w:r w:rsidRPr="003C1AA4">
              <w:t>SW/</w:t>
            </w:r>
            <w:r>
              <w:t>RG</w:t>
            </w:r>
          </w:p>
        </w:tc>
        <w:tc>
          <w:tcPr>
            <w:tcW w:w="1278" w:type="dxa"/>
            <w:tcBorders>
              <w:top w:val="single" w:sz="4" w:space="0" w:color="auto"/>
              <w:left w:val="single" w:sz="4" w:space="0" w:color="auto"/>
            </w:tcBorders>
          </w:tcPr>
          <w:p w:rsidR="000C746F" w:rsidRPr="003C1AA4" w:rsidRDefault="000C746F" w:rsidP="00ED70C9">
            <w:pPr>
              <w:spacing w:before="100" w:beforeAutospacing="1" w:after="100" w:afterAutospacing="1"/>
            </w:pPr>
            <w:r w:rsidRPr="003C1AA4">
              <w:t>From 30.9.2020</w:t>
            </w:r>
          </w:p>
        </w:tc>
        <w:tc>
          <w:tcPr>
            <w:tcW w:w="2964" w:type="dxa"/>
            <w:tcBorders>
              <w:top w:val="single" w:sz="4" w:space="0" w:color="auto"/>
              <w:left w:val="single" w:sz="4" w:space="0" w:color="auto"/>
            </w:tcBorders>
            <w:shd w:val="clear" w:color="auto" w:fill="FFFFFF" w:themeFill="background1"/>
          </w:tcPr>
          <w:p w:rsidR="000C746F" w:rsidRPr="003C1AA4" w:rsidRDefault="000C746F" w:rsidP="00ED70C9">
            <w:pPr>
              <w:spacing w:before="100" w:beforeAutospacing="1" w:after="100" w:afterAutospacing="1"/>
            </w:pPr>
            <w:r w:rsidRPr="003C1AA4">
              <w:t>On-going permanent recruitment plan in place to ensure posts are not held up during COVID-19</w:t>
            </w:r>
          </w:p>
        </w:tc>
      </w:tr>
      <w:tr w:rsidR="000C746F" w:rsidRPr="0081110D" w:rsidTr="00ED70C9">
        <w:tc>
          <w:tcPr>
            <w:tcW w:w="5184" w:type="dxa"/>
            <w:gridSpan w:val="2"/>
            <w:tcBorders>
              <w:top w:val="single" w:sz="4" w:space="0" w:color="auto"/>
              <w:right w:val="single" w:sz="4" w:space="0" w:color="auto"/>
            </w:tcBorders>
          </w:tcPr>
          <w:p w:rsidR="000C746F" w:rsidRPr="0081110D" w:rsidRDefault="000C746F" w:rsidP="000C746F">
            <w:pPr>
              <w:pStyle w:val="ListParagraph"/>
              <w:numPr>
                <w:ilvl w:val="0"/>
                <w:numId w:val="4"/>
              </w:numPr>
              <w:spacing w:before="100" w:beforeAutospacing="1" w:after="100" w:afterAutospacing="1"/>
            </w:pPr>
            <w:r w:rsidRPr="0081110D">
              <w:t>Implementation of a new Medical and Dental Bank through a Managed Service</w:t>
            </w:r>
          </w:p>
        </w:tc>
        <w:tc>
          <w:tcPr>
            <w:tcW w:w="922" w:type="dxa"/>
            <w:tcBorders>
              <w:top w:val="single" w:sz="4" w:space="0" w:color="auto"/>
              <w:left w:val="single" w:sz="4" w:space="0" w:color="auto"/>
              <w:right w:val="single" w:sz="4" w:space="0" w:color="auto"/>
            </w:tcBorders>
          </w:tcPr>
          <w:p w:rsidR="000C746F" w:rsidRPr="0081110D" w:rsidRDefault="000C746F" w:rsidP="00ED70C9">
            <w:pPr>
              <w:spacing w:before="100" w:beforeAutospacing="1" w:after="100" w:afterAutospacing="1"/>
            </w:pPr>
            <w:r w:rsidRPr="0081110D">
              <w:t>SW/RG</w:t>
            </w:r>
          </w:p>
        </w:tc>
        <w:tc>
          <w:tcPr>
            <w:tcW w:w="1278" w:type="dxa"/>
            <w:tcBorders>
              <w:top w:val="single" w:sz="4" w:space="0" w:color="auto"/>
              <w:left w:val="single" w:sz="4" w:space="0" w:color="auto"/>
            </w:tcBorders>
          </w:tcPr>
          <w:p w:rsidR="000C746F" w:rsidRPr="0081110D" w:rsidRDefault="000C746F" w:rsidP="00ED70C9">
            <w:pPr>
              <w:spacing w:before="100" w:beforeAutospacing="1" w:after="100" w:afterAutospacing="1"/>
            </w:pPr>
            <w:r w:rsidRPr="0081110D">
              <w:t>1.4.2021</w:t>
            </w:r>
          </w:p>
        </w:tc>
        <w:tc>
          <w:tcPr>
            <w:tcW w:w="2964" w:type="dxa"/>
            <w:tcBorders>
              <w:top w:val="single" w:sz="4" w:space="0" w:color="auto"/>
              <w:left w:val="single" w:sz="4" w:space="0" w:color="auto"/>
            </w:tcBorders>
            <w:shd w:val="clear" w:color="auto" w:fill="FFFFFF" w:themeFill="background1"/>
          </w:tcPr>
          <w:p w:rsidR="000C746F" w:rsidRPr="0081110D" w:rsidRDefault="000C746F" w:rsidP="00ED70C9">
            <w:pPr>
              <w:spacing w:before="100" w:beforeAutospacing="1" w:after="100" w:afterAutospacing="1"/>
            </w:pPr>
            <w:r w:rsidRPr="0081110D">
              <w:t>New initiative currently being procured and implemented to create a Managed Medical and Dental Bank.  This will increase supply and improve skills availability through a new bank system; dedicated central team; improved technology and a launched locum recruitment campaign.</w:t>
            </w:r>
          </w:p>
        </w:tc>
      </w:tr>
    </w:tbl>
    <w:p w:rsidR="000C746F" w:rsidRDefault="000C746F" w:rsidP="000C746F">
      <w:pPr>
        <w:rPr>
          <w:b/>
        </w:rPr>
      </w:pPr>
    </w:p>
    <w:p w:rsidR="008D5AF4" w:rsidRDefault="008D5AF4"/>
    <w:p w:rsidR="00D41997" w:rsidRPr="00C10004" w:rsidRDefault="006646D8" w:rsidP="00C10004">
      <w:pPr>
        <w:pStyle w:val="ListParagraph"/>
        <w:numPr>
          <w:ilvl w:val="0"/>
          <w:numId w:val="44"/>
        </w:numPr>
        <w:rPr>
          <w:b/>
        </w:rPr>
      </w:pPr>
      <w:r w:rsidRPr="00C10004">
        <w:rPr>
          <w:b/>
        </w:rPr>
        <w:br w:type="page"/>
      </w:r>
      <w:r w:rsidR="00D41997" w:rsidRPr="00C10004">
        <w:rPr>
          <w:b/>
        </w:rPr>
        <w:lastRenderedPageBreak/>
        <w:t>Financial Sustainability – Lead Executive Catherine Phillips</w:t>
      </w:r>
    </w:p>
    <w:p w:rsidR="00D41997" w:rsidRPr="00571D2F" w:rsidRDefault="00D41997" w:rsidP="00D41997">
      <w:pPr>
        <w:ind w:left="-567"/>
        <w:jc w:val="both"/>
        <w:rPr>
          <w:b/>
        </w:rPr>
      </w:pPr>
      <w:r>
        <w:rPr>
          <w:sz w:val="23"/>
          <w:szCs w:val="23"/>
        </w:rPr>
        <w:t xml:space="preserve">Across Wales, Health Boards and Trusts set out plans to manage their financial pressures by driving out inefficiencies, while at the same time looking to derive greater value from their resources through innovative ways of working and practicing Prudent and Value Based Healthcare. The planning process in NHS Wales has been paused this year to allow organisations to focus their attention on managing the COVID 19 pandemic. The costs of which are significant and above previously planned levels. </w:t>
      </w:r>
      <w:r w:rsidRPr="00571D2F">
        <w:rPr>
          <w:sz w:val="23"/>
          <w:szCs w:val="23"/>
        </w:rPr>
        <w:t>Confirmation has now been received of the level of funds available to support the UHB response to the pandemic. The funding is adequate to meet the additional costs and the UHB is now reporting a year end break even position.</w:t>
      </w:r>
      <w:r w:rsidRPr="00571D2F">
        <w:rPr>
          <w:b/>
        </w:rPr>
        <w:t xml:space="preserve"> </w:t>
      </w:r>
    </w:p>
    <w:tbl>
      <w:tblPr>
        <w:tblStyle w:val="TableGrid"/>
        <w:tblW w:w="10348" w:type="dxa"/>
        <w:tblInd w:w="-459" w:type="dxa"/>
        <w:tblLook w:val="04A0" w:firstRow="1" w:lastRow="0" w:firstColumn="1" w:lastColumn="0" w:noHBand="0" w:noVBand="1"/>
      </w:tblPr>
      <w:tblGrid>
        <w:gridCol w:w="2342"/>
        <w:gridCol w:w="2131"/>
        <w:gridCol w:w="460"/>
        <w:gridCol w:w="1491"/>
        <w:gridCol w:w="885"/>
        <w:gridCol w:w="465"/>
        <w:gridCol w:w="2574"/>
      </w:tblGrid>
      <w:tr w:rsidR="00D41997" w:rsidTr="00D4247B">
        <w:tc>
          <w:tcPr>
            <w:tcW w:w="2342" w:type="dxa"/>
            <w:tcBorders>
              <w:bottom w:val="single" w:sz="4" w:space="0" w:color="auto"/>
              <w:right w:val="nil"/>
            </w:tcBorders>
          </w:tcPr>
          <w:p w:rsidR="00D41997" w:rsidRDefault="00D41997" w:rsidP="00D4247B">
            <w:pPr>
              <w:rPr>
                <w:b/>
              </w:rPr>
            </w:pPr>
            <w:r w:rsidRPr="00B838A9">
              <w:rPr>
                <w:b/>
              </w:rPr>
              <w:t>Risk</w:t>
            </w:r>
          </w:p>
          <w:p w:rsidR="00D41997" w:rsidRPr="00B838A9" w:rsidRDefault="00D41997" w:rsidP="00D4247B">
            <w:pPr>
              <w:rPr>
                <w:b/>
              </w:rPr>
            </w:pPr>
            <w:r>
              <w:rPr>
                <w:b/>
              </w:rPr>
              <w:t xml:space="preserve">Date added:  </w:t>
            </w:r>
            <w:r>
              <w:t>7.09.2020</w:t>
            </w:r>
          </w:p>
        </w:tc>
        <w:tc>
          <w:tcPr>
            <w:tcW w:w="8006" w:type="dxa"/>
            <w:gridSpan w:val="6"/>
            <w:tcBorders>
              <w:left w:val="nil"/>
            </w:tcBorders>
          </w:tcPr>
          <w:p w:rsidR="00D41997" w:rsidRDefault="00D41997" w:rsidP="00D4247B">
            <w:r>
              <w:t xml:space="preserve">There is a risk that the organisation will not be able to manage the impact of COVID 19 and other operational issues within the financial resources available. </w:t>
            </w:r>
          </w:p>
        </w:tc>
      </w:tr>
      <w:tr w:rsidR="00D41997" w:rsidTr="00D4247B">
        <w:tc>
          <w:tcPr>
            <w:tcW w:w="2342" w:type="dxa"/>
            <w:tcBorders>
              <w:bottom w:val="single" w:sz="4" w:space="0" w:color="auto"/>
              <w:right w:val="nil"/>
            </w:tcBorders>
          </w:tcPr>
          <w:p w:rsidR="00D41997" w:rsidRPr="00B838A9" w:rsidRDefault="00D41997" w:rsidP="00D4247B">
            <w:pPr>
              <w:rPr>
                <w:b/>
              </w:rPr>
            </w:pPr>
            <w:r w:rsidRPr="00B838A9">
              <w:rPr>
                <w:b/>
              </w:rPr>
              <w:t>Cause</w:t>
            </w:r>
          </w:p>
        </w:tc>
        <w:tc>
          <w:tcPr>
            <w:tcW w:w="8006" w:type="dxa"/>
            <w:gridSpan w:val="6"/>
            <w:tcBorders>
              <w:left w:val="nil"/>
            </w:tcBorders>
          </w:tcPr>
          <w:p w:rsidR="00D41997" w:rsidRDefault="00D41997" w:rsidP="00D4247B">
            <w:pPr>
              <w:contextualSpacing/>
            </w:pPr>
            <w:r>
              <w:t>The UHB has incurred significant additional costs arising from managing the COVID 19 pandemic, this includes the non-delivery of savings plans.</w:t>
            </w:r>
          </w:p>
          <w:p w:rsidR="00D41997" w:rsidRDefault="00D41997" w:rsidP="00D4247B">
            <w:pPr>
              <w:contextualSpacing/>
            </w:pPr>
            <w:r>
              <w:t>It also has to manage its operational budget.</w:t>
            </w:r>
          </w:p>
          <w:p w:rsidR="00D41997" w:rsidRDefault="00D41997" w:rsidP="00D4247B">
            <w:pPr>
              <w:contextualSpacing/>
            </w:pPr>
            <w:r>
              <w:t>All additional costs need to be managed within the additional resources made available by Welsh Government to manage the pandemic.</w:t>
            </w:r>
          </w:p>
        </w:tc>
      </w:tr>
      <w:tr w:rsidR="00D41997" w:rsidTr="00D4247B">
        <w:tc>
          <w:tcPr>
            <w:tcW w:w="2342" w:type="dxa"/>
            <w:tcBorders>
              <w:right w:val="nil"/>
            </w:tcBorders>
          </w:tcPr>
          <w:p w:rsidR="00D41997" w:rsidRPr="00B838A9" w:rsidRDefault="00D41997" w:rsidP="00D4247B">
            <w:pPr>
              <w:rPr>
                <w:b/>
              </w:rPr>
            </w:pPr>
            <w:r w:rsidRPr="00B838A9">
              <w:rPr>
                <w:b/>
              </w:rPr>
              <w:t>Impact</w:t>
            </w:r>
          </w:p>
        </w:tc>
        <w:tc>
          <w:tcPr>
            <w:tcW w:w="8006" w:type="dxa"/>
            <w:gridSpan w:val="6"/>
            <w:tcBorders>
              <w:left w:val="nil"/>
            </w:tcBorders>
          </w:tcPr>
          <w:p w:rsidR="00D41997" w:rsidRDefault="00D41997" w:rsidP="00D4247B">
            <w:pPr>
              <w:contextualSpacing/>
            </w:pPr>
            <w:r>
              <w:t xml:space="preserve">Unable to deliver a year end balanced financial position. </w:t>
            </w:r>
          </w:p>
          <w:p w:rsidR="00D41997" w:rsidRDefault="00D41997" w:rsidP="00D4247B">
            <w:pPr>
              <w:contextualSpacing/>
            </w:pPr>
            <w:r>
              <w:t>Reputational loss.</w:t>
            </w:r>
          </w:p>
          <w:p w:rsidR="00D41997" w:rsidRDefault="00D41997" w:rsidP="00D4247B">
            <w:pPr>
              <w:contextualSpacing/>
            </w:pPr>
            <w:r>
              <w:t>Increase in the underlying financial position which is dependent upon recurrent funding provided</w:t>
            </w:r>
          </w:p>
        </w:tc>
      </w:tr>
      <w:tr w:rsidR="00D41997" w:rsidTr="00D4247B">
        <w:tc>
          <w:tcPr>
            <w:tcW w:w="2342" w:type="dxa"/>
            <w:tcBorders>
              <w:bottom w:val="single" w:sz="4" w:space="0" w:color="auto"/>
            </w:tcBorders>
          </w:tcPr>
          <w:p w:rsidR="00D41997" w:rsidRPr="00B838A9" w:rsidRDefault="00D41997" w:rsidP="00D4247B">
            <w:pPr>
              <w:rPr>
                <w:b/>
              </w:rPr>
            </w:pPr>
            <w:r w:rsidRPr="00B838A9">
              <w:rPr>
                <w:b/>
              </w:rPr>
              <w:t>Impact Score:</w:t>
            </w:r>
            <w:r>
              <w:rPr>
                <w:b/>
              </w:rPr>
              <w:t xml:space="preserve"> 5</w:t>
            </w:r>
          </w:p>
        </w:tc>
        <w:tc>
          <w:tcPr>
            <w:tcW w:w="2591" w:type="dxa"/>
            <w:gridSpan w:val="2"/>
          </w:tcPr>
          <w:p w:rsidR="00D41997" w:rsidRDefault="00D41997" w:rsidP="00D4247B">
            <w:r>
              <w:t>Likelihood Score: 5</w:t>
            </w:r>
          </w:p>
        </w:tc>
        <w:tc>
          <w:tcPr>
            <w:tcW w:w="2376" w:type="dxa"/>
            <w:gridSpan w:val="2"/>
          </w:tcPr>
          <w:p w:rsidR="00D41997" w:rsidRDefault="00D41997" w:rsidP="00D4247B">
            <w:r>
              <w:t>Gross Risk Score:</w:t>
            </w:r>
          </w:p>
        </w:tc>
        <w:tc>
          <w:tcPr>
            <w:tcW w:w="3039" w:type="dxa"/>
            <w:gridSpan w:val="2"/>
            <w:shd w:val="clear" w:color="auto" w:fill="FF0000"/>
          </w:tcPr>
          <w:p w:rsidR="00D41997" w:rsidRPr="002A6CD9" w:rsidRDefault="00D41997" w:rsidP="00D4247B">
            <w:pPr>
              <w:rPr>
                <w:b/>
              </w:rPr>
            </w:pPr>
            <w:r w:rsidRPr="002A6CD9">
              <w:rPr>
                <w:b/>
              </w:rPr>
              <w:t>25 (</w:t>
            </w:r>
            <w:r>
              <w:rPr>
                <w:b/>
              </w:rPr>
              <w:t>Extreme</w:t>
            </w:r>
            <w:r w:rsidRPr="002A6CD9">
              <w:rPr>
                <w:b/>
              </w:rPr>
              <w:t>)</w:t>
            </w:r>
          </w:p>
        </w:tc>
      </w:tr>
      <w:tr w:rsidR="00D41997" w:rsidTr="00D4247B">
        <w:tc>
          <w:tcPr>
            <w:tcW w:w="2342" w:type="dxa"/>
            <w:tcBorders>
              <w:bottom w:val="single" w:sz="4" w:space="0" w:color="auto"/>
              <w:right w:val="nil"/>
            </w:tcBorders>
          </w:tcPr>
          <w:p w:rsidR="00D41997" w:rsidRPr="00B838A9" w:rsidRDefault="00D41997" w:rsidP="00D4247B">
            <w:pPr>
              <w:rPr>
                <w:b/>
              </w:rPr>
            </w:pPr>
            <w:r w:rsidRPr="00B838A9">
              <w:rPr>
                <w:b/>
              </w:rPr>
              <w:t>Current Controls</w:t>
            </w:r>
          </w:p>
        </w:tc>
        <w:tc>
          <w:tcPr>
            <w:tcW w:w="8006" w:type="dxa"/>
            <w:gridSpan w:val="6"/>
            <w:tcBorders>
              <w:left w:val="nil"/>
            </w:tcBorders>
          </w:tcPr>
          <w:p w:rsidR="00D41997" w:rsidRDefault="00D41997" w:rsidP="00D4247B">
            <w:pPr>
              <w:contextualSpacing/>
            </w:pPr>
            <w:r>
              <w:t>Additional expenditure in Managing COVID 19 is being authorised within the governance structure that has specifically been put in place which is reported to Management Executives on a weekly basis. This aligns with the UHB Scheme of Delegation.</w:t>
            </w:r>
          </w:p>
          <w:p w:rsidR="00D41997" w:rsidRDefault="00D41997" w:rsidP="00D4247B">
            <w:pPr>
              <w:contextualSpacing/>
            </w:pPr>
            <w:r>
              <w:t>The financial position is reviewed by the Finance Committee which meets monthly and reports into the Board.</w:t>
            </w:r>
          </w:p>
          <w:p w:rsidR="00D41997" w:rsidRDefault="00D41997" w:rsidP="00D4247B">
            <w:pPr>
              <w:contextualSpacing/>
            </w:pPr>
            <w:r>
              <w:t>Financial performance is a standing agenda item monthly on Management Executives Meeting.</w:t>
            </w:r>
          </w:p>
        </w:tc>
      </w:tr>
      <w:tr w:rsidR="00D41997" w:rsidTr="00D4247B">
        <w:tc>
          <w:tcPr>
            <w:tcW w:w="2342" w:type="dxa"/>
            <w:tcBorders>
              <w:right w:val="nil"/>
            </w:tcBorders>
          </w:tcPr>
          <w:p w:rsidR="00D41997" w:rsidRPr="00B838A9" w:rsidRDefault="00D41997" w:rsidP="00D4247B">
            <w:pPr>
              <w:rPr>
                <w:b/>
              </w:rPr>
            </w:pPr>
            <w:r w:rsidRPr="00B838A9">
              <w:rPr>
                <w:b/>
              </w:rPr>
              <w:t>Current Assurances</w:t>
            </w:r>
          </w:p>
        </w:tc>
        <w:tc>
          <w:tcPr>
            <w:tcW w:w="8006" w:type="dxa"/>
            <w:gridSpan w:val="6"/>
            <w:tcBorders>
              <w:left w:val="nil"/>
            </w:tcBorders>
          </w:tcPr>
          <w:p w:rsidR="00D41997" w:rsidRPr="000D3D98" w:rsidRDefault="00D41997" w:rsidP="00D4247B">
            <w:pPr>
              <w:rPr>
                <w:color w:val="FF0000"/>
              </w:rPr>
            </w:pPr>
            <w:r w:rsidRPr="00571D2F">
              <w:t xml:space="preserve">The UHB is now assuming an additional funding to help manage the COVID 19 pandemic in line with Welsh Government Resource assumptions. Based upon this assumed additional funding, the financial forecast is now an in year break even position at year end. </w:t>
            </w:r>
            <w:r w:rsidRPr="000D3D98">
              <w:rPr>
                <w:color w:val="FF0000"/>
              </w:rPr>
              <w:t xml:space="preserve">The in year reported position at month </w:t>
            </w:r>
            <w:r>
              <w:rPr>
                <w:color w:val="FF0000"/>
              </w:rPr>
              <w:t>10 is an under spend of £0.2</w:t>
            </w:r>
            <w:r w:rsidRPr="000D3D98">
              <w:rPr>
                <w:color w:val="FF0000"/>
              </w:rPr>
              <w:t>m.</w:t>
            </w:r>
          </w:p>
          <w:p w:rsidR="00D41997" w:rsidRDefault="00D41997" w:rsidP="00D4247B">
            <w:r>
              <w:t xml:space="preserve">Financial performance is monitored by the Management Executive. </w:t>
            </w:r>
          </w:p>
          <w:p w:rsidR="00D41997" w:rsidRDefault="00D41997" w:rsidP="00D4247B">
            <w:r>
              <w:t>Finance report presented to every Finance Committee Meeting highlighting progress against mitigating financial risks.</w:t>
            </w:r>
          </w:p>
        </w:tc>
      </w:tr>
      <w:tr w:rsidR="00D41997" w:rsidTr="00D41997">
        <w:tc>
          <w:tcPr>
            <w:tcW w:w="2342" w:type="dxa"/>
            <w:tcBorders>
              <w:bottom w:val="single" w:sz="4" w:space="0" w:color="auto"/>
            </w:tcBorders>
          </w:tcPr>
          <w:p w:rsidR="00D41997" w:rsidRPr="00341EAB" w:rsidRDefault="00D41997" w:rsidP="00D4247B">
            <w:r>
              <w:t>Impact Score: 5</w:t>
            </w:r>
          </w:p>
        </w:tc>
        <w:tc>
          <w:tcPr>
            <w:tcW w:w="2591" w:type="dxa"/>
            <w:gridSpan w:val="2"/>
          </w:tcPr>
          <w:p w:rsidR="00D41997" w:rsidRDefault="00D41997" w:rsidP="00D4247B">
            <w:r>
              <w:t xml:space="preserve">Likelihood Score: </w:t>
            </w:r>
            <w:r w:rsidRPr="00571D2F">
              <w:t>2</w:t>
            </w:r>
          </w:p>
        </w:tc>
        <w:tc>
          <w:tcPr>
            <w:tcW w:w="2376" w:type="dxa"/>
            <w:gridSpan w:val="2"/>
          </w:tcPr>
          <w:p w:rsidR="00D41997" w:rsidRDefault="00D41997" w:rsidP="00D4247B">
            <w:r>
              <w:t>Net Risk Score:</w:t>
            </w:r>
          </w:p>
        </w:tc>
        <w:tc>
          <w:tcPr>
            <w:tcW w:w="3039" w:type="dxa"/>
            <w:gridSpan w:val="2"/>
            <w:shd w:val="clear" w:color="auto" w:fill="FFC000"/>
          </w:tcPr>
          <w:p w:rsidR="00D41997" w:rsidRDefault="00D41997" w:rsidP="00D4247B">
            <w:pPr>
              <w:rPr>
                <w:b/>
              </w:rPr>
            </w:pPr>
            <w:r>
              <w:rPr>
                <w:b/>
              </w:rPr>
              <w:t>10 (high)</w:t>
            </w:r>
          </w:p>
        </w:tc>
      </w:tr>
      <w:tr w:rsidR="00D41997" w:rsidTr="00D4247B">
        <w:tc>
          <w:tcPr>
            <w:tcW w:w="2342" w:type="dxa"/>
            <w:tcBorders>
              <w:bottom w:val="single" w:sz="4" w:space="0" w:color="auto"/>
              <w:right w:val="nil"/>
            </w:tcBorders>
          </w:tcPr>
          <w:p w:rsidR="00D41997" w:rsidRPr="00B838A9" w:rsidRDefault="00D41997" w:rsidP="00D4247B">
            <w:pPr>
              <w:rPr>
                <w:b/>
              </w:rPr>
            </w:pPr>
            <w:r w:rsidRPr="00B838A9">
              <w:rPr>
                <w:b/>
              </w:rPr>
              <w:t>Gap in Controls</w:t>
            </w:r>
          </w:p>
        </w:tc>
        <w:tc>
          <w:tcPr>
            <w:tcW w:w="8006" w:type="dxa"/>
            <w:gridSpan w:val="6"/>
            <w:tcBorders>
              <w:left w:val="nil"/>
            </w:tcBorders>
          </w:tcPr>
          <w:p w:rsidR="00D41997" w:rsidRDefault="00D41997" w:rsidP="00D4247B">
            <w:r>
              <w:t>No gaps currently identified.</w:t>
            </w:r>
          </w:p>
        </w:tc>
      </w:tr>
      <w:tr w:rsidR="00D41997" w:rsidTr="00D4247B">
        <w:tc>
          <w:tcPr>
            <w:tcW w:w="2342" w:type="dxa"/>
            <w:tcBorders>
              <w:bottom w:val="single" w:sz="4" w:space="0" w:color="auto"/>
              <w:right w:val="nil"/>
            </w:tcBorders>
          </w:tcPr>
          <w:p w:rsidR="00D41997" w:rsidRPr="00B838A9" w:rsidRDefault="00D41997" w:rsidP="00D4247B">
            <w:pPr>
              <w:rPr>
                <w:b/>
              </w:rPr>
            </w:pPr>
            <w:r w:rsidRPr="00B838A9">
              <w:rPr>
                <w:b/>
              </w:rPr>
              <w:t>Gap in Assurances</w:t>
            </w:r>
          </w:p>
        </w:tc>
        <w:tc>
          <w:tcPr>
            <w:tcW w:w="8006" w:type="dxa"/>
            <w:gridSpan w:val="6"/>
            <w:tcBorders>
              <w:left w:val="nil"/>
            </w:tcBorders>
          </w:tcPr>
          <w:p w:rsidR="00D41997" w:rsidRPr="00340088" w:rsidRDefault="00D41997" w:rsidP="00D4247B">
            <w:pPr>
              <w:contextualSpacing/>
            </w:pPr>
            <w:r w:rsidRPr="00340088">
              <w:t>To confirm COVID 19 funding assumptions with Welsh Government in a</w:t>
            </w:r>
            <w:r>
              <w:t xml:space="preserve"> couple of </w:t>
            </w:r>
            <w:r w:rsidRPr="00340088">
              <w:t>specific areas.</w:t>
            </w:r>
          </w:p>
          <w:p w:rsidR="00D41997" w:rsidRDefault="00D41997" w:rsidP="00D4247B">
            <w:pPr>
              <w:contextualSpacing/>
            </w:pPr>
            <w:r w:rsidRPr="00340088">
              <w:t xml:space="preserve">Certainty of COVID 19 expenditure and the management of non COVID 19 operational </w:t>
            </w:r>
            <w:r>
              <w:t>p</w:t>
            </w:r>
            <w:r w:rsidRPr="00340088">
              <w:t>ressures</w:t>
            </w:r>
          </w:p>
        </w:tc>
      </w:tr>
      <w:tr w:rsidR="00D41997" w:rsidTr="00D4247B">
        <w:tc>
          <w:tcPr>
            <w:tcW w:w="2342" w:type="dxa"/>
            <w:tcBorders>
              <w:right w:val="nil"/>
            </w:tcBorders>
            <w:shd w:val="clear" w:color="auto" w:fill="8DB3E2" w:themeFill="text2" w:themeFillTint="66"/>
          </w:tcPr>
          <w:p w:rsidR="00D41997" w:rsidRPr="00B838A9" w:rsidRDefault="00D41997" w:rsidP="00D4247B">
            <w:pPr>
              <w:rPr>
                <w:b/>
              </w:rPr>
            </w:pPr>
            <w:r>
              <w:br w:type="page"/>
            </w:r>
            <w:r>
              <w:br w:type="page"/>
            </w:r>
            <w:r w:rsidRPr="00B838A9">
              <w:rPr>
                <w:b/>
              </w:rPr>
              <w:t>Actions</w:t>
            </w:r>
          </w:p>
        </w:tc>
        <w:tc>
          <w:tcPr>
            <w:tcW w:w="2591" w:type="dxa"/>
            <w:gridSpan w:val="2"/>
            <w:tcBorders>
              <w:left w:val="nil"/>
            </w:tcBorders>
            <w:shd w:val="clear" w:color="auto" w:fill="8DB3E2" w:themeFill="text2" w:themeFillTint="66"/>
          </w:tcPr>
          <w:p w:rsidR="00D41997" w:rsidRDefault="00D41997" w:rsidP="00D4247B"/>
        </w:tc>
        <w:tc>
          <w:tcPr>
            <w:tcW w:w="1491" w:type="dxa"/>
            <w:shd w:val="clear" w:color="auto" w:fill="8DB3E2" w:themeFill="text2" w:themeFillTint="66"/>
          </w:tcPr>
          <w:p w:rsidR="00D41997" w:rsidRPr="004131FC" w:rsidRDefault="00D41997" w:rsidP="00D4247B">
            <w:pPr>
              <w:rPr>
                <w:b/>
              </w:rPr>
            </w:pPr>
            <w:r w:rsidRPr="004131FC">
              <w:rPr>
                <w:b/>
              </w:rPr>
              <w:t>Lead</w:t>
            </w:r>
          </w:p>
        </w:tc>
        <w:tc>
          <w:tcPr>
            <w:tcW w:w="1350" w:type="dxa"/>
            <w:gridSpan w:val="2"/>
            <w:shd w:val="clear" w:color="auto" w:fill="8DB3E2" w:themeFill="text2" w:themeFillTint="66"/>
          </w:tcPr>
          <w:p w:rsidR="00D41997" w:rsidRPr="004131FC" w:rsidRDefault="00D41997" w:rsidP="00D4247B">
            <w:pPr>
              <w:rPr>
                <w:b/>
              </w:rPr>
            </w:pPr>
            <w:r w:rsidRPr="004131FC">
              <w:rPr>
                <w:b/>
              </w:rPr>
              <w:t>By when</w:t>
            </w:r>
          </w:p>
        </w:tc>
        <w:tc>
          <w:tcPr>
            <w:tcW w:w="2574" w:type="dxa"/>
            <w:shd w:val="clear" w:color="auto" w:fill="8DB3E2" w:themeFill="text2" w:themeFillTint="66"/>
          </w:tcPr>
          <w:p w:rsidR="00D41997" w:rsidRPr="004131FC" w:rsidRDefault="00D41997" w:rsidP="00D4247B">
            <w:pPr>
              <w:rPr>
                <w:b/>
              </w:rPr>
            </w:pPr>
            <w:r>
              <w:rPr>
                <w:b/>
              </w:rPr>
              <w:t>Update since November 20</w:t>
            </w:r>
          </w:p>
        </w:tc>
      </w:tr>
      <w:tr w:rsidR="00D41997" w:rsidRPr="00340088" w:rsidTr="00D4247B">
        <w:tc>
          <w:tcPr>
            <w:tcW w:w="4933" w:type="dxa"/>
            <w:gridSpan w:val="3"/>
          </w:tcPr>
          <w:p w:rsidR="00D41997" w:rsidRPr="00340088" w:rsidRDefault="00D41997" w:rsidP="00D41997">
            <w:pPr>
              <w:pStyle w:val="ListParagraph"/>
              <w:numPr>
                <w:ilvl w:val="0"/>
                <w:numId w:val="5"/>
              </w:numPr>
            </w:pPr>
            <w:r w:rsidRPr="00340088">
              <w:t>Continue to work with Welsh Government to confirm additional funding to manage our response to Covid 19.</w:t>
            </w:r>
          </w:p>
          <w:p w:rsidR="00D41997" w:rsidRPr="00340088" w:rsidRDefault="00D41997" w:rsidP="00D4247B">
            <w:pPr>
              <w:pStyle w:val="ListParagraph"/>
            </w:pPr>
          </w:p>
        </w:tc>
        <w:tc>
          <w:tcPr>
            <w:tcW w:w="1491" w:type="dxa"/>
          </w:tcPr>
          <w:p w:rsidR="00D41997" w:rsidRPr="00340088" w:rsidRDefault="00D41997" w:rsidP="00D4247B">
            <w:r w:rsidRPr="00340088">
              <w:t>C</w:t>
            </w:r>
            <w:r>
              <w:t>P</w:t>
            </w:r>
          </w:p>
        </w:tc>
        <w:tc>
          <w:tcPr>
            <w:tcW w:w="1350" w:type="dxa"/>
            <w:gridSpan w:val="2"/>
          </w:tcPr>
          <w:p w:rsidR="00D41997" w:rsidRPr="00340088" w:rsidRDefault="00D41997" w:rsidP="00D4247B">
            <w:r>
              <w:t>31/03/2021</w:t>
            </w:r>
          </w:p>
        </w:tc>
        <w:tc>
          <w:tcPr>
            <w:tcW w:w="2574" w:type="dxa"/>
          </w:tcPr>
          <w:p w:rsidR="00D41997" w:rsidRPr="00340088" w:rsidRDefault="00D41997" w:rsidP="00D4247B">
            <w:r>
              <w:t>No further updates current status remains</w:t>
            </w:r>
          </w:p>
        </w:tc>
      </w:tr>
      <w:tr w:rsidR="00D41997" w:rsidRPr="00340088" w:rsidTr="00D4247B">
        <w:tc>
          <w:tcPr>
            <w:tcW w:w="4933" w:type="dxa"/>
            <w:gridSpan w:val="3"/>
          </w:tcPr>
          <w:p w:rsidR="00D41997" w:rsidRPr="00340088" w:rsidRDefault="00D41997" w:rsidP="00D41997">
            <w:pPr>
              <w:pStyle w:val="ListParagraph"/>
              <w:numPr>
                <w:ilvl w:val="0"/>
                <w:numId w:val="5"/>
              </w:numPr>
            </w:pPr>
            <w:r w:rsidRPr="00340088">
              <w:t>To monitor and control additional expenditure and financial performance to ensure that the year-end forecast is within the resources available</w:t>
            </w:r>
            <w:r>
              <w:t>.</w:t>
            </w:r>
          </w:p>
        </w:tc>
        <w:tc>
          <w:tcPr>
            <w:tcW w:w="1491" w:type="dxa"/>
          </w:tcPr>
          <w:p w:rsidR="00D41997" w:rsidRPr="00340088" w:rsidRDefault="00D41997" w:rsidP="00D4247B">
            <w:r w:rsidRPr="00340088">
              <w:t>C</w:t>
            </w:r>
            <w:r>
              <w:t>P</w:t>
            </w:r>
          </w:p>
        </w:tc>
        <w:tc>
          <w:tcPr>
            <w:tcW w:w="1350" w:type="dxa"/>
            <w:gridSpan w:val="2"/>
          </w:tcPr>
          <w:p w:rsidR="00D41997" w:rsidRPr="00340088" w:rsidRDefault="00D41997" w:rsidP="00D4247B">
            <w:r w:rsidRPr="00340088">
              <w:t>31/03/2021</w:t>
            </w:r>
          </w:p>
        </w:tc>
        <w:tc>
          <w:tcPr>
            <w:tcW w:w="2574" w:type="dxa"/>
          </w:tcPr>
          <w:p w:rsidR="00D41997" w:rsidRPr="00340088" w:rsidRDefault="00D41997" w:rsidP="00D4247B">
            <w:r>
              <w:t>No further updates current status remains</w:t>
            </w:r>
          </w:p>
        </w:tc>
      </w:tr>
      <w:tr w:rsidR="00D41997" w:rsidRPr="00571D2F" w:rsidTr="00D4247B">
        <w:tc>
          <w:tcPr>
            <w:tcW w:w="4933" w:type="dxa"/>
            <w:gridSpan w:val="3"/>
          </w:tcPr>
          <w:p w:rsidR="00D41997" w:rsidRPr="00571D2F" w:rsidRDefault="00D41997" w:rsidP="00D41997">
            <w:pPr>
              <w:pStyle w:val="ListParagraph"/>
              <w:numPr>
                <w:ilvl w:val="0"/>
                <w:numId w:val="5"/>
              </w:numPr>
              <w:spacing w:after="200"/>
              <w:rPr>
                <w:color w:val="FF0000"/>
              </w:rPr>
            </w:pPr>
            <w:r w:rsidRPr="00571D2F">
              <w:rPr>
                <w:color w:val="FF0000"/>
              </w:rPr>
              <w:lastRenderedPageBreak/>
              <w:t>To understand the impact of responding to the Covid 19 pandemic has had on the organisations underlying position and that the costs and consequences are reflected within the 2021/22 plan.</w:t>
            </w:r>
          </w:p>
        </w:tc>
        <w:tc>
          <w:tcPr>
            <w:tcW w:w="1491" w:type="dxa"/>
          </w:tcPr>
          <w:p w:rsidR="00D41997" w:rsidRPr="00571D2F" w:rsidRDefault="00D41997" w:rsidP="00D4247B">
            <w:pPr>
              <w:rPr>
                <w:color w:val="FF0000"/>
              </w:rPr>
            </w:pPr>
            <w:r w:rsidRPr="00571D2F">
              <w:rPr>
                <w:color w:val="FF0000"/>
              </w:rPr>
              <w:t>C</w:t>
            </w:r>
            <w:r>
              <w:rPr>
                <w:color w:val="FF0000"/>
              </w:rPr>
              <w:t>P</w:t>
            </w:r>
          </w:p>
        </w:tc>
        <w:tc>
          <w:tcPr>
            <w:tcW w:w="1350" w:type="dxa"/>
            <w:gridSpan w:val="2"/>
          </w:tcPr>
          <w:p w:rsidR="00D41997" w:rsidRPr="00571D2F" w:rsidRDefault="00D41997" w:rsidP="00D4247B">
            <w:pPr>
              <w:rPr>
                <w:color w:val="FF0000"/>
              </w:rPr>
            </w:pPr>
            <w:r w:rsidRPr="00571D2F">
              <w:rPr>
                <w:color w:val="FF0000"/>
              </w:rPr>
              <w:t>31/03/2021</w:t>
            </w:r>
          </w:p>
        </w:tc>
        <w:tc>
          <w:tcPr>
            <w:tcW w:w="2574" w:type="dxa"/>
          </w:tcPr>
          <w:p w:rsidR="00D41997" w:rsidRPr="00571D2F" w:rsidRDefault="00D41997" w:rsidP="00D4247B">
            <w:pPr>
              <w:rPr>
                <w:color w:val="FF0000"/>
              </w:rPr>
            </w:pPr>
            <w:r w:rsidRPr="00571D2F">
              <w:rPr>
                <w:color w:val="FF0000"/>
              </w:rPr>
              <w:t>New action</w:t>
            </w:r>
          </w:p>
        </w:tc>
      </w:tr>
      <w:tr w:rsidR="00D41997" w:rsidTr="00D41997">
        <w:tc>
          <w:tcPr>
            <w:tcW w:w="2342" w:type="dxa"/>
            <w:tcBorders>
              <w:bottom w:val="single" w:sz="4" w:space="0" w:color="auto"/>
            </w:tcBorders>
          </w:tcPr>
          <w:p w:rsidR="00D41997" w:rsidRPr="00341EAB" w:rsidRDefault="00D41997" w:rsidP="00D4247B">
            <w:r>
              <w:t>Impact Score: 4</w:t>
            </w:r>
          </w:p>
        </w:tc>
        <w:tc>
          <w:tcPr>
            <w:tcW w:w="2131" w:type="dxa"/>
            <w:tcBorders>
              <w:bottom w:val="single" w:sz="4" w:space="0" w:color="auto"/>
            </w:tcBorders>
          </w:tcPr>
          <w:p w:rsidR="00D41997" w:rsidRDefault="00D41997" w:rsidP="00D4247B">
            <w:r>
              <w:t>Likelihood Score:2</w:t>
            </w:r>
          </w:p>
        </w:tc>
        <w:tc>
          <w:tcPr>
            <w:tcW w:w="1951" w:type="dxa"/>
            <w:gridSpan w:val="2"/>
            <w:tcBorders>
              <w:bottom w:val="single" w:sz="4" w:space="0" w:color="auto"/>
            </w:tcBorders>
          </w:tcPr>
          <w:p w:rsidR="00D41997" w:rsidRDefault="00D41997" w:rsidP="00D4247B">
            <w:r>
              <w:t>Target Risk Score:</w:t>
            </w:r>
          </w:p>
        </w:tc>
        <w:tc>
          <w:tcPr>
            <w:tcW w:w="3924" w:type="dxa"/>
            <w:gridSpan w:val="3"/>
            <w:shd w:val="clear" w:color="auto" w:fill="FFC000"/>
          </w:tcPr>
          <w:p w:rsidR="00D41997" w:rsidRDefault="00D41997" w:rsidP="00D4247B">
            <w:pPr>
              <w:rPr>
                <w:b/>
              </w:rPr>
            </w:pPr>
            <w:r>
              <w:rPr>
                <w:b/>
              </w:rPr>
              <w:t>8 (High)</w:t>
            </w:r>
          </w:p>
        </w:tc>
      </w:tr>
    </w:tbl>
    <w:p w:rsidR="00D41997" w:rsidRDefault="00D41997" w:rsidP="00D41997"/>
    <w:p w:rsidR="00D41997" w:rsidRDefault="00D41997">
      <w:r>
        <w:br w:type="page"/>
      </w:r>
    </w:p>
    <w:p w:rsidR="00D41997" w:rsidRDefault="00D41997" w:rsidP="00D41997"/>
    <w:p w:rsidR="003E6DFD" w:rsidRPr="00C10004" w:rsidRDefault="003E6DFD" w:rsidP="00C10004">
      <w:pPr>
        <w:pStyle w:val="ListParagraph"/>
        <w:numPr>
          <w:ilvl w:val="0"/>
          <w:numId w:val="44"/>
        </w:numPr>
        <w:rPr>
          <w:b/>
        </w:rPr>
      </w:pPr>
      <w:r w:rsidRPr="00C10004">
        <w:rPr>
          <w:b/>
        </w:rPr>
        <w:t>Sustainable Primary  and Community Care</w:t>
      </w:r>
      <w:r w:rsidR="00530294" w:rsidRPr="00C10004">
        <w:rPr>
          <w:b/>
        </w:rPr>
        <w:t xml:space="preserve"> – Lead Executive Steve Curry</w:t>
      </w:r>
    </w:p>
    <w:p w:rsidR="003E6DFD" w:rsidRDefault="003E6DFD" w:rsidP="003E6DFD">
      <w:pPr>
        <w:pStyle w:val="ListParagraph"/>
        <w:ind w:left="-567"/>
        <w:rPr>
          <w:b/>
        </w:rPr>
      </w:pPr>
    </w:p>
    <w:p w:rsidR="003E6DFD" w:rsidRPr="00892259" w:rsidRDefault="003E6DFD" w:rsidP="00C82459">
      <w:pPr>
        <w:pStyle w:val="ListParagraph"/>
        <w:ind w:left="-567"/>
        <w:jc w:val="both"/>
      </w:pPr>
      <w:r>
        <w:t xml:space="preserve">The strategy of “Care closer to home” is built on the assumption that there are a significant number of patients that are either referred to or turn up at a Hospital setting because there is no viable alternative at the time at which they become sick. They are then typically admitted because at that stage similarly there is no viable alternative to manage/support these patients in their local setting or their place of residence. Therefore it is important to create firstly the capacity of </w:t>
      </w:r>
      <w:r w:rsidR="002853E2">
        <w:t>P</w:t>
      </w:r>
      <w:r>
        <w:t>rimary and Community Care, and then increase the capability of Primary and Community Care to be able to respond to the individual and varied needs of those patients in both crisis intervention but more commonly preventative and support arrangements.</w:t>
      </w:r>
      <w:r w:rsidR="00C82459">
        <w:t xml:space="preserve"> </w:t>
      </w:r>
      <w:r w:rsidR="00C82459" w:rsidRPr="00892259">
        <w:t>Although the underlying actions continue to be progressed it should be acknowledged that the focus has changed due to responding to Covid 19 this will inevitably cause implications for the speed of ongoing action and implementation.</w:t>
      </w:r>
    </w:p>
    <w:tbl>
      <w:tblPr>
        <w:tblStyle w:val="TableGrid"/>
        <w:tblW w:w="10348" w:type="dxa"/>
        <w:tblInd w:w="-459" w:type="dxa"/>
        <w:tblLook w:val="04A0" w:firstRow="1" w:lastRow="0" w:firstColumn="1" w:lastColumn="0" w:noHBand="0" w:noVBand="1"/>
      </w:tblPr>
      <w:tblGrid>
        <w:gridCol w:w="2014"/>
        <w:gridCol w:w="2889"/>
        <w:gridCol w:w="59"/>
        <w:gridCol w:w="454"/>
        <w:gridCol w:w="850"/>
        <w:gridCol w:w="1055"/>
        <w:gridCol w:w="70"/>
        <w:gridCol w:w="153"/>
        <w:gridCol w:w="2804"/>
      </w:tblGrid>
      <w:tr w:rsidR="003E6DFD" w:rsidTr="003E6DFD">
        <w:tc>
          <w:tcPr>
            <w:tcW w:w="2014" w:type="dxa"/>
            <w:tcBorders>
              <w:right w:val="nil"/>
            </w:tcBorders>
          </w:tcPr>
          <w:p w:rsidR="003E6DFD" w:rsidRDefault="003E6DFD" w:rsidP="003E6DFD">
            <w:pPr>
              <w:rPr>
                <w:b/>
              </w:rPr>
            </w:pPr>
            <w:r w:rsidRPr="00B838A9">
              <w:rPr>
                <w:b/>
              </w:rPr>
              <w:t>Risk</w:t>
            </w:r>
          </w:p>
          <w:p w:rsidR="003E6DFD" w:rsidRPr="00B838A9" w:rsidRDefault="003E6DFD" w:rsidP="003E6DFD">
            <w:pPr>
              <w:rPr>
                <w:b/>
              </w:rPr>
            </w:pPr>
            <w:r>
              <w:rPr>
                <w:b/>
              </w:rPr>
              <w:t xml:space="preserve">Date added:  </w:t>
            </w:r>
            <w:r w:rsidRPr="00224E51">
              <w:t>12.11.2018</w:t>
            </w:r>
          </w:p>
        </w:tc>
        <w:tc>
          <w:tcPr>
            <w:tcW w:w="8334" w:type="dxa"/>
            <w:gridSpan w:val="8"/>
            <w:tcBorders>
              <w:left w:val="nil"/>
              <w:bottom w:val="single" w:sz="4" w:space="0" w:color="auto"/>
            </w:tcBorders>
          </w:tcPr>
          <w:p w:rsidR="003E6DFD" w:rsidRDefault="003E6DFD" w:rsidP="003E6DFD">
            <w:r>
              <w:t xml:space="preserve">The risk of losing resilience in the existing service and not building  the capacity or the capability of service provision in the Primary or Community care setting to provide the necessary preventative and responsive services. </w:t>
            </w:r>
          </w:p>
        </w:tc>
      </w:tr>
      <w:tr w:rsidR="003E6DFD" w:rsidTr="003E6DFD">
        <w:tc>
          <w:tcPr>
            <w:tcW w:w="2014" w:type="dxa"/>
            <w:tcBorders>
              <w:right w:val="nil"/>
            </w:tcBorders>
          </w:tcPr>
          <w:p w:rsidR="003E6DFD" w:rsidRPr="00B838A9" w:rsidRDefault="003E6DFD" w:rsidP="003E6DFD">
            <w:pPr>
              <w:rPr>
                <w:b/>
              </w:rPr>
            </w:pPr>
            <w:r w:rsidRPr="00B838A9">
              <w:rPr>
                <w:b/>
              </w:rPr>
              <w:t>Cause</w:t>
            </w:r>
          </w:p>
        </w:tc>
        <w:tc>
          <w:tcPr>
            <w:tcW w:w="8334" w:type="dxa"/>
            <w:gridSpan w:val="8"/>
            <w:tcBorders>
              <w:left w:val="nil"/>
              <w:bottom w:val="single" w:sz="4" w:space="0" w:color="auto"/>
            </w:tcBorders>
          </w:tcPr>
          <w:p w:rsidR="003E6DFD" w:rsidRDefault="003E6DFD" w:rsidP="003E6DFD">
            <w:r>
              <w:t xml:space="preserve">Not enough GP capacity to respond to and provide support to complex patients with multiple co-morbidities and typically in the over 75 year age bracket. </w:t>
            </w:r>
          </w:p>
          <w:p w:rsidR="003E6DFD" w:rsidRDefault="003E6DFD" w:rsidP="003E6DFD">
            <w:r>
              <w:t>GP’s being drawn into seeing patients that could otherwise be seen by other members of the Multi-disciplinary Team.</w:t>
            </w:r>
          </w:p>
          <w:p w:rsidR="003E6DFD" w:rsidRDefault="003E6DFD" w:rsidP="003E6DFD">
            <w:r>
              <w:t>Co-ordination of Health and Social Care across the communities so that a joined up response is provided and that the patient gets the right care.</w:t>
            </w:r>
          </w:p>
          <w:p w:rsidR="003E6DFD" w:rsidRDefault="003E6DFD" w:rsidP="003E6DFD">
            <w:r>
              <w:t>Poor consistency in referral pathways, and in care in the community leading to significant variation in practice.</w:t>
            </w:r>
          </w:p>
          <w:p w:rsidR="003E6DFD" w:rsidRDefault="003E6DFD" w:rsidP="003E6DFD">
            <w:r>
              <w:t>Practice closures and satellite practice closures reducing access for patients.</w:t>
            </w:r>
          </w:p>
          <w:p w:rsidR="003E6DFD" w:rsidRDefault="003E6DFD" w:rsidP="003E6DFD">
            <w:r>
              <w:t>Lack of development of a multidisciplinary response to Primary Care need.</w:t>
            </w:r>
          </w:p>
          <w:p w:rsidR="003E6DFD" w:rsidRDefault="003E6DFD" w:rsidP="003E6DFD">
            <w:r>
              <w:t>Significant increase in housing provision</w:t>
            </w:r>
          </w:p>
        </w:tc>
      </w:tr>
      <w:tr w:rsidR="003E6DFD" w:rsidTr="003E6DFD">
        <w:tc>
          <w:tcPr>
            <w:tcW w:w="2014" w:type="dxa"/>
            <w:tcBorders>
              <w:right w:val="nil"/>
            </w:tcBorders>
          </w:tcPr>
          <w:p w:rsidR="003E6DFD" w:rsidRPr="00B838A9" w:rsidRDefault="003E6DFD" w:rsidP="003E6DFD">
            <w:pPr>
              <w:rPr>
                <w:b/>
              </w:rPr>
            </w:pPr>
            <w:r w:rsidRPr="00B838A9">
              <w:rPr>
                <w:b/>
              </w:rPr>
              <w:t>Impact</w:t>
            </w:r>
          </w:p>
        </w:tc>
        <w:tc>
          <w:tcPr>
            <w:tcW w:w="8334" w:type="dxa"/>
            <w:gridSpan w:val="8"/>
            <w:tcBorders>
              <w:left w:val="nil"/>
            </w:tcBorders>
          </w:tcPr>
          <w:p w:rsidR="003E6DFD" w:rsidRDefault="003E6DFD" w:rsidP="003E6DFD">
            <w:r>
              <w:t>Long waiting times for patients to access a GP</w:t>
            </w:r>
          </w:p>
          <w:p w:rsidR="003E6DFD" w:rsidRDefault="003E6DFD" w:rsidP="003E6DFD">
            <w:r>
              <w:t>Referrals to hospital because there are no other options</w:t>
            </w:r>
          </w:p>
          <w:p w:rsidR="003E6DFD" w:rsidRDefault="003E6DFD" w:rsidP="003E6DFD">
            <w:r>
              <w:t>Patients turning up in ED because they cannot get the care they need in Primary or Community care.</w:t>
            </w:r>
          </w:p>
          <w:p w:rsidR="003E6DFD" w:rsidRDefault="003E6DFD" w:rsidP="003E6DFD">
            <w:r>
              <w:t>Poor morale of Primary and Community staff leading to poor uptake of innovative solutions</w:t>
            </w:r>
          </w:p>
          <w:p w:rsidR="003E6DFD" w:rsidRDefault="003E6DFD" w:rsidP="003E6DFD">
            <w:r>
              <w:t>Stand offs between Clinical Board and Primary care about what can be safely done in the community</w:t>
            </w:r>
          </w:p>
          <w:p w:rsidR="003E6DFD" w:rsidRDefault="003E6DFD" w:rsidP="003E6DFD">
            <w:r>
              <w:t xml:space="preserve">Impact reinforces cause by effecting ability to recruit </w:t>
            </w:r>
          </w:p>
        </w:tc>
      </w:tr>
      <w:tr w:rsidR="003E6DFD" w:rsidTr="003E6DFD">
        <w:tc>
          <w:tcPr>
            <w:tcW w:w="2014" w:type="dxa"/>
          </w:tcPr>
          <w:p w:rsidR="003E6DFD" w:rsidRPr="004131FC" w:rsidRDefault="003E6DFD" w:rsidP="003E6DFD">
            <w:r w:rsidRPr="004131FC">
              <w:t xml:space="preserve">Impact Score: </w:t>
            </w:r>
            <w:r>
              <w:t>5</w:t>
            </w:r>
          </w:p>
        </w:tc>
        <w:tc>
          <w:tcPr>
            <w:tcW w:w="2948" w:type="dxa"/>
            <w:gridSpan w:val="2"/>
            <w:tcBorders>
              <w:bottom w:val="single" w:sz="4" w:space="0" w:color="auto"/>
            </w:tcBorders>
          </w:tcPr>
          <w:p w:rsidR="003E6DFD" w:rsidRDefault="003E6DFD" w:rsidP="003E6DFD">
            <w:r>
              <w:t>Likelihood Score:4</w:t>
            </w:r>
          </w:p>
        </w:tc>
        <w:tc>
          <w:tcPr>
            <w:tcW w:w="2359" w:type="dxa"/>
            <w:gridSpan w:val="3"/>
            <w:tcBorders>
              <w:bottom w:val="single" w:sz="4" w:space="0" w:color="auto"/>
            </w:tcBorders>
          </w:tcPr>
          <w:p w:rsidR="003E6DFD" w:rsidRDefault="003E6DFD" w:rsidP="003E6DFD">
            <w:r>
              <w:t>Gross Risk Score:</w:t>
            </w:r>
          </w:p>
        </w:tc>
        <w:tc>
          <w:tcPr>
            <w:tcW w:w="3027" w:type="dxa"/>
            <w:gridSpan w:val="3"/>
            <w:tcBorders>
              <w:bottom w:val="single" w:sz="4" w:space="0" w:color="auto"/>
            </w:tcBorders>
            <w:shd w:val="clear" w:color="auto" w:fill="FF0000"/>
          </w:tcPr>
          <w:p w:rsidR="003E6DFD" w:rsidRPr="004131FC" w:rsidRDefault="003E6DFD" w:rsidP="003E6DFD">
            <w:pPr>
              <w:rPr>
                <w:b/>
              </w:rPr>
            </w:pPr>
            <w:r w:rsidRPr="004131FC">
              <w:rPr>
                <w:b/>
              </w:rPr>
              <w:t>20</w:t>
            </w:r>
            <w:r>
              <w:rPr>
                <w:b/>
              </w:rPr>
              <w:t xml:space="preserve"> (red)</w:t>
            </w:r>
          </w:p>
        </w:tc>
      </w:tr>
      <w:tr w:rsidR="003E6DFD" w:rsidTr="003E6DFD">
        <w:tc>
          <w:tcPr>
            <w:tcW w:w="2014" w:type="dxa"/>
            <w:tcBorders>
              <w:right w:val="nil"/>
            </w:tcBorders>
          </w:tcPr>
          <w:p w:rsidR="003E6DFD" w:rsidRPr="003C502D" w:rsidRDefault="003E6DFD" w:rsidP="003E6DFD">
            <w:pPr>
              <w:rPr>
                <w:b/>
              </w:rPr>
            </w:pPr>
            <w:r w:rsidRPr="003C502D">
              <w:rPr>
                <w:b/>
              </w:rPr>
              <w:t>Current Controls</w:t>
            </w:r>
          </w:p>
        </w:tc>
        <w:tc>
          <w:tcPr>
            <w:tcW w:w="8334" w:type="dxa"/>
            <w:gridSpan w:val="8"/>
            <w:tcBorders>
              <w:left w:val="nil"/>
              <w:bottom w:val="single" w:sz="4" w:space="0" w:color="auto"/>
            </w:tcBorders>
          </w:tcPr>
          <w:p w:rsidR="003E6DFD" w:rsidRPr="003C502D" w:rsidRDefault="003E6DFD" w:rsidP="003E6DFD">
            <w:r w:rsidRPr="003C502D">
              <w:t>Me, My Home , My Community</w:t>
            </w:r>
          </w:p>
          <w:p w:rsidR="003E6DFD" w:rsidRPr="003C502D" w:rsidRDefault="003E6DFD" w:rsidP="003E6DFD">
            <w:r w:rsidRPr="003C502D">
              <w:t>Signals from Noise to create a joined up system across Primary, Community, Secondary and Social Care.</w:t>
            </w:r>
          </w:p>
          <w:p w:rsidR="003E6DFD" w:rsidRPr="003C502D" w:rsidRDefault="003E6DFD" w:rsidP="003E6DFD">
            <w:r w:rsidRPr="003C502D">
              <w:t>Development of Primary Care Support Team</w:t>
            </w:r>
          </w:p>
          <w:p w:rsidR="003E6DFD" w:rsidRPr="003C502D" w:rsidRDefault="003E6DFD" w:rsidP="003E6DFD">
            <w:r w:rsidRPr="003C502D">
              <w:t>Contractual negotiations allowing GP Practices to close to new patients</w:t>
            </w:r>
          </w:p>
          <w:p w:rsidR="003E6DFD" w:rsidRPr="003C502D" w:rsidRDefault="003E6DFD" w:rsidP="003E6DFD">
            <w:r w:rsidRPr="003C502D">
              <w:t>Care Pathways</w:t>
            </w:r>
          </w:p>
          <w:p w:rsidR="003E6DFD" w:rsidRPr="003C502D" w:rsidRDefault="003E6DFD" w:rsidP="003E6DFD">
            <w:r w:rsidRPr="003C502D">
              <w:t>Roll out of MSK and MH First Point of Contact Services by Cluster</w:t>
            </w:r>
          </w:p>
          <w:p w:rsidR="003E6DFD" w:rsidRPr="003C502D" w:rsidRDefault="003E6DFD" w:rsidP="003E6DFD">
            <w:r w:rsidRPr="003C502D">
              <w:t>Implement new urgent care Phone First helpline at Primary Care Level (CAV24/7)</w:t>
            </w:r>
          </w:p>
          <w:p w:rsidR="003E6DFD" w:rsidRPr="003C502D" w:rsidRDefault="003E6DFD" w:rsidP="003E6DFD">
            <w:r w:rsidRPr="003C502D">
              <w:t>Implement nationally supported digital supported enablers (Consultant Connect and Attend Anywhere)</w:t>
            </w:r>
          </w:p>
        </w:tc>
      </w:tr>
      <w:tr w:rsidR="003E6DFD" w:rsidTr="003E6DFD">
        <w:tc>
          <w:tcPr>
            <w:tcW w:w="2014" w:type="dxa"/>
            <w:tcBorders>
              <w:right w:val="nil"/>
            </w:tcBorders>
          </w:tcPr>
          <w:p w:rsidR="003E6DFD" w:rsidRPr="00B838A9" w:rsidRDefault="003E6DFD" w:rsidP="003E6DFD">
            <w:pPr>
              <w:rPr>
                <w:b/>
              </w:rPr>
            </w:pPr>
            <w:r w:rsidRPr="00B838A9">
              <w:rPr>
                <w:b/>
              </w:rPr>
              <w:t>Current Assurances</w:t>
            </w:r>
          </w:p>
        </w:tc>
        <w:tc>
          <w:tcPr>
            <w:tcW w:w="8334" w:type="dxa"/>
            <w:gridSpan w:val="8"/>
            <w:tcBorders>
              <w:left w:val="nil"/>
            </w:tcBorders>
          </w:tcPr>
          <w:p w:rsidR="003E6DFD" w:rsidRPr="003C502D" w:rsidRDefault="003E6DFD" w:rsidP="003E6DFD">
            <w:r w:rsidRPr="003C502D">
              <w:t>Improved access and response to GP out of hours service</w:t>
            </w:r>
          </w:p>
          <w:p w:rsidR="003E6DFD" w:rsidRPr="003C502D" w:rsidRDefault="003E6DFD" w:rsidP="003E6DFD">
            <w:r w:rsidRPr="003C502D">
              <w:t>Sustainability and assurance summary developed to RAG rate practices and inform action</w:t>
            </w:r>
          </w:p>
          <w:p w:rsidR="003E6DFD" w:rsidRPr="003C502D" w:rsidRDefault="003E6DFD" w:rsidP="003E6DFD">
            <w:r w:rsidRPr="003C502D">
              <w:t>Three workshops held to develop way forward with engagement of wider GP body in developing future models.  Leading to the development of Mental Health and Risk Care Models at scale being implemented.</w:t>
            </w:r>
          </w:p>
          <w:p w:rsidR="003E6DFD" w:rsidRPr="00356A0D" w:rsidRDefault="003E6DFD" w:rsidP="003E6DFD">
            <w:pPr>
              <w:rPr>
                <w:color w:val="FF0000"/>
              </w:rPr>
            </w:pPr>
            <w:r w:rsidRPr="003C502D">
              <w:t>Second peer review of PCOOH Services undertaken with commendations and exemplars referred to in WG reports</w:t>
            </w:r>
          </w:p>
        </w:tc>
      </w:tr>
      <w:tr w:rsidR="003E6DFD" w:rsidTr="003E6DFD">
        <w:tc>
          <w:tcPr>
            <w:tcW w:w="2014" w:type="dxa"/>
          </w:tcPr>
          <w:p w:rsidR="003E6DFD" w:rsidRPr="004131FC" w:rsidRDefault="003E6DFD" w:rsidP="003E6DFD">
            <w:r w:rsidRPr="004131FC">
              <w:lastRenderedPageBreak/>
              <w:t>Impact Score: 5</w:t>
            </w:r>
          </w:p>
        </w:tc>
        <w:tc>
          <w:tcPr>
            <w:tcW w:w="2948" w:type="dxa"/>
            <w:gridSpan w:val="2"/>
            <w:tcBorders>
              <w:bottom w:val="single" w:sz="4" w:space="0" w:color="auto"/>
            </w:tcBorders>
          </w:tcPr>
          <w:p w:rsidR="003E6DFD" w:rsidRDefault="003E6DFD" w:rsidP="003E6DFD">
            <w:r>
              <w:t>Likelihood Score: 3</w:t>
            </w:r>
          </w:p>
        </w:tc>
        <w:tc>
          <w:tcPr>
            <w:tcW w:w="2359" w:type="dxa"/>
            <w:gridSpan w:val="3"/>
            <w:tcBorders>
              <w:bottom w:val="single" w:sz="4" w:space="0" w:color="auto"/>
            </w:tcBorders>
          </w:tcPr>
          <w:p w:rsidR="003E6DFD" w:rsidRDefault="003E6DFD" w:rsidP="003E6DFD">
            <w:r>
              <w:t>Net Risk Score:</w:t>
            </w:r>
          </w:p>
        </w:tc>
        <w:tc>
          <w:tcPr>
            <w:tcW w:w="3027" w:type="dxa"/>
            <w:gridSpan w:val="3"/>
            <w:tcBorders>
              <w:bottom w:val="single" w:sz="4" w:space="0" w:color="auto"/>
            </w:tcBorders>
            <w:shd w:val="clear" w:color="auto" w:fill="FF0000"/>
          </w:tcPr>
          <w:p w:rsidR="003E6DFD" w:rsidRPr="004131FC" w:rsidRDefault="003E6DFD" w:rsidP="003E6DFD">
            <w:pPr>
              <w:rPr>
                <w:b/>
              </w:rPr>
            </w:pPr>
            <w:r w:rsidRPr="004131FC">
              <w:rPr>
                <w:b/>
              </w:rPr>
              <w:t>15</w:t>
            </w:r>
            <w:r>
              <w:rPr>
                <w:b/>
              </w:rPr>
              <w:t xml:space="preserve"> (red)</w:t>
            </w:r>
          </w:p>
        </w:tc>
      </w:tr>
      <w:tr w:rsidR="003E6DFD" w:rsidTr="003E6DFD">
        <w:tc>
          <w:tcPr>
            <w:tcW w:w="2014" w:type="dxa"/>
            <w:tcBorders>
              <w:right w:val="nil"/>
            </w:tcBorders>
          </w:tcPr>
          <w:p w:rsidR="003E6DFD" w:rsidRPr="00B838A9" w:rsidRDefault="003E6DFD" w:rsidP="003E6DFD">
            <w:pPr>
              <w:rPr>
                <w:b/>
              </w:rPr>
            </w:pPr>
            <w:r w:rsidRPr="00B838A9">
              <w:rPr>
                <w:b/>
              </w:rPr>
              <w:t>Gap in Controls</w:t>
            </w:r>
          </w:p>
        </w:tc>
        <w:tc>
          <w:tcPr>
            <w:tcW w:w="8334" w:type="dxa"/>
            <w:gridSpan w:val="8"/>
            <w:tcBorders>
              <w:left w:val="nil"/>
              <w:bottom w:val="single" w:sz="4" w:space="0" w:color="auto"/>
            </w:tcBorders>
          </w:tcPr>
          <w:p w:rsidR="003E6DFD" w:rsidRDefault="003E6DFD" w:rsidP="003E6DFD">
            <w:r>
              <w:t>Actively scale up multidisciplinary teams to ensure capacity</w:t>
            </w:r>
          </w:p>
          <w:p w:rsidR="003E6DFD" w:rsidRDefault="003E6DFD" w:rsidP="003E6DFD">
            <w:r>
              <w:t>Achieving scale in developing joint Primary/Secondary Care patient pathways</w:t>
            </w:r>
          </w:p>
          <w:p w:rsidR="003E6DFD" w:rsidRDefault="003E6DFD" w:rsidP="003E6DFD">
            <w:r>
              <w:t>Recruitment strategies to sustain and improve GP availability and develop multidisciplinary solutions</w:t>
            </w:r>
          </w:p>
        </w:tc>
      </w:tr>
      <w:tr w:rsidR="003E6DFD" w:rsidTr="003E6DFD">
        <w:tc>
          <w:tcPr>
            <w:tcW w:w="2014" w:type="dxa"/>
            <w:tcBorders>
              <w:bottom w:val="single" w:sz="4" w:space="0" w:color="auto"/>
              <w:right w:val="nil"/>
            </w:tcBorders>
          </w:tcPr>
          <w:p w:rsidR="003E6DFD" w:rsidRPr="00B838A9" w:rsidRDefault="003E6DFD" w:rsidP="003E6DFD">
            <w:pPr>
              <w:rPr>
                <w:b/>
              </w:rPr>
            </w:pPr>
            <w:r w:rsidRPr="00B838A9">
              <w:rPr>
                <w:b/>
              </w:rPr>
              <w:t>Gap in Assurances</w:t>
            </w:r>
          </w:p>
        </w:tc>
        <w:tc>
          <w:tcPr>
            <w:tcW w:w="8334" w:type="dxa"/>
            <w:gridSpan w:val="8"/>
            <w:tcBorders>
              <w:left w:val="nil"/>
            </w:tcBorders>
          </w:tcPr>
          <w:p w:rsidR="003E6DFD" w:rsidRDefault="003E6DFD" w:rsidP="003E6DFD">
            <w:r>
              <w:t>No gaps currently identified.</w:t>
            </w:r>
          </w:p>
        </w:tc>
      </w:tr>
      <w:tr w:rsidR="003E6DFD" w:rsidTr="003A7EC1">
        <w:tc>
          <w:tcPr>
            <w:tcW w:w="2014" w:type="dxa"/>
            <w:tcBorders>
              <w:right w:val="nil"/>
            </w:tcBorders>
            <w:shd w:val="clear" w:color="auto" w:fill="8DB3E2" w:themeFill="text2" w:themeFillTint="66"/>
          </w:tcPr>
          <w:p w:rsidR="003E6DFD" w:rsidRPr="00B838A9" w:rsidRDefault="003E6DFD" w:rsidP="003E6DFD">
            <w:pPr>
              <w:rPr>
                <w:b/>
              </w:rPr>
            </w:pPr>
            <w:r w:rsidRPr="00B838A9">
              <w:rPr>
                <w:b/>
              </w:rPr>
              <w:t>Actions</w:t>
            </w:r>
          </w:p>
        </w:tc>
        <w:tc>
          <w:tcPr>
            <w:tcW w:w="3402" w:type="dxa"/>
            <w:gridSpan w:val="3"/>
            <w:tcBorders>
              <w:left w:val="nil"/>
              <w:bottom w:val="single" w:sz="4" w:space="0" w:color="auto"/>
            </w:tcBorders>
            <w:shd w:val="clear" w:color="auto" w:fill="8DB3E2" w:themeFill="text2" w:themeFillTint="66"/>
          </w:tcPr>
          <w:p w:rsidR="003E6DFD" w:rsidRDefault="003E6DFD" w:rsidP="003E6DFD"/>
        </w:tc>
        <w:tc>
          <w:tcPr>
            <w:tcW w:w="850" w:type="dxa"/>
            <w:shd w:val="clear" w:color="auto" w:fill="8DB3E2" w:themeFill="text2" w:themeFillTint="66"/>
          </w:tcPr>
          <w:p w:rsidR="003E6DFD" w:rsidRPr="004131FC" w:rsidRDefault="003E6DFD" w:rsidP="003E6DFD">
            <w:pPr>
              <w:rPr>
                <w:b/>
              </w:rPr>
            </w:pPr>
            <w:r w:rsidRPr="004131FC">
              <w:rPr>
                <w:b/>
              </w:rPr>
              <w:t>Lead</w:t>
            </w:r>
          </w:p>
        </w:tc>
        <w:tc>
          <w:tcPr>
            <w:tcW w:w="1278" w:type="dxa"/>
            <w:gridSpan w:val="3"/>
            <w:shd w:val="clear" w:color="auto" w:fill="8DB3E2" w:themeFill="text2" w:themeFillTint="66"/>
          </w:tcPr>
          <w:p w:rsidR="003E6DFD" w:rsidRPr="004131FC" w:rsidRDefault="003E6DFD" w:rsidP="003E6DFD">
            <w:pPr>
              <w:rPr>
                <w:b/>
              </w:rPr>
            </w:pPr>
            <w:r w:rsidRPr="004131FC">
              <w:rPr>
                <w:b/>
              </w:rPr>
              <w:t>By when</w:t>
            </w:r>
          </w:p>
        </w:tc>
        <w:tc>
          <w:tcPr>
            <w:tcW w:w="2804" w:type="dxa"/>
            <w:shd w:val="clear" w:color="auto" w:fill="8DB3E2" w:themeFill="text2" w:themeFillTint="66"/>
          </w:tcPr>
          <w:p w:rsidR="003E6DFD" w:rsidRPr="006A44E4" w:rsidRDefault="003A7EC1" w:rsidP="00892259">
            <w:pPr>
              <w:rPr>
                <w:b/>
              </w:rPr>
            </w:pPr>
            <w:r>
              <w:rPr>
                <w:b/>
              </w:rPr>
              <w:t xml:space="preserve">Update since </w:t>
            </w:r>
            <w:r w:rsidR="00892259">
              <w:rPr>
                <w:b/>
              </w:rPr>
              <w:t>January 21</w:t>
            </w:r>
          </w:p>
        </w:tc>
      </w:tr>
      <w:tr w:rsidR="003E6DFD" w:rsidTr="003E6DFD">
        <w:tc>
          <w:tcPr>
            <w:tcW w:w="5416" w:type="dxa"/>
            <w:gridSpan w:val="4"/>
          </w:tcPr>
          <w:p w:rsidR="003E6DFD" w:rsidRDefault="003E6DFD" w:rsidP="003E6DFD">
            <w:pPr>
              <w:pStyle w:val="ListParagraph"/>
              <w:numPr>
                <w:ilvl w:val="0"/>
                <w:numId w:val="11"/>
              </w:numPr>
            </w:pPr>
            <w:r>
              <w:t>Health Pathways – to create a protocol driven of what should and can be done in Primary care/Community care.</w:t>
            </w:r>
          </w:p>
          <w:p w:rsidR="003E6DFD" w:rsidRDefault="003E6DFD" w:rsidP="003E6DFD"/>
        </w:tc>
        <w:tc>
          <w:tcPr>
            <w:tcW w:w="850" w:type="dxa"/>
          </w:tcPr>
          <w:p w:rsidR="003E6DFD" w:rsidRPr="004E09D8" w:rsidRDefault="003E6DFD" w:rsidP="003E6DFD">
            <w:r w:rsidRPr="004E09D8">
              <w:t>SW/JG</w:t>
            </w:r>
          </w:p>
        </w:tc>
        <w:tc>
          <w:tcPr>
            <w:tcW w:w="1278" w:type="dxa"/>
            <w:gridSpan w:val="3"/>
          </w:tcPr>
          <w:p w:rsidR="003E6DFD" w:rsidRDefault="003E6DFD" w:rsidP="003E6DFD">
            <w:r>
              <w:t>31/03/2021</w:t>
            </w:r>
          </w:p>
        </w:tc>
        <w:tc>
          <w:tcPr>
            <w:tcW w:w="2804" w:type="dxa"/>
          </w:tcPr>
          <w:p w:rsidR="003E6DFD" w:rsidRPr="00561DBA" w:rsidRDefault="003E6DFD" w:rsidP="003E6DFD">
            <w:r w:rsidRPr="00561DBA">
              <w:t>Health pathways launched on 14/02/2019.  As at 07/05/2019 32 pathways were live.</w:t>
            </w:r>
          </w:p>
          <w:p w:rsidR="003E6DFD" w:rsidRDefault="003E6DFD" w:rsidP="003E6DFD">
            <w:r w:rsidRPr="002C45D4">
              <w:t>Pathways will continue to be developed until the end of the financial year</w:t>
            </w:r>
            <w:r>
              <w:t>.</w:t>
            </w:r>
          </w:p>
          <w:p w:rsidR="003E6DFD" w:rsidRPr="007E2EBE" w:rsidRDefault="003E6DFD" w:rsidP="003E6DFD">
            <w:r w:rsidRPr="007E2EBE">
              <w:t xml:space="preserve">65 pathways are now active.  Chief Operating Officer has met with partners in New </w:t>
            </w:r>
            <w:r w:rsidRPr="00C82459">
              <w:t>Zealand who are rolling it out.  This continues to be rolled out.</w:t>
            </w:r>
          </w:p>
        </w:tc>
      </w:tr>
      <w:tr w:rsidR="003E6DFD" w:rsidTr="003E6DFD">
        <w:trPr>
          <w:trHeight w:val="1926"/>
        </w:trPr>
        <w:tc>
          <w:tcPr>
            <w:tcW w:w="5416" w:type="dxa"/>
            <w:gridSpan w:val="4"/>
          </w:tcPr>
          <w:p w:rsidR="003E6DFD" w:rsidRDefault="003E6DFD" w:rsidP="003E6DFD">
            <w:pPr>
              <w:pStyle w:val="ListParagraph"/>
              <w:numPr>
                <w:ilvl w:val="0"/>
                <w:numId w:val="11"/>
              </w:numPr>
            </w:pPr>
            <w:r>
              <w:t>Roll out of Mental Health and MSK MDT’s to reduce the primary care burden on GP’s</w:t>
            </w:r>
          </w:p>
          <w:p w:rsidR="003E6DFD" w:rsidRDefault="003E6DFD" w:rsidP="003E6DFD"/>
        </w:tc>
        <w:tc>
          <w:tcPr>
            <w:tcW w:w="850" w:type="dxa"/>
          </w:tcPr>
          <w:p w:rsidR="003E6DFD" w:rsidRDefault="003E6DFD" w:rsidP="003E6DFD">
            <w:r>
              <w:t>SC</w:t>
            </w:r>
          </w:p>
        </w:tc>
        <w:tc>
          <w:tcPr>
            <w:tcW w:w="1278" w:type="dxa"/>
            <w:gridSpan w:val="3"/>
          </w:tcPr>
          <w:p w:rsidR="003E6DFD" w:rsidRPr="003C502D" w:rsidRDefault="003C502D" w:rsidP="003E6DFD">
            <w:r w:rsidRPr="003C502D">
              <w:t xml:space="preserve">From </w:t>
            </w:r>
            <w:r w:rsidR="003E6DFD" w:rsidRPr="003C502D">
              <w:t>28 August 2020</w:t>
            </w:r>
          </w:p>
        </w:tc>
        <w:tc>
          <w:tcPr>
            <w:tcW w:w="2804" w:type="dxa"/>
          </w:tcPr>
          <w:p w:rsidR="003E6DFD" w:rsidRPr="003C502D" w:rsidRDefault="003E6DFD" w:rsidP="003E6DFD">
            <w:r w:rsidRPr="003C502D">
              <w:t>GMS Sustainability Implementation Board continues to see roll out of First Contact MDTs within all 9 clusters being covered for MSK and 7 out of 9 clusters being covered for MH services.  However, all 9 clusters have access to an MH service as cross cover arrangements are in place</w:t>
            </w:r>
          </w:p>
          <w:p w:rsidR="003E6DFD" w:rsidRPr="003C502D" w:rsidRDefault="003E6DFD" w:rsidP="003E6DFD">
            <w:r w:rsidRPr="003C502D">
              <w:t xml:space="preserve">CAV24/7 services implemented as at 5 August 2020 </w:t>
            </w:r>
          </w:p>
          <w:p w:rsidR="003E6DFD" w:rsidRPr="003C502D" w:rsidRDefault="003E6DFD" w:rsidP="003E6DFD">
            <w:r w:rsidRPr="003C502D">
              <w:t>Attend Anywhere  digital enabler in 56 of 61 practices as at July 2020</w:t>
            </w:r>
          </w:p>
          <w:p w:rsidR="003E6DFD" w:rsidRPr="003C502D" w:rsidRDefault="003E6DFD" w:rsidP="003E6DFD">
            <w:r w:rsidRPr="003C502D">
              <w:t>Consultant Connect available to all practices as at July 2020</w:t>
            </w:r>
            <w:r w:rsidR="00892259">
              <w:t xml:space="preserve">.  </w:t>
            </w:r>
            <w:r w:rsidR="00892259" w:rsidRPr="00892259">
              <w:rPr>
                <w:color w:val="FF0000"/>
              </w:rPr>
              <w:t>These actions are continuing and continue to embed into the system.</w:t>
            </w:r>
          </w:p>
          <w:p w:rsidR="003E6DFD" w:rsidRPr="003C502D" w:rsidRDefault="003E6DFD" w:rsidP="003E6DFD"/>
        </w:tc>
      </w:tr>
      <w:tr w:rsidR="003E6DFD" w:rsidTr="003E6DFD">
        <w:tc>
          <w:tcPr>
            <w:tcW w:w="5416" w:type="dxa"/>
            <w:gridSpan w:val="4"/>
          </w:tcPr>
          <w:p w:rsidR="003E6DFD" w:rsidRDefault="003E6DFD" w:rsidP="003E6DFD">
            <w:pPr>
              <w:pStyle w:val="ListParagraph"/>
              <w:numPr>
                <w:ilvl w:val="0"/>
                <w:numId w:val="11"/>
              </w:numPr>
            </w:pPr>
            <w:r>
              <w:t xml:space="preserve">Roll out digital solutions for smart working </w:t>
            </w:r>
          </w:p>
        </w:tc>
        <w:tc>
          <w:tcPr>
            <w:tcW w:w="850" w:type="dxa"/>
          </w:tcPr>
          <w:p w:rsidR="003E6DFD" w:rsidRDefault="003E6DFD" w:rsidP="003E6DFD">
            <w:r>
              <w:t>DT</w:t>
            </w:r>
          </w:p>
        </w:tc>
        <w:tc>
          <w:tcPr>
            <w:tcW w:w="1278" w:type="dxa"/>
            <w:gridSpan w:val="3"/>
          </w:tcPr>
          <w:p w:rsidR="003E6DFD" w:rsidRDefault="003E6DFD" w:rsidP="003E6DFD">
            <w:r>
              <w:t>31/03/2021</w:t>
            </w:r>
          </w:p>
        </w:tc>
        <w:tc>
          <w:tcPr>
            <w:tcW w:w="2804" w:type="dxa"/>
          </w:tcPr>
          <w:p w:rsidR="003E6DFD" w:rsidRDefault="003E6DFD" w:rsidP="003E6DFD">
            <w:r>
              <w:t>Platform</w:t>
            </w:r>
            <w:r w:rsidRPr="002C45D4">
              <w:t xml:space="preserve"> procured- phased roll out plan to be implemented with completion due by end of the financial year</w:t>
            </w:r>
            <w:r w:rsidR="00892259">
              <w:t xml:space="preserve">.  </w:t>
            </w:r>
            <w:r w:rsidR="00892259" w:rsidRPr="00892259">
              <w:rPr>
                <w:color w:val="FF0000"/>
              </w:rPr>
              <w:t>This continues to progress</w:t>
            </w:r>
          </w:p>
        </w:tc>
      </w:tr>
      <w:tr w:rsidR="003E6DFD" w:rsidRPr="008E16B5" w:rsidTr="003E6DFD">
        <w:tc>
          <w:tcPr>
            <w:tcW w:w="5416" w:type="dxa"/>
            <w:gridSpan w:val="4"/>
          </w:tcPr>
          <w:p w:rsidR="003E6DFD" w:rsidRPr="008E16B5" w:rsidRDefault="003E6DFD" w:rsidP="003E6DFD">
            <w:pPr>
              <w:pStyle w:val="ListParagraph"/>
              <w:numPr>
                <w:ilvl w:val="0"/>
                <w:numId w:val="11"/>
              </w:numPr>
            </w:pPr>
            <w:r w:rsidRPr="008E16B5">
              <w:t>Other digital platforms being considered e.g. Primary Care CAHMS Assessment platform being deployed</w:t>
            </w:r>
          </w:p>
        </w:tc>
        <w:tc>
          <w:tcPr>
            <w:tcW w:w="850" w:type="dxa"/>
          </w:tcPr>
          <w:p w:rsidR="003E6DFD" w:rsidRPr="008E16B5" w:rsidRDefault="003E6DFD" w:rsidP="003E6DFD">
            <w:r w:rsidRPr="008E16B5">
              <w:t>SC</w:t>
            </w:r>
          </w:p>
        </w:tc>
        <w:tc>
          <w:tcPr>
            <w:tcW w:w="1278" w:type="dxa"/>
            <w:gridSpan w:val="3"/>
          </w:tcPr>
          <w:p w:rsidR="003E6DFD" w:rsidRPr="008E16B5" w:rsidRDefault="003E6DFD" w:rsidP="003E6DFD">
            <w:r>
              <w:t>31/03/2021</w:t>
            </w:r>
          </w:p>
        </w:tc>
        <w:tc>
          <w:tcPr>
            <w:tcW w:w="2804" w:type="dxa"/>
          </w:tcPr>
          <w:p w:rsidR="003E6DFD" w:rsidRPr="003C502D" w:rsidRDefault="003E6DFD" w:rsidP="003E6DFD">
            <w:r w:rsidRPr="003C502D">
              <w:t>Digital Platform now been agreed for CAHMS.  Contract has now been agreed and is currently being rolled out.</w:t>
            </w:r>
          </w:p>
          <w:p w:rsidR="003E6DFD" w:rsidRPr="003C502D" w:rsidRDefault="003E6DFD" w:rsidP="003E6DFD">
            <w:r w:rsidRPr="003C502D">
              <w:t>Digital platform deployed and CAHMS assessment against Part 1 to be reached in Feb/Mar 2020</w:t>
            </w:r>
          </w:p>
          <w:p w:rsidR="003E6DFD" w:rsidRPr="003C502D" w:rsidRDefault="003E6DFD" w:rsidP="003E6DFD">
            <w:r w:rsidRPr="003C502D">
              <w:lastRenderedPageBreak/>
              <w:t>NB Digital platform successful in contributing to CAMHS access targets.  Currently under review in terms of the FM</w:t>
            </w:r>
          </w:p>
          <w:p w:rsidR="003E6DFD" w:rsidRPr="003C502D" w:rsidRDefault="003E6DFD" w:rsidP="003E6DFD">
            <w:r w:rsidRPr="003C502D">
              <w:t>New platforms being considered – Attend Anywhere and Consultant Connect</w:t>
            </w:r>
          </w:p>
        </w:tc>
      </w:tr>
      <w:tr w:rsidR="003E6DFD" w:rsidTr="003E6DFD">
        <w:tc>
          <w:tcPr>
            <w:tcW w:w="5416" w:type="dxa"/>
            <w:gridSpan w:val="4"/>
          </w:tcPr>
          <w:p w:rsidR="003E6DFD" w:rsidRDefault="003E6DFD" w:rsidP="003E6DFD">
            <w:pPr>
              <w:pStyle w:val="ListParagraph"/>
              <w:numPr>
                <w:ilvl w:val="0"/>
                <w:numId w:val="11"/>
              </w:numPr>
            </w:pPr>
            <w:r>
              <w:lastRenderedPageBreak/>
              <w:t>Development of recruitment strategies for GP and non GP service solutions</w:t>
            </w:r>
          </w:p>
        </w:tc>
        <w:tc>
          <w:tcPr>
            <w:tcW w:w="850" w:type="dxa"/>
          </w:tcPr>
          <w:p w:rsidR="003E6DFD" w:rsidRDefault="00892259" w:rsidP="003E6DFD">
            <w:r>
              <w:t>RG</w:t>
            </w:r>
          </w:p>
        </w:tc>
        <w:tc>
          <w:tcPr>
            <w:tcW w:w="1278" w:type="dxa"/>
            <w:gridSpan w:val="3"/>
          </w:tcPr>
          <w:p w:rsidR="003E6DFD" w:rsidRDefault="003E6DFD" w:rsidP="003E6DFD">
            <w:r>
              <w:t>Ongoing</w:t>
            </w:r>
          </w:p>
        </w:tc>
        <w:tc>
          <w:tcPr>
            <w:tcW w:w="2804" w:type="dxa"/>
          </w:tcPr>
          <w:p w:rsidR="003E6DFD" w:rsidRDefault="003E6DFD" w:rsidP="003E6DFD">
            <w:r>
              <w:t xml:space="preserve">GP Support Unit helps with recruitment and finding GP alternatives action also lined to No 2 above.  </w:t>
            </w:r>
            <w:r w:rsidRPr="008E16B5">
              <w:t>As an indicator of in hour’s resilience GP fill rates for PC out of hour’s service have improved leading to a lower escalation status. The focus on a multi-disciplinary solution continues.</w:t>
            </w:r>
          </w:p>
        </w:tc>
      </w:tr>
      <w:tr w:rsidR="003E6DFD" w:rsidTr="003E6DFD">
        <w:tc>
          <w:tcPr>
            <w:tcW w:w="5416" w:type="dxa"/>
            <w:gridSpan w:val="4"/>
          </w:tcPr>
          <w:p w:rsidR="003E6DFD" w:rsidRDefault="003E6DFD" w:rsidP="003E6DFD">
            <w:pPr>
              <w:pStyle w:val="ListParagraph"/>
              <w:numPr>
                <w:ilvl w:val="0"/>
                <w:numId w:val="11"/>
              </w:numPr>
            </w:pPr>
            <w:r>
              <w:t xml:space="preserve">Develop Health and Social Care Strategies to allow seamless solutions for patients with health and or social needs </w:t>
            </w:r>
          </w:p>
        </w:tc>
        <w:tc>
          <w:tcPr>
            <w:tcW w:w="850" w:type="dxa"/>
          </w:tcPr>
          <w:p w:rsidR="003E6DFD" w:rsidRPr="004E09D8" w:rsidRDefault="003E6DFD" w:rsidP="003E6DFD">
            <w:r w:rsidRPr="004E09D8">
              <w:t>AH</w:t>
            </w:r>
          </w:p>
        </w:tc>
        <w:tc>
          <w:tcPr>
            <w:tcW w:w="1278" w:type="dxa"/>
            <w:gridSpan w:val="3"/>
          </w:tcPr>
          <w:p w:rsidR="003E6DFD" w:rsidRDefault="003E6DFD" w:rsidP="003E6DFD">
            <w:r>
              <w:t>Ongoing</w:t>
            </w:r>
          </w:p>
        </w:tc>
        <w:tc>
          <w:tcPr>
            <w:tcW w:w="2804" w:type="dxa"/>
          </w:tcPr>
          <w:p w:rsidR="003E6DFD" w:rsidRPr="002C45D4" w:rsidRDefault="003E6DFD" w:rsidP="003E6DFD">
            <w:r w:rsidRPr="007E2EBE">
              <w:t>These are being developed through the Public Service Board and Transformation work and progressing well</w:t>
            </w:r>
          </w:p>
        </w:tc>
      </w:tr>
      <w:tr w:rsidR="003E6DFD" w:rsidTr="003E6DFD">
        <w:tc>
          <w:tcPr>
            <w:tcW w:w="2014" w:type="dxa"/>
          </w:tcPr>
          <w:p w:rsidR="003E6DFD" w:rsidRPr="00341EAB" w:rsidRDefault="003E6DFD" w:rsidP="003E6DFD">
            <w:r w:rsidRPr="00341EAB">
              <w:t>Impact Score: 5</w:t>
            </w:r>
          </w:p>
        </w:tc>
        <w:tc>
          <w:tcPr>
            <w:tcW w:w="2889" w:type="dxa"/>
          </w:tcPr>
          <w:p w:rsidR="003E6DFD" w:rsidRDefault="003E6DFD" w:rsidP="003E6DFD">
            <w:r>
              <w:t>Likelihood Score: 2</w:t>
            </w:r>
          </w:p>
        </w:tc>
        <w:tc>
          <w:tcPr>
            <w:tcW w:w="2488" w:type="dxa"/>
            <w:gridSpan w:val="5"/>
          </w:tcPr>
          <w:p w:rsidR="003E6DFD" w:rsidRDefault="003E6DFD" w:rsidP="003E6DFD">
            <w:r>
              <w:t>Target Risk Score:</w:t>
            </w:r>
          </w:p>
        </w:tc>
        <w:tc>
          <w:tcPr>
            <w:tcW w:w="2957" w:type="dxa"/>
            <w:gridSpan w:val="2"/>
            <w:shd w:val="clear" w:color="auto" w:fill="FFC000"/>
          </w:tcPr>
          <w:p w:rsidR="003E6DFD" w:rsidRPr="00561DBA" w:rsidRDefault="003E6DFD" w:rsidP="003E6DFD">
            <w:pPr>
              <w:pStyle w:val="ListParagraph"/>
              <w:numPr>
                <w:ilvl w:val="0"/>
                <w:numId w:val="16"/>
              </w:numPr>
              <w:rPr>
                <w:b/>
              </w:rPr>
            </w:pPr>
            <w:r w:rsidRPr="00561DBA">
              <w:rPr>
                <w:b/>
              </w:rPr>
              <w:t xml:space="preserve">(high)                                                      </w:t>
            </w:r>
          </w:p>
        </w:tc>
      </w:tr>
    </w:tbl>
    <w:p w:rsidR="00FE5299" w:rsidRDefault="00FE5299" w:rsidP="003E6DFD">
      <w:pPr>
        <w:rPr>
          <w:b/>
        </w:rPr>
      </w:pPr>
    </w:p>
    <w:p w:rsidR="003E6DFD" w:rsidRDefault="00FE5299" w:rsidP="003E6DFD">
      <w:pPr>
        <w:rPr>
          <w:b/>
        </w:rPr>
      </w:pPr>
      <w:r>
        <w:rPr>
          <w:b/>
        </w:rPr>
        <w:br w:type="page"/>
      </w:r>
    </w:p>
    <w:p w:rsidR="009B640E" w:rsidRPr="009B640E" w:rsidRDefault="00530294" w:rsidP="00C10004">
      <w:pPr>
        <w:pStyle w:val="ListParagraph"/>
        <w:numPr>
          <w:ilvl w:val="0"/>
          <w:numId w:val="44"/>
        </w:numPr>
        <w:rPr>
          <w:b/>
        </w:rPr>
      </w:pPr>
      <w:r>
        <w:rPr>
          <w:b/>
        </w:rPr>
        <w:lastRenderedPageBreak/>
        <w:t xml:space="preserve">Patient Safety - </w:t>
      </w:r>
      <w:r w:rsidR="008B0DDF">
        <w:rPr>
          <w:b/>
        </w:rPr>
        <w:t xml:space="preserve">Lead </w:t>
      </w:r>
      <w:r>
        <w:rPr>
          <w:b/>
        </w:rPr>
        <w:t>Executive</w:t>
      </w:r>
      <w:r w:rsidR="008B0DDF">
        <w:rPr>
          <w:b/>
        </w:rPr>
        <w:t>s Stuart Walker</w:t>
      </w:r>
      <w:r>
        <w:rPr>
          <w:b/>
        </w:rPr>
        <w:t>, Ruth Walker and Fiona Jenkins</w:t>
      </w:r>
      <w:r w:rsidR="008B0DDF">
        <w:rPr>
          <w:b/>
        </w:rPr>
        <w:t xml:space="preserve"> </w:t>
      </w:r>
    </w:p>
    <w:tbl>
      <w:tblPr>
        <w:tblStyle w:val="TableGrid"/>
        <w:tblW w:w="10348" w:type="dxa"/>
        <w:tblInd w:w="-459" w:type="dxa"/>
        <w:tblLook w:val="04A0" w:firstRow="1" w:lastRow="0" w:firstColumn="1" w:lastColumn="0" w:noHBand="0" w:noVBand="1"/>
      </w:tblPr>
      <w:tblGrid>
        <w:gridCol w:w="2358"/>
        <w:gridCol w:w="2605"/>
        <w:gridCol w:w="2307"/>
        <w:gridCol w:w="3078"/>
      </w:tblGrid>
      <w:tr w:rsidR="009B640E" w:rsidTr="00B65495">
        <w:tc>
          <w:tcPr>
            <w:tcW w:w="2358" w:type="dxa"/>
            <w:tcBorders>
              <w:bottom w:val="single" w:sz="4" w:space="0" w:color="auto"/>
              <w:right w:val="nil"/>
            </w:tcBorders>
          </w:tcPr>
          <w:p w:rsidR="009B640E" w:rsidRDefault="009B640E" w:rsidP="00B65495">
            <w:pPr>
              <w:rPr>
                <w:b/>
              </w:rPr>
            </w:pPr>
            <w:r w:rsidRPr="00B838A9">
              <w:rPr>
                <w:b/>
              </w:rPr>
              <w:t>Risk</w:t>
            </w:r>
          </w:p>
          <w:p w:rsidR="009B640E" w:rsidRPr="00B838A9" w:rsidRDefault="009B640E" w:rsidP="00B65495">
            <w:pPr>
              <w:rPr>
                <w:b/>
              </w:rPr>
            </w:pPr>
          </w:p>
        </w:tc>
        <w:tc>
          <w:tcPr>
            <w:tcW w:w="7990" w:type="dxa"/>
            <w:gridSpan w:val="3"/>
            <w:tcBorders>
              <w:left w:val="nil"/>
            </w:tcBorders>
          </w:tcPr>
          <w:p w:rsidR="009B640E" w:rsidRPr="00C82459" w:rsidRDefault="009B640E" w:rsidP="00B65495">
            <w:r w:rsidRPr="00C82459">
              <w:t>Patient safety may be compromised because of:</w:t>
            </w:r>
          </w:p>
          <w:p w:rsidR="009B640E" w:rsidRPr="00C82459" w:rsidRDefault="009B640E" w:rsidP="00B65495">
            <w:r w:rsidRPr="00C82459">
              <w:t>Future national shortage of COVID treatment capacity (Beds, critical care, drugs, workforce, oxygen, other equipment – ventilators/renal replacement/CPAP) in th</w:t>
            </w:r>
            <w:r>
              <w:t xml:space="preserve">e event of a </w:t>
            </w:r>
            <w:r w:rsidRPr="00BE6F9E">
              <w:rPr>
                <w:color w:val="FF0000"/>
              </w:rPr>
              <w:t>further</w:t>
            </w:r>
            <w:r>
              <w:t xml:space="preserve"> COVID surge</w:t>
            </w:r>
          </w:p>
          <w:p w:rsidR="009B640E" w:rsidRPr="00BE6F9E" w:rsidRDefault="009B640E" w:rsidP="00B65495">
            <w:pPr>
              <w:rPr>
                <w:color w:val="FF0000"/>
              </w:rPr>
            </w:pPr>
            <w:r w:rsidRPr="00C82459">
              <w:t xml:space="preserve">Or because </w:t>
            </w:r>
            <w:r w:rsidRPr="00BE6F9E">
              <w:rPr>
                <w:color w:val="FF0000"/>
              </w:rPr>
              <w:t xml:space="preserve">the demand </w:t>
            </w:r>
            <w:r>
              <w:t xml:space="preserve">on </w:t>
            </w:r>
            <w:r w:rsidRPr="00C82459">
              <w:t xml:space="preserve"> elective services </w:t>
            </w:r>
            <w:r w:rsidRPr="00BE6F9E">
              <w:rPr>
                <w:color w:val="FF0000"/>
              </w:rPr>
              <w:t xml:space="preserve">as the Health Board moves to a recovery position after cessation of planned care for the second time </w:t>
            </w:r>
          </w:p>
          <w:p w:rsidR="009B640E" w:rsidRPr="00C82459" w:rsidRDefault="009B640E" w:rsidP="00B65495">
            <w:r w:rsidRPr="00C82459">
              <w:t>Or because of sub-optimal workforce skill mix or staffing ratios, related to reduced availability of specific expert workforce groups, or related to the need to provide care to a larger number of patients in relation to a further COVID surge, alongside increasing demand for non-COVID unscheduled care and urgent scheduled care and winter pressures and activity.</w:t>
            </w:r>
          </w:p>
          <w:p w:rsidR="009B640E" w:rsidRPr="00C82459" w:rsidRDefault="009B640E" w:rsidP="00B65495">
            <w:r w:rsidRPr="00C82459">
              <w:t>Or because patients are choosing not to ask for medical help, despite genuine illness, related to PH messaging and awareness of the COVID crisis</w:t>
            </w:r>
          </w:p>
          <w:p w:rsidR="009B640E" w:rsidRPr="00C82459" w:rsidRDefault="009B640E" w:rsidP="00B65495">
            <w:r w:rsidRPr="00C82459">
              <w:t>Or because patients are contracting COVID 19 whilst in a hospital setting.</w:t>
            </w:r>
          </w:p>
        </w:tc>
      </w:tr>
      <w:tr w:rsidR="009B640E" w:rsidTr="00B65495">
        <w:tc>
          <w:tcPr>
            <w:tcW w:w="2358" w:type="dxa"/>
            <w:tcBorders>
              <w:bottom w:val="single" w:sz="4" w:space="0" w:color="auto"/>
              <w:right w:val="nil"/>
            </w:tcBorders>
          </w:tcPr>
          <w:p w:rsidR="009B640E" w:rsidRPr="00B838A9" w:rsidRDefault="009B640E" w:rsidP="00B65495">
            <w:pPr>
              <w:rPr>
                <w:b/>
              </w:rPr>
            </w:pPr>
            <w:r>
              <w:rPr>
                <w:b/>
              </w:rPr>
              <w:t xml:space="preserve">Date added:  </w:t>
            </w:r>
          </w:p>
        </w:tc>
        <w:tc>
          <w:tcPr>
            <w:tcW w:w="7990" w:type="dxa"/>
            <w:gridSpan w:val="3"/>
            <w:tcBorders>
              <w:left w:val="nil"/>
            </w:tcBorders>
          </w:tcPr>
          <w:p w:rsidR="009B640E" w:rsidRDefault="009B640E" w:rsidP="00B65495">
            <w:r>
              <w:t>March 23.03.2020</w:t>
            </w:r>
          </w:p>
        </w:tc>
      </w:tr>
      <w:tr w:rsidR="009B640E" w:rsidTr="00B65495">
        <w:tc>
          <w:tcPr>
            <w:tcW w:w="2358" w:type="dxa"/>
            <w:tcBorders>
              <w:bottom w:val="single" w:sz="4" w:space="0" w:color="auto"/>
              <w:right w:val="nil"/>
            </w:tcBorders>
          </w:tcPr>
          <w:p w:rsidR="009B640E" w:rsidRPr="00B838A9" w:rsidRDefault="009B640E" w:rsidP="00B65495">
            <w:pPr>
              <w:rPr>
                <w:b/>
              </w:rPr>
            </w:pPr>
            <w:r w:rsidRPr="00B838A9">
              <w:rPr>
                <w:b/>
              </w:rPr>
              <w:t>Cause</w:t>
            </w:r>
          </w:p>
        </w:tc>
        <w:tc>
          <w:tcPr>
            <w:tcW w:w="7990" w:type="dxa"/>
            <w:gridSpan w:val="3"/>
            <w:tcBorders>
              <w:left w:val="nil"/>
            </w:tcBorders>
          </w:tcPr>
          <w:p w:rsidR="009B640E" w:rsidRPr="00C82459" w:rsidRDefault="009B640E" w:rsidP="00B65495">
            <w:r w:rsidRPr="00C82459">
              <w:t xml:space="preserve">Patients not able to access the appropriate care because demand is outstripping supply, or patients fail to seek appropriate care in a timely way. </w:t>
            </w:r>
          </w:p>
          <w:p w:rsidR="009B640E" w:rsidRPr="00751BBF" w:rsidRDefault="009B640E" w:rsidP="00B65495">
            <w:r w:rsidRPr="00C82459">
              <w:t>Presentation of COVID 19 virus in inpatient settings due to patients presenting who are asymptomatic but are positive</w:t>
            </w:r>
          </w:p>
        </w:tc>
      </w:tr>
      <w:tr w:rsidR="009B640E" w:rsidTr="00B65495">
        <w:tc>
          <w:tcPr>
            <w:tcW w:w="2358" w:type="dxa"/>
            <w:tcBorders>
              <w:right w:val="nil"/>
            </w:tcBorders>
          </w:tcPr>
          <w:p w:rsidR="009B640E" w:rsidRPr="00B838A9" w:rsidRDefault="009B640E" w:rsidP="00B65495">
            <w:pPr>
              <w:rPr>
                <w:b/>
              </w:rPr>
            </w:pPr>
            <w:r w:rsidRPr="00B838A9">
              <w:rPr>
                <w:b/>
              </w:rPr>
              <w:t>Impact</w:t>
            </w:r>
          </w:p>
        </w:tc>
        <w:tc>
          <w:tcPr>
            <w:tcW w:w="7990" w:type="dxa"/>
            <w:gridSpan w:val="3"/>
            <w:tcBorders>
              <w:left w:val="nil"/>
            </w:tcBorders>
          </w:tcPr>
          <w:p w:rsidR="009B640E" w:rsidRDefault="009B640E" w:rsidP="00B65495">
            <w:r>
              <w:t xml:space="preserve">Worsening of patient outcomes and experience, higher death rate. </w:t>
            </w:r>
          </w:p>
        </w:tc>
      </w:tr>
      <w:tr w:rsidR="009B640E" w:rsidTr="00B65495">
        <w:tc>
          <w:tcPr>
            <w:tcW w:w="2358" w:type="dxa"/>
            <w:tcBorders>
              <w:bottom w:val="single" w:sz="4" w:space="0" w:color="auto"/>
            </w:tcBorders>
          </w:tcPr>
          <w:p w:rsidR="009B640E" w:rsidRPr="00290CFB" w:rsidRDefault="009B640E" w:rsidP="00B65495">
            <w:pPr>
              <w:rPr>
                <w:b/>
              </w:rPr>
            </w:pPr>
            <w:r w:rsidRPr="00290CFB">
              <w:rPr>
                <w:b/>
              </w:rPr>
              <w:t xml:space="preserve">Impact Score:   </w:t>
            </w:r>
            <w:r>
              <w:rPr>
                <w:b/>
              </w:rPr>
              <w:t>5</w:t>
            </w:r>
          </w:p>
        </w:tc>
        <w:tc>
          <w:tcPr>
            <w:tcW w:w="2605" w:type="dxa"/>
          </w:tcPr>
          <w:p w:rsidR="009B640E" w:rsidRPr="00290CFB" w:rsidRDefault="009B640E" w:rsidP="00B65495">
            <w:pPr>
              <w:rPr>
                <w:b/>
              </w:rPr>
            </w:pPr>
            <w:r w:rsidRPr="00290CFB">
              <w:rPr>
                <w:b/>
              </w:rPr>
              <w:t xml:space="preserve">Likelihood Score:  </w:t>
            </w:r>
            <w:r>
              <w:rPr>
                <w:b/>
              </w:rPr>
              <w:t>5</w:t>
            </w:r>
          </w:p>
        </w:tc>
        <w:tc>
          <w:tcPr>
            <w:tcW w:w="2307" w:type="dxa"/>
          </w:tcPr>
          <w:p w:rsidR="009B640E" w:rsidRPr="00290CFB" w:rsidRDefault="009B640E" w:rsidP="00B65495">
            <w:pPr>
              <w:rPr>
                <w:b/>
              </w:rPr>
            </w:pPr>
            <w:r w:rsidRPr="00290CFB">
              <w:rPr>
                <w:b/>
              </w:rPr>
              <w:t>Gross Risk Score:</w:t>
            </w:r>
            <w:r>
              <w:rPr>
                <w:b/>
              </w:rPr>
              <w:t xml:space="preserve"> </w:t>
            </w:r>
          </w:p>
        </w:tc>
        <w:tc>
          <w:tcPr>
            <w:tcW w:w="3078" w:type="dxa"/>
            <w:shd w:val="clear" w:color="auto" w:fill="FF0000"/>
          </w:tcPr>
          <w:p w:rsidR="009B640E" w:rsidRPr="00F42466" w:rsidRDefault="009B640E" w:rsidP="00B65495">
            <w:pPr>
              <w:rPr>
                <w:b/>
              </w:rPr>
            </w:pPr>
            <w:r>
              <w:rPr>
                <w:b/>
              </w:rPr>
              <w:t>25</w:t>
            </w:r>
          </w:p>
        </w:tc>
      </w:tr>
      <w:tr w:rsidR="009B640E" w:rsidTr="00B65495">
        <w:tc>
          <w:tcPr>
            <w:tcW w:w="2358" w:type="dxa"/>
            <w:tcBorders>
              <w:bottom w:val="single" w:sz="4" w:space="0" w:color="auto"/>
              <w:right w:val="nil"/>
            </w:tcBorders>
          </w:tcPr>
          <w:p w:rsidR="009B640E" w:rsidRPr="00B838A9" w:rsidRDefault="009B640E" w:rsidP="00B65495">
            <w:pPr>
              <w:rPr>
                <w:b/>
              </w:rPr>
            </w:pPr>
            <w:r w:rsidRPr="00B838A9">
              <w:rPr>
                <w:b/>
              </w:rPr>
              <w:t>Current Controls</w:t>
            </w:r>
          </w:p>
        </w:tc>
        <w:tc>
          <w:tcPr>
            <w:tcW w:w="7990" w:type="dxa"/>
            <w:gridSpan w:val="3"/>
            <w:tcBorders>
              <w:left w:val="nil"/>
            </w:tcBorders>
          </w:tcPr>
          <w:p w:rsidR="009B640E" w:rsidRPr="00BE6F9E" w:rsidRDefault="009B640E" w:rsidP="009B640E">
            <w:pPr>
              <w:pStyle w:val="ListParagraph"/>
              <w:numPr>
                <w:ilvl w:val="0"/>
                <w:numId w:val="21"/>
              </w:numPr>
              <w:rPr>
                <w:color w:val="FF0000"/>
              </w:rPr>
            </w:pPr>
            <w:r w:rsidRPr="00C82459">
              <w:t xml:space="preserve">Plans developed and deployed to optimise internal acute and critical care capacity with external options having been utilised for significant </w:t>
            </w:r>
            <w:r w:rsidRPr="00BE6F9E">
              <w:rPr>
                <w:color w:val="FF0000"/>
              </w:rPr>
              <w:t>and the building of the lakeside wing.</w:t>
            </w:r>
          </w:p>
          <w:p w:rsidR="009B640E" w:rsidRPr="00C82459" w:rsidRDefault="009B640E" w:rsidP="009B640E">
            <w:pPr>
              <w:pStyle w:val="ListParagraph"/>
              <w:numPr>
                <w:ilvl w:val="0"/>
                <w:numId w:val="21"/>
              </w:numPr>
            </w:pPr>
            <w:r w:rsidRPr="00C82459">
              <w:t>Internal estates and facilities team deployed to provide infrastructure enhancements to enable internal capacity plan</w:t>
            </w:r>
          </w:p>
          <w:p w:rsidR="009B640E" w:rsidRPr="00BE6F9E" w:rsidRDefault="009B640E" w:rsidP="009B640E">
            <w:pPr>
              <w:pStyle w:val="ListParagraph"/>
              <w:numPr>
                <w:ilvl w:val="0"/>
                <w:numId w:val="21"/>
              </w:numPr>
              <w:rPr>
                <w:color w:val="FF0000"/>
              </w:rPr>
            </w:pPr>
            <w:r w:rsidRPr="00BE6F9E">
              <w:rPr>
                <w:color w:val="FF0000"/>
              </w:rPr>
              <w:t xml:space="preserve">surge capacity available in Lakeside facility </w:t>
            </w:r>
          </w:p>
          <w:p w:rsidR="009B640E" w:rsidRPr="00C82459" w:rsidRDefault="009B640E" w:rsidP="009B640E">
            <w:pPr>
              <w:pStyle w:val="ListParagraph"/>
              <w:numPr>
                <w:ilvl w:val="0"/>
                <w:numId w:val="21"/>
              </w:numPr>
            </w:pPr>
            <w:r w:rsidRPr="00C82459">
              <w:t>National/local procurement processes for under-supplied resources</w:t>
            </w:r>
          </w:p>
          <w:p w:rsidR="009B640E" w:rsidRPr="00C82459" w:rsidRDefault="009B640E" w:rsidP="009B640E">
            <w:pPr>
              <w:pStyle w:val="ListParagraph"/>
              <w:numPr>
                <w:ilvl w:val="0"/>
                <w:numId w:val="21"/>
              </w:numPr>
            </w:pPr>
            <w:r w:rsidRPr="00C82459">
              <w:t>Maintaining Training/Education of all staff groups in relation to delivery of care to COVID patients</w:t>
            </w:r>
          </w:p>
          <w:p w:rsidR="009B640E" w:rsidRPr="00C82459" w:rsidRDefault="009B640E" w:rsidP="009B640E">
            <w:pPr>
              <w:pStyle w:val="ListParagraph"/>
              <w:numPr>
                <w:ilvl w:val="0"/>
                <w:numId w:val="21"/>
              </w:numPr>
            </w:pPr>
            <w:r w:rsidRPr="00C82459">
              <w:t>Use of Spire Hospital as a dedicated facility for urgent cancer work - ongoing</w:t>
            </w:r>
          </w:p>
          <w:p w:rsidR="009B640E" w:rsidRPr="00C82459" w:rsidRDefault="009B640E" w:rsidP="009B640E">
            <w:pPr>
              <w:pStyle w:val="ListParagraph"/>
              <w:numPr>
                <w:ilvl w:val="0"/>
                <w:numId w:val="21"/>
              </w:numPr>
            </w:pPr>
            <w:r w:rsidRPr="00C82459">
              <w:t>Ongoing training and simulations for staff working in unfamiliar areas.</w:t>
            </w:r>
          </w:p>
          <w:p w:rsidR="009B640E" w:rsidRPr="00C82459" w:rsidRDefault="009B640E" w:rsidP="009B640E">
            <w:pPr>
              <w:pStyle w:val="ListParagraph"/>
              <w:numPr>
                <w:ilvl w:val="0"/>
                <w:numId w:val="21"/>
              </w:numPr>
            </w:pPr>
            <w:r w:rsidRPr="00C82459">
              <w:t xml:space="preserve">Recruitment of additional staff </w:t>
            </w:r>
          </w:p>
          <w:p w:rsidR="009B640E" w:rsidRPr="00C82459" w:rsidRDefault="009B640E" w:rsidP="009B640E">
            <w:pPr>
              <w:pStyle w:val="ListParagraph"/>
              <w:numPr>
                <w:ilvl w:val="0"/>
                <w:numId w:val="21"/>
              </w:numPr>
            </w:pPr>
            <w:r w:rsidRPr="00C82459">
              <w:t>Cancer patients treatment being reviewed and prioritised where appropriate</w:t>
            </w:r>
          </w:p>
          <w:p w:rsidR="009B640E" w:rsidRPr="00C82459" w:rsidRDefault="009B640E" w:rsidP="009B640E">
            <w:pPr>
              <w:pStyle w:val="ListParagraph"/>
              <w:numPr>
                <w:ilvl w:val="0"/>
                <w:numId w:val="21"/>
              </w:numPr>
            </w:pPr>
            <w:r w:rsidRPr="00C82459">
              <w:t>Restrictive visiting arrangements</w:t>
            </w:r>
          </w:p>
          <w:p w:rsidR="009B640E" w:rsidRPr="00C82459" w:rsidRDefault="009B640E" w:rsidP="009B640E">
            <w:pPr>
              <w:pStyle w:val="ListParagraph"/>
              <w:numPr>
                <w:ilvl w:val="0"/>
                <w:numId w:val="21"/>
              </w:numPr>
            </w:pPr>
            <w:r w:rsidRPr="00C82459">
              <w:t>Outbreak management plans and delivery</w:t>
            </w:r>
          </w:p>
        </w:tc>
      </w:tr>
      <w:tr w:rsidR="009B640E" w:rsidTr="00B65495">
        <w:tc>
          <w:tcPr>
            <w:tcW w:w="2358" w:type="dxa"/>
            <w:tcBorders>
              <w:right w:val="nil"/>
            </w:tcBorders>
          </w:tcPr>
          <w:p w:rsidR="009B640E" w:rsidRPr="00B838A9" w:rsidRDefault="009B640E" w:rsidP="00B65495">
            <w:pPr>
              <w:rPr>
                <w:b/>
              </w:rPr>
            </w:pPr>
            <w:r w:rsidRPr="00B838A9">
              <w:rPr>
                <w:b/>
              </w:rPr>
              <w:t>Current Assurances</w:t>
            </w:r>
          </w:p>
        </w:tc>
        <w:tc>
          <w:tcPr>
            <w:tcW w:w="7990" w:type="dxa"/>
            <w:gridSpan w:val="3"/>
            <w:tcBorders>
              <w:left w:val="nil"/>
            </w:tcBorders>
          </w:tcPr>
          <w:p w:rsidR="009B640E" w:rsidRPr="00C82459" w:rsidRDefault="009B640E" w:rsidP="009B640E">
            <w:pPr>
              <w:pStyle w:val="ListParagraph"/>
              <w:numPr>
                <w:ilvl w:val="0"/>
                <w:numId w:val="21"/>
              </w:numPr>
            </w:pPr>
            <w:r w:rsidRPr="00C82459">
              <w:t>Internal capacity expansion plans commissioned and reviewed regularly at Operational and Strategic Group to ensure right phasing</w:t>
            </w:r>
          </w:p>
          <w:p w:rsidR="009B640E" w:rsidRPr="00C82459" w:rsidRDefault="009B640E" w:rsidP="009B640E">
            <w:pPr>
              <w:pStyle w:val="ListParagraph"/>
              <w:numPr>
                <w:ilvl w:val="0"/>
                <w:numId w:val="21"/>
              </w:numPr>
            </w:pPr>
            <w:r w:rsidRPr="00C82459">
              <w:t>Operational Group meeting daily to ensure clinical staff remain engaged in managing phased expansion/area utilisation.</w:t>
            </w:r>
          </w:p>
          <w:p w:rsidR="009B640E" w:rsidRPr="00C82459" w:rsidRDefault="009B640E" w:rsidP="009B640E">
            <w:pPr>
              <w:pStyle w:val="ListParagraph"/>
              <w:numPr>
                <w:ilvl w:val="0"/>
                <w:numId w:val="21"/>
              </w:numPr>
            </w:pPr>
            <w:r w:rsidRPr="00C82459">
              <w:t>Establishment of workforce hubs to ensure that staff are deployed on a competency basis</w:t>
            </w:r>
          </w:p>
          <w:p w:rsidR="009B640E" w:rsidRPr="00C82459" w:rsidRDefault="009B640E" w:rsidP="009B640E">
            <w:pPr>
              <w:pStyle w:val="ListParagraph"/>
              <w:numPr>
                <w:ilvl w:val="0"/>
                <w:numId w:val="21"/>
              </w:numPr>
            </w:pPr>
            <w:r w:rsidRPr="00C82459">
              <w:t>Review of clinical incidents and complaints continues as business as usual and has been aligned with core business and reviewed at Management Executives</w:t>
            </w:r>
          </w:p>
          <w:p w:rsidR="009B640E" w:rsidRPr="00C82459" w:rsidRDefault="009B640E" w:rsidP="009B640E">
            <w:pPr>
              <w:pStyle w:val="ListParagraph"/>
              <w:numPr>
                <w:ilvl w:val="0"/>
                <w:numId w:val="21"/>
              </w:numPr>
            </w:pPr>
            <w:r w:rsidRPr="00C82459">
              <w:t>Audit of IPC  and Audit outcomes</w:t>
            </w:r>
          </w:p>
          <w:p w:rsidR="009B640E" w:rsidRPr="00C82459" w:rsidRDefault="009B640E" w:rsidP="009B640E">
            <w:pPr>
              <w:pStyle w:val="ListParagraph"/>
              <w:numPr>
                <w:ilvl w:val="0"/>
                <w:numId w:val="21"/>
              </w:numPr>
            </w:pPr>
            <w:r w:rsidRPr="00C82459">
              <w:t>Reporting of IPC Outbreak meetings into ME</w:t>
            </w:r>
          </w:p>
          <w:p w:rsidR="009B640E" w:rsidRPr="00C82459" w:rsidRDefault="009B640E" w:rsidP="009B640E">
            <w:pPr>
              <w:pStyle w:val="ListParagraph"/>
              <w:numPr>
                <w:ilvl w:val="0"/>
                <w:numId w:val="21"/>
              </w:numPr>
            </w:pPr>
            <w:r w:rsidRPr="00C82459">
              <w:t>IPC Daily Cell Meeting  &amp;Weekly PPE Cell Meeting</w:t>
            </w:r>
          </w:p>
          <w:p w:rsidR="009B640E" w:rsidRPr="00C82459" w:rsidRDefault="009B640E" w:rsidP="009B640E">
            <w:pPr>
              <w:pStyle w:val="ListParagraph"/>
              <w:numPr>
                <w:ilvl w:val="0"/>
                <w:numId w:val="21"/>
              </w:numPr>
            </w:pPr>
            <w:r w:rsidRPr="00C82459">
              <w:t>Expert and independent advice in outbreak meetings</w:t>
            </w:r>
          </w:p>
          <w:p w:rsidR="009B640E" w:rsidRPr="00C82459" w:rsidRDefault="009B640E" w:rsidP="00B65495">
            <w:pPr>
              <w:pStyle w:val="ListParagraph"/>
              <w:ind w:left="360"/>
            </w:pPr>
          </w:p>
        </w:tc>
      </w:tr>
      <w:tr w:rsidR="009B640E" w:rsidRPr="00290CFB" w:rsidTr="00B65495">
        <w:tc>
          <w:tcPr>
            <w:tcW w:w="2358" w:type="dxa"/>
            <w:tcBorders>
              <w:bottom w:val="single" w:sz="4" w:space="0" w:color="auto"/>
            </w:tcBorders>
          </w:tcPr>
          <w:p w:rsidR="009B640E" w:rsidRPr="00290CFB" w:rsidRDefault="009B640E" w:rsidP="00B65495">
            <w:pPr>
              <w:rPr>
                <w:b/>
              </w:rPr>
            </w:pPr>
            <w:r w:rsidRPr="00290CFB">
              <w:rPr>
                <w:b/>
              </w:rPr>
              <w:t xml:space="preserve">Impact Score: </w:t>
            </w:r>
            <w:r>
              <w:rPr>
                <w:b/>
              </w:rPr>
              <w:t>5</w:t>
            </w:r>
          </w:p>
        </w:tc>
        <w:tc>
          <w:tcPr>
            <w:tcW w:w="2605" w:type="dxa"/>
          </w:tcPr>
          <w:p w:rsidR="009B640E" w:rsidRPr="00290CFB" w:rsidRDefault="009B640E" w:rsidP="00B65495">
            <w:pPr>
              <w:rPr>
                <w:b/>
              </w:rPr>
            </w:pPr>
            <w:r w:rsidRPr="00290CFB">
              <w:rPr>
                <w:b/>
              </w:rPr>
              <w:t xml:space="preserve">Likelihood Score: </w:t>
            </w:r>
            <w:r w:rsidRPr="00C82459">
              <w:rPr>
                <w:b/>
                <w:color w:val="FF0000"/>
              </w:rPr>
              <w:t>4</w:t>
            </w:r>
          </w:p>
        </w:tc>
        <w:tc>
          <w:tcPr>
            <w:tcW w:w="2307" w:type="dxa"/>
          </w:tcPr>
          <w:p w:rsidR="009B640E" w:rsidRPr="00290CFB" w:rsidRDefault="009B640E" w:rsidP="00B65495">
            <w:pPr>
              <w:rPr>
                <w:b/>
              </w:rPr>
            </w:pPr>
            <w:r w:rsidRPr="00290CFB">
              <w:rPr>
                <w:b/>
              </w:rPr>
              <w:t>Net Risk Score:</w:t>
            </w:r>
          </w:p>
        </w:tc>
        <w:tc>
          <w:tcPr>
            <w:tcW w:w="3078" w:type="dxa"/>
            <w:shd w:val="clear" w:color="auto" w:fill="FF0000"/>
          </w:tcPr>
          <w:p w:rsidR="009B640E" w:rsidRPr="00290CFB" w:rsidRDefault="009B640E" w:rsidP="00B65495">
            <w:pPr>
              <w:rPr>
                <w:b/>
              </w:rPr>
            </w:pPr>
            <w:r>
              <w:rPr>
                <w:b/>
              </w:rPr>
              <w:t>20</w:t>
            </w:r>
          </w:p>
        </w:tc>
      </w:tr>
      <w:tr w:rsidR="009B640E" w:rsidTr="00B65495">
        <w:tc>
          <w:tcPr>
            <w:tcW w:w="2358" w:type="dxa"/>
            <w:tcBorders>
              <w:bottom w:val="single" w:sz="4" w:space="0" w:color="auto"/>
              <w:right w:val="nil"/>
            </w:tcBorders>
          </w:tcPr>
          <w:p w:rsidR="009B640E" w:rsidRPr="00B838A9" w:rsidRDefault="009B640E" w:rsidP="00B65495">
            <w:pPr>
              <w:rPr>
                <w:b/>
              </w:rPr>
            </w:pPr>
            <w:r w:rsidRPr="00B838A9">
              <w:rPr>
                <w:b/>
              </w:rPr>
              <w:t>Gap in Controls</w:t>
            </w:r>
          </w:p>
        </w:tc>
        <w:tc>
          <w:tcPr>
            <w:tcW w:w="7990" w:type="dxa"/>
            <w:gridSpan w:val="3"/>
            <w:tcBorders>
              <w:left w:val="nil"/>
            </w:tcBorders>
          </w:tcPr>
          <w:p w:rsidR="009B640E" w:rsidRPr="00BE6F9E" w:rsidRDefault="009B640E" w:rsidP="00B65495">
            <w:r w:rsidRPr="00BE6F9E">
              <w:t>Local Authority ability to provide packages of care and challenge around discharge to care homes</w:t>
            </w:r>
          </w:p>
        </w:tc>
      </w:tr>
      <w:tr w:rsidR="009B640E" w:rsidTr="00B65495">
        <w:tc>
          <w:tcPr>
            <w:tcW w:w="2358" w:type="dxa"/>
            <w:tcBorders>
              <w:bottom w:val="single" w:sz="4" w:space="0" w:color="auto"/>
              <w:right w:val="nil"/>
            </w:tcBorders>
          </w:tcPr>
          <w:p w:rsidR="009B640E" w:rsidRPr="00B838A9" w:rsidRDefault="009B640E" w:rsidP="00B65495">
            <w:pPr>
              <w:rPr>
                <w:b/>
              </w:rPr>
            </w:pPr>
            <w:r w:rsidRPr="00B838A9">
              <w:rPr>
                <w:b/>
              </w:rPr>
              <w:t>Gap in Assurances</w:t>
            </w:r>
          </w:p>
        </w:tc>
        <w:tc>
          <w:tcPr>
            <w:tcW w:w="7990" w:type="dxa"/>
            <w:gridSpan w:val="3"/>
            <w:tcBorders>
              <w:left w:val="nil"/>
              <w:bottom w:val="single" w:sz="4" w:space="0" w:color="auto"/>
            </w:tcBorders>
          </w:tcPr>
          <w:p w:rsidR="009B640E" w:rsidRPr="00290CFB" w:rsidRDefault="009B640E" w:rsidP="00B65495">
            <w:r w:rsidRPr="00BE6F9E">
              <w:t>Discharging patients is out of the Health Boards control</w:t>
            </w:r>
          </w:p>
        </w:tc>
      </w:tr>
    </w:tbl>
    <w:p w:rsidR="009B640E" w:rsidRDefault="009B640E">
      <w:r>
        <w:br w:type="page"/>
      </w:r>
    </w:p>
    <w:tbl>
      <w:tblPr>
        <w:tblStyle w:val="TableGrid"/>
        <w:tblW w:w="10348" w:type="dxa"/>
        <w:tblInd w:w="-459" w:type="dxa"/>
        <w:tblLook w:val="04A0" w:firstRow="1" w:lastRow="0" w:firstColumn="1" w:lastColumn="0" w:noHBand="0" w:noVBand="1"/>
      </w:tblPr>
      <w:tblGrid>
        <w:gridCol w:w="2333"/>
        <w:gridCol w:w="2799"/>
        <w:gridCol w:w="1226"/>
        <w:gridCol w:w="1318"/>
        <w:gridCol w:w="2672"/>
      </w:tblGrid>
      <w:tr w:rsidR="009B640E" w:rsidTr="00B65495">
        <w:tc>
          <w:tcPr>
            <w:tcW w:w="2333" w:type="dxa"/>
            <w:tcBorders>
              <w:bottom w:val="single" w:sz="4" w:space="0" w:color="auto"/>
              <w:right w:val="nil"/>
            </w:tcBorders>
            <w:shd w:val="clear" w:color="auto" w:fill="8DB3E2" w:themeFill="text2" w:themeFillTint="66"/>
          </w:tcPr>
          <w:p w:rsidR="009B640E" w:rsidRPr="00B838A9" w:rsidRDefault="009B640E" w:rsidP="00B65495">
            <w:pPr>
              <w:rPr>
                <w:b/>
              </w:rPr>
            </w:pPr>
            <w:r>
              <w:lastRenderedPageBreak/>
              <w:br w:type="page"/>
            </w:r>
            <w:r>
              <w:br w:type="page"/>
            </w:r>
            <w:r w:rsidRPr="00B838A9">
              <w:rPr>
                <w:b/>
              </w:rPr>
              <w:t>Actions</w:t>
            </w:r>
          </w:p>
        </w:tc>
        <w:tc>
          <w:tcPr>
            <w:tcW w:w="2799" w:type="dxa"/>
            <w:tcBorders>
              <w:left w:val="nil"/>
              <w:bottom w:val="single" w:sz="4" w:space="0" w:color="auto"/>
              <w:right w:val="single" w:sz="4" w:space="0" w:color="auto"/>
            </w:tcBorders>
            <w:shd w:val="clear" w:color="auto" w:fill="8DB3E2" w:themeFill="text2" w:themeFillTint="66"/>
          </w:tcPr>
          <w:p w:rsidR="009B640E" w:rsidRDefault="009B640E" w:rsidP="00B65495"/>
        </w:tc>
        <w:tc>
          <w:tcPr>
            <w:tcW w:w="1226" w:type="dxa"/>
            <w:tcBorders>
              <w:left w:val="single" w:sz="4" w:space="0" w:color="auto"/>
              <w:bottom w:val="single" w:sz="4" w:space="0" w:color="auto"/>
              <w:right w:val="single" w:sz="4" w:space="0" w:color="auto"/>
            </w:tcBorders>
            <w:shd w:val="clear" w:color="auto" w:fill="8DB3E2" w:themeFill="text2" w:themeFillTint="66"/>
          </w:tcPr>
          <w:p w:rsidR="009B640E" w:rsidRPr="006A44E4" w:rsidRDefault="009B640E" w:rsidP="00B65495">
            <w:pPr>
              <w:rPr>
                <w:b/>
              </w:rPr>
            </w:pPr>
            <w:r w:rsidRPr="006A44E4">
              <w:rPr>
                <w:b/>
              </w:rPr>
              <w:t>Lead</w:t>
            </w:r>
          </w:p>
        </w:tc>
        <w:tc>
          <w:tcPr>
            <w:tcW w:w="1318" w:type="dxa"/>
            <w:tcBorders>
              <w:left w:val="single" w:sz="4" w:space="0" w:color="auto"/>
              <w:bottom w:val="single" w:sz="4" w:space="0" w:color="auto"/>
            </w:tcBorders>
            <w:shd w:val="clear" w:color="auto" w:fill="8DB3E2" w:themeFill="text2" w:themeFillTint="66"/>
          </w:tcPr>
          <w:p w:rsidR="009B640E" w:rsidRPr="006A44E4" w:rsidRDefault="009B640E" w:rsidP="00B65495">
            <w:pPr>
              <w:rPr>
                <w:b/>
              </w:rPr>
            </w:pPr>
            <w:r w:rsidRPr="006A44E4">
              <w:rPr>
                <w:b/>
              </w:rPr>
              <w:t>By when</w:t>
            </w:r>
          </w:p>
        </w:tc>
        <w:tc>
          <w:tcPr>
            <w:tcW w:w="2672" w:type="dxa"/>
            <w:tcBorders>
              <w:left w:val="single" w:sz="4" w:space="0" w:color="auto"/>
              <w:bottom w:val="single" w:sz="4" w:space="0" w:color="auto"/>
            </w:tcBorders>
            <w:shd w:val="clear" w:color="auto" w:fill="8DB3E2" w:themeFill="text2" w:themeFillTint="66"/>
          </w:tcPr>
          <w:p w:rsidR="009B640E" w:rsidRPr="006A44E4" w:rsidRDefault="009B640E" w:rsidP="00B65495">
            <w:pPr>
              <w:rPr>
                <w:b/>
              </w:rPr>
            </w:pPr>
            <w:r>
              <w:rPr>
                <w:b/>
              </w:rPr>
              <w:t>Update since January 21</w:t>
            </w:r>
          </w:p>
        </w:tc>
      </w:tr>
      <w:tr w:rsidR="009B640E" w:rsidTr="00B65495">
        <w:tc>
          <w:tcPr>
            <w:tcW w:w="5132" w:type="dxa"/>
            <w:gridSpan w:val="2"/>
            <w:tcBorders>
              <w:top w:val="single" w:sz="4" w:space="0" w:color="auto"/>
              <w:right w:val="single" w:sz="4" w:space="0" w:color="auto"/>
            </w:tcBorders>
          </w:tcPr>
          <w:p w:rsidR="009B640E" w:rsidRDefault="009B640E" w:rsidP="009B640E">
            <w:pPr>
              <w:pStyle w:val="ListParagraph"/>
              <w:numPr>
                <w:ilvl w:val="0"/>
                <w:numId w:val="22"/>
              </w:numPr>
            </w:pPr>
            <w:r>
              <w:t>Reconfiguration of COVID/Non-COVID capacity– ongoing process.</w:t>
            </w:r>
          </w:p>
          <w:p w:rsidR="009B640E" w:rsidRDefault="009B640E" w:rsidP="00B65495">
            <w:pPr>
              <w:pStyle w:val="ListParagraph"/>
            </w:pPr>
          </w:p>
        </w:tc>
        <w:tc>
          <w:tcPr>
            <w:tcW w:w="1226" w:type="dxa"/>
            <w:tcBorders>
              <w:top w:val="single" w:sz="4" w:space="0" w:color="auto"/>
              <w:left w:val="single" w:sz="4" w:space="0" w:color="auto"/>
              <w:right w:val="single" w:sz="4" w:space="0" w:color="auto"/>
            </w:tcBorders>
          </w:tcPr>
          <w:p w:rsidR="009B640E" w:rsidRDefault="009B640E" w:rsidP="00B65495">
            <w:r>
              <w:t>Steve Curry</w:t>
            </w:r>
          </w:p>
        </w:tc>
        <w:tc>
          <w:tcPr>
            <w:tcW w:w="1318" w:type="dxa"/>
            <w:tcBorders>
              <w:top w:val="single" w:sz="4" w:space="0" w:color="auto"/>
              <w:left w:val="single" w:sz="4" w:space="0" w:color="auto"/>
            </w:tcBorders>
          </w:tcPr>
          <w:p w:rsidR="009B640E" w:rsidRDefault="009B640E" w:rsidP="00B65495">
            <w:r>
              <w:t>31.03.21</w:t>
            </w:r>
          </w:p>
        </w:tc>
        <w:tc>
          <w:tcPr>
            <w:tcW w:w="2672" w:type="dxa"/>
            <w:tcBorders>
              <w:top w:val="single" w:sz="4" w:space="0" w:color="auto"/>
              <w:left w:val="single" w:sz="4" w:space="0" w:color="auto"/>
            </w:tcBorders>
            <w:shd w:val="clear" w:color="auto" w:fill="FFFFFF" w:themeFill="background1"/>
          </w:tcPr>
          <w:p w:rsidR="009B640E" w:rsidRPr="00B9644F" w:rsidRDefault="009B640E" w:rsidP="00B65495">
            <w:pPr>
              <w:rPr>
                <w:color w:val="FF0000"/>
              </w:rPr>
            </w:pPr>
            <w:r>
              <w:rPr>
                <w:color w:val="000000" w:themeColor="text1"/>
              </w:rPr>
              <w:t xml:space="preserve">Plan in place which is continually been reviewed in relation to demand and capacity – see separate risk on BAF:  </w:t>
            </w:r>
            <w:r w:rsidRPr="00C82459">
              <w:rPr>
                <w:color w:val="000000" w:themeColor="text1"/>
              </w:rPr>
              <w:t>the risk of inadequate capacity to manage future COVID 19 peaks and planned work safety</w:t>
            </w:r>
          </w:p>
        </w:tc>
      </w:tr>
      <w:tr w:rsidR="009B640E" w:rsidTr="00B65495">
        <w:tc>
          <w:tcPr>
            <w:tcW w:w="5132" w:type="dxa"/>
            <w:gridSpan w:val="2"/>
            <w:tcBorders>
              <w:top w:val="single" w:sz="4" w:space="0" w:color="auto"/>
              <w:right w:val="single" w:sz="4" w:space="0" w:color="auto"/>
            </w:tcBorders>
          </w:tcPr>
          <w:p w:rsidR="009B640E" w:rsidRDefault="009B640E" w:rsidP="009B640E">
            <w:pPr>
              <w:pStyle w:val="ListParagraph"/>
              <w:numPr>
                <w:ilvl w:val="0"/>
                <w:numId w:val="22"/>
              </w:numPr>
            </w:pPr>
            <w:r>
              <w:t>Reconfiguration of COVID/Non-COVID workforce skill  mix and staffing numbers in light of new pandemic modelling projections</w:t>
            </w:r>
          </w:p>
          <w:p w:rsidR="009B640E" w:rsidRDefault="009B640E" w:rsidP="00B65495">
            <w:pPr>
              <w:pStyle w:val="ListParagraph"/>
            </w:pPr>
          </w:p>
        </w:tc>
        <w:tc>
          <w:tcPr>
            <w:tcW w:w="1226" w:type="dxa"/>
            <w:tcBorders>
              <w:top w:val="single" w:sz="4" w:space="0" w:color="auto"/>
              <w:left w:val="single" w:sz="4" w:space="0" w:color="auto"/>
              <w:right w:val="single" w:sz="4" w:space="0" w:color="auto"/>
            </w:tcBorders>
          </w:tcPr>
          <w:p w:rsidR="009B640E" w:rsidRDefault="009B640E" w:rsidP="00B65495">
            <w:r>
              <w:t>Workforce groups</w:t>
            </w:r>
          </w:p>
        </w:tc>
        <w:tc>
          <w:tcPr>
            <w:tcW w:w="1318" w:type="dxa"/>
            <w:tcBorders>
              <w:top w:val="single" w:sz="4" w:space="0" w:color="auto"/>
              <w:left w:val="single" w:sz="4" w:space="0" w:color="auto"/>
            </w:tcBorders>
          </w:tcPr>
          <w:p w:rsidR="009B640E" w:rsidRDefault="009B640E" w:rsidP="00B65495">
            <w:r>
              <w:t>31.03.21</w:t>
            </w:r>
          </w:p>
        </w:tc>
        <w:tc>
          <w:tcPr>
            <w:tcW w:w="2672" w:type="dxa"/>
            <w:tcBorders>
              <w:top w:val="single" w:sz="4" w:space="0" w:color="auto"/>
              <w:left w:val="single" w:sz="4" w:space="0" w:color="auto"/>
            </w:tcBorders>
            <w:shd w:val="clear" w:color="auto" w:fill="FFFFFF" w:themeFill="background1"/>
          </w:tcPr>
          <w:p w:rsidR="009B640E" w:rsidRPr="00EA471F" w:rsidRDefault="009B640E" w:rsidP="00B65495">
            <w:pPr>
              <w:rPr>
                <w:color w:val="000000" w:themeColor="text1"/>
              </w:rPr>
            </w:pPr>
            <w:r>
              <w:rPr>
                <w:color w:val="000000" w:themeColor="text1"/>
              </w:rPr>
              <w:t xml:space="preserve">Discussions continue and staff mix being reviewed in line with action 1 above. </w:t>
            </w:r>
          </w:p>
        </w:tc>
      </w:tr>
      <w:tr w:rsidR="009B640E" w:rsidRPr="00FE46BF" w:rsidTr="00B65495">
        <w:tc>
          <w:tcPr>
            <w:tcW w:w="5132" w:type="dxa"/>
            <w:gridSpan w:val="2"/>
            <w:tcBorders>
              <w:top w:val="single" w:sz="4" w:space="0" w:color="auto"/>
              <w:right w:val="single" w:sz="4" w:space="0" w:color="auto"/>
            </w:tcBorders>
          </w:tcPr>
          <w:p w:rsidR="009B640E" w:rsidRPr="00C82459" w:rsidRDefault="009B640E" w:rsidP="009B640E">
            <w:pPr>
              <w:pStyle w:val="ListParagraph"/>
              <w:numPr>
                <w:ilvl w:val="0"/>
                <w:numId w:val="22"/>
              </w:numPr>
            </w:pPr>
            <w:r w:rsidRPr="00C82459">
              <w:t>Genotype testing which shows whether outbreaks are linked and core case</w:t>
            </w:r>
          </w:p>
        </w:tc>
        <w:tc>
          <w:tcPr>
            <w:tcW w:w="1226" w:type="dxa"/>
            <w:tcBorders>
              <w:top w:val="single" w:sz="4" w:space="0" w:color="auto"/>
              <w:left w:val="single" w:sz="4" w:space="0" w:color="auto"/>
              <w:right w:val="single" w:sz="4" w:space="0" w:color="auto"/>
            </w:tcBorders>
          </w:tcPr>
          <w:p w:rsidR="009B640E" w:rsidRPr="00C82459" w:rsidRDefault="009B640E" w:rsidP="00B65495">
            <w:r w:rsidRPr="00C82459">
              <w:t>Ruth Walker</w:t>
            </w:r>
          </w:p>
        </w:tc>
        <w:tc>
          <w:tcPr>
            <w:tcW w:w="1318" w:type="dxa"/>
            <w:tcBorders>
              <w:top w:val="single" w:sz="4" w:space="0" w:color="auto"/>
              <w:left w:val="single" w:sz="4" w:space="0" w:color="auto"/>
            </w:tcBorders>
          </w:tcPr>
          <w:p w:rsidR="009B640E" w:rsidRPr="00C82459" w:rsidRDefault="009B640E" w:rsidP="00B65495">
            <w:r w:rsidRPr="00C82459">
              <w:t>From mid October</w:t>
            </w:r>
          </w:p>
        </w:tc>
        <w:tc>
          <w:tcPr>
            <w:tcW w:w="2672" w:type="dxa"/>
            <w:tcBorders>
              <w:top w:val="single" w:sz="4" w:space="0" w:color="auto"/>
              <w:left w:val="single" w:sz="4" w:space="0" w:color="auto"/>
            </w:tcBorders>
            <w:shd w:val="clear" w:color="auto" w:fill="FFFFFF" w:themeFill="background1"/>
          </w:tcPr>
          <w:p w:rsidR="009B640E" w:rsidRPr="00A34E3A" w:rsidRDefault="009B640E" w:rsidP="00B65495">
            <w:pPr>
              <w:rPr>
                <w:color w:val="FF0000"/>
              </w:rPr>
            </w:pPr>
            <w:r w:rsidRPr="00BE6F9E">
              <w:t xml:space="preserve">Requests now in place being delivered as capacity allows– </w:t>
            </w:r>
            <w:r>
              <w:rPr>
                <w:color w:val="FF0000"/>
              </w:rPr>
              <w:t>complete and ongoing</w:t>
            </w:r>
          </w:p>
        </w:tc>
      </w:tr>
      <w:tr w:rsidR="009B640E" w:rsidRPr="00290CFB" w:rsidTr="00B65495">
        <w:tc>
          <w:tcPr>
            <w:tcW w:w="2333" w:type="dxa"/>
          </w:tcPr>
          <w:p w:rsidR="009B640E" w:rsidRPr="00290CFB" w:rsidRDefault="009B640E" w:rsidP="00B65495">
            <w:pPr>
              <w:rPr>
                <w:b/>
              </w:rPr>
            </w:pPr>
            <w:r w:rsidRPr="00290CFB">
              <w:rPr>
                <w:b/>
              </w:rPr>
              <w:t xml:space="preserve">Impact Score: </w:t>
            </w:r>
            <w:r>
              <w:rPr>
                <w:b/>
              </w:rPr>
              <w:t>5</w:t>
            </w:r>
          </w:p>
        </w:tc>
        <w:tc>
          <w:tcPr>
            <w:tcW w:w="2799" w:type="dxa"/>
          </w:tcPr>
          <w:p w:rsidR="009B640E" w:rsidRPr="00290CFB" w:rsidRDefault="009B640E" w:rsidP="00B65495">
            <w:pPr>
              <w:rPr>
                <w:b/>
              </w:rPr>
            </w:pPr>
            <w:r w:rsidRPr="00290CFB">
              <w:rPr>
                <w:b/>
              </w:rPr>
              <w:t xml:space="preserve">Likelihood Score: </w:t>
            </w:r>
            <w:r>
              <w:rPr>
                <w:b/>
              </w:rPr>
              <w:t>2</w:t>
            </w:r>
          </w:p>
        </w:tc>
        <w:tc>
          <w:tcPr>
            <w:tcW w:w="2544" w:type="dxa"/>
            <w:gridSpan w:val="2"/>
          </w:tcPr>
          <w:p w:rsidR="009B640E" w:rsidRPr="00290CFB" w:rsidRDefault="009B640E" w:rsidP="00B65495">
            <w:pPr>
              <w:rPr>
                <w:b/>
              </w:rPr>
            </w:pPr>
            <w:r w:rsidRPr="00290CFB">
              <w:rPr>
                <w:b/>
              </w:rPr>
              <w:t>Target  Risk Score:</w:t>
            </w:r>
          </w:p>
        </w:tc>
        <w:tc>
          <w:tcPr>
            <w:tcW w:w="2672" w:type="dxa"/>
            <w:shd w:val="clear" w:color="auto" w:fill="FFC000"/>
          </w:tcPr>
          <w:p w:rsidR="009B640E" w:rsidRPr="00290CFB" w:rsidRDefault="009B640E" w:rsidP="00B65495">
            <w:pPr>
              <w:rPr>
                <w:b/>
              </w:rPr>
            </w:pPr>
            <w:r>
              <w:rPr>
                <w:b/>
              </w:rPr>
              <w:t>10 (High)</w:t>
            </w:r>
          </w:p>
        </w:tc>
      </w:tr>
    </w:tbl>
    <w:p w:rsidR="009B640E" w:rsidRDefault="009B640E" w:rsidP="009B640E">
      <w:pPr>
        <w:pStyle w:val="ListParagraph"/>
        <w:ind w:left="-207"/>
        <w:rPr>
          <w:b/>
        </w:rPr>
      </w:pPr>
    </w:p>
    <w:p w:rsidR="009B640E" w:rsidRDefault="009B640E" w:rsidP="009B640E">
      <w:pPr>
        <w:pStyle w:val="ListParagraph"/>
        <w:ind w:left="-207"/>
        <w:rPr>
          <w:b/>
        </w:rPr>
      </w:pPr>
    </w:p>
    <w:p w:rsidR="008B0DDF" w:rsidRDefault="008B0DDF">
      <w:pPr>
        <w:rPr>
          <w:b/>
        </w:rPr>
      </w:pPr>
      <w:r>
        <w:rPr>
          <w:b/>
        </w:rPr>
        <w:br w:type="page"/>
      </w:r>
    </w:p>
    <w:p w:rsidR="005038A2" w:rsidRDefault="008B0DDF" w:rsidP="00C10004">
      <w:pPr>
        <w:pStyle w:val="ListParagraph"/>
        <w:numPr>
          <w:ilvl w:val="0"/>
          <w:numId w:val="44"/>
        </w:numPr>
        <w:rPr>
          <w:b/>
        </w:rPr>
      </w:pPr>
      <w:r>
        <w:rPr>
          <w:b/>
        </w:rPr>
        <w:lastRenderedPageBreak/>
        <w:t>Leading  Sustainable Culture Change</w:t>
      </w:r>
      <w:r w:rsidR="00530294">
        <w:rPr>
          <w:b/>
        </w:rPr>
        <w:t xml:space="preserve"> – Lead Executive </w:t>
      </w:r>
      <w:r w:rsidR="00892259">
        <w:rPr>
          <w:b/>
        </w:rPr>
        <w:t>Rachel Gidman</w:t>
      </w:r>
    </w:p>
    <w:p w:rsidR="005038A2" w:rsidRPr="002A6402" w:rsidRDefault="005038A2" w:rsidP="005038A2">
      <w:pPr>
        <w:ind w:left="-567"/>
        <w:rPr>
          <w:sz w:val="23"/>
          <w:szCs w:val="23"/>
        </w:rPr>
      </w:pPr>
      <w:r w:rsidRPr="002A6402">
        <w:rPr>
          <w:sz w:val="23"/>
          <w:szCs w:val="23"/>
        </w:rPr>
        <w:t>In line with UHB’s Strategy, Shaping Our Future Wellbeing and aligned to the Healthier Wales plan (2018), the case for change is pivotal to transfer our services to ensure we can meet our future challenges an</w:t>
      </w:r>
      <w:r>
        <w:rPr>
          <w:sz w:val="23"/>
          <w:szCs w:val="23"/>
        </w:rPr>
        <w:t>d</w:t>
      </w:r>
      <w:r w:rsidRPr="002A6402">
        <w:rPr>
          <w:sz w:val="23"/>
          <w:szCs w:val="23"/>
        </w:rPr>
        <w:t xml:space="preserve"> opportunities.  Creating a belief which is building upon our values and behaviours framework will make a positive cultural change in our health system for our staff and the population of Cardiff and the Vale.</w:t>
      </w:r>
    </w:p>
    <w:tbl>
      <w:tblPr>
        <w:tblStyle w:val="TableGrid"/>
        <w:tblW w:w="10348" w:type="dxa"/>
        <w:tblInd w:w="-459" w:type="dxa"/>
        <w:tblLook w:val="04A0" w:firstRow="1" w:lastRow="0" w:firstColumn="1" w:lastColumn="0" w:noHBand="0" w:noVBand="1"/>
      </w:tblPr>
      <w:tblGrid>
        <w:gridCol w:w="2392"/>
        <w:gridCol w:w="2644"/>
        <w:gridCol w:w="2286"/>
        <w:gridCol w:w="3026"/>
      </w:tblGrid>
      <w:tr w:rsidR="005038A2" w:rsidTr="00D4247B">
        <w:tc>
          <w:tcPr>
            <w:tcW w:w="2392" w:type="dxa"/>
          </w:tcPr>
          <w:p w:rsidR="005038A2" w:rsidRPr="00B838A9" w:rsidRDefault="005038A2" w:rsidP="00D4247B">
            <w:pPr>
              <w:rPr>
                <w:b/>
              </w:rPr>
            </w:pPr>
            <w:r w:rsidRPr="00B838A9">
              <w:rPr>
                <w:b/>
              </w:rPr>
              <w:t>Risk</w:t>
            </w:r>
          </w:p>
        </w:tc>
        <w:tc>
          <w:tcPr>
            <w:tcW w:w="7956" w:type="dxa"/>
            <w:gridSpan w:val="3"/>
          </w:tcPr>
          <w:p w:rsidR="005038A2" w:rsidRDefault="005038A2" w:rsidP="00D4247B">
            <w:r>
              <w:t>There is a risk that the cultural change required will not be implemented in a sustainable way</w:t>
            </w:r>
          </w:p>
        </w:tc>
      </w:tr>
      <w:tr w:rsidR="005038A2" w:rsidTr="00D4247B">
        <w:tc>
          <w:tcPr>
            <w:tcW w:w="2392" w:type="dxa"/>
          </w:tcPr>
          <w:p w:rsidR="005038A2" w:rsidRPr="00B838A9" w:rsidRDefault="005038A2" w:rsidP="00D4247B">
            <w:pPr>
              <w:rPr>
                <w:b/>
              </w:rPr>
            </w:pPr>
            <w:r w:rsidRPr="00B838A9">
              <w:rPr>
                <w:b/>
              </w:rPr>
              <w:t>Cause</w:t>
            </w:r>
          </w:p>
        </w:tc>
        <w:tc>
          <w:tcPr>
            <w:tcW w:w="7956" w:type="dxa"/>
            <w:gridSpan w:val="3"/>
          </w:tcPr>
          <w:p w:rsidR="005038A2" w:rsidRDefault="005038A2" w:rsidP="00D4247B">
            <w:r>
              <w:t xml:space="preserve">There is a belief within the organisation that the current climate within the organisation is high in </w:t>
            </w:r>
            <w:r w:rsidRPr="007A348D">
              <w:t>bureaucracy</w:t>
            </w:r>
            <w:r>
              <w:t xml:space="preserve"> and low in trust.</w:t>
            </w:r>
          </w:p>
          <w:p w:rsidR="005038A2" w:rsidRDefault="005038A2" w:rsidP="00D4247B">
            <w:r>
              <w:t>Staff reluctant to engage with the case for change as unaware of the UHB strategy and the future ambition.</w:t>
            </w:r>
          </w:p>
          <w:p w:rsidR="005038A2" w:rsidRDefault="005038A2" w:rsidP="00D4247B">
            <w:r>
              <w:t>Staff not understanding the part their role plays for the case for change due to lack of communication filtering through all levels of the UHB.</w:t>
            </w:r>
          </w:p>
        </w:tc>
      </w:tr>
      <w:tr w:rsidR="005038A2" w:rsidTr="00D4247B">
        <w:tc>
          <w:tcPr>
            <w:tcW w:w="2392" w:type="dxa"/>
          </w:tcPr>
          <w:p w:rsidR="005038A2" w:rsidRPr="00B60180" w:rsidRDefault="005038A2" w:rsidP="00D4247B">
            <w:r w:rsidRPr="00B60180">
              <w:t>Impact</w:t>
            </w:r>
          </w:p>
        </w:tc>
        <w:tc>
          <w:tcPr>
            <w:tcW w:w="7956" w:type="dxa"/>
            <w:gridSpan w:val="3"/>
          </w:tcPr>
          <w:p w:rsidR="005038A2" w:rsidRDefault="005038A2" w:rsidP="00D4247B">
            <w:r>
              <w:t>Staff morale may decrease</w:t>
            </w:r>
          </w:p>
          <w:p w:rsidR="005038A2" w:rsidRDefault="005038A2" w:rsidP="00D4247B">
            <w:r>
              <w:t xml:space="preserve">Increase in absenteeism </w:t>
            </w:r>
          </w:p>
          <w:p w:rsidR="005038A2" w:rsidRDefault="005038A2" w:rsidP="00D4247B">
            <w:r>
              <w:t>Difficulty in retaining and recruiting staff</w:t>
            </w:r>
          </w:p>
          <w:p w:rsidR="005038A2" w:rsidRPr="00561DBA" w:rsidRDefault="005038A2" w:rsidP="00D4247B">
            <w:r w:rsidRPr="00561DBA">
              <w:t>Potential decrease in staff engagement</w:t>
            </w:r>
          </w:p>
          <w:p w:rsidR="005038A2" w:rsidRDefault="005038A2" w:rsidP="00D4247B">
            <w:r w:rsidRPr="00561DBA">
              <w:t xml:space="preserve">Transformation of services may not happen due to </w:t>
            </w:r>
            <w:r>
              <w:t>staff reluctance to drive the change through improvement work.</w:t>
            </w:r>
          </w:p>
          <w:p w:rsidR="005038A2" w:rsidRDefault="005038A2" w:rsidP="00D4247B">
            <w:r>
              <w:t>Patient experience ultimately affected.</w:t>
            </w:r>
          </w:p>
          <w:p w:rsidR="005038A2" w:rsidRDefault="005038A2" w:rsidP="00D4247B">
            <w:r>
              <w:t>UHB credibility as an employee of choice may decrease</w:t>
            </w:r>
          </w:p>
        </w:tc>
      </w:tr>
      <w:tr w:rsidR="005038A2" w:rsidRPr="00FE5299" w:rsidTr="00D4247B">
        <w:tc>
          <w:tcPr>
            <w:tcW w:w="2392" w:type="dxa"/>
          </w:tcPr>
          <w:p w:rsidR="005038A2" w:rsidRPr="00FE5299" w:rsidRDefault="005038A2" w:rsidP="00D4247B">
            <w:pPr>
              <w:rPr>
                <w:b/>
              </w:rPr>
            </w:pPr>
            <w:r w:rsidRPr="00FE5299">
              <w:rPr>
                <w:b/>
              </w:rPr>
              <w:t>Impact Score: 4</w:t>
            </w:r>
          </w:p>
        </w:tc>
        <w:tc>
          <w:tcPr>
            <w:tcW w:w="2644" w:type="dxa"/>
          </w:tcPr>
          <w:p w:rsidR="005038A2" w:rsidRPr="00FE5299" w:rsidRDefault="005038A2" w:rsidP="00D4247B">
            <w:pPr>
              <w:rPr>
                <w:b/>
              </w:rPr>
            </w:pPr>
            <w:r w:rsidRPr="00FE5299">
              <w:rPr>
                <w:b/>
              </w:rPr>
              <w:t>Likelihood Score: 4</w:t>
            </w:r>
          </w:p>
        </w:tc>
        <w:tc>
          <w:tcPr>
            <w:tcW w:w="2286" w:type="dxa"/>
          </w:tcPr>
          <w:p w:rsidR="005038A2" w:rsidRPr="00FE5299" w:rsidRDefault="005038A2" w:rsidP="00D4247B">
            <w:pPr>
              <w:rPr>
                <w:b/>
              </w:rPr>
            </w:pPr>
            <w:r w:rsidRPr="00FE5299">
              <w:rPr>
                <w:b/>
              </w:rPr>
              <w:t>Gross Risk Score:</w:t>
            </w:r>
          </w:p>
        </w:tc>
        <w:tc>
          <w:tcPr>
            <w:tcW w:w="3026" w:type="dxa"/>
            <w:shd w:val="clear" w:color="auto" w:fill="FF0000"/>
          </w:tcPr>
          <w:p w:rsidR="005038A2" w:rsidRPr="00FE5299" w:rsidRDefault="005038A2" w:rsidP="00D4247B">
            <w:pPr>
              <w:rPr>
                <w:b/>
              </w:rPr>
            </w:pPr>
            <w:r w:rsidRPr="00FE5299">
              <w:rPr>
                <w:b/>
              </w:rPr>
              <w:t xml:space="preserve">16 (Extreme) </w:t>
            </w:r>
          </w:p>
        </w:tc>
      </w:tr>
      <w:tr w:rsidR="005038A2" w:rsidTr="00D4247B">
        <w:tc>
          <w:tcPr>
            <w:tcW w:w="2392" w:type="dxa"/>
          </w:tcPr>
          <w:p w:rsidR="005038A2" w:rsidRPr="00B838A9" w:rsidRDefault="005038A2" w:rsidP="00D4247B">
            <w:pPr>
              <w:rPr>
                <w:b/>
              </w:rPr>
            </w:pPr>
            <w:r w:rsidRPr="00B838A9">
              <w:rPr>
                <w:b/>
              </w:rPr>
              <w:t>Current Controls</w:t>
            </w:r>
          </w:p>
        </w:tc>
        <w:tc>
          <w:tcPr>
            <w:tcW w:w="7956" w:type="dxa"/>
            <w:gridSpan w:val="3"/>
          </w:tcPr>
          <w:p w:rsidR="005038A2" w:rsidRDefault="005038A2" w:rsidP="00D4247B">
            <w:r>
              <w:t>Values and behaviours Framework in place</w:t>
            </w:r>
          </w:p>
          <w:p w:rsidR="005038A2" w:rsidRDefault="005038A2" w:rsidP="00D4247B">
            <w:r>
              <w:t>Task and Finish Group weekly meeting</w:t>
            </w:r>
          </w:p>
          <w:p w:rsidR="005038A2" w:rsidRDefault="005038A2" w:rsidP="00D4247B">
            <w:r>
              <w:t>Cardiff and Vale Transformation story and narrative</w:t>
            </w:r>
          </w:p>
          <w:p w:rsidR="005038A2" w:rsidRPr="00FF5069" w:rsidRDefault="005038A2" w:rsidP="00D4247B">
            <w:pPr>
              <w:rPr>
                <w:color w:val="FF0000"/>
              </w:rPr>
            </w:pPr>
            <w:r>
              <w:t xml:space="preserve">Leadership  Development Programme </w:t>
            </w:r>
            <w:r>
              <w:rPr>
                <w:color w:val="FF0000"/>
              </w:rPr>
              <w:t>linked in with the launch of the Dragons Heart Institute (DHI)</w:t>
            </w:r>
          </w:p>
          <w:p w:rsidR="005038A2" w:rsidRPr="00FF5069" w:rsidRDefault="005038A2" w:rsidP="00D4247B">
            <w:pPr>
              <w:rPr>
                <w:color w:val="FF0000"/>
              </w:rPr>
            </w:pPr>
            <w:r>
              <w:t xml:space="preserve">Management Programmes </w:t>
            </w:r>
            <w:r>
              <w:rPr>
                <w:color w:val="FF0000"/>
              </w:rPr>
              <w:t>now including a virtual offering. The content will be management skills but will incorporate inclusive management skills</w:t>
            </w:r>
          </w:p>
          <w:p w:rsidR="005038A2" w:rsidRDefault="005038A2" w:rsidP="00D4247B">
            <w:r>
              <w:t>Talent management and succession planning cascaded through the UHB</w:t>
            </w:r>
          </w:p>
          <w:p w:rsidR="005038A2" w:rsidRPr="00FF5069" w:rsidRDefault="005038A2" w:rsidP="00D4247B">
            <w:pPr>
              <w:rPr>
                <w:color w:val="FF0000"/>
              </w:rPr>
            </w:pPr>
            <w:r>
              <w:t xml:space="preserve">Values based recruitment </w:t>
            </w:r>
            <w:r>
              <w:rPr>
                <w:color w:val="FF0000"/>
              </w:rPr>
              <w:t>/ appraisal</w:t>
            </w:r>
          </w:p>
          <w:p w:rsidR="005038A2" w:rsidRDefault="005038A2" w:rsidP="00D4247B">
            <w:r>
              <w:t>Staff survey  results and actions taken – led by an Executive ( WOD )</w:t>
            </w:r>
          </w:p>
          <w:p w:rsidR="005038A2" w:rsidRDefault="005038A2" w:rsidP="00D4247B">
            <w:r>
              <w:t>Patient experience score cards</w:t>
            </w:r>
          </w:p>
          <w:p w:rsidR="005038A2" w:rsidRDefault="005038A2" w:rsidP="00D4247B">
            <w:r>
              <w:t xml:space="preserve">CEO and Executive Director of WOD sponsors for culture and leadership </w:t>
            </w:r>
          </w:p>
          <w:p w:rsidR="005038A2" w:rsidRDefault="005038A2" w:rsidP="00D4247B">
            <w:r w:rsidRPr="0022248C">
              <w:t>Raising concerns relaunched in October 2018</w:t>
            </w:r>
          </w:p>
          <w:p w:rsidR="005038A2" w:rsidRDefault="005038A2" w:rsidP="00D4247B">
            <w:r>
              <w:t>“Neyber” launched to support staffs financial wellbeing with an emphasis on education</w:t>
            </w:r>
          </w:p>
          <w:p w:rsidR="005038A2" w:rsidRDefault="005038A2" w:rsidP="00D4247B">
            <w:r>
              <w:t>Conducted interviews with senior leaders regarding learnings and feedback from Covid 19</w:t>
            </w:r>
          </w:p>
          <w:p w:rsidR="005038A2" w:rsidRDefault="005038A2" w:rsidP="00D4247B">
            <w:pPr>
              <w:rPr>
                <w:color w:val="FF0000"/>
              </w:rPr>
            </w:pPr>
            <w:r w:rsidRPr="002144CF">
              <w:t>Lessons learnt document to be completed by September 30</w:t>
            </w:r>
            <w:r w:rsidRPr="002144CF">
              <w:rPr>
                <w:vertAlign w:val="superscript"/>
              </w:rPr>
              <w:t>th</w:t>
            </w:r>
            <w:r w:rsidRPr="002144CF">
              <w:t xml:space="preserve"> 2020 looking at the whole system</w:t>
            </w:r>
            <w:r>
              <w:t xml:space="preserve">. </w:t>
            </w:r>
            <w:r>
              <w:rPr>
                <w:color w:val="FF0000"/>
              </w:rPr>
              <w:t>Discovery learning report completed in the Autumn 2020</w:t>
            </w:r>
          </w:p>
          <w:p w:rsidR="005038A2" w:rsidRDefault="005038A2" w:rsidP="00D4247B">
            <w:pPr>
              <w:rPr>
                <w:color w:val="FF0000"/>
              </w:rPr>
            </w:pPr>
            <w:r>
              <w:rPr>
                <w:color w:val="FF0000"/>
              </w:rPr>
              <w:t>Launch in 2021 to coincide with the DHI</w:t>
            </w:r>
          </w:p>
          <w:p w:rsidR="005038A2" w:rsidRPr="001A6547" w:rsidRDefault="005038A2" w:rsidP="00D4247B">
            <w:pPr>
              <w:rPr>
                <w:color w:val="FF0000"/>
              </w:rPr>
            </w:pPr>
            <w:r>
              <w:rPr>
                <w:color w:val="FF0000"/>
              </w:rPr>
              <w:t>Proposal for Self care leadership – Recovery for wellbeing and engagement of staff</w:t>
            </w:r>
          </w:p>
        </w:tc>
      </w:tr>
      <w:tr w:rsidR="005038A2" w:rsidTr="00D4247B">
        <w:tc>
          <w:tcPr>
            <w:tcW w:w="2392" w:type="dxa"/>
          </w:tcPr>
          <w:p w:rsidR="005038A2" w:rsidRPr="00B838A9" w:rsidRDefault="005038A2" w:rsidP="00D4247B">
            <w:pPr>
              <w:rPr>
                <w:b/>
              </w:rPr>
            </w:pPr>
            <w:r w:rsidRPr="00B838A9">
              <w:rPr>
                <w:b/>
              </w:rPr>
              <w:t>Current Assurances</w:t>
            </w:r>
          </w:p>
        </w:tc>
        <w:tc>
          <w:tcPr>
            <w:tcW w:w="7956" w:type="dxa"/>
            <w:gridSpan w:val="3"/>
          </w:tcPr>
          <w:p w:rsidR="005038A2" w:rsidRDefault="005038A2" w:rsidP="00D4247B">
            <w:r>
              <w:t>Engagement of staff side through the Local partnership Forum (LPF)</w:t>
            </w:r>
          </w:p>
          <w:p w:rsidR="005038A2" w:rsidRDefault="005038A2" w:rsidP="00D4247B">
            <w:r w:rsidRPr="00561DBA">
              <w:t>Matrix of measurement now in place which will be presented in the form of a highlight report</w:t>
            </w:r>
          </w:p>
        </w:tc>
      </w:tr>
      <w:tr w:rsidR="005038A2" w:rsidRPr="00FE5299" w:rsidTr="00D4247B">
        <w:tc>
          <w:tcPr>
            <w:tcW w:w="2392" w:type="dxa"/>
          </w:tcPr>
          <w:p w:rsidR="005038A2" w:rsidRPr="00FE5299" w:rsidRDefault="005038A2" w:rsidP="00D4247B">
            <w:pPr>
              <w:rPr>
                <w:b/>
              </w:rPr>
            </w:pPr>
            <w:r w:rsidRPr="00FE5299">
              <w:rPr>
                <w:b/>
              </w:rPr>
              <w:t>Impact Score: 4</w:t>
            </w:r>
          </w:p>
        </w:tc>
        <w:tc>
          <w:tcPr>
            <w:tcW w:w="2644" w:type="dxa"/>
          </w:tcPr>
          <w:p w:rsidR="005038A2" w:rsidRPr="00FE5299" w:rsidRDefault="005038A2" w:rsidP="00D4247B">
            <w:pPr>
              <w:rPr>
                <w:b/>
              </w:rPr>
            </w:pPr>
            <w:r w:rsidRPr="00FE5299">
              <w:rPr>
                <w:b/>
              </w:rPr>
              <w:t>Likelihood Score:  2</w:t>
            </w:r>
          </w:p>
        </w:tc>
        <w:tc>
          <w:tcPr>
            <w:tcW w:w="2286" w:type="dxa"/>
          </w:tcPr>
          <w:p w:rsidR="005038A2" w:rsidRPr="00FE5299" w:rsidRDefault="005038A2" w:rsidP="00D4247B">
            <w:pPr>
              <w:rPr>
                <w:b/>
              </w:rPr>
            </w:pPr>
            <w:r w:rsidRPr="00FE5299">
              <w:rPr>
                <w:b/>
              </w:rPr>
              <w:t>Net Risk Score:</w:t>
            </w:r>
          </w:p>
        </w:tc>
        <w:tc>
          <w:tcPr>
            <w:tcW w:w="3026" w:type="dxa"/>
            <w:shd w:val="clear" w:color="auto" w:fill="FFC000"/>
          </w:tcPr>
          <w:p w:rsidR="005038A2" w:rsidRPr="00FE5299" w:rsidRDefault="005038A2" w:rsidP="00D4247B">
            <w:pPr>
              <w:rPr>
                <w:b/>
              </w:rPr>
            </w:pPr>
            <w:r w:rsidRPr="00FE5299">
              <w:rPr>
                <w:b/>
                <w:shd w:val="clear" w:color="auto" w:fill="FFC000"/>
              </w:rPr>
              <w:t>8 (High)</w:t>
            </w:r>
          </w:p>
        </w:tc>
      </w:tr>
      <w:tr w:rsidR="005038A2" w:rsidTr="00D4247B">
        <w:tc>
          <w:tcPr>
            <w:tcW w:w="2392" w:type="dxa"/>
          </w:tcPr>
          <w:p w:rsidR="005038A2" w:rsidRPr="00B838A9" w:rsidRDefault="005038A2" w:rsidP="00D4247B">
            <w:pPr>
              <w:rPr>
                <w:b/>
              </w:rPr>
            </w:pPr>
            <w:r w:rsidRPr="00B838A9">
              <w:rPr>
                <w:b/>
              </w:rPr>
              <w:t>Gap in Controls</w:t>
            </w:r>
          </w:p>
        </w:tc>
        <w:tc>
          <w:tcPr>
            <w:tcW w:w="7956" w:type="dxa"/>
            <w:gridSpan w:val="3"/>
          </w:tcPr>
          <w:p w:rsidR="005038A2" w:rsidRDefault="005038A2" w:rsidP="00D4247B"/>
        </w:tc>
      </w:tr>
      <w:tr w:rsidR="005038A2" w:rsidTr="00D4247B">
        <w:tc>
          <w:tcPr>
            <w:tcW w:w="2392" w:type="dxa"/>
          </w:tcPr>
          <w:p w:rsidR="005038A2" w:rsidRPr="00B838A9" w:rsidRDefault="005038A2" w:rsidP="00D4247B">
            <w:pPr>
              <w:rPr>
                <w:b/>
              </w:rPr>
            </w:pPr>
            <w:r w:rsidRPr="00B838A9">
              <w:rPr>
                <w:b/>
              </w:rPr>
              <w:t>Gap in Assurances</w:t>
            </w:r>
          </w:p>
        </w:tc>
        <w:tc>
          <w:tcPr>
            <w:tcW w:w="7956" w:type="dxa"/>
            <w:gridSpan w:val="3"/>
          </w:tcPr>
          <w:p w:rsidR="005038A2" w:rsidRDefault="005038A2" w:rsidP="00D4247B"/>
        </w:tc>
      </w:tr>
    </w:tbl>
    <w:p w:rsidR="005038A2" w:rsidRDefault="005038A2">
      <w:r>
        <w:br w:type="page"/>
      </w:r>
    </w:p>
    <w:tbl>
      <w:tblPr>
        <w:tblStyle w:val="TableGrid"/>
        <w:tblW w:w="10348" w:type="dxa"/>
        <w:tblInd w:w="-459" w:type="dxa"/>
        <w:tblLook w:val="04A0" w:firstRow="1" w:lastRow="0" w:firstColumn="1" w:lastColumn="0" w:noHBand="0" w:noVBand="1"/>
      </w:tblPr>
      <w:tblGrid>
        <w:gridCol w:w="2253"/>
        <w:gridCol w:w="1648"/>
        <w:gridCol w:w="1286"/>
        <w:gridCol w:w="1525"/>
        <w:gridCol w:w="3636"/>
      </w:tblGrid>
      <w:tr w:rsidR="005038A2" w:rsidTr="00D4247B">
        <w:tc>
          <w:tcPr>
            <w:tcW w:w="2253" w:type="dxa"/>
            <w:tcBorders>
              <w:right w:val="nil"/>
            </w:tcBorders>
            <w:shd w:val="clear" w:color="auto" w:fill="8DB3E2" w:themeFill="text2" w:themeFillTint="66"/>
          </w:tcPr>
          <w:p w:rsidR="005038A2" w:rsidRPr="00B838A9" w:rsidRDefault="005038A2" w:rsidP="00D4247B">
            <w:pPr>
              <w:rPr>
                <w:b/>
              </w:rPr>
            </w:pPr>
            <w:r>
              <w:lastRenderedPageBreak/>
              <w:br w:type="page"/>
            </w:r>
            <w:r w:rsidRPr="00B838A9">
              <w:rPr>
                <w:b/>
              </w:rPr>
              <w:t>Actions</w:t>
            </w:r>
          </w:p>
        </w:tc>
        <w:tc>
          <w:tcPr>
            <w:tcW w:w="1648" w:type="dxa"/>
            <w:tcBorders>
              <w:left w:val="nil"/>
            </w:tcBorders>
            <w:shd w:val="clear" w:color="auto" w:fill="8DB3E2" w:themeFill="text2" w:themeFillTint="66"/>
          </w:tcPr>
          <w:p w:rsidR="005038A2" w:rsidRDefault="005038A2" w:rsidP="00D4247B"/>
        </w:tc>
        <w:tc>
          <w:tcPr>
            <w:tcW w:w="1286" w:type="dxa"/>
            <w:shd w:val="clear" w:color="auto" w:fill="8DB3E2" w:themeFill="text2" w:themeFillTint="66"/>
          </w:tcPr>
          <w:p w:rsidR="005038A2" w:rsidRPr="00472358" w:rsidRDefault="005038A2" w:rsidP="00D4247B">
            <w:pPr>
              <w:rPr>
                <w:b/>
              </w:rPr>
            </w:pPr>
            <w:r w:rsidRPr="00472358">
              <w:rPr>
                <w:b/>
              </w:rPr>
              <w:t>Lead</w:t>
            </w:r>
          </w:p>
        </w:tc>
        <w:tc>
          <w:tcPr>
            <w:tcW w:w="1525" w:type="dxa"/>
            <w:shd w:val="clear" w:color="auto" w:fill="8DB3E2" w:themeFill="text2" w:themeFillTint="66"/>
          </w:tcPr>
          <w:p w:rsidR="005038A2" w:rsidRPr="00472358" w:rsidRDefault="005038A2" w:rsidP="00D4247B">
            <w:pPr>
              <w:rPr>
                <w:b/>
              </w:rPr>
            </w:pPr>
            <w:r w:rsidRPr="00472358">
              <w:rPr>
                <w:b/>
              </w:rPr>
              <w:t>By when</w:t>
            </w:r>
          </w:p>
        </w:tc>
        <w:tc>
          <w:tcPr>
            <w:tcW w:w="3636" w:type="dxa"/>
            <w:shd w:val="clear" w:color="auto" w:fill="8DB3E2" w:themeFill="text2" w:themeFillTint="66"/>
          </w:tcPr>
          <w:p w:rsidR="005038A2" w:rsidRDefault="005038A2" w:rsidP="00D4247B">
            <w:r>
              <w:rPr>
                <w:b/>
              </w:rPr>
              <w:t>Update since November 20</w:t>
            </w:r>
          </w:p>
        </w:tc>
      </w:tr>
      <w:tr w:rsidR="005038A2" w:rsidTr="00D4247B">
        <w:tc>
          <w:tcPr>
            <w:tcW w:w="3901" w:type="dxa"/>
            <w:gridSpan w:val="2"/>
          </w:tcPr>
          <w:p w:rsidR="005038A2" w:rsidRDefault="005038A2" w:rsidP="005038A2">
            <w:pPr>
              <w:pStyle w:val="ListParagraph"/>
              <w:numPr>
                <w:ilvl w:val="0"/>
                <w:numId w:val="13"/>
              </w:numPr>
            </w:pPr>
            <w:r>
              <w:t>Learning from Canterbury Model with a Model Experiential Leadership Programme-</w:t>
            </w:r>
          </w:p>
          <w:p w:rsidR="005038A2" w:rsidRDefault="005038A2" w:rsidP="00D4247B">
            <w:pPr>
              <w:pStyle w:val="ListParagraph"/>
            </w:pPr>
            <w:r>
              <w:t>Three Programmes have been developed:</w:t>
            </w:r>
          </w:p>
          <w:p w:rsidR="005038A2" w:rsidRDefault="005038A2" w:rsidP="005038A2">
            <w:pPr>
              <w:pStyle w:val="ListParagraph"/>
              <w:numPr>
                <w:ilvl w:val="0"/>
                <w:numId w:val="18"/>
              </w:numPr>
            </w:pPr>
            <w:r>
              <w:t>Acceler8</w:t>
            </w:r>
          </w:p>
          <w:p w:rsidR="005038A2" w:rsidRDefault="005038A2" w:rsidP="005038A2">
            <w:pPr>
              <w:pStyle w:val="ListParagraph"/>
              <w:numPr>
                <w:ilvl w:val="0"/>
                <w:numId w:val="18"/>
              </w:numPr>
            </w:pPr>
            <w:r>
              <w:t>Integr8</w:t>
            </w:r>
          </w:p>
          <w:p w:rsidR="005038A2" w:rsidRDefault="005038A2" w:rsidP="005038A2">
            <w:pPr>
              <w:pStyle w:val="ListParagraph"/>
              <w:numPr>
                <w:ilvl w:val="0"/>
                <w:numId w:val="18"/>
              </w:numPr>
            </w:pPr>
            <w:r>
              <w:t>Collabor8</w:t>
            </w:r>
          </w:p>
          <w:p w:rsidR="005038A2" w:rsidRDefault="005038A2" w:rsidP="00D4247B">
            <w:pPr>
              <w:pStyle w:val="ListParagraph"/>
              <w:numPr>
                <w:ilvl w:val="0"/>
                <w:numId w:val="18"/>
              </w:numPr>
            </w:pPr>
            <w:r w:rsidRPr="002947F1">
              <w:t>Oper8 (for Directorate Managers or equivalent)</w:t>
            </w:r>
          </w:p>
          <w:p w:rsidR="005038A2" w:rsidRPr="00316D81" w:rsidRDefault="005038A2" w:rsidP="00D4247B">
            <w:pPr>
              <w:rPr>
                <w:color w:val="FF0000"/>
              </w:rPr>
            </w:pPr>
            <w:r>
              <w:rPr>
                <w:color w:val="FF0000"/>
              </w:rPr>
              <w:t>Compassionate and inclusive leadership principles will be at the core of all the programmes</w:t>
            </w:r>
          </w:p>
        </w:tc>
        <w:tc>
          <w:tcPr>
            <w:tcW w:w="1286" w:type="dxa"/>
          </w:tcPr>
          <w:p w:rsidR="005038A2" w:rsidRDefault="005038A2" w:rsidP="00D4247B">
            <w:r>
              <w:t>MD</w:t>
            </w:r>
          </w:p>
        </w:tc>
        <w:tc>
          <w:tcPr>
            <w:tcW w:w="1525" w:type="dxa"/>
          </w:tcPr>
          <w:p w:rsidR="005038A2" w:rsidRDefault="005038A2" w:rsidP="00D4247B"/>
          <w:p w:rsidR="005038A2" w:rsidRDefault="005038A2" w:rsidP="00D4247B"/>
          <w:p w:rsidR="005038A2" w:rsidRDefault="005038A2" w:rsidP="00D4247B"/>
          <w:p w:rsidR="005038A2" w:rsidRDefault="005038A2" w:rsidP="00D4247B"/>
          <w:p w:rsidR="005038A2" w:rsidRDefault="005038A2" w:rsidP="00D4247B"/>
          <w:p w:rsidR="005038A2" w:rsidRDefault="005038A2" w:rsidP="00D4247B"/>
          <w:p w:rsidR="005038A2" w:rsidRPr="00820516" w:rsidRDefault="005038A2" w:rsidP="00D4247B">
            <w:r>
              <w:t>01.04.2021</w:t>
            </w:r>
          </w:p>
        </w:tc>
        <w:tc>
          <w:tcPr>
            <w:tcW w:w="3636" w:type="dxa"/>
          </w:tcPr>
          <w:p w:rsidR="005038A2" w:rsidRPr="002144CF" w:rsidRDefault="005038A2" w:rsidP="00D4247B">
            <w:r w:rsidRPr="002144CF">
              <w:t>Currently all the leadership programmes are on hold due to the recovery phase of covid.</w:t>
            </w:r>
          </w:p>
          <w:p w:rsidR="005038A2" w:rsidRDefault="005038A2" w:rsidP="00D4247B">
            <w:pPr>
              <w:rPr>
                <w:color w:val="FF0000"/>
              </w:rPr>
            </w:pPr>
            <w:r w:rsidRPr="00316D81">
              <w:rPr>
                <w:color w:val="FF0000"/>
              </w:rPr>
              <w:t xml:space="preserve">Intensive learning academy bid was </w:t>
            </w:r>
            <w:r>
              <w:rPr>
                <w:color w:val="FF0000"/>
              </w:rPr>
              <w:t>successful</w:t>
            </w:r>
            <w:r>
              <w:t xml:space="preserve">. </w:t>
            </w:r>
            <w:r w:rsidRPr="00316D81">
              <w:rPr>
                <w:color w:val="FF0000"/>
              </w:rPr>
              <w:t>Part of the bid incorporates leadership development.</w:t>
            </w:r>
          </w:p>
          <w:p w:rsidR="005038A2" w:rsidRPr="00316D81" w:rsidRDefault="005038A2" w:rsidP="00D4247B">
            <w:pPr>
              <w:rPr>
                <w:color w:val="FF0000"/>
              </w:rPr>
            </w:pPr>
            <w:r>
              <w:rPr>
                <w:color w:val="FF0000"/>
              </w:rPr>
              <w:t xml:space="preserve">The current leadership programmes will be reviewed and incorporated into the DHI offerings </w:t>
            </w:r>
          </w:p>
          <w:p w:rsidR="005038A2" w:rsidRPr="00820516" w:rsidRDefault="005038A2" w:rsidP="00D4247B">
            <w:pPr>
              <w:rPr>
                <w:color w:val="FF0000"/>
              </w:rPr>
            </w:pPr>
            <w:r w:rsidRPr="002144CF">
              <w:t>Programmes to restart 2021</w:t>
            </w:r>
          </w:p>
        </w:tc>
      </w:tr>
      <w:tr w:rsidR="005038A2" w:rsidRPr="00EC6ED7" w:rsidTr="00D4247B">
        <w:tc>
          <w:tcPr>
            <w:tcW w:w="3901" w:type="dxa"/>
            <w:gridSpan w:val="2"/>
          </w:tcPr>
          <w:p w:rsidR="005038A2" w:rsidRPr="00525CD8" w:rsidRDefault="005038A2" w:rsidP="005038A2">
            <w:pPr>
              <w:pStyle w:val="ListParagraph"/>
              <w:numPr>
                <w:ilvl w:val="0"/>
                <w:numId w:val="13"/>
              </w:numPr>
            </w:pPr>
            <w:r w:rsidRPr="00525CD8">
              <w:t>Showcase</w:t>
            </w:r>
          </w:p>
        </w:tc>
        <w:tc>
          <w:tcPr>
            <w:tcW w:w="1286" w:type="dxa"/>
          </w:tcPr>
          <w:p w:rsidR="005038A2" w:rsidRPr="00525CD8" w:rsidRDefault="005038A2" w:rsidP="00D4247B">
            <w:r w:rsidRPr="00525CD8">
              <w:t>MD</w:t>
            </w:r>
          </w:p>
        </w:tc>
        <w:tc>
          <w:tcPr>
            <w:tcW w:w="1525" w:type="dxa"/>
          </w:tcPr>
          <w:p w:rsidR="005038A2" w:rsidRPr="00316D81" w:rsidRDefault="005038A2" w:rsidP="00D4247B">
            <w:pPr>
              <w:rPr>
                <w:strike/>
              </w:rPr>
            </w:pPr>
            <w:r w:rsidRPr="00316D81">
              <w:rPr>
                <w:strike/>
              </w:rPr>
              <w:t>31.03.21</w:t>
            </w:r>
          </w:p>
          <w:p w:rsidR="005038A2" w:rsidRPr="00525CD8" w:rsidRDefault="005038A2" w:rsidP="00D4247B">
            <w:r>
              <w:t>From Sept 21</w:t>
            </w:r>
          </w:p>
          <w:p w:rsidR="005038A2" w:rsidRPr="00525CD8" w:rsidRDefault="005038A2" w:rsidP="00D4247B"/>
          <w:p w:rsidR="005038A2" w:rsidRPr="00525CD8" w:rsidRDefault="005038A2" w:rsidP="00D4247B"/>
          <w:p w:rsidR="005038A2" w:rsidRPr="00525CD8" w:rsidRDefault="005038A2" w:rsidP="00D4247B"/>
          <w:p w:rsidR="005038A2" w:rsidRPr="00525CD8" w:rsidRDefault="005038A2" w:rsidP="00D4247B"/>
        </w:tc>
        <w:tc>
          <w:tcPr>
            <w:tcW w:w="3636" w:type="dxa"/>
          </w:tcPr>
          <w:p w:rsidR="005038A2" w:rsidRDefault="005038A2" w:rsidP="00D4247B">
            <w:r>
              <w:t>V</w:t>
            </w:r>
            <w:r w:rsidRPr="00525CD8">
              <w:t xml:space="preserve">irtual showcase now being considered and linking with the Clinical Service Redesign and exploring catering for bigger numbers </w:t>
            </w:r>
          </w:p>
          <w:p w:rsidR="005038A2" w:rsidRDefault="005038A2" w:rsidP="00D4247B">
            <w:pPr>
              <w:rPr>
                <w:color w:val="FF0000"/>
              </w:rPr>
            </w:pPr>
            <w:r>
              <w:rPr>
                <w:color w:val="FF0000"/>
              </w:rPr>
              <w:t>Virtual showcase – Engagement for the case for change. The design of the showcase will be aligned with Shaping our clinical services. Approval agreed in ME in Feb 2021. Tender submitted March 2021</w:t>
            </w:r>
          </w:p>
          <w:p w:rsidR="005038A2" w:rsidRPr="00316D81" w:rsidRDefault="005038A2" w:rsidP="00D4247B">
            <w:pPr>
              <w:rPr>
                <w:color w:val="FF0000"/>
              </w:rPr>
            </w:pPr>
            <w:r>
              <w:rPr>
                <w:color w:val="FF0000"/>
              </w:rPr>
              <w:t>Launch of Virtual Showcase Sept 2021</w:t>
            </w:r>
          </w:p>
        </w:tc>
      </w:tr>
      <w:tr w:rsidR="005038A2" w:rsidRPr="007D67EF" w:rsidTr="00D4247B">
        <w:tc>
          <w:tcPr>
            <w:tcW w:w="3901" w:type="dxa"/>
            <w:gridSpan w:val="2"/>
          </w:tcPr>
          <w:p w:rsidR="005038A2" w:rsidRDefault="005038A2" w:rsidP="005038A2">
            <w:pPr>
              <w:pStyle w:val="ListParagraph"/>
              <w:numPr>
                <w:ilvl w:val="0"/>
                <w:numId w:val="13"/>
              </w:numPr>
            </w:pPr>
            <w:r>
              <w:t>Equality, Diversity and Inclusion</w:t>
            </w:r>
          </w:p>
          <w:p w:rsidR="005038A2" w:rsidRDefault="005038A2" w:rsidP="00D4247B">
            <w:pPr>
              <w:pStyle w:val="ListParagraph"/>
            </w:pPr>
          </w:p>
          <w:p w:rsidR="005038A2" w:rsidRDefault="005038A2" w:rsidP="00D4247B">
            <w:pPr>
              <w:pStyle w:val="ListParagraph"/>
            </w:pPr>
          </w:p>
          <w:p w:rsidR="005038A2" w:rsidRDefault="005038A2" w:rsidP="00D4247B">
            <w:pPr>
              <w:pStyle w:val="ListParagraph"/>
            </w:pPr>
          </w:p>
          <w:p w:rsidR="005038A2" w:rsidRDefault="005038A2" w:rsidP="00D4247B"/>
          <w:p w:rsidR="005038A2" w:rsidRDefault="005038A2" w:rsidP="00D4247B"/>
          <w:p w:rsidR="005038A2" w:rsidRDefault="005038A2" w:rsidP="00D4247B"/>
          <w:p w:rsidR="005038A2" w:rsidRDefault="005038A2" w:rsidP="00D4247B">
            <w:pPr>
              <w:pStyle w:val="ListParagraph"/>
            </w:pPr>
            <w:r w:rsidRPr="00317FF3">
              <w:t>Welsh Language Standard being implemented.</w:t>
            </w:r>
          </w:p>
          <w:p w:rsidR="005038A2" w:rsidRDefault="005038A2" w:rsidP="00D4247B"/>
          <w:p w:rsidR="005038A2" w:rsidRDefault="005038A2" w:rsidP="00D4247B"/>
          <w:p w:rsidR="005038A2" w:rsidRPr="00317FF3" w:rsidRDefault="005038A2" w:rsidP="00D4247B">
            <w:pPr>
              <w:pStyle w:val="ListParagraph"/>
            </w:pPr>
            <w:r w:rsidRPr="00316D81">
              <w:rPr>
                <w:color w:val="FF0000"/>
              </w:rPr>
              <w:t>Inclusion - Nine protected Characteristics</w:t>
            </w:r>
          </w:p>
        </w:tc>
        <w:tc>
          <w:tcPr>
            <w:tcW w:w="1286" w:type="dxa"/>
          </w:tcPr>
          <w:p w:rsidR="005038A2" w:rsidRPr="00317FF3" w:rsidRDefault="005038A2" w:rsidP="00D4247B">
            <w:r w:rsidRPr="00317FF3">
              <w:t>MD</w:t>
            </w:r>
          </w:p>
        </w:tc>
        <w:tc>
          <w:tcPr>
            <w:tcW w:w="1525" w:type="dxa"/>
          </w:tcPr>
          <w:p w:rsidR="005038A2" w:rsidRPr="00317FF3" w:rsidRDefault="005038A2" w:rsidP="00D4247B">
            <w:r>
              <w:t>From 14.12.20</w:t>
            </w:r>
          </w:p>
        </w:tc>
        <w:tc>
          <w:tcPr>
            <w:tcW w:w="3636" w:type="dxa"/>
          </w:tcPr>
          <w:p w:rsidR="005038A2" w:rsidRDefault="005038A2" w:rsidP="00D4247B">
            <w:r w:rsidRPr="00525CD8">
              <w:t xml:space="preserve">Equality Strategy Welsh Language Group </w:t>
            </w:r>
            <w:r>
              <w:rPr>
                <w:color w:val="FF0000"/>
              </w:rPr>
              <w:t>is taking place</w:t>
            </w:r>
            <w:r>
              <w:t xml:space="preserve"> on a bi</w:t>
            </w:r>
            <w:r w:rsidRPr="00525CD8">
              <w:t xml:space="preserve"> monthly basis with senior leaders across the organisation</w:t>
            </w:r>
            <w:r>
              <w:t xml:space="preserve"> who can influence this agenda</w:t>
            </w:r>
          </w:p>
          <w:p w:rsidR="005038A2" w:rsidRPr="00316D81" w:rsidRDefault="005038A2" w:rsidP="00D4247B">
            <w:r w:rsidRPr="00525CD8">
              <w:t xml:space="preserve">Two Welsh Language translators now recruited. </w:t>
            </w:r>
            <w:r>
              <w:t>–</w:t>
            </w:r>
            <w:r w:rsidRPr="00525CD8">
              <w:t xml:space="preserve"> </w:t>
            </w:r>
            <w:r w:rsidRPr="00525CD8">
              <w:rPr>
                <w:color w:val="FF0000"/>
              </w:rPr>
              <w:t>complete</w:t>
            </w:r>
            <w:r>
              <w:rPr>
                <w:color w:val="FF0000"/>
              </w:rPr>
              <w:t xml:space="preserve"> and fully operational</w:t>
            </w:r>
          </w:p>
          <w:p w:rsidR="005038A2" w:rsidRDefault="005038A2" w:rsidP="00D4247B">
            <w:pPr>
              <w:rPr>
                <w:color w:val="FF0000"/>
              </w:rPr>
            </w:pPr>
            <w:r w:rsidRPr="005038A2">
              <w:rPr>
                <w:color w:val="FF0000"/>
              </w:rPr>
              <w:t>All 9 protected characteristics including Welsh language are sponsored by an Executive and an independent member</w:t>
            </w:r>
            <w:r>
              <w:rPr>
                <w:color w:val="FF0000"/>
              </w:rPr>
              <w:t>.</w:t>
            </w:r>
          </w:p>
          <w:p w:rsidR="005038A2" w:rsidRDefault="005038A2" w:rsidP="00D4247B">
            <w:pPr>
              <w:rPr>
                <w:color w:val="FF0000"/>
              </w:rPr>
            </w:pPr>
            <w:r w:rsidRPr="005038A2">
              <w:rPr>
                <w:color w:val="FF0000"/>
              </w:rPr>
              <w:t xml:space="preserve">An emphasis on engagement, leadership and recruitment with </w:t>
            </w:r>
            <w:r>
              <w:rPr>
                <w:color w:val="FF0000"/>
              </w:rPr>
              <w:t>be prioritised in 2021 with an action plan / outcomes to be achieved.</w:t>
            </w:r>
          </w:p>
          <w:p w:rsidR="005038A2" w:rsidRPr="00316D81" w:rsidRDefault="005038A2" w:rsidP="00D4247B">
            <w:pPr>
              <w:rPr>
                <w:color w:val="FF0000"/>
              </w:rPr>
            </w:pPr>
            <w:r w:rsidRPr="005038A2">
              <w:rPr>
                <w:color w:val="FF0000"/>
              </w:rPr>
              <w:t>The development and dialogue is happening regarding individuals with learning disabilities gaining work experience in a structure approach plan 2022. In collaboration with project Search</w:t>
            </w:r>
          </w:p>
          <w:p w:rsidR="005038A2" w:rsidRDefault="005038A2" w:rsidP="00D4247B">
            <w:pPr>
              <w:rPr>
                <w:color w:val="FF0000"/>
              </w:rPr>
            </w:pPr>
            <w:r w:rsidRPr="005038A2">
              <w:rPr>
                <w:color w:val="FF0000"/>
              </w:rPr>
              <w:t>The successful bid to be a direct employer for KICKSTART a WG initiative to assist 16 – 24 year olds to gain employed work for 6 months</w:t>
            </w:r>
            <w:r>
              <w:rPr>
                <w:color w:val="FF0000"/>
              </w:rPr>
              <w:t>. Initiative starts April 2021</w:t>
            </w:r>
          </w:p>
          <w:p w:rsidR="005038A2" w:rsidRPr="005038A2" w:rsidRDefault="005038A2" w:rsidP="00D4247B">
            <w:pPr>
              <w:rPr>
                <w:color w:val="FF0000"/>
              </w:rPr>
            </w:pPr>
            <w:r w:rsidRPr="005038A2">
              <w:rPr>
                <w:color w:val="FF0000"/>
              </w:rPr>
              <w:t xml:space="preserve">Current aging profile </w:t>
            </w:r>
            <w:r>
              <w:rPr>
                <w:color w:val="FF0000"/>
              </w:rPr>
              <w:t xml:space="preserve">for the UHB </w:t>
            </w:r>
            <w:r w:rsidRPr="005038A2">
              <w:rPr>
                <w:color w:val="FF0000"/>
              </w:rPr>
              <w:t>Feb 2021 (head count)</w:t>
            </w:r>
          </w:p>
          <w:tbl>
            <w:tblPr>
              <w:tblW w:w="3420" w:type="dxa"/>
              <w:tblLook w:val="04A0" w:firstRow="1" w:lastRow="0" w:firstColumn="1" w:lastColumn="0" w:noHBand="0" w:noVBand="1"/>
            </w:tblPr>
            <w:tblGrid>
              <w:gridCol w:w="1180"/>
              <w:gridCol w:w="1120"/>
              <w:gridCol w:w="1120"/>
            </w:tblGrid>
            <w:tr w:rsidR="005038A2" w:rsidRPr="00743C5B" w:rsidTr="00D4247B">
              <w:trPr>
                <w:trHeight w:val="300"/>
              </w:trPr>
              <w:tc>
                <w:tcPr>
                  <w:tcW w:w="1180" w:type="dxa"/>
                  <w:tcBorders>
                    <w:top w:val="nil"/>
                    <w:left w:val="nil"/>
                    <w:bottom w:val="nil"/>
                    <w:right w:val="nil"/>
                  </w:tcBorders>
                  <w:shd w:val="clear" w:color="auto" w:fill="auto"/>
                  <w:noWrap/>
                  <w:vAlign w:val="bottom"/>
                  <w:hideMark/>
                </w:tcPr>
                <w:p w:rsidR="005038A2" w:rsidRPr="00316D81" w:rsidRDefault="005038A2" w:rsidP="00D4247B">
                  <w:pPr>
                    <w:spacing w:after="0" w:line="240" w:lineRule="auto"/>
                    <w:rPr>
                      <w:rFonts w:ascii="Calibri" w:eastAsia="Times New Roman" w:hAnsi="Calibri" w:cs="Calibri"/>
                      <w:color w:val="FF0000"/>
                      <w:lang w:eastAsia="en-GB"/>
                    </w:rPr>
                  </w:pPr>
                  <w:r w:rsidRPr="00316D81">
                    <w:rPr>
                      <w:rFonts w:ascii="Calibri" w:eastAsia="Times New Roman" w:hAnsi="Calibri" w:cs="Calibri"/>
                      <w:color w:val="FF0000"/>
                      <w:lang w:eastAsia="en-GB"/>
                    </w:rPr>
                    <w:t>&lt;=20 yrs</w:t>
                  </w:r>
                </w:p>
              </w:tc>
              <w:tc>
                <w:tcPr>
                  <w:tcW w:w="1120" w:type="dxa"/>
                  <w:tcBorders>
                    <w:top w:val="nil"/>
                    <w:left w:val="nil"/>
                    <w:bottom w:val="nil"/>
                    <w:right w:val="nil"/>
                  </w:tcBorders>
                  <w:shd w:val="clear" w:color="auto" w:fill="auto"/>
                  <w:noWrap/>
                  <w:vAlign w:val="bottom"/>
                  <w:hideMark/>
                </w:tcPr>
                <w:p w:rsidR="005038A2" w:rsidRPr="00316D81" w:rsidRDefault="005038A2" w:rsidP="00D4247B">
                  <w:pPr>
                    <w:spacing w:after="0" w:line="240" w:lineRule="auto"/>
                    <w:jc w:val="right"/>
                    <w:rPr>
                      <w:rFonts w:ascii="Calibri" w:eastAsia="Times New Roman" w:hAnsi="Calibri" w:cs="Calibri"/>
                      <w:color w:val="FF0000"/>
                      <w:lang w:eastAsia="en-GB"/>
                    </w:rPr>
                  </w:pPr>
                  <w:r w:rsidRPr="00316D81">
                    <w:rPr>
                      <w:rFonts w:ascii="Calibri" w:eastAsia="Times New Roman" w:hAnsi="Calibri" w:cs="Calibri"/>
                      <w:color w:val="FF0000"/>
                      <w:lang w:eastAsia="en-GB"/>
                    </w:rPr>
                    <w:t>86</w:t>
                  </w:r>
                </w:p>
              </w:tc>
              <w:tc>
                <w:tcPr>
                  <w:tcW w:w="1120" w:type="dxa"/>
                  <w:tcBorders>
                    <w:top w:val="nil"/>
                    <w:left w:val="nil"/>
                    <w:bottom w:val="nil"/>
                    <w:right w:val="nil"/>
                  </w:tcBorders>
                  <w:shd w:val="clear" w:color="auto" w:fill="auto"/>
                  <w:noWrap/>
                  <w:vAlign w:val="bottom"/>
                  <w:hideMark/>
                </w:tcPr>
                <w:p w:rsidR="005038A2" w:rsidRPr="00316D81" w:rsidRDefault="005038A2" w:rsidP="00D4247B">
                  <w:pPr>
                    <w:spacing w:after="0" w:line="240" w:lineRule="auto"/>
                    <w:jc w:val="right"/>
                    <w:rPr>
                      <w:rFonts w:ascii="Calibri" w:eastAsia="Times New Roman" w:hAnsi="Calibri" w:cs="Calibri"/>
                      <w:color w:val="FF0000"/>
                      <w:lang w:eastAsia="en-GB"/>
                    </w:rPr>
                  </w:pPr>
                  <w:r w:rsidRPr="00316D81">
                    <w:rPr>
                      <w:rFonts w:ascii="Calibri" w:eastAsia="Times New Roman" w:hAnsi="Calibri" w:cs="Calibri"/>
                      <w:color w:val="FF0000"/>
                      <w:lang w:eastAsia="en-GB"/>
                    </w:rPr>
                    <w:t>0.55%</w:t>
                  </w:r>
                </w:p>
              </w:tc>
            </w:tr>
            <w:tr w:rsidR="005038A2" w:rsidRPr="00743C5B" w:rsidTr="00D4247B">
              <w:trPr>
                <w:trHeight w:val="300"/>
              </w:trPr>
              <w:tc>
                <w:tcPr>
                  <w:tcW w:w="1180" w:type="dxa"/>
                  <w:tcBorders>
                    <w:top w:val="nil"/>
                    <w:left w:val="nil"/>
                    <w:bottom w:val="nil"/>
                    <w:right w:val="nil"/>
                  </w:tcBorders>
                  <w:shd w:val="clear" w:color="auto" w:fill="auto"/>
                  <w:noWrap/>
                  <w:vAlign w:val="bottom"/>
                  <w:hideMark/>
                </w:tcPr>
                <w:p w:rsidR="005038A2" w:rsidRPr="00316D81" w:rsidRDefault="005038A2" w:rsidP="00D4247B">
                  <w:pPr>
                    <w:spacing w:after="0" w:line="240" w:lineRule="auto"/>
                    <w:rPr>
                      <w:rFonts w:ascii="Calibri" w:eastAsia="Times New Roman" w:hAnsi="Calibri" w:cs="Calibri"/>
                      <w:color w:val="FF0000"/>
                      <w:lang w:eastAsia="en-GB"/>
                    </w:rPr>
                  </w:pPr>
                  <w:r w:rsidRPr="00316D81">
                    <w:rPr>
                      <w:rFonts w:ascii="Calibri" w:eastAsia="Times New Roman" w:hAnsi="Calibri" w:cs="Calibri"/>
                      <w:color w:val="FF0000"/>
                      <w:lang w:eastAsia="en-GB"/>
                    </w:rPr>
                    <w:t>21-25</w:t>
                  </w:r>
                </w:p>
              </w:tc>
              <w:tc>
                <w:tcPr>
                  <w:tcW w:w="1120" w:type="dxa"/>
                  <w:tcBorders>
                    <w:top w:val="nil"/>
                    <w:left w:val="nil"/>
                    <w:bottom w:val="nil"/>
                    <w:right w:val="nil"/>
                  </w:tcBorders>
                  <w:shd w:val="clear" w:color="auto" w:fill="auto"/>
                  <w:noWrap/>
                  <w:vAlign w:val="bottom"/>
                  <w:hideMark/>
                </w:tcPr>
                <w:p w:rsidR="005038A2" w:rsidRPr="00316D81" w:rsidRDefault="005038A2" w:rsidP="00D4247B">
                  <w:pPr>
                    <w:spacing w:after="0" w:line="240" w:lineRule="auto"/>
                    <w:jc w:val="right"/>
                    <w:rPr>
                      <w:rFonts w:ascii="Calibri" w:eastAsia="Times New Roman" w:hAnsi="Calibri" w:cs="Calibri"/>
                      <w:color w:val="FF0000"/>
                      <w:lang w:eastAsia="en-GB"/>
                    </w:rPr>
                  </w:pPr>
                  <w:r w:rsidRPr="00316D81">
                    <w:rPr>
                      <w:rFonts w:ascii="Calibri" w:eastAsia="Times New Roman" w:hAnsi="Calibri" w:cs="Calibri"/>
                      <w:color w:val="FF0000"/>
                      <w:lang w:eastAsia="en-GB"/>
                    </w:rPr>
                    <w:t>1084</w:t>
                  </w:r>
                </w:p>
              </w:tc>
              <w:tc>
                <w:tcPr>
                  <w:tcW w:w="1120" w:type="dxa"/>
                  <w:tcBorders>
                    <w:top w:val="nil"/>
                    <w:left w:val="nil"/>
                    <w:bottom w:val="nil"/>
                    <w:right w:val="nil"/>
                  </w:tcBorders>
                  <w:shd w:val="clear" w:color="auto" w:fill="auto"/>
                  <w:noWrap/>
                  <w:vAlign w:val="bottom"/>
                  <w:hideMark/>
                </w:tcPr>
                <w:p w:rsidR="005038A2" w:rsidRPr="00316D81" w:rsidRDefault="005038A2" w:rsidP="00D4247B">
                  <w:pPr>
                    <w:spacing w:after="0" w:line="240" w:lineRule="auto"/>
                    <w:jc w:val="right"/>
                    <w:rPr>
                      <w:rFonts w:ascii="Calibri" w:eastAsia="Times New Roman" w:hAnsi="Calibri" w:cs="Calibri"/>
                      <w:color w:val="FF0000"/>
                      <w:lang w:eastAsia="en-GB"/>
                    </w:rPr>
                  </w:pPr>
                  <w:r w:rsidRPr="00316D81">
                    <w:rPr>
                      <w:rFonts w:ascii="Calibri" w:eastAsia="Times New Roman" w:hAnsi="Calibri" w:cs="Calibri"/>
                      <w:color w:val="FF0000"/>
                      <w:lang w:eastAsia="en-GB"/>
                    </w:rPr>
                    <w:t>6.88%</w:t>
                  </w:r>
                </w:p>
              </w:tc>
            </w:tr>
          </w:tbl>
          <w:p w:rsidR="005038A2" w:rsidRPr="00525CD8" w:rsidRDefault="005038A2" w:rsidP="00D4247B"/>
        </w:tc>
      </w:tr>
      <w:tr w:rsidR="005038A2" w:rsidRPr="00F8160E" w:rsidTr="00D4247B">
        <w:tc>
          <w:tcPr>
            <w:tcW w:w="3901" w:type="dxa"/>
            <w:gridSpan w:val="2"/>
          </w:tcPr>
          <w:p w:rsidR="005038A2" w:rsidRPr="00525CD8" w:rsidRDefault="005038A2" w:rsidP="005038A2">
            <w:pPr>
              <w:pStyle w:val="ListParagraph"/>
              <w:numPr>
                <w:ilvl w:val="0"/>
                <w:numId w:val="13"/>
              </w:numPr>
            </w:pPr>
            <w:r w:rsidRPr="00525CD8">
              <w:lastRenderedPageBreak/>
              <w:t>Proactive Wellbeing intervention</w:t>
            </w:r>
          </w:p>
        </w:tc>
        <w:tc>
          <w:tcPr>
            <w:tcW w:w="1286" w:type="dxa"/>
          </w:tcPr>
          <w:p w:rsidR="005038A2" w:rsidRPr="00525CD8" w:rsidRDefault="005038A2" w:rsidP="00D4247B">
            <w:r w:rsidRPr="00525CD8">
              <w:t>MD</w:t>
            </w:r>
          </w:p>
        </w:tc>
        <w:tc>
          <w:tcPr>
            <w:tcW w:w="1525" w:type="dxa"/>
          </w:tcPr>
          <w:p w:rsidR="005038A2" w:rsidRPr="00525CD8" w:rsidRDefault="005038A2" w:rsidP="00D4247B">
            <w:r w:rsidRPr="00525CD8">
              <w:t>Immediate</w:t>
            </w:r>
          </w:p>
        </w:tc>
        <w:tc>
          <w:tcPr>
            <w:tcW w:w="3636" w:type="dxa"/>
          </w:tcPr>
          <w:p w:rsidR="005038A2" w:rsidRDefault="005038A2" w:rsidP="00D4247B">
            <w:pPr>
              <w:rPr>
                <w:color w:val="FF0000"/>
              </w:rPr>
            </w:pPr>
            <w:r>
              <w:rPr>
                <w:color w:val="FF0000"/>
              </w:rPr>
              <w:t xml:space="preserve">A strategic </w:t>
            </w:r>
            <w:r w:rsidRPr="00316D81">
              <w:rPr>
                <w:color w:val="FF0000"/>
              </w:rPr>
              <w:t>wellbeing</w:t>
            </w:r>
            <w:r w:rsidRPr="00525CD8">
              <w:t xml:space="preserve"> Group </w:t>
            </w:r>
            <w:r>
              <w:rPr>
                <w:color w:val="FF0000"/>
              </w:rPr>
              <w:t>runs monthly chaired by the interim Executive Director of Workforce .</w:t>
            </w:r>
          </w:p>
          <w:p w:rsidR="005038A2" w:rsidRDefault="005038A2" w:rsidP="00D4247B">
            <w:pPr>
              <w:rPr>
                <w:color w:val="FF0000"/>
              </w:rPr>
            </w:pPr>
            <w:r>
              <w:rPr>
                <w:color w:val="FF0000"/>
              </w:rPr>
              <w:t>Three new staff haven s are now in place with refreshment facilities close by for staff to gain some rest and head space.</w:t>
            </w:r>
          </w:p>
          <w:p w:rsidR="005038A2" w:rsidRDefault="005038A2" w:rsidP="00D4247B">
            <w:pPr>
              <w:rPr>
                <w:color w:val="FF0000"/>
              </w:rPr>
            </w:pPr>
            <w:r>
              <w:rPr>
                <w:color w:val="FF0000"/>
              </w:rPr>
              <w:t xml:space="preserve">A trial for Click and deliver is commencing in UHL with an intent to spread to UHW. This will allow staff to order their refreshments in a timely way closer to the clinical environment. This service need was highlighted by clinicians but is open for all staff. </w:t>
            </w:r>
          </w:p>
          <w:p w:rsidR="005038A2" w:rsidRDefault="005038A2" w:rsidP="00D4247B">
            <w:pPr>
              <w:rPr>
                <w:color w:val="FF0000"/>
              </w:rPr>
            </w:pPr>
            <w:r>
              <w:rPr>
                <w:color w:val="FF0000"/>
              </w:rPr>
              <w:t>The wellbeing service has recruited wellbeing coordinators to educate and work closer with the operational staff throughout the UHB</w:t>
            </w:r>
          </w:p>
          <w:p w:rsidR="005038A2" w:rsidRDefault="005038A2" w:rsidP="00D4247B">
            <w:pPr>
              <w:rPr>
                <w:color w:val="FF0000"/>
              </w:rPr>
            </w:pPr>
            <w:r>
              <w:rPr>
                <w:color w:val="FF0000"/>
              </w:rPr>
              <w:t xml:space="preserve">The wellbeing service / Psychologists and the recovery college are working in collaboration, to ensure they are aligned. </w:t>
            </w:r>
          </w:p>
          <w:p w:rsidR="005038A2" w:rsidRDefault="005038A2" w:rsidP="00D4247B">
            <w:pPr>
              <w:rPr>
                <w:color w:val="FF0000"/>
              </w:rPr>
            </w:pPr>
            <w:r>
              <w:rPr>
                <w:color w:val="FF0000"/>
              </w:rPr>
              <w:t>A resource pack is available with multi-faceted wellbeing offerings for all staff both internally and sign posting relevant external support.</w:t>
            </w:r>
          </w:p>
          <w:p w:rsidR="005038A2" w:rsidRPr="005038A2" w:rsidRDefault="005038A2" w:rsidP="00D4247B">
            <w:pPr>
              <w:rPr>
                <w:color w:val="FF0000"/>
              </w:rPr>
            </w:pPr>
            <w:r>
              <w:rPr>
                <w:color w:val="FF0000"/>
              </w:rPr>
              <w:t>A proposal is being designed about the recovery phase post covid to support staff who are tired and exhausted. This will being looking at self-care elements at different scales.</w:t>
            </w:r>
          </w:p>
        </w:tc>
      </w:tr>
      <w:tr w:rsidR="005038A2" w:rsidRPr="00F8160E" w:rsidTr="00D4247B">
        <w:tc>
          <w:tcPr>
            <w:tcW w:w="3901" w:type="dxa"/>
            <w:gridSpan w:val="2"/>
          </w:tcPr>
          <w:p w:rsidR="005038A2" w:rsidRPr="00525CD8" w:rsidRDefault="005038A2" w:rsidP="005038A2">
            <w:pPr>
              <w:pStyle w:val="ListParagraph"/>
              <w:numPr>
                <w:ilvl w:val="0"/>
                <w:numId w:val="13"/>
              </w:numPr>
            </w:pPr>
            <w:r w:rsidRPr="00525CD8">
              <w:t>CAV Convention</w:t>
            </w:r>
          </w:p>
        </w:tc>
        <w:tc>
          <w:tcPr>
            <w:tcW w:w="1286" w:type="dxa"/>
          </w:tcPr>
          <w:p w:rsidR="005038A2" w:rsidRPr="00525CD8" w:rsidRDefault="005038A2" w:rsidP="00D4247B">
            <w:r w:rsidRPr="00525CD8">
              <w:t>MD</w:t>
            </w:r>
          </w:p>
        </w:tc>
        <w:tc>
          <w:tcPr>
            <w:tcW w:w="1525" w:type="dxa"/>
          </w:tcPr>
          <w:p w:rsidR="005038A2" w:rsidRPr="00525CD8" w:rsidRDefault="005038A2" w:rsidP="00D4247B">
            <w:r w:rsidRPr="00525CD8">
              <w:t>From 12.11.20</w:t>
            </w:r>
          </w:p>
        </w:tc>
        <w:tc>
          <w:tcPr>
            <w:tcW w:w="3636" w:type="dxa"/>
          </w:tcPr>
          <w:p w:rsidR="005038A2" w:rsidRPr="00316D81" w:rsidRDefault="005038A2" w:rsidP="005038A2">
            <w:pPr>
              <w:rPr>
                <w:rFonts w:cs="Arial"/>
                <w:b/>
                <w:bCs/>
                <w:color w:val="FF0000"/>
              </w:rPr>
            </w:pPr>
            <w:r w:rsidRPr="00525CD8">
              <w:rPr>
                <w:rFonts w:cs="Arial"/>
              </w:rPr>
              <w:t>The CAV Convention is clinically-led and is based on the values of the Health Board. It makes it easier for clinicians to do their jobs through rapid and agile change, flexible working, unlocking resources such as budgets and staff, and more productive relationships between staff members with the needs of the patient at the heart</w:t>
            </w:r>
            <w:r w:rsidRPr="00525CD8">
              <w:rPr>
                <w:rFonts w:cs="Arial"/>
                <w:shd w:val="clear" w:color="auto" w:fill="FAF9F8"/>
              </w:rPr>
              <w:t xml:space="preserve"> of </w:t>
            </w:r>
            <w:r w:rsidRPr="00525CD8">
              <w:rPr>
                <w:rFonts w:cs="Arial"/>
              </w:rPr>
              <w:t xml:space="preserve">everything.  Proposal being presented to Management Executive 12.11.20 – </w:t>
            </w:r>
            <w:r w:rsidRPr="00525CD8">
              <w:rPr>
                <w:rFonts w:cs="Arial"/>
                <w:color w:val="FF0000"/>
              </w:rPr>
              <w:t xml:space="preserve">Complete – proposing CAV convention conference in the </w:t>
            </w:r>
            <w:r>
              <w:rPr>
                <w:rFonts w:cs="Arial"/>
                <w:color w:val="FF0000"/>
              </w:rPr>
              <w:t>May 2021</w:t>
            </w:r>
            <w:r w:rsidRPr="00525CD8">
              <w:rPr>
                <w:rFonts w:cs="Arial"/>
                <w:color w:val="FF0000"/>
              </w:rPr>
              <w:t xml:space="preserve"> to showcase clinical group progression</w:t>
            </w:r>
            <w:r>
              <w:rPr>
                <w:rFonts w:cs="Arial"/>
                <w:color w:val="FF0000"/>
              </w:rPr>
              <w:t xml:space="preserve"> and to formally launch the CAV convention into the health system.</w:t>
            </w:r>
          </w:p>
        </w:tc>
      </w:tr>
      <w:tr w:rsidR="005038A2" w:rsidRPr="00FE5299" w:rsidTr="00D4247B">
        <w:tc>
          <w:tcPr>
            <w:tcW w:w="3901" w:type="dxa"/>
            <w:gridSpan w:val="2"/>
          </w:tcPr>
          <w:p w:rsidR="005038A2" w:rsidRPr="00FE5299" w:rsidRDefault="005038A2" w:rsidP="00D4247B">
            <w:pPr>
              <w:rPr>
                <w:b/>
              </w:rPr>
            </w:pPr>
            <w:r w:rsidRPr="00FE5299">
              <w:rPr>
                <w:b/>
              </w:rPr>
              <w:t>Impact Score: 4</w:t>
            </w:r>
          </w:p>
        </w:tc>
        <w:tc>
          <w:tcPr>
            <w:tcW w:w="1286" w:type="dxa"/>
          </w:tcPr>
          <w:p w:rsidR="005038A2" w:rsidRPr="00FE5299" w:rsidRDefault="005038A2" w:rsidP="00D4247B">
            <w:pPr>
              <w:rPr>
                <w:b/>
              </w:rPr>
            </w:pPr>
            <w:r w:rsidRPr="00FE5299">
              <w:rPr>
                <w:b/>
              </w:rPr>
              <w:t>Likelihood Score:  1</w:t>
            </w:r>
          </w:p>
        </w:tc>
        <w:tc>
          <w:tcPr>
            <w:tcW w:w="1525" w:type="dxa"/>
          </w:tcPr>
          <w:p w:rsidR="005038A2" w:rsidRPr="00FE5299" w:rsidRDefault="005038A2" w:rsidP="00D4247B">
            <w:pPr>
              <w:rPr>
                <w:b/>
              </w:rPr>
            </w:pPr>
            <w:r w:rsidRPr="00FE5299">
              <w:rPr>
                <w:b/>
              </w:rPr>
              <w:t>Target  Risk Score:</w:t>
            </w:r>
          </w:p>
        </w:tc>
        <w:tc>
          <w:tcPr>
            <w:tcW w:w="3636" w:type="dxa"/>
            <w:shd w:val="clear" w:color="auto" w:fill="FFFF00"/>
          </w:tcPr>
          <w:p w:rsidR="005038A2" w:rsidRPr="00FE5299" w:rsidRDefault="005038A2" w:rsidP="00D4247B">
            <w:pPr>
              <w:rPr>
                <w:b/>
              </w:rPr>
            </w:pPr>
            <w:r w:rsidRPr="00FE5299">
              <w:rPr>
                <w:b/>
              </w:rPr>
              <w:t>4(</w:t>
            </w:r>
            <w:r>
              <w:rPr>
                <w:b/>
              </w:rPr>
              <w:t>Moderate</w:t>
            </w:r>
            <w:r w:rsidRPr="00FE5299">
              <w:rPr>
                <w:b/>
              </w:rPr>
              <w:t>)</w:t>
            </w:r>
          </w:p>
        </w:tc>
      </w:tr>
    </w:tbl>
    <w:p w:rsidR="005038A2" w:rsidRPr="005038A2" w:rsidRDefault="005038A2" w:rsidP="005038A2">
      <w:pPr>
        <w:rPr>
          <w:b/>
        </w:rPr>
      </w:pPr>
      <w:r>
        <w:br w:type="page"/>
      </w:r>
    </w:p>
    <w:p w:rsidR="00F75121" w:rsidRPr="003A7EC1" w:rsidRDefault="003A7EC1" w:rsidP="003A7EC1">
      <w:pPr>
        <w:rPr>
          <w:b/>
        </w:rPr>
      </w:pPr>
      <w:r w:rsidRPr="003A7EC1">
        <w:rPr>
          <w:b/>
        </w:rPr>
        <w:lastRenderedPageBreak/>
        <w:t>6.</w:t>
      </w:r>
      <w:r>
        <w:rPr>
          <w:b/>
        </w:rPr>
        <w:t xml:space="preserve">  </w:t>
      </w:r>
      <w:r w:rsidR="00224E51" w:rsidRPr="003A7EC1">
        <w:rPr>
          <w:b/>
        </w:rPr>
        <w:t>Capital Assets (</w:t>
      </w:r>
      <w:r w:rsidR="00571D7C" w:rsidRPr="003A7EC1">
        <w:rPr>
          <w:b/>
        </w:rPr>
        <w:t>Estates</w:t>
      </w:r>
      <w:r w:rsidR="00224E51" w:rsidRPr="003A7EC1">
        <w:rPr>
          <w:b/>
        </w:rPr>
        <w:t>, IT Infrastructure, Medical Devices)</w:t>
      </w:r>
      <w:r w:rsidR="00530294">
        <w:rPr>
          <w:b/>
        </w:rPr>
        <w:t xml:space="preserve"> – Lead Executive Abigail Harris</w:t>
      </w:r>
    </w:p>
    <w:p w:rsidR="00F75121" w:rsidRPr="009B640E" w:rsidRDefault="00627D9A" w:rsidP="00293A06">
      <w:pPr>
        <w:ind w:left="-567"/>
      </w:pPr>
      <w:r>
        <w:t>The UHB delivers services through a number of buildings across Cardiff and the Vale of Glamorgan, from health centres to the Tertiary Centre at UHW.</w:t>
      </w:r>
      <w:r w:rsidRPr="00FA47D0">
        <w:t xml:space="preserve">  </w:t>
      </w:r>
      <w:r>
        <w:t xml:space="preserve">All NHS organisations have </w:t>
      </w:r>
      <w:r w:rsidRPr="00FA47D0">
        <w:t>statutory responsibilit</w:t>
      </w:r>
      <w:r>
        <w:t>ies</w:t>
      </w:r>
      <w:r w:rsidRPr="00FA47D0">
        <w:t xml:space="preserve"> </w:t>
      </w:r>
      <w:r>
        <w:t>to manage their assets effectively: a</w:t>
      </w:r>
      <w:r w:rsidRPr="00FA47D0">
        <w:t xml:space="preserve">n up to date estate strategy is </w:t>
      </w:r>
      <w:r>
        <w:t>evidence</w:t>
      </w:r>
      <w:r w:rsidRPr="00FA47D0">
        <w:t xml:space="preserve"> of </w:t>
      </w:r>
      <w:r>
        <w:t>the</w:t>
      </w:r>
      <w:r w:rsidRPr="00FA47D0">
        <w:t xml:space="preserve"> management</w:t>
      </w:r>
      <w:r>
        <w:t xml:space="preserve"> of the estate</w:t>
      </w:r>
      <w:r w:rsidRPr="00FA47D0">
        <w:t xml:space="preserve">.  </w:t>
      </w:r>
      <w:r>
        <w:t>The IT SOP sets out priorities for the next five years and Medical Equipment is replaced in a timely manner.</w:t>
      </w:r>
      <w:r w:rsidR="00F67E9C">
        <w:t xml:space="preserve"> </w:t>
      </w:r>
      <w:r w:rsidR="00F67E9C" w:rsidRPr="009B640E">
        <w:t xml:space="preserve">There have also been a number of recent failures in relation to the estate which means that this risk needs to remain at its current net risk score of 20.  </w:t>
      </w:r>
    </w:p>
    <w:tbl>
      <w:tblPr>
        <w:tblStyle w:val="TableGrid"/>
        <w:tblW w:w="10348" w:type="dxa"/>
        <w:tblInd w:w="-459" w:type="dxa"/>
        <w:tblLook w:val="04A0" w:firstRow="1" w:lastRow="0" w:firstColumn="1" w:lastColumn="0" w:noHBand="0" w:noVBand="1"/>
      </w:tblPr>
      <w:tblGrid>
        <w:gridCol w:w="2224"/>
        <w:gridCol w:w="2426"/>
        <w:gridCol w:w="258"/>
        <w:gridCol w:w="803"/>
        <w:gridCol w:w="1146"/>
        <w:gridCol w:w="132"/>
        <w:gridCol w:w="3359"/>
      </w:tblGrid>
      <w:tr w:rsidR="00F75121" w:rsidTr="00557BB8">
        <w:tc>
          <w:tcPr>
            <w:tcW w:w="2224" w:type="dxa"/>
            <w:tcBorders>
              <w:bottom w:val="single" w:sz="4" w:space="0" w:color="auto"/>
              <w:right w:val="nil"/>
            </w:tcBorders>
          </w:tcPr>
          <w:p w:rsidR="00F75121" w:rsidRDefault="00F75121" w:rsidP="00600583">
            <w:pPr>
              <w:rPr>
                <w:b/>
              </w:rPr>
            </w:pPr>
            <w:r w:rsidRPr="00B838A9">
              <w:rPr>
                <w:b/>
              </w:rPr>
              <w:t>Risk</w:t>
            </w:r>
          </w:p>
          <w:p w:rsidR="00224E51" w:rsidRPr="00B838A9" w:rsidRDefault="00224E51" w:rsidP="00600583">
            <w:pPr>
              <w:rPr>
                <w:b/>
              </w:rPr>
            </w:pPr>
            <w:r>
              <w:rPr>
                <w:b/>
              </w:rPr>
              <w:t xml:space="preserve">Date added:  </w:t>
            </w:r>
            <w:r w:rsidRPr="00224E51">
              <w:t>12.11.2018</w:t>
            </w:r>
          </w:p>
        </w:tc>
        <w:tc>
          <w:tcPr>
            <w:tcW w:w="8124" w:type="dxa"/>
            <w:gridSpan w:val="6"/>
            <w:tcBorders>
              <w:left w:val="nil"/>
              <w:bottom w:val="single" w:sz="4" w:space="0" w:color="auto"/>
            </w:tcBorders>
          </w:tcPr>
          <w:p w:rsidR="00F75121" w:rsidRDefault="00F75121" w:rsidP="00F67E9C">
            <w:r>
              <w:t>The</w:t>
            </w:r>
            <w:r w:rsidR="00CC2E53">
              <w:t>re is a risk that the</w:t>
            </w:r>
            <w:r>
              <w:t xml:space="preserve"> condition and suitability of the </w:t>
            </w:r>
            <w:r w:rsidR="00CC2E53">
              <w:t xml:space="preserve">UHB </w:t>
            </w:r>
            <w:r>
              <w:t>estate</w:t>
            </w:r>
            <w:r w:rsidR="008F64B9">
              <w:t xml:space="preserve">, IT </w:t>
            </w:r>
            <w:r w:rsidR="00CC2E53">
              <w:t xml:space="preserve">infrastructure </w:t>
            </w:r>
            <w:r w:rsidR="008F64B9">
              <w:t xml:space="preserve">and Medical </w:t>
            </w:r>
            <w:r w:rsidR="002E3337">
              <w:t>E</w:t>
            </w:r>
            <w:r w:rsidR="008F64B9">
              <w:t>quipment</w:t>
            </w:r>
            <w:r>
              <w:t xml:space="preserve"> impacts on the delivery of safe, effective and prudent health care</w:t>
            </w:r>
            <w:r w:rsidR="00CC2E53">
              <w:t xml:space="preserve"> for the patients of Cardiff and Vale UHB</w:t>
            </w:r>
            <w:r>
              <w:t xml:space="preserve">. </w:t>
            </w:r>
            <w:r w:rsidR="00F67E9C">
              <w:t xml:space="preserve"> </w:t>
            </w:r>
          </w:p>
        </w:tc>
      </w:tr>
      <w:tr w:rsidR="00F75121" w:rsidTr="00557BB8">
        <w:tc>
          <w:tcPr>
            <w:tcW w:w="2224" w:type="dxa"/>
            <w:tcBorders>
              <w:bottom w:val="single" w:sz="4" w:space="0" w:color="auto"/>
              <w:right w:val="nil"/>
            </w:tcBorders>
          </w:tcPr>
          <w:p w:rsidR="00F75121" w:rsidRPr="00B838A9" w:rsidRDefault="00F75121" w:rsidP="00600583">
            <w:pPr>
              <w:rPr>
                <w:b/>
              </w:rPr>
            </w:pPr>
            <w:r w:rsidRPr="00B838A9">
              <w:rPr>
                <w:b/>
              </w:rPr>
              <w:t>Cause</w:t>
            </w:r>
          </w:p>
        </w:tc>
        <w:tc>
          <w:tcPr>
            <w:tcW w:w="8124" w:type="dxa"/>
            <w:gridSpan w:val="6"/>
            <w:tcBorders>
              <w:left w:val="nil"/>
              <w:right w:val="single" w:sz="4" w:space="0" w:color="auto"/>
            </w:tcBorders>
          </w:tcPr>
          <w:p w:rsidR="00D34D96" w:rsidRDefault="00D34D96" w:rsidP="00600583">
            <w:r>
              <w:t>S</w:t>
            </w:r>
            <w:r w:rsidR="00F75121">
              <w:t xml:space="preserve">ignificant proportion of the estate is over-crowded, not suitable for the function it performs, or falls below condition B. </w:t>
            </w:r>
          </w:p>
          <w:p w:rsidR="00D34D96" w:rsidRDefault="00F75121" w:rsidP="00600583">
            <w:r>
              <w:t xml:space="preserve">Investment in replacing facilities and proactively maintaining the estate has not kept up the requirements, with compliance and urgent service pressures being prioritised. </w:t>
            </w:r>
          </w:p>
          <w:p w:rsidR="008F64B9" w:rsidRDefault="00F75121" w:rsidP="00600583">
            <w:r>
              <w:t xml:space="preserve">Lack of investment in IT also means that </w:t>
            </w:r>
            <w:r w:rsidR="00627D9A">
              <w:t>opportunities to provide services in new ways are</w:t>
            </w:r>
            <w:r>
              <w:t xml:space="preserve"> not always possible</w:t>
            </w:r>
            <w:r w:rsidR="008F64B9">
              <w:t xml:space="preserve"> and core infrastructure upgrading is behind schedule</w:t>
            </w:r>
            <w:r>
              <w:t>.</w:t>
            </w:r>
          </w:p>
          <w:p w:rsidR="00F75121" w:rsidRDefault="008F64B9" w:rsidP="00600583">
            <w:r>
              <w:t>Insufficient resource to provide a timely replacement programme, or meet needs for small equipment replacement</w:t>
            </w:r>
          </w:p>
          <w:p w:rsidR="00CC2E53" w:rsidRDefault="00CC2E53" w:rsidP="00600583"/>
        </w:tc>
      </w:tr>
      <w:tr w:rsidR="00F75121" w:rsidTr="00557BB8">
        <w:tc>
          <w:tcPr>
            <w:tcW w:w="2224" w:type="dxa"/>
            <w:tcBorders>
              <w:right w:val="nil"/>
            </w:tcBorders>
          </w:tcPr>
          <w:p w:rsidR="00F75121" w:rsidRPr="00B838A9" w:rsidRDefault="00F75121" w:rsidP="00600583">
            <w:pPr>
              <w:rPr>
                <w:b/>
              </w:rPr>
            </w:pPr>
            <w:r w:rsidRPr="00B838A9">
              <w:rPr>
                <w:b/>
              </w:rPr>
              <w:t>Impact</w:t>
            </w:r>
          </w:p>
        </w:tc>
        <w:tc>
          <w:tcPr>
            <w:tcW w:w="8124" w:type="dxa"/>
            <w:gridSpan w:val="6"/>
            <w:tcBorders>
              <w:left w:val="nil"/>
            </w:tcBorders>
          </w:tcPr>
          <w:p w:rsidR="00D34D96" w:rsidRDefault="00F75121" w:rsidP="00600583">
            <w:r>
              <w:t xml:space="preserve">The health board is not able to always provide services in an optimal way, leading to increased inefficiencies and costs. </w:t>
            </w:r>
          </w:p>
          <w:p w:rsidR="00D34D96" w:rsidRDefault="00F75121" w:rsidP="00600583">
            <w:r>
              <w:t xml:space="preserve">Service provision is regularly interrupted by estates issues and failures. </w:t>
            </w:r>
          </w:p>
          <w:p w:rsidR="00F75121" w:rsidRDefault="00F75121" w:rsidP="00600583">
            <w:r>
              <w:t xml:space="preserve">Patient </w:t>
            </w:r>
            <w:r w:rsidR="009235AB">
              <w:t xml:space="preserve">safety and </w:t>
            </w:r>
            <w:r>
              <w:t xml:space="preserve">experience is sometimes adversely impacted. </w:t>
            </w:r>
          </w:p>
          <w:p w:rsidR="008F64B9" w:rsidRDefault="008F64B9" w:rsidP="00600583"/>
          <w:p w:rsidR="008F64B9" w:rsidRDefault="008F64B9" w:rsidP="00600583">
            <w:r>
              <w:t>IT infrastructure not upgraded as timely as required increasing operational continuity and increasing cyber security risk</w:t>
            </w:r>
          </w:p>
          <w:p w:rsidR="008F64B9" w:rsidRDefault="008F64B9" w:rsidP="00600583"/>
          <w:p w:rsidR="008F64B9" w:rsidRDefault="008F64B9" w:rsidP="00600583">
            <w:r>
              <w:t>Medical equipment replaced in a risk priority where possible, insufficient resource for new equipment or timely replacement</w:t>
            </w:r>
          </w:p>
          <w:p w:rsidR="003B1586" w:rsidRDefault="003B1586" w:rsidP="00600583"/>
        </w:tc>
      </w:tr>
      <w:tr w:rsidR="00F75121" w:rsidRPr="00FE5299" w:rsidTr="00557BB8">
        <w:tc>
          <w:tcPr>
            <w:tcW w:w="2224" w:type="dxa"/>
            <w:tcBorders>
              <w:bottom w:val="single" w:sz="4" w:space="0" w:color="auto"/>
            </w:tcBorders>
          </w:tcPr>
          <w:p w:rsidR="00F75121" w:rsidRPr="00FE5299" w:rsidRDefault="00F75121" w:rsidP="00600583">
            <w:pPr>
              <w:rPr>
                <w:b/>
              </w:rPr>
            </w:pPr>
            <w:r w:rsidRPr="00FE5299">
              <w:rPr>
                <w:b/>
              </w:rPr>
              <w:t>Impact Score: 5</w:t>
            </w:r>
          </w:p>
        </w:tc>
        <w:tc>
          <w:tcPr>
            <w:tcW w:w="2426" w:type="dxa"/>
          </w:tcPr>
          <w:p w:rsidR="00F75121" w:rsidRPr="00FE5299" w:rsidRDefault="00F75121" w:rsidP="00600583">
            <w:pPr>
              <w:rPr>
                <w:b/>
              </w:rPr>
            </w:pPr>
            <w:r w:rsidRPr="00FE5299">
              <w:rPr>
                <w:b/>
              </w:rPr>
              <w:t>Likelihood Score: 5</w:t>
            </w:r>
          </w:p>
        </w:tc>
        <w:tc>
          <w:tcPr>
            <w:tcW w:w="2207" w:type="dxa"/>
            <w:gridSpan w:val="3"/>
          </w:tcPr>
          <w:p w:rsidR="00F75121" w:rsidRPr="00FE5299" w:rsidRDefault="00F75121" w:rsidP="00600583">
            <w:pPr>
              <w:rPr>
                <w:b/>
              </w:rPr>
            </w:pPr>
            <w:r w:rsidRPr="00FE5299">
              <w:rPr>
                <w:b/>
              </w:rPr>
              <w:t xml:space="preserve">Gross Risk Score: </w:t>
            </w:r>
          </w:p>
        </w:tc>
        <w:tc>
          <w:tcPr>
            <w:tcW w:w="3491" w:type="dxa"/>
            <w:gridSpan w:val="2"/>
            <w:shd w:val="clear" w:color="auto" w:fill="FF0000"/>
          </w:tcPr>
          <w:p w:rsidR="00F75121" w:rsidRPr="00FE5299" w:rsidRDefault="00F75121" w:rsidP="00600583">
            <w:pPr>
              <w:rPr>
                <w:b/>
              </w:rPr>
            </w:pPr>
            <w:r w:rsidRPr="00FE5299">
              <w:rPr>
                <w:b/>
              </w:rPr>
              <w:t>25 (Extreme)</w:t>
            </w:r>
          </w:p>
        </w:tc>
      </w:tr>
      <w:tr w:rsidR="00F75121" w:rsidTr="00557BB8">
        <w:tc>
          <w:tcPr>
            <w:tcW w:w="2224" w:type="dxa"/>
            <w:tcBorders>
              <w:bottom w:val="single" w:sz="4" w:space="0" w:color="auto"/>
              <w:right w:val="nil"/>
            </w:tcBorders>
          </w:tcPr>
          <w:p w:rsidR="00F75121" w:rsidRPr="00B838A9" w:rsidRDefault="00F75121" w:rsidP="00600583">
            <w:pPr>
              <w:rPr>
                <w:b/>
              </w:rPr>
            </w:pPr>
            <w:r w:rsidRPr="00B838A9">
              <w:rPr>
                <w:b/>
              </w:rPr>
              <w:t>Current Controls</w:t>
            </w:r>
          </w:p>
        </w:tc>
        <w:tc>
          <w:tcPr>
            <w:tcW w:w="8124" w:type="dxa"/>
            <w:gridSpan w:val="6"/>
            <w:tcBorders>
              <w:left w:val="nil"/>
            </w:tcBorders>
          </w:tcPr>
          <w:p w:rsidR="00D34D96" w:rsidRDefault="00D34D96" w:rsidP="00F75121"/>
          <w:p w:rsidR="00F75121" w:rsidRDefault="00D34D96" w:rsidP="00F75121">
            <w:r>
              <w:t>E</w:t>
            </w:r>
            <w:r w:rsidR="00F75121">
              <w:t xml:space="preserve">states strategic plan </w:t>
            </w:r>
            <w:r>
              <w:t xml:space="preserve">in place </w:t>
            </w:r>
            <w:r w:rsidR="00F75121">
              <w:t xml:space="preserve">which sets out how over the next ten years, plans will be implemented to secure estate which is fit for purpose, efficient and is ‘future-proofed’ as much as possible, recognising that advances in medical treatments and therapies are accelerating. </w:t>
            </w:r>
          </w:p>
          <w:p w:rsidR="00840CB4" w:rsidRDefault="00840CB4" w:rsidP="00F75121"/>
          <w:p w:rsidR="00840CB4" w:rsidRPr="00317FF3" w:rsidRDefault="00840CB4" w:rsidP="00F75121">
            <w:r w:rsidRPr="00317FF3">
              <w:t>Statutory compliance estates programme in place – includi</w:t>
            </w:r>
            <w:r w:rsidR="0043133B">
              <w:t>ng legionella proactive actions</w:t>
            </w:r>
            <w:r w:rsidRPr="00317FF3">
              <w:t>, and time safety management actions.</w:t>
            </w:r>
          </w:p>
          <w:p w:rsidR="00840CB4" w:rsidRPr="00317FF3" w:rsidRDefault="00840CB4" w:rsidP="00F75121"/>
          <w:p w:rsidR="00F75121" w:rsidRDefault="00F75121" w:rsidP="00F75121">
            <w:r>
              <w:t xml:space="preserve">The strategic plan sets out the key actions required in the short, medium and long term to ensure provision of appropriate estates infrastructure. </w:t>
            </w:r>
          </w:p>
          <w:p w:rsidR="008F64B9" w:rsidRDefault="008F64B9" w:rsidP="00F75121"/>
          <w:p w:rsidR="008F64B9" w:rsidRDefault="008F64B9" w:rsidP="00F75121">
            <w:r>
              <w:t xml:space="preserve">IT SOP sets out priorities for next 5 </w:t>
            </w:r>
            <w:r w:rsidR="00627D9A">
              <w:t>years, to</w:t>
            </w:r>
            <w:r>
              <w:t xml:space="preserve"> be reviewed</w:t>
            </w:r>
            <w:r w:rsidR="002472A0">
              <w:t xml:space="preserve"> </w:t>
            </w:r>
            <w:r>
              <w:t>in early 2019</w:t>
            </w:r>
          </w:p>
          <w:p w:rsidR="008F64B9" w:rsidRDefault="008F64B9" w:rsidP="00F75121"/>
          <w:p w:rsidR="008F64B9" w:rsidRDefault="008F64B9" w:rsidP="00F75121">
            <w:r>
              <w:t>Medical equipment WAO audit action plan to ensure clinical boards manage medical equipment risks</w:t>
            </w:r>
          </w:p>
          <w:p w:rsidR="003B1586" w:rsidRDefault="003B1586" w:rsidP="00F75121"/>
          <w:p w:rsidR="00F75121" w:rsidRDefault="00F75121" w:rsidP="00F75121">
            <w:r>
              <w:t>The annual capital programme is prioritise</w:t>
            </w:r>
            <w:r w:rsidR="003B1586">
              <w:t>d</w:t>
            </w:r>
            <w:r>
              <w:t xml:space="preserve"> based on risk and the services requirements set out in the IMTP, with regular oversight of the programme of discretionary and major capital programmes. </w:t>
            </w:r>
          </w:p>
          <w:p w:rsidR="00561DBA" w:rsidRDefault="00561DBA" w:rsidP="00F75121"/>
          <w:p w:rsidR="00F75121" w:rsidRDefault="00561DBA" w:rsidP="00600583">
            <w:r>
              <w:t>Medical Equipment prioritisation is managed through the Medical Equipment Group</w:t>
            </w:r>
          </w:p>
          <w:p w:rsidR="00561DBA" w:rsidRDefault="00561DBA" w:rsidP="00600583"/>
          <w:p w:rsidR="00972386" w:rsidRDefault="00972386" w:rsidP="00941BEB">
            <w:r w:rsidRPr="00A474AE">
              <w:lastRenderedPageBreak/>
              <w:t>Additional discretionary capital £</w:t>
            </w:r>
            <w:r w:rsidR="00941BEB">
              <w:t>0.5m</w:t>
            </w:r>
            <w:r w:rsidRPr="00A474AE">
              <w:t xml:space="preserve"> for IT and £1.</w:t>
            </w:r>
            <w:r w:rsidR="00941BEB">
              <w:t>0</w:t>
            </w:r>
            <w:r w:rsidRPr="00A474AE">
              <w:t>m for equipment which enabled purchasing of equipment urgently needing replacement.</w:t>
            </w:r>
          </w:p>
          <w:p w:rsidR="00941BEB" w:rsidRDefault="00941BEB" w:rsidP="00941BEB"/>
          <w:p w:rsidR="00941BEB" w:rsidRPr="00F8160E" w:rsidRDefault="00941BEB" w:rsidP="00941BEB">
            <w:r w:rsidRPr="00F8160E">
              <w:t>Business Case performance monitored through Capital Management Group every month and Strategy and Delivery Committee every 2 months.</w:t>
            </w:r>
          </w:p>
        </w:tc>
      </w:tr>
      <w:tr w:rsidR="00F75121" w:rsidTr="00557BB8">
        <w:tc>
          <w:tcPr>
            <w:tcW w:w="2224" w:type="dxa"/>
            <w:tcBorders>
              <w:right w:val="nil"/>
            </w:tcBorders>
          </w:tcPr>
          <w:p w:rsidR="00F75121" w:rsidRPr="00B838A9" w:rsidRDefault="00F75121" w:rsidP="00600583">
            <w:pPr>
              <w:rPr>
                <w:b/>
              </w:rPr>
            </w:pPr>
            <w:r w:rsidRPr="00B838A9">
              <w:rPr>
                <w:b/>
              </w:rPr>
              <w:lastRenderedPageBreak/>
              <w:t>Current Assurances</w:t>
            </w:r>
          </w:p>
        </w:tc>
        <w:tc>
          <w:tcPr>
            <w:tcW w:w="8124" w:type="dxa"/>
            <w:gridSpan w:val="6"/>
            <w:tcBorders>
              <w:left w:val="nil"/>
            </w:tcBorders>
          </w:tcPr>
          <w:p w:rsidR="00F75121" w:rsidRDefault="00F75121" w:rsidP="00F75121">
            <w:r>
              <w:t xml:space="preserve">The estates and capital team has a number of business cases in development to secure the necessary capital to address the major short/medium term service estates issues. </w:t>
            </w:r>
          </w:p>
          <w:p w:rsidR="00F75121" w:rsidRDefault="00F75121" w:rsidP="00F75121">
            <w:r>
              <w:t xml:space="preserve">Work is starting on the business case to secure funding to enable a UHW replacement to be build. </w:t>
            </w:r>
          </w:p>
          <w:p w:rsidR="00F75121" w:rsidRDefault="00F75121" w:rsidP="00F75121">
            <w:r>
              <w:t xml:space="preserve">The statutory compliance areas are monitored every month in the Capital Management Group to ensure that the key areas of risk are prioritised. </w:t>
            </w:r>
          </w:p>
          <w:p w:rsidR="00F75121" w:rsidRDefault="00F75121" w:rsidP="00F75121">
            <w:r>
              <w:t xml:space="preserve">The Executive Director of Strategic Planning and the Director of Capital, Facilities and Estates meet regularly with the Welsh Government Capital Team to review the capital programme and discuss the service risks. </w:t>
            </w:r>
          </w:p>
          <w:p w:rsidR="00561DBA" w:rsidRDefault="00561DBA" w:rsidP="00F75121"/>
          <w:p w:rsidR="00125D3A" w:rsidRDefault="00561DBA" w:rsidP="00F75121">
            <w:r>
              <w:t>Regular reporting on capital programme and risks to Capital Management, Management Executive and Strategy and Delivery Committee</w:t>
            </w:r>
          </w:p>
          <w:p w:rsidR="00561DBA" w:rsidRDefault="00561DBA" w:rsidP="00F75121"/>
          <w:p w:rsidR="00DD6D38" w:rsidRDefault="00125D3A" w:rsidP="00F75121">
            <w:r>
              <w:t xml:space="preserve">IT risk register regularly updated and shared with NWIS. </w:t>
            </w:r>
          </w:p>
          <w:p w:rsidR="00125D3A" w:rsidRDefault="00DD6D38" w:rsidP="00F75121">
            <w:r>
              <w:t>H</w:t>
            </w:r>
            <w:r w:rsidR="00125D3A" w:rsidRPr="00125D3A">
              <w:t xml:space="preserve">ealth </w:t>
            </w:r>
            <w:r>
              <w:t>C</w:t>
            </w:r>
            <w:r w:rsidR="00125D3A" w:rsidRPr="00125D3A">
              <w:t xml:space="preserve">are </w:t>
            </w:r>
            <w:r>
              <w:t>S</w:t>
            </w:r>
            <w:r w:rsidR="00125D3A" w:rsidRPr="00125D3A">
              <w:t>tandard completed annually</w:t>
            </w:r>
          </w:p>
          <w:p w:rsidR="003B1586" w:rsidRDefault="003B1586" w:rsidP="00F75121"/>
          <w:p w:rsidR="00125D3A" w:rsidRDefault="00125D3A" w:rsidP="00F75121">
            <w:r>
              <w:t>Medical equipment ri</w:t>
            </w:r>
            <w:r w:rsidR="002472A0">
              <w:t>s</w:t>
            </w:r>
            <w:r>
              <w:t>k registers developed and managed by Clinical Boards, reviewed at UHB medical equipment group, health care standard completed annually.</w:t>
            </w:r>
          </w:p>
          <w:p w:rsidR="00F75121" w:rsidRDefault="00F75121" w:rsidP="00600583"/>
        </w:tc>
      </w:tr>
      <w:tr w:rsidR="00F75121" w:rsidRPr="00FE5299" w:rsidTr="00557BB8">
        <w:tc>
          <w:tcPr>
            <w:tcW w:w="2224" w:type="dxa"/>
            <w:tcBorders>
              <w:bottom w:val="single" w:sz="4" w:space="0" w:color="auto"/>
            </w:tcBorders>
          </w:tcPr>
          <w:p w:rsidR="00F75121" w:rsidRPr="00FE5299" w:rsidRDefault="00F75121" w:rsidP="00600583">
            <w:pPr>
              <w:rPr>
                <w:b/>
              </w:rPr>
            </w:pPr>
            <w:r w:rsidRPr="00FE5299">
              <w:rPr>
                <w:b/>
              </w:rPr>
              <w:t>Impact Score: 5</w:t>
            </w:r>
          </w:p>
        </w:tc>
        <w:tc>
          <w:tcPr>
            <w:tcW w:w="2426" w:type="dxa"/>
          </w:tcPr>
          <w:p w:rsidR="00F75121" w:rsidRPr="00FE5299" w:rsidRDefault="00F75121" w:rsidP="00F75121">
            <w:pPr>
              <w:rPr>
                <w:b/>
              </w:rPr>
            </w:pPr>
            <w:r w:rsidRPr="00FE5299">
              <w:rPr>
                <w:b/>
              </w:rPr>
              <w:t>Likelihood Score: 4</w:t>
            </w:r>
          </w:p>
        </w:tc>
        <w:tc>
          <w:tcPr>
            <w:tcW w:w="2207" w:type="dxa"/>
            <w:gridSpan w:val="3"/>
          </w:tcPr>
          <w:p w:rsidR="00F75121" w:rsidRPr="00FE5299" w:rsidRDefault="00F75121" w:rsidP="00F75121">
            <w:pPr>
              <w:tabs>
                <w:tab w:val="right" w:pos="2093"/>
              </w:tabs>
              <w:rPr>
                <w:b/>
              </w:rPr>
            </w:pPr>
            <w:r w:rsidRPr="00FE5299">
              <w:rPr>
                <w:b/>
              </w:rPr>
              <w:t xml:space="preserve">Net Risk Score: </w:t>
            </w:r>
            <w:r w:rsidRPr="00FE5299">
              <w:rPr>
                <w:b/>
              </w:rPr>
              <w:tab/>
            </w:r>
          </w:p>
        </w:tc>
        <w:tc>
          <w:tcPr>
            <w:tcW w:w="3491" w:type="dxa"/>
            <w:gridSpan w:val="2"/>
            <w:shd w:val="clear" w:color="auto" w:fill="FF0000"/>
          </w:tcPr>
          <w:p w:rsidR="00F75121" w:rsidRPr="00FE5299" w:rsidRDefault="00F75121" w:rsidP="00600583">
            <w:pPr>
              <w:rPr>
                <w:b/>
              </w:rPr>
            </w:pPr>
            <w:r w:rsidRPr="00FE5299">
              <w:rPr>
                <w:b/>
              </w:rPr>
              <w:t>20 (Extreme)</w:t>
            </w:r>
          </w:p>
        </w:tc>
      </w:tr>
      <w:tr w:rsidR="00F75121" w:rsidTr="00557BB8">
        <w:tc>
          <w:tcPr>
            <w:tcW w:w="2224" w:type="dxa"/>
            <w:tcBorders>
              <w:bottom w:val="single" w:sz="4" w:space="0" w:color="auto"/>
              <w:right w:val="nil"/>
            </w:tcBorders>
          </w:tcPr>
          <w:p w:rsidR="00F75121" w:rsidRPr="00B838A9" w:rsidRDefault="00F75121" w:rsidP="00600583">
            <w:pPr>
              <w:rPr>
                <w:b/>
              </w:rPr>
            </w:pPr>
            <w:r w:rsidRPr="00B838A9">
              <w:rPr>
                <w:b/>
              </w:rPr>
              <w:t>Gap in Controls</w:t>
            </w:r>
          </w:p>
        </w:tc>
        <w:tc>
          <w:tcPr>
            <w:tcW w:w="8124" w:type="dxa"/>
            <w:gridSpan w:val="6"/>
            <w:tcBorders>
              <w:left w:val="nil"/>
            </w:tcBorders>
          </w:tcPr>
          <w:p w:rsidR="00D34D96" w:rsidRDefault="00F75121" w:rsidP="00600583">
            <w:r>
              <w:t>The current annual discretionary capital funding is not enough to cover all of the priorities identified through the risk assessment and IMTP process</w:t>
            </w:r>
            <w:r w:rsidR="00125D3A">
              <w:t xml:space="preserve"> for the 3 services</w:t>
            </w:r>
            <w:r>
              <w:t xml:space="preserve">. </w:t>
            </w:r>
          </w:p>
          <w:p w:rsidR="00F75121" w:rsidRDefault="00F75121" w:rsidP="00600583">
            <w:r>
              <w:t xml:space="preserve">In year requirements further impact and require the annual capital programme to be funded by capital to be re-prioritised regularly. </w:t>
            </w:r>
          </w:p>
          <w:p w:rsidR="00A474AE" w:rsidRPr="00561DBA" w:rsidRDefault="00A474AE" w:rsidP="00600583">
            <w:r w:rsidRPr="00561DBA">
              <w:t>Traceability of Medical Equipment</w:t>
            </w:r>
          </w:p>
          <w:p w:rsidR="00F75121" w:rsidRPr="00F8160E" w:rsidRDefault="00CC2E53" w:rsidP="00600583">
            <w:r w:rsidRPr="00F8160E">
              <w:t>The Welsh Government current capital position is very compromised due to COVID 19 expenditure which will impact significantly on the Capital Programme of the UHB.</w:t>
            </w:r>
          </w:p>
        </w:tc>
      </w:tr>
      <w:tr w:rsidR="00F75121" w:rsidTr="00557BB8">
        <w:tc>
          <w:tcPr>
            <w:tcW w:w="2224" w:type="dxa"/>
            <w:tcBorders>
              <w:bottom w:val="single" w:sz="4" w:space="0" w:color="auto"/>
              <w:right w:val="nil"/>
            </w:tcBorders>
          </w:tcPr>
          <w:p w:rsidR="00F75121" w:rsidRPr="00B838A9" w:rsidRDefault="00F75121" w:rsidP="00600583">
            <w:pPr>
              <w:rPr>
                <w:b/>
              </w:rPr>
            </w:pPr>
            <w:r w:rsidRPr="00B838A9">
              <w:rPr>
                <w:b/>
              </w:rPr>
              <w:t>Gap in Assurances</w:t>
            </w:r>
          </w:p>
        </w:tc>
        <w:tc>
          <w:tcPr>
            <w:tcW w:w="8124" w:type="dxa"/>
            <w:gridSpan w:val="6"/>
            <w:tcBorders>
              <w:left w:val="nil"/>
            </w:tcBorders>
          </w:tcPr>
          <w:p w:rsidR="00F75121" w:rsidRDefault="00F75121" w:rsidP="00600583">
            <w:r>
              <w:t xml:space="preserve">The regular statutory compliance surveys identify remedial works that are required urgently, for which there is no discretionary capital funding identified, requiring the annual plan to be re-prioritised, or the contingency fund to be used. </w:t>
            </w:r>
          </w:p>
          <w:p w:rsidR="00125D3A" w:rsidRDefault="00125D3A" w:rsidP="00600583"/>
          <w:p w:rsidR="00F75121" w:rsidRDefault="00125D3A" w:rsidP="00125D3A">
            <w:r>
              <w:t>Medical equipment is also subject to regulatory requirements, and therefore requires re-prioritisation during the year</w:t>
            </w:r>
          </w:p>
          <w:p w:rsidR="00125D3A" w:rsidRDefault="00125D3A" w:rsidP="00125D3A"/>
        </w:tc>
      </w:tr>
      <w:tr w:rsidR="008164E0" w:rsidTr="003A7EC1">
        <w:tc>
          <w:tcPr>
            <w:tcW w:w="2224" w:type="dxa"/>
            <w:tcBorders>
              <w:right w:val="nil"/>
            </w:tcBorders>
            <w:shd w:val="clear" w:color="auto" w:fill="8DB3E2" w:themeFill="text2" w:themeFillTint="66"/>
          </w:tcPr>
          <w:p w:rsidR="008164E0" w:rsidRPr="00B838A9" w:rsidRDefault="008164E0" w:rsidP="00600583">
            <w:pPr>
              <w:rPr>
                <w:b/>
              </w:rPr>
            </w:pPr>
            <w:r w:rsidRPr="00B838A9">
              <w:rPr>
                <w:b/>
              </w:rPr>
              <w:t>Actions</w:t>
            </w:r>
          </w:p>
        </w:tc>
        <w:tc>
          <w:tcPr>
            <w:tcW w:w="2684" w:type="dxa"/>
            <w:gridSpan w:val="2"/>
            <w:tcBorders>
              <w:left w:val="nil"/>
              <w:bottom w:val="single" w:sz="4" w:space="0" w:color="auto"/>
            </w:tcBorders>
            <w:shd w:val="clear" w:color="auto" w:fill="8DB3E2" w:themeFill="text2" w:themeFillTint="66"/>
          </w:tcPr>
          <w:p w:rsidR="008164E0" w:rsidRDefault="008164E0" w:rsidP="00600583"/>
        </w:tc>
        <w:tc>
          <w:tcPr>
            <w:tcW w:w="803" w:type="dxa"/>
            <w:shd w:val="clear" w:color="auto" w:fill="8DB3E2" w:themeFill="text2" w:themeFillTint="66"/>
          </w:tcPr>
          <w:p w:rsidR="008164E0" w:rsidRPr="004131FC" w:rsidRDefault="008164E0" w:rsidP="00600583">
            <w:pPr>
              <w:rPr>
                <w:b/>
              </w:rPr>
            </w:pPr>
            <w:r w:rsidRPr="004131FC">
              <w:rPr>
                <w:b/>
              </w:rPr>
              <w:t>Lead</w:t>
            </w:r>
          </w:p>
        </w:tc>
        <w:tc>
          <w:tcPr>
            <w:tcW w:w="1278" w:type="dxa"/>
            <w:gridSpan w:val="2"/>
            <w:shd w:val="clear" w:color="auto" w:fill="8DB3E2" w:themeFill="text2" w:themeFillTint="66"/>
          </w:tcPr>
          <w:p w:rsidR="008164E0" w:rsidRPr="004131FC" w:rsidRDefault="008164E0" w:rsidP="00600583">
            <w:pPr>
              <w:rPr>
                <w:b/>
              </w:rPr>
            </w:pPr>
            <w:r w:rsidRPr="004131FC">
              <w:rPr>
                <w:b/>
              </w:rPr>
              <w:t>By when</w:t>
            </w:r>
          </w:p>
        </w:tc>
        <w:tc>
          <w:tcPr>
            <w:tcW w:w="3359" w:type="dxa"/>
            <w:shd w:val="clear" w:color="auto" w:fill="8DB3E2" w:themeFill="text2" w:themeFillTint="66"/>
          </w:tcPr>
          <w:p w:rsidR="008164E0" w:rsidRDefault="003A7EC1" w:rsidP="00892259">
            <w:r>
              <w:rPr>
                <w:b/>
              </w:rPr>
              <w:t>Update since</w:t>
            </w:r>
            <w:r w:rsidR="00132227">
              <w:rPr>
                <w:b/>
              </w:rPr>
              <w:t xml:space="preserve"> </w:t>
            </w:r>
            <w:r w:rsidR="00892259">
              <w:rPr>
                <w:b/>
              </w:rPr>
              <w:t>January 21</w:t>
            </w:r>
          </w:p>
        </w:tc>
      </w:tr>
      <w:tr w:rsidR="008164E0" w:rsidTr="00557BB8">
        <w:tc>
          <w:tcPr>
            <w:tcW w:w="4908" w:type="dxa"/>
            <w:gridSpan w:val="3"/>
          </w:tcPr>
          <w:p w:rsidR="008164E0" w:rsidRDefault="008164E0" w:rsidP="001828E2">
            <w:pPr>
              <w:pStyle w:val="ListParagraph"/>
              <w:numPr>
                <w:ilvl w:val="0"/>
                <w:numId w:val="14"/>
              </w:numPr>
            </w:pPr>
            <w:r>
              <w:t>Progress implementation on the estates strategic plan</w:t>
            </w:r>
          </w:p>
        </w:tc>
        <w:tc>
          <w:tcPr>
            <w:tcW w:w="803" w:type="dxa"/>
          </w:tcPr>
          <w:p w:rsidR="008164E0" w:rsidRDefault="008164E0" w:rsidP="00557BB8">
            <w:r>
              <w:t>AH</w:t>
            </w:r>
            <w:r w:rsidR="00941BEB">
              <w:t>/</w:t>
            </w:r>
            <w:r w:rsidR="00557BB8" w:rsidRPr="00F8160E">
              <w:t>CL</w:t>
            </w:r>
          </w:p>
        </w:tc>
        <w:tc>
          <w:tcPr>
            <w:tcW w:w="1278" w:type="dxa"/>
            <w:gridSpan w:val="2"/>
          </w:tcPr>
          <w:p w:rsidR="008164E0" w:rsidRDefault="00557BB8" w:rsidP="00600583">
            <w:r>
              <w:t>31.03.21</w:t>
            </w:r>
            <w:r w:rsidR="008164E0">
              <w:t xml:space="preserve"> </w:t>
            </w:r>
          </w:p>
        </w:tc>
        <w:tc>
          <w:tcPr>
            <w:tcW w:w="3359" w:type="dxa"/>
          </w:tcPr>
          <w:p w:rsidR="00941BEB" w:rsidRPr="00F8160E" w:rsidRDefault="00941BEB" w:rsidP="0043133B">
            <w:r w:rsidRPr="00F8160E">
              <w:t>Priorities for Capital Programme included within 2020-2023 IMTP which were prioritised by Management Executive</w:t>
            </w:r>
          </w:p>
        </w:tc>
      </w:tr>
      <w:tr w:rsidR="00F8160E" w:rsidTr="00557BB8">
        <w:tc>
          <w:tcPr>
            <w:tcW w:w="4908" w:type="dxa"/>
            <w:gridSpan w:val="3"/>
          </w:tcPr>
          <w:p w:rsidR="00F8160E" w:rsidRDefault="00F8160E" w:rsidP="001828E2">
            <w:pPr>
              <w:pStyle w:val="ListParagraph"/>
              <w:numPr>
                <w:ilvl w:val="0"/>
                <w:numId w:val="14"/>
              </w:numPr>
            </w:pPr>
            <w:r>
              <w:t xml:space="preserve">Had to give up discretionary capital £1m allocation reduced to £500k </w:t>
            </w:r>
          </w:p>
        </w:tc>
        <w:tc>
          <w:tcPr>
            <w:tcW w:w="803" w:type="dxa"/>
          </w:tcPr>
          <w:p w:rsidR="00F8160E" w:rsidRDefault="00F8160E" w:rsidP="00557BB8">
            <w:r>
              <w:t>FJ</w:t>
            </w:r>
          </w:p>
        </w:tc>
        <w:tc>
          <w:tcPr>
            <w:tcW w:w="1278" w:type="dxa"/>
            <w:gridSpan w:val="2"/>
          </w:tcPr>
          <w:p w:rsidR="00F8160E" w:rsidRDefault="00F8160E" w:rsidP="00600583">
            <w:r>
              <w:t>31.03.21</w:t>
            </w:r>
          </w:p>
        </w:tc>
        <w:tc>
          <w:tcPr>
            <w:tcW w:w="3359" w:type="dxa"/>
          </w:tcPr>
          <w:p w:rsidR="00F8160E" w:rsidRPr="00F8160E" w:rsidRDefault="00F8160E" w:rsidP="009B640E">
            <w:pPr>
              <w:rPr>
                <w:color w:val="FF0000"/>
              </w:rPr>
            </w:pPr>
            <w:r w:rsidRPr="00525CD8">
              <w:t>Prioritisation of capital managed through capital management group but overall capital position worse than last year.</w:t>
            </w:r>
            <w:r w:rsidR="00F67E9C">
              <w:t xml:space="preserve">  </w:t>
            </w:r>
            <w:r w:rsidR="009B640E">
              <w:rPr>
                <w:color w:val="FF0000"/>
              </w:rPr>
              <w:t>£1m additional capital received from WG with £750k going to Digital and £250k going to Medical Equipment.</w:t>
            </w:r>
          </w:p>
        </w:tc>
      </w:tr>
      <w:tr w:rsidR="00F67E9C" w:rsidRPr="009B640E" w:rsidTr="00557BB8">
        <w:tc>
          <w:tcPr>
            <w:tcW w:w="4908" w:type="dxa"/>
            <w:gridSpan w:val="3"/>
          </w:tcPr>
          <w:p w:rsidR="00F67E9C" w:rsidRPr="009B640E" w:rsidRDefault="00F67E9C" w:rsidP="001828E2">
            <w:pPr>
              <w:pStyle w:val="ListParagraph"/>
              <w:numPr>
                <w:ilvl w:val="0"/>
                <w:numId w:val="14"/>
              </w:numPr>
            </w:pPr>
            <w:r w:rsidRPr="009B640E">
              <w:t>The Estates Strategy requires review and refresh</w:t>
            </w:r>
          </w:p>
        </w:tc>
        <w:tc>
          <w:tcPr>
            <w:tcW w:w="803" w:type="dxa"/>
          </w:tcPr>
          <w:p w:rsidR="00F67E9C" w:rsidRPr="009B640E" w:rsidRDefault="00F67E9C" w:rsidP="00557BB8">
            <w:r w:rsidRPr="009B640E">
              <w:t>AH</w:t>
            </w:r>
          </w:p>
        </w:tc>
        <w:tc>
          <w:tcPr>
            <w:tcW w:w="1278" w:type="dxa"/>
            <w:gridSpan w:val="2"/>
          </w:tcPr>
          <w:p w:rsidR="00F67E9C" w:rsidRPr="009B640E" w:rsidRDefault="00F67E9C" w:rsidP="009B640E">
            <w:r w:rsidRPr="009B640E">
              <w:t>3</w:t>
            </w:r>
            <w:r w:rsidR="009B640E">
              <w:t>0</w:t>
            </w:r>
            <w:r w:rsidRPr="009B640E">
              <w:t>.0</w:t>
            </w:r>
            <w:r w:rsidR="009B640E">
              <w:t>9</w:t>
            </w:r>
            <w:r w:rsidRPr="009B640E">
              <w:t>.21</w:t>
            </w:r>
          </w:p>
        </w:tc>
        <w:tc>
          <w:tcPr>
            <w:tcW w:w="3359" w:type="dxa"/>
          </w:tcPr>
          <w:p w:rsidR="00F67E9C" w:rsidRPr="009B640E" w:rsidRDefault="00F67E9C" w:rsidP="0043133B">
            <w:r w:rsidRPr="009B640E">
              <w:t>New action - This will be presented to S&amp;D Committee prior to approval by the Board in September 2021</w:t>
            </w:r>
          </w:p>
        </w:tc>
      </w:tr>
      <w:tr w:rsidR="008164E0" w:rsidRPr="00FE5299" w:rsidTr="00557BB8">
        <w:tc>
          <w:tcPr>
            <w:tcW w:w="2224" w:type="dxa"/>
          </w:tcPr>
          <w:p w:rsidR="008164E0" w:rsidRPr="00FE5299" w:rsidRDefault="008164E0" w:rsidP="00600583">
            <w:pPr>
              <w:rPr>
                <w:b/>
              </w:rPr>
            </w:pPr>
            <w:r w:rsidRPr="00FE5299">
              <w:rPr>
                <w:b/>
              </w:rPr>
              <w:t>Impact Score: 5</w:t>
            </w:r>
          </w:p>
        </w:tc>
        <w:tc>
          <w:tcPr>
            <w:tcW w:w="2426" w:type="dxa"/>
          </w:tcPr>
          <w:p w:rsidR="008164E0" w:rsidRPr="00FE5299" w:rsidRDefault="008164E0" w:rsidP="00F75121">
            <w:pPr>
              <w:rPr>
                <w:b/>
              </w:rPr>
            </w:pPr>
            <w:r w:rsidRPr="00FE5299">
              <w:rPr>
                <w:b/>
              </w:rPr>
              <w:t>Likelihood Score: 2</w:t>
            </w:r>
          </w:p>
        </w:tc>
        <w:tc>
          <w:tcPr>
            <w:tcW w:w="2207" w:type="dxa"/>
            <w:gridSpan w:val="3"/>
          </w:tcPr>
          <w:p w:rsidR="008164E0" w:rsidRPr="00FE5299" w:rsidRDefault="008164E0" w:rsidP="00600583">
            <w:pPr>
              <w:rPr>
                <w:b/>
              </w:rPr>
            </w:pPr>
            <w:r w:rsidRPr="00FE5299">
              <w:rPr>
                <w:b/>
              </w:rPr>
              <w:t>Target Risk Score:</w:t>
            </w:r>
          </w:p>
        </w:tc>
        <w:tc>
          <w:tcPr>
            <w:tcW w:w="3491" w:type="dxa"/>
            <w:gridSpan w:val="2"/>
            <w:shd w:val="clear" w:color="auto" w:fill="FFC000"/>
          </w:tcPr>
          <w:p w:rsidR="008164E0" w:rsidRPr="00603282" w:rsidRDefault="008164E0" w:rsidP="00603282">
            <w:pPr>
              <w:pStyle w:val="ListParagraph"/>
              <w:numPr>
                <w:ilvl w:val="0"/>
                <w:numId w:val="33"/>
              </w:numPr>
              <w:rPr>
                <w:b/>
              </w:rPr>
            </w:pPr>
            <w:r w:rsidRPr="00603282">
              <w:rPr>
                <w:b/>
              </w:rPr>
              <w:t>high)</w:t>
            </w:r>
          </w:p>
        </w:tc>
      </w:tr>
    </w:tbl>
    <w:p w:rsidR="006B75EB" w:rsidRDefault="006B75EB" w:rsidP="00F75121">
      <w:pPr>
        <w:rPr>
          <w:b/>
        </w:rPr>
      </w:pPr>
    </w:p>
    <w:p w:rsidR="00AD032A" w:rsidRPr="00BE4FEA" w:rsidRDefault="006B75EB" w:rsidP="00AD032A">
      <w:pPr>
        <w:rPr>
          <w:b/>
        </w:rPr>
      </w:pPr>
      <w:r>
        <w:rPr>
          <w:b/>
        </w:rPr>
        <w:br w:type="page"/>
      </w:r>
      <w:r w:rsidR="00BE4FEA">
        <w:rPr>
          <w:b/>
        </w:rPr>
        <w:lastRenderedPageBreak/>
        <w:t xml:space="preserve">7. </w:t>
      </w:r>
      <w:r w:rsidR="00AD032A" w:rsidRPr="00BE4FEA">
        <w:rPr>
          <w:b/>
        </w:rPr>
        <w:t>Risk that Test Trace and Protect Service and the Mass Vaccination Programme will fail to deliver effectively in Cardiff and the Vale of Glamorgan</w:t>
      </w:r>
      <w:r w:rsidR="00AD032A">
        <w:rPr>
          <w:b/>
        </w:rPr>
        <w:t xml:space="preserve"> - Lead Executive – Fiona Kinghorn</w:t>
      </w:r>
    </w:p>
    <w:tbl>
      <w:tblPr>
        <w:tblStyle w:val="TableGrid"/>
        <w:tblW w:w="10348" w:type="dxa"/>
        <w:tblInd w:w="-459" w:type="dxa"/>
        <w:tblLook w:val="04A0" w:firstRow="1" w:lastRow="0" w:firstColumn="1" w:lastColumn="0" w:noHBand="0" w:noVBand="1"/>
      </w:tblPr>
      <w:tblGrid>
        <w:gridCol w:w="2358"/>
        <w:gridCol w:w="2605"/>
        <w:gridCol w:w="169"/>
        <w:gridCol w:w="1200"/>
        <w:gridCol w:w="938"/>
        <w:gridCol w:w="406"/>
        <w:gridCol w:w="2672"/>
      </w:tblGrid>
      <w:tr w:rsidR="00AD032A" w:rsidRPr="007D4314" w:rsidTr="00181AB1">
        <w:trPr>
          <w:trHeight w:val="725"/>
        </w:trPr>
        <w:tc>
          <w:tcPr>
            <w:tcW w:w="2358" w:type="dxa"/>
            <w:tcBorders>
              <w:bottom w:val="single" w:sz="4" w:space="0" w:color="auto"/>
              <w:right w:val="nil"/>
            </w:tcBorders>
          </w:tcPr>
          <w:p w:rsidR="00AD032A" w:rsidRPr="0011024A" w:rsidRDefault="00AD032A" w:rsidP="00181AB1">
            <w:r w:rsidRPr="007D4314">
              <w:rPr>
                <w:b/>
              </w:rPr>
              <w:t xml:space="preserve">Risk </w:t>
            </w:r>
          </w:p>
        </w:tc>
        <w:tc>
          <w:tcPr>
            <w:tcW w:w="7990" w:type="dxa"/>
            <w:gridSpan w:val="6"/>
            <w:tcBorders>
              <w:left w:val="nil"/>
            </w:tcBorders>
          </w:tcPr>
          <w:p w:rsidR="00AD032A" w:rsidRPr="009B640E" w:rsidRDefault="00AD032A" w:rsidP="00181AB1">
            <w:r w:rsidRPr="009B640E">
              <w:t>The Cardiff and Vale Test, Trace and Protect (TTP) Service fails to deliver effective mass population contact tracing and vaccination</w:t>
            </w:r>
          </w:p>
        </w:tc>
      </w:tr>
      <w:tr w:rsidR="00AD032A" w:rsidRPr="007D4314" w:rsidTr="00181AB1">
        <w:trPr>
          <w:trHeight w:val="325"/>
        </w:trPr>
        <w:tc>
          <w:tcPr>
            <w:tcW w:w="2358" w:type="dxa"/>
            <w:tcBorders>
              <w:bottom w:val="single" w:sz="4" w:space="0" w:color="auto"/>
              <w:right w:val="nil"/>
            </w:tcBorders>
          </w:tcPr>
          <w:p w:rsidR="00AD032A" w:rsidRPr="007D4314" w:rsidRDefault="00AD032A" w:rsidP="00181AB1">
            <w:pPr>
              <w:rPr>
                <w:b/>
              </w:rPr>
            </w:pPr>
            <w:r w:rsidRPr="007D4314">
              <w:rPr>
                <w:b/>
              </w:rPr>
              <w:t xml:space="preserve">Date added:  </w:t>
            </w:r>
          </w:p>
        </w:tc>
        <w:tc>
          <w:tcPr>
            <w:tcW w:w="7990" w:type="dxa"/>
            <w:gridSpan w:val="6"/>
            <w:tcBorders>
              <w:left w:val="nil"/>
            </w:tcBorders>
          </w:tcPr>
          <w:p w:rsidR="00AD032A" w:rsidRPr="009B640E" w:rsidRDefault="00AD032A" w:rsidP="00181AB1">
            <w:r w:rsidRPr="009B640E">
              <w:t>18.5.20</w:t>
            </w:r>
          </w:p>
        </w:tc>
      </w:tr>
      <w:tr w:rsidR="00AD032A" w:rsidRPr="007D4314" w:rsidTr="00181AB1">
        <w:tc>
          <w:tcPr>
            <w:tcW w:w="2358" w:type="dxa"/>
            <w:tcBorders>
              <w:bottom w:val="single" w:sz="4" w:space="0" w:color="auto"/>
              <w:right w:val="nil"/>
            </w:tcBorders>
          </w:tcPr>
          <w:p w:rsidR="00AD032A" w:rsidRPr="007D4314" w:rsidRDefault="00AD032A" w:rsidP="00181AB1">
            <w:pPr>
              <w:rPr>
                <w:b/>
              </w:rPr>
            </w:pPr>
            <w:r w:rsidRPr="007D4314">
              <w:rPr>
                <w:b/>
              </w:rPr>
              <w:t>Cause</w:t>
            </w:r>
          </w:p>
        </w:tc>
        <w:tc>
          <w:tcPr>
            <w:tcW w:w="7990" w:type="dxa"/>
            <w:gridSpan w:val="6"/>
            <w:tcBorders>
              <w:left w:val="nil"/>
            </w:tcBorders>
          </w:tcPr>
          <w:p w:rsidR="00AD032A" w:rsidRPr="009B640E" w:rsidRDefault="00AD032A" w:rsidP="00181AB1">
            <w:r w:rsidRPr="009B640E">
              <w:t>Delivering TTP Services has been a complex and substantial partnership endeavour, delivered to a challenging timetable; Cardiff Council is hosting the TTP Service and the University Health Board is leading the delivery of mass vaccination. Risks to effective delivery include:</w:t>
            </w:r>
          </w:p>
          <w:p w:rsidR="00AD032A" w:rsidRPr="009B640E" w:rsidRDefault="00AD032A" w:rsidP="00AD032A">
            <w:pPr>
              <w:pStyle w:val="ListParagraph"/>
              <w:numPr>
                <w:ilvl w:val="0"/>
                <w:numId w:val="46"/>
              </w:numPr>
            </w:pPr>
            <w:r w:rsidRPr="009B640E">
              <w:t>Upgrades to the national CRM (Customer Relationship Management) system are not sufficiently timely to support local delivery</w:t>
            </w:r>
          </w:p>
          <w:p w:rsidR="00AD032A" w:rsidRPr="00AD032A" w:rsidRDefault="00AD032A" w:rsidP="00AD032A">
            <w:pPr>
              <w:pStyle w:val="ListParagraph"/>
              <w:numPr>
                <w:ilvl w:val="0"/>
                <w:numId w:val="46"/>
              </w:numPr>
              <w:rPr>
                <w:color w:val="FF0000"/>
              </w:rPr>
            </w:pPr>
            <w:r w:rsidRPr="009B640E">
              <w:t>Failure to maintain sufficient staff (either via redeployment or new appointment) at all levels to meet demand</w:t>
            </w:r>
            <w:r>
              <w:t xml:space="preserve"> </w:t>
            </w:r>
            <w:r w:rsidRPr="00AD032A">
              <w:rPr>
                <w:color w:val="FF0000"/>
              </w:rPr>
              <w:t>in both TTP and Mass Vaccination (MV)</w:t>
            </w:r>
          </w:p>
          <w:p w:rsidR="00AD032A" w:rsidRPr="00AD032A" w:rsidRDefault="00AD032A" w:rsidP="00AD032A">
            <w:pPr>
              <w:pStyle w:val="ListParagraph"/>
              <w:numPr>
                <w:ilvl w:val="0"/>
                <w:numId w:val="46"/>
              </w:numPr>
              <w:rPr>
                <w:color w:val="FF0000"/>
              </w:rPr>
            </w:pPr>
            <w:r w:rsidRPr="009B640E">
              <w:t>Insufficient telephony/IT equipment to support home working model</w:t>
            </w:r>
            <w:r>
              <w:t xml:space="preserve"> </w:t>
            </w:r>
            <w:r w:rsidRPr="00AD032A">
              <w:rPr>
                <w:color w:val="FF0000"/>
              </w:rPr>
              <w:t>of TTP</w:t>
            </w:r>
          </w:p>
          <w:p w:rsidR="00AD032A" w:rsidRPr="009B640E" w:rsidRDefault="00AD032A" w:rsidP="00AD032A">
            <w:pPr>
              <w:pStyle w:val="ListParagraph"/>
              <w:numPr>
                <w:ilvl w:val="0"/>
                <w:numId w:val="46"/>
              </w:numPr>
            </w:pPr>
            <w:r w:rsidRPr="009B640E">
              <w:t>Non coordinated working between partner organisations</w:t>
            </w:r>
          </w:p>
          <w:p w:rsidR="00AD032A" w:rsidRPr="009B640E" w:rsidRDefault="00AD032A" w:rsidP="00AD032A">
            <w:pPr>
              <w:pStyle w:val="ListParagraph"/>
              <w:numPr>
                <w:ilvl w:val="0"/>
                <w:numId w:val="46"/>
              </w:numPr>
            </w:pPr>
            <w:r w:rsidRPr="009B640E">
              <w:t>Lack of engagement with the local population and settings in promote compliance with contact tracing, as well as maintain adherence to infection control and preventative advice (including physical distancing, wearing masks and frequent hand washing)</w:t>
            </w:r>
          </w:p>
          <w:p w:rsidR="00AD032A" w:rsidRPr="009B640E" w:rsidRDefault="00AD032A" w:rsidP="00AD032A">
            <w:pPr>
              <w:pStyle w:val="ListParagraph"/>
              <w:numPr>
                <w:ilvl w:val="0"/>
                <w:numId w:val="46"/>
              </w:numPr>
            </w:pPr>
            <w:r w:rsidRPr="009B640E">
              <w:t xml:space="preserve">Increased demand created by influx of students to the City </w:t>
            </w:r>
            <w:r w:rsidRPr="00AD032A">
              <w:rPr>
                <w:color w:val="FF0000"/>
              </w:rPr>
              <w:t>when</w:t>
            </w:r>
            <w:r>
              <w:t xml:space="preserve"> </w:t>
            </w:r>
            <w:r w:rsidRPr="009B640E">
              <w:t>universities</w:t>
            </w:r>
            <w:r>
              <w:t xml:space="preserve"> </w:t>
            </w:r>
            <w:r w:rsidRPr="00AD032A">
              <w:rPr>
                <w:color w:val="FF0000"/>
              </w:rPr>
              <w:t>reopen</w:t>
            </w:r>
          </w:p>
          <w:p w:rsidR="00AD032A" w:rsidRPr="009B640E" w:rsidRDefault="00AD032A" w:rsidP="00AD032A">
            <w:pPr>
              <w:pStyle w:val="ListParagraph"/>
              <w:numPr>
                <w:ilvl w:val="0"/>
                <w:numId w:val="46"/>
              </w:numPr>
            </w:pPr>
            <w:r w:rsidRPr="009B640E">
              <w:t>Increased demand due to co-circulation of flu during the winter months</w:t>
            </w:r>
          </w:p>
          <w:p w:rsidR="00AD032A" w:rsidRPr="009B640E" w:rsidRDefault="00AD032A" w:rsidP="00AD032A">
            <w:pPr>
              <w:pStyle w:val="ListParagraph"/>
              <w:numPr>
                <w:ilvl w:val="0"/>
                <w:numId w:val="46"/>
              </w:numPr>
            </w:pPr>
            <w:r w:rsidRPr="009B640E">
              <w:t xml:space="preserve">Surveillance system unable to detect local disease activity </w:t>
            </w:r>
          </w:p>
          <w:p w:rsidR="00AD032A" w:rsidRPr="009B640E" w:rsidRDefault="00AD032A" w:rsidP="00AD032A">
            <w:pPr>
              <w:pStyle w:val="ListParagraph"/>
              <w:numPr>
                <w:ilvl w:val="0"/>
                <w:numId w:val="46"/>
              </w:numPr>
            </w:pPr>
            <w:r w:rsidRPr="009B640E">
              <w:t>Insufficient funding to support longer term service delivery</w:t>
            </w:r>
          </w:p>
          <w:p w:rsidR="00AD032A" w:rsidRPr="009B640E" w:rsidRDefault="00AD032A" w:rsidP="00AD032A">
            <w:pPr>
              <w:pStyle w:val="ListParagraph"/>
              <w:numPr>
                <w:ilvl w:val="0"/>
                <w:numId w:val="46"/>
              </w:numPr>
            </w:pPr>
            <w:r w:rsidRPr="009B640E">
              <w:t xml:space="preserve">Inability to maintain </w:t>
            </w:r>
            <w:r w:rsidRPr="00AD032A">
              <w:rPr>
                <w:color w:val="FF0000"/>
              </w:rPr>
              <w:t xml:space="preserve">and right size </w:t>
            </w:r>
            <w:r w:rsidRPr="009B640E">
              <w:t xml:space="preserve">service for </w:t>
            </w:r>
            <w:r w:rsidRPr="00AD032A">
              <w:rPr>
                <w:color w:val="FF0000"/>
              </w:rPr>
              <w:t>an extended period of time (over 1 year).</w:t>
            </w:r>
          </w:p>
          <w:p w:rsidR="00AD032A" w:rsidRPr="009B640E" w:rsidRDefault="00AD032A" w:rsidP="00AD032A">
            <w:pPr>
              <w:pStyle w:val="ListParagraph"/>
              <w:numPr>
                <w:ilvl w:val="0"/>
                <w:numId w:val="46"/>
              </w:numPr>
            </w:pPr>
            <w:r w:rsidRPr="009B640E">
              <w:t xml:space="preserve">Vaccine delivery: limited supply of vaccine; failure to vaccinate at sufficient scale and/or pace </w:t>
            </w:r>
            <w:r w:rsidRPr="00AD032A">
              <w:rPr>
                <w:color w:val="FF0000"/>
              </w:rPr>
              <w:t>to meet national targets</w:t>
            </w:r>
          </w:p>
          <w:p w:rsidR="00AD032A" w:rsidRPr="00AD032A" w:rsidRDefault="00AD032A" w:rsidP="00AD032A">
            <w:pPr>
              <w:pStyle w:val="ListParagraph"/>
              <w:numPr>
                <w:ilvl w:val="0"/>
                <w:numId w:val="46"/>
              </w:numPr>
              <w:rPr>
                <w:color w:val="FF0000"/>
              </w:rPr>
            </w:pPr>
            <w:r w:rsidRPr="009B640E">
              <w:t>Emergence of a new variant of Covid-19 with increased infectivity</w:t>
            </w:r>
            <w:r>
              <w:t xml:space="preserve"> </w:t>
            </w:r>
            <w:r w:rsidRPr="00AD032A">
              <w:rPr>
                <w:color w:val="FF0000"/>
              </w:rPr>
              <w:t>and/or reduced effectiveness of vaccination</w:t>
            </w:r>
          </w:p>
          <w:p w:rsidR="00AD032A" w:rsidRPr="00AD032A" w:rsidRDefault="00AD032A" w:rsidP="00AD032A">
            <w:pPr>
              <w:pStyle w:val="ListParagraph"/>
              <w:numPr>
                <w:ilvl w:val="0"/>
                <w:numId w:val="46"/>
              </w:numPr>
              <w:rPr>
                <w:color w:val="FF0000"/>
              </w:rPr>
            </w:pPr>
            <w:r w:rsidRPr="00AD032A">
              <w:rPr>
                <w:color w:val="FF0000"/>
              </w:rPr>
              <w:t>Risk of repeated reintroductions of the virus to the population once restrictions are lifted; particularly from returning international travellers</w:t>
            </w:r>
          </w:p>
          <w:p w:rsidR="00AD032A" w:rsidRPr="009B640E" w:rsidRDefault="00AD032A" w:rsidP="00AD032A">
            <w:pPr>
              <w:pStyle w:val="ListParagraph"/>
              <w:numPr>
                <w:ilvl w:val="0"/>
                <w:numId w:val="46"/>
              </w:numPr>
            </w:pPr>
            <w:r w:rsidRPr="00AD032A">
              <w:rPr>
                <w:color w:val="FF0000"/>
              </w:rPr>
              <w:t>Uncertainty about the likely course of the pandemic and the cumulative effect of a number of factors on the overall case rate e.g. the impact of mass vaccination and easing of restrictions. This means planning future delivery of TTP services is complex, and there is a risk that capacity could be under or over estimated, resulting in the appropriate level of response not being delivered.</w:t>
            </w:r>
          </w:p>
        </w:tc>
      </w:tr>
      <w:tr w:rsidR="00AD032A" w:rsidRPr="007D4314" w:rsidTr="00181AB1">
        <w:tc>
          <w:tcPr>
            <w:tcW w:w="2358" w:type="dxa"/>
            <w:tcBorders>
              <w:right w:val="nil"/>
            </w:tcBorders>
          </w:tcPr>
          <w:p w:rsidR="00AD032A" w:rsidRPr="007D4314" w:rsidRDefault="00AD032A" w:rsidP="00181AB1">
            <w:pPr>
              <w:rPr>
                <w:b/>
              </w:rPr>
            </w:pPr>
            <w:r w:rsidRPr="007D4314">
              <w:rPr>
                <w:b/>
              </w:rPr>
              <w:t>Impact</w:t>
            </w:r>
          </w:p>
        </w:tc>
        <w:tc>
          <w:tcPr>
            <w:tcW w:w="7990" w:type="dxa"/>
            <w:gridSpan w:val="6"/>
            <w:tcBorders>
              <w:left w:val="nil"/>
            </w:tcBorders>
          </w:tcPr>
          <w:p w:rsidR="00AD032A" w:rsidRPr="007D4314" w:rsidRDefault="00AD032A" w:rsidP="00181AB1">
            <w:r w:rsidRPr="007D4314">
              <w:t>TTP Servi</w:t>
            </w:r>
            <w:r w:rsidRPr="00545789">
              <w:t xml:space="preserve">ces </w:t>
            </w:r>
            <w:r w:rsidRPr="007D4314">
              <w:t>would not run effectively with the result that there would be sub-optimal control of disease activity in Cardiff and the Vale of Glamorgan. This could result in avoidable cases of COVID-19 and an increased R value, meaning that community transmission could escalate, with the consequent risk to population health and demand on health and social care services. It may also necessitate reinstatement of restrictions and controls.</w:t>
            </w:r>
          </w:p>
        </w:tc>
      </w:tr>
      <w:tr w:rsidR="00AD032A" w:rsidRPr="007D4314" w:rsidTr="00181AB1">
        <w:tc>
          <w:tcPr>
            <w:tcW w:w="2358" w:type="dxa"/>
            <w:tcBorders>
              <w:bottom w:val="single" w:sz="4" w:space="0" w:color="auto"/>
            </w:tcBorders>
          </w:tcPr>
          <w:p w:rsidR="00AD032A" w:rsidRPr="007D4314" w:rsidRDefault="00AD032A" w:rsidP="00181AB1">
            <w:pPr>
              <w:rPr>
                <w:b/>
              </w:rPr>
            </w:pPr>
            <w:r w:rsidRPr="007D4314">
              <w:rPr>
                <w:b/>
              </w:rPr>
              <w:t xml:space="preserve">Impact Score:  5 </w:t>
            </w:r>
          </w:p>
        </w:tc>
        <w:tc>
          <w:tcPr>
            <w:tcW w:w="2605" w:type="dxa"/>
          </w:tcPr>
          <w:p w:rsidR="00AD032A" w:rsidRPr="007D4314" w:rsidRDefault="00AD032A" w:rsidP="00181AB1">
            <w:pPr>
              <w:rPr>
                <w:b/>
              </w:rPr>
            </w:pPr>
            <w:r w:rsidRPr="007D4314">
              <w:rPr>
                <w:b/>
              </w:rPr>
              <w:t>Likelihood Score:  4</w:t>
            </w:r>
          </w:p>
        </w:tc>
        <w:tc>
          <w:tcPr>
            <w:tcW w:w="2307" w:type="dxa"/>
            <w:gridSpan w:val="3"/>
          </w:tcPr>
          <w:p w:rsidR="00AD032A" w:rsidRPr="007D4314" w:rsidRDefault="00AD032A" w:rsidP="00181AB1">
            <w:pPr>
              <w:rPr>
                <w:b/>
              </w:rPr>
            </w:pPr>
            <w:r w:rsidRPr="007D4314">
              <w:rPr>
                <w:b/>
              </w:rPr>
              <w:t>Gross Risk Score: 20</w:t>
            </w:r>
          </w:p>
        </w:tc>
        <w:tc>
          <w:tcPr>
            <w:tcW w:w="3078" w:type="dxa"/>
            <w:gridSpan w:val="2"/>
            <w:shd w:val="clear" w:color="auto" w:fill="FF0000"/>
          </w:tcPr>
          <w:p w:rsidR="00AD032A" w:rsidRPr="007D4314" w:rsidRDefault="00AD032A" w:rsidP="00181AB1">
            <w:pPr>
              <w:rPr>
                <w:b/>
              </w:rPr>
            </w:pPr>
            <w:r w:rsidRPr="007D4314">
              <w:rPr>
                <w:b/>
              </w:rPr>
              <w:t>20 (Extreme)</w:t>
            </w:r>
          </w:p>
        </w:tc>
      </w:tr>
      <w:tr w:rsidR="00AD032A" w:rsidRPr="007D4314" w:rsidTr="00181AB1">
        <w:tc>
          <w:tcPr>
            <w:tcW w:w="2358" w:type="dxa"/>
            <w:tcBorders>
              <w:bottom w:val="single" w:sz="4" w:space="0" w:color="auto"/>
              <w:right w:val="nil"/>
            </w:tcBorders>
          </w:tcPr>
          <w:p w:rsidR="00AD032A" w:rsidRPr="007D4314" w:rsidRDefault="00AD032A" w:rsidP="00181AB1">
            <w:pPr>
              <w:rPr>
                <w:b/>
              </w:rPr>
            </w:pPr>
            <w:r w:rsidRPr="007D4314">
              <w:rPr>
                <w:b/>
              </w:rPr>
              <w:t>Current Controls</w:t>
            </w:r>
          </w:p>
        </w:tc>
        <w:tc>
          <w:tcPr>
            <w:tcW w:w="7990" w:type="dxa"/>
            <w:gridSpan w:val="6"/>
            <w:tcBorders>
              <w:left w:val="nil"/>
            </w:tcBorders>
          </w:tcPr>
          <w:p w:rsidR="00AD032A" w:rsidRPr="009B640E" w:rsidRDefault="00AD032A" w:rsidP="00AD032A">
            <w:pPr>
              <w:pStyle w:val="ListParagraph"/>
              <w:numPr>
                <w:ilvl w:val="0"/>
                <w:numId w:val="23"/>
              </w:numPr>
            </w:pPr>
            <w:r w:rsidRPr="009B640E">
              <w:t>Governance structures in place with partnership representation. Strategic and operational boards meet regularly. Work streams identified and leads named. Cardiff and Vale Prevention and Response Plan submitted to Welsh Government.</w:t>
            </w:r>
          </w:p>
          <w:p w:rsidR="00AD032A" w:rsidRPr="009B640E" w:rsidRDefault="00AD032A" w:rsidP="00AD032A">
            <w:pPr>
              <w:pStyle w:val="ListParagraph"/>
              <w:numPr>
                <w:ilvl w:val="0"/>
                <w:numId w:val="23"/>
              </w:numPr>
            </w:pPr>
            <w:r w:rsidRPr="009B640E">
              <w:t xml:space="preserve">Cardiff and Vale representatives identified for all key national groups. Links established at a National level with Welsh Government, NWIS and PHW to optimise communication and influence </w:t>
            </w:r>
            <w:r w:rsidRPr="00736B4D">
              <w:rPr>
                <w:color w:val="FF0000"/>
              </w:rPr>
              <w:t xml:space="preserve">ongoing </w:t>
            </w:r>
            <w:r w:rsidRPr="009B640E">
              <w:t xml:space="preserve">service design and </w:t>
            </w:r>
            <w:r w:rsidRPr="00736B4D">
              <w:rPr>
                <w:color w:val="FF0000"/>
              </w:rPr>
              <w:t>delivery</w:t>
            </w:r>
          </w:p>
          <w:p w:rsidR="00AD032A" w:rsidRPr="009B640E" w:rsidRDefault="00AD032A" w:rsidP="00AD032A">
            <w:pPr>
              <w:pStyle w:val="ListParagraph"/>
              <w:numPr>
                <w:ilvl w:val="0"/>
                <w:numId w:val="23"/>
              </w:numPr>
            </w:pPr>
            <w:r w:rsidRPr="009B640E">
              <w:t xml:space="preserve">Partnership communications plan in place, informed by both national and regional insight work, and taking in to account local population characteristics. </w:t>
            </w:r>
          </w:p>
          <w:p w:rsidR="00AD032A" w:rsidRPr="009B640E" w:rsidRDefault="00AD032A" w:rsidP="00AD032A">
            <w:pPr>
              <w:pStyle w:val="ListParagraph"/>
              <w:numPr>
                <w:ilvl w:val="0"/>
                <w:numId w:val="23"/>
              </w:numPr>
            </w:pPr>
            <w:r w:rsidRPr="009B640E">
              <w:lastRenderedPageBreak/>
              <w:t xml:space="preserve">Regular, multidisciplinary and multi-agency regional team meetings to review cases and incidents. Regional SOP developed. Proactive engagement with </w:t>
            </w:r>
            <w:r>
              <w:t xml:space="preserve">key </w:t>
            </w:r>
            <w:r w:rsidRPr="009B640E">
              <w:t>settings e.g. schools, healthcare settings and universities</w:t>
            </w:r>
          </w:p>
          <w:p w:rsidR="00AD032A" w:rsidRPr="009B640E" w:rsidRDefault="00AD032A" w:rsidP="00AD032A">
            <w:pPr>
              <w:pStyle w:val="ListParagraph"/>
              <w:numPr>
                <w:ilvl w:val="0"/>
                <w:numId w:val="23"/>
              </w:numPr>
            </w:pPr>
            <w:r w:rsidRPr="009B640E">
              <w:t>Links established at a National level with Welsh Government, NWIS and PHW to optimise communication and influence service design and digital solution</w:t>
            </w:r>
          </w:p>
          <w:p w:rsidR="00AD032A" w:rsidRPr="00736B4D" w:rsidRDefault="00AD032A" w:rsidP="00AD032A">
            <w:pPr>
              <w:pStyle w:val="ListParagraph"/>
              <w:numPr>
                <w:ilvl w:val="0"/>
                <w:numId w:val="23"/>
              </w:numPr>
              <w:rPr>
                <w:color w:val="FF0000"/>
              </w:rPr>
            </w:pPr>
            <w:r w:rsidRPr="009B640E">
              <w:t>In response to local increase in cases a Regional Incident Management Team was established on 22</w:t>
            </w:r>
            <w:r w:rsidRPr="009B640E">
              <w:rPr>
                <w:vertAlign w:val="superscript"/>
              </w:rPr>
              <w:t>nd</w:t>
            </w:r>
            <w:r w:rsidRPr="009B640E">
              <w:t xml:space="preserve"> September 2020, chaired by the Director of Public Health, which </w:t>
            </w:r>
            <w:r w:rsidRPr="00736B4D">
              <w:rPr>
                <w:color w:val="FF0000"/>
              </w:rPr>
              <w:t xml:space="preserve">initially </w:t>
            </w:r>
            <w:r w:rsidRPr="009B640E">
              <w:t>met twice weekly and provided advice on the actions to be taken. These have been signed off by a Regional Leadership team and recommendations for national action escalated to Welsh Government</w:t>
            </w:r>
            <w:r>
              <w:t xml:space="preserve">. </w:t>
            </w:r>
            <w:r w:rsidRPr="00736B4D">
              <w:rPr>
                <w:color w:val="FF0000"/>
              </w:rPr>
              <w:t>The Regional IMTs now meet weekly, but their frequency will be revi</w:t>
            </w:r>
            <w:r>
              <w:rPr>
                <w:color w:val="FF0000"/>
              </w:rPr>
              <w:t>e</w:t>
            </w:r>
            <w:r w:rsidRPr="00736B4D">
              <w:rPr>
                <w:color w:val="FF0000"/>
              </w:rPr>
              <w:t>wed in the week beginning 8</w:t>
            </w:r>
            <w:r w:rsidRPr="00736B4D">
              <w:rPr>
                <w:color w:val="FF0000"/>
                <w:vertAlign w:val="superscript"/>
              </w:rPr>
              <w:t>th</w:t>
            </w:r>
            <w:r w:rsidRPr="00736B4D">
              <w:rPr>
                <w:color w:val="FF0000"/>
              </w:rPr>
              <w:t xml:space="preserve"> March</w:t>
            </w:r>
          </w:p>
          <w:p w:rsidR="00AD032A" w:rsidRPr="009B640E" w:rsidRDefault="00AD032A" w:rsidP="00AD032A">
            <w:pPr>
              <w:pStyle w:val="ListParagraph"/>
              <w:numPr>
                <w:ilvl w:val="0"/>
                <w:numId w:val="23"/>
              </w:numPr>
            </w:pPr>
            <w:r w:rsidRPr="009B640E">
              <w:t>Regional and local surveillance systems in place and providing timely information to inform the local response at all levels.</w:t>
            </w:r>
          </w:p>
          <w:p w:rsidR="00AD032A" w:rsidRPr="009B640E" w:rsidRDefault="00AD032A" w:rsidP="00AD032A">
            <w:pPr>
              <w:pStyle w:val="ListParagraph"/>
              <w:numPr>
                <w:ilvl w:val="0"/>
                <w:numId w:val="23"/>
              </w:numPr>
            </w:pPr>
            <w:r w:rsidRPr="009B640E">
              <w:t>Partner organisations committed to offering staff for at least the first 6 months of contact tracing operational delivery, using a secondment arrangement. Service model based on home working, allowing shielded staff to contribute and increase the pool of available staff. Student workforce identified through links with HEIW and Environmental Health. Significant new recruitment by Cardiff Council has continued, on behalf of the partnership, and has ensured that tracing capacity is able to meet demand.</w:t>
            </w:r>
          </w:p>
          <w:p w:rsidR="00AD032A" w:rsidRPr="009B640E" w:rsidRDefault="00AD032A" w:rsidP="00AD032A">
            <w:pPr>
              <w:pStyle w:val="ListParagraph"/>
              <w:numPr>
                <w:ilvl w:val="0"/>
                <w:numId w:val="23"/>
              </w:numPr>
            </w:pPr>
            <w:r w:rsidRPr="009B640E">
              <w:t>Welsh Government has agreed funding to support TTP delivery</w:t>
            </w:r>
          </w:p>
          <w:p w:rsidR="00AD032A" w:rsidRDefault="00AD032A" w:rsidP="00AD032A">
            <w:pPr>
              <w:pStyle w:val="ListParagraph"/>
              <w:numPr>
                <w:ilvl w:val="0"/>
                <w:numId w:val="23"/>
              </w:numPr>
            </w:pPr>
            <w:r w:rsidRPr="009B640E">
              <w:t xml:space="preserve">Comprehensive Covid-19 immunisation plan and project team in place. </w:t>
            </w:r>
            <w:r w:rsidRPr="00736B4D">
              <w:rPr>
                <w:color w:val="FF0000"/>
              </w:rPr>
              <w:t>Three</w:t>
            </w:r>
            <w:r>
              <w:t xml:space="preserve"> </w:t>
            </w:r>
            <w:r w:rsidRPr="009B640E">
              <w:t>mass vaccination centre</w:t>
            </w:r>
            <w:r>
              <w:t>s</w:t>
            </w:r>
            <w:r w:rsidRPr="009B640E">
              <w:t xml:space="preserve"> (MVC) </w:t>
            </w:r>
            <w:r w:rsidRPr="00736B4D">
              <w:rPr>
                <w:color w:val="FF0000"/>
              </w:rPr>
              <w:t>are</w:t>
            </w:r>
            <w:r w:rsidRPr="009B640E">
              <w:t xml:space="preserve"> operational, offering immunisation to health and social care workers. The licencing of the Oxford Astra Zenica vaccine, with its more routine storage and transportation requirements, allows vaccination to be offered in primary and community care venues; vaccination has </w:t>
            </w:r>
            <w:r w:rsidRPr="00736B4D">
              <w:rPr>
                <w:color w:val="FF0000"/>
              </w:rPr>
              <w:t xml:space="preserve">been </w:t>
            </w:r>
            <w:r w:rsidRPr="009B640E">
              <w:t xml:space="preserve">offered </w:t>
            </w:r>
            <w:r w:rsidRPr="00736B4D">
              <w:rPr>
                <w:color w:val="FF0000"/>
              </w:rPr>
              <w:t>to</w:t>
            </w:r>
            <w:r>
              <w:t xml:space="preserve"> </w:t>
            </w:r>
            <w:r w:rsidRPr="009B640E">
              <w:t xml:space="preserve">JCVI </w:t>
            </w:r>
            <w:r w:rsidRPr="00736B4D">
              <w:rPr>
                <w:color w:val="FF0000"/>
              </w:rPr>
              <w:t>groups 1-4, with current delivery focussing on groups 5, 6 and 7 with plans moving at pace to deliver to groups 8</w:t>
            </w:r>
            <w:r>
              <w:t>-9 (</w:t>
            </w:r>
            <w:r w:rsidRPr="009B640E">
              <w:t>subject to the availability of sufficient vaccine</w:t>
            </w:r>
            <w:r>
              <w:t>)</w:t>
            </w:r>
            <w:r w:rsidRPr="009B640E">
              <w:t>.</w:t>
            </w:r>
          </w:p>
          <w:p w:rsidR="00AD032A" w:rsidRPr="00736B4D" w:rsidRDefault="00AD032A" w:rsidP="00AD032A">
            <w:pPr>
              <w:pStyle w:val="ListParagraph"/>
              <w:numPr>
                <w:ilvl w:val="0"/>
                <w:numId w:val="23"/>
              </w:numPr>
              <w:rPr>
                <w:color w:val="FF0000"/>
              </w:rPr>
            </w:pPr>
            <w:r w:rsidRPr="00736B4D">
              <w:rPr>
                <w:color w:val="FF0000"/>
              </w:rPr>
              <w:t>Partnership governance mechanisms being used to explore and debate plans for a long term, sustainable approach to TTP service delivery. This will feed in to all Wales discussions being led by Welsh Government.</w:t>
            </w:r>
          </w:p>
          <w:p w:rsidR="00AD032A" w:rsidRPr="009B640E" w:rsidRDefault="00AD032A" w:rsidP="00181AB1">
            <w:pPr>
              <w:pStyle w:val="ListParagraph"/>
              <w:ind w:left="360"/>
            </w:pPr>
          </w:p>
        </w:tc>
      </w:tr>
      <w:tr w:rsidR="00AD032A" w:rsidRPr="007D4314" w:rsidTr="00181AB1">
        <w:tc>
          <w:tcPr>
            <w:tcW w:w="2358" w:type="dxa"/>
            <w:tcBorders>
              <w:right w:val="nil"/>
            </w:tcBorders>
          </w:tcPr>
          <w:p w:rsidR="00AD032A" w:rsidRPr="007D4314" w:rsidRDefault="00AD032A" w:rsidP="00181AB1">
            <w:pPr>
              <w:rPr>
                <w:b/>
              </w:rPr>
            </w:pPr>
            <w:r w:rsidRPr="007D4314">
              <w:rPr>
                <w:b/>
              </w:rPr>
              <w:lastRenderedPageBreak/>
              <w:t>Current Assurances</w:t>
            </w:r>
          </w:p>
        </w:tc>
        <w:tc>
          <w:tcPr>
            <w:tcW w:w="7990" w:type="dxa"/>
            <w:gridSpan w:val="6"/>
            <w:tcBorders>
              <w:left w:val="nil"/>
            </w:tcBorders>
          </w:tcPr>
          <w:p w:rsidR="00AD032A" w:rsidRPr="009B640E" w:rsidRDefault="00AD032A" w:rsidP="00AD032A">
            <w:pPr>
              <w:pStyle w:val="ListParagraph"/>
              <w:numPr>
                <w:ilvl w:val="0"/>
                <w:numId w:val="23"/>
              </w:numPr>
              <w:rPr>
                <w:i/>
              </w:rPr>
            </w:pPr>
            <w:r w:rsidRPr="009B640E">
              <w:t>Strengthened and functioning governance and operational arrangements in place</w:t>
            </w:r>
          </w:p>
        </w:tc>
      </w:tr>
      <w:tr w:rsidR="00AD032A" w:rsidRPr="007D4314" w:rsidTr="00AD032A">
        <w:tc>
          <w:tcPr>
            <w:tcW w:w="2358" w:type="dxa"/>
            <w:tcBorders>
              <w:bottom w:val="single" w:sz="4" w:space="0" w:color="auto"/>
            </w:tcBorders>
          </w:tcPr>
          <w:p w:rsidR="00AD032A" w:rsidRPr="007D4314" w:rsidRDefault="00AD032A" w:rsidP="00181AB1">
            <w:pPr>
              <w:rPr>
                <w:b/>
              </w:rPr>
            </w:pPr>
            <w:r w:rsidRPr="007D4314">
              <w:rPr>
                <w:b/>
              </w:rPr>
              <w:t>Impact Score: 5</w:t>
            </w:r>
          </w:p>
        </w:tc>
        <w:tc>
          <w:tcPr>
            <w:tcW w:w="2605" w:type="dxa"/>
          </w:tcPr>
          <w:p w:rsidR="00AD032A" w:rsidRPr="007D4314" w:rsidRDefault="00AD032A" w:rsidP="00181AB1">
            <w:pPr>
              <w:rPr>
                <w:b/>
              </w:rPr>
            </w:pPr>
            <w:r w:rsidRPr="007D4314">
              <w:rPr>
                <w:b/>
              </w:rPr>
              <w:t xml:space="preserve">Likelihood Score: </w:t>
            </w:r>
            <w:r>
              <w:rPr>
                <w:b/>
              </w:rPr>
              <w:t>2</w:t>
            </w:r>
          </w:p>
        </w:tc>
        <w:tc>
          <w:tcPr>
            <w:tcW w:w="2307" w:type="dxa"/>
            <w:gridSpan w:val="3"/>
          </w:tcPr>
          <w:p w:rsidR="00AD032A" w:rsidRPr="007D4314" w:rsidRDefault="00AD032A" w:rsidP="00181AB1">
            <w:pPr>
              <w:rPr>
                <w:b/>
              </w:rPr>
            </w:pPr>
            <w:r w:rsidRPr="007D4314">
              <w:rPr>
                <w:b/>
              </w:rPr>
              <w:t>Net Risk Score: 1</w:t>
            </w:r>
            <w:r>
              <w:rPr>
                <w:b/>
              </w:rPr>
              <w:t>0</w:t>
            </w:r>
          </w:p>
        </w:tc>
        <w:tc>
          <w:tcPr>
            <w:tcW w:w="3078" w:type="dxa"/>
            <w:gridSpan w:val="2"/>
            <w:shd w:val="clear" w:color="auto" w:fill="FFC000"/>
          </w:tcPr>
          <w:p w:rsidR="00AD032A" w:rsidRPr="007D4314" w:rsidRDefault="00AD032A" w:rsidP="00AD032A">
            <w:pPr>
              <w:rPr>
                <w:b/>
              </w:rPr>
            </w:pPr>
            <w:r w:rsidRPr="007D4314">
              <w:rPr>
                <w:b/>
              </w:rPr>
              <w:t>1</w:t>
            </w:r>
            <w:r>
              <w:rPr>
                <w:b/>
              </w:rPr>
              <w:t>0</w:t>
            </w:r>
            <w:r w:rsidRPr="007D4314">
              <w:rPr>
                <w:b/>
              </w:rPr>
              <w:t xml:space="preserve"> (</w:t>
            </w:r>
            <w:r>
              <w:rPr>
                <w:b/>
              </w:rPr>
              <w:t>High</w:t>
            </w:r>
            <w:r w:rsidRPr="007D4314">
              <w:rPr>
                <w:b/>
              </w:rPr>
              <w:t>)</w:t>
            </w:r>
          </w:p>
        </w:tc>
      </w:tr>
      <w:tr w:rsidR="00AD032A" w:rsidRPr="007D4314" w:rsidTr="00181AB1">
        <w:tc>
          <w:tcPr>
            <w:tcW w:w="2358" w:type="dxa"/>
            <w:tcBorders>
              <w:bottom w:val="single" w:sz="4" w:space="0" w:color="auto"/>
              <w:right w:val="nil"/>
            </w:tcBorders>
          </w:tcPr>
          <w:p w:rsidR="00AD032A" w:rsidRPr="007D4314" w:rsidRDefault="00AD032A" w:rsidP="00181AB1">
            <w:pPr>
              <w:rPr>
                <w:b/>
              </w:rPr>
            </w:pPr>
            <w:r w:rsidRPr="007D4314">
              <w:rPr>
                <w:b/>
              </w:rPr>
              <w:t>Gap in Controls</w:t>
            </w:r>
          </w:p>
        </w:tc>
        <w:tc>
          <w:tcPr>
            <w:tcW w:w="7990" w:type="dxa"/>
            <w:gridSpan w:val="6"/>
            <w:tcBorders>
              <w:left w:val="nil"/>
            </w:tcBorders>
          </w:tcPr>
          <w:p w:rsidR="00AD032A" w:rsidRPr="009B640E" w:rsidRDefault="00AD032A" w:rsidP="00AD032A">
            <w:pPr>
              <w:pStyle w:val="ListParagraph"/>
              <w:numPr>
                <w:ilvl w:val="0"/>
                <w:numId w:val="24"/>
              </w:numPr>
              <w:ind w:left="398" w:hanging="398"/>
            </w:pPr>
            <w:r w:rsidRPr="009B640E">
              <w:t>Timely availability of sufficient vaccine to meet national targets</w:t>
            </w:r>
          </w:p>
          <w:p w:rsidR="00AD032A" w:rsidRDefault="00AD032A" w:rsidP="00AD032A">
            <w:pPr>
              <w:pStyle w:val="ListParagraph"/>
              <w:numPr>
                <w:ilvl w:val="0"/>
                <w:numId w:val="24"/>
              </w:numPr>
              <w:ind w:left="398" w:hanging="398"/>
            </w:pPr>
            <w:r w:rsidRPr="009B640E">
              <w:t>Issues with compliance with Covid-19 prevention measures for a variety of reasons, including ‘fatigue’, confusion at complexity of messages, as well as some active resistance</w:t>
            </w:r>
          </w:p>
          <w:p w:rsidR="00AD032A" w:rsidRPr="009B640E" w:rsidRDefault="00AD032A" w:rsidP="00181AB1"/>
        </w:tc>
      </w:tr>
      <w:tr w:rsidR="00AD032A" w:rsidRPr="007D4314" w:rsidTr="00181AB1">
        <w:tc>
          <w:tcPr>
            <w:tcW w:w="2358" w:type="dxa"/>
            <w:tcBorders>
              <w:bottom w:val="single" w:sz="4" w:space="0" w:color="auto"/>
              <w:right w:val="nil"/>
            </w:tcBorders>
          </w:tcPr>
          <w:p w:rsidR="00AD032A" w:rsidRPr="007D4314" w:rsidRDefault="00AD032A" w:rsidP="00181AB1">
            <w:pPr>
              <w:rPr>
                <w:b/>
              </w:rPr>
            </w:pPr>
            <w:r w:rsidRPr="007D4314">
              <w:rPr>
                <w:b/>
              </w:rPr>
              <w:t>Gap in Assurances</w:t>
            </w:r>
          </w:p>
        </w:tc>
        <w:tc>
          <w:tcPr>
            <w:tcW w:w="7990" w:type="dxa"/>
            <w:gridSpan w:val="6"/>
            <w:tcBorders>
              <w:left w:val="nil"/>
              <w:bottom w:val="single" w:sz="4" w:space="0" w:color="auto"/>
            </w:tcBorders>
          </w:tcPr>
          <w:p w:rsidR="00AD032A" w:rsidRPr="009B640E" w:rsidRDefault="00AD032A" w:rsidP="00AD032A">
            <w:pPr>
              <w:pStyle w:val="ListParagraph"/>
              <w:numPr>
                <w:ilvl w:val="0"/>
                <w:numId w:val="25"/>
              </w:numPr>
              <w:ind w:left="398" w:hanging="398"/>
            </w:pPr>
            <w:r w:rsidRPr="009B640E">
              <w:t>Longer term funding</w:t>
            </w:r>
          </w:p>
          <w:p w:rsidR="00AD032A" w:rsidRDefault="00AD032A" w:rsidP="00AD032A">
            <w:pPr>
              <w:pStyle w:val="ListParagraph"/>
              <w:numPr>
                <w:ilvl w:val="0"/>
                <w:numId w:val="25"/>
              </w:numPr>
              <w:ind w:left="398" w:hanging="398"/>
            </w:pPr>
            <w:r w:rsidRPr="009B640E">
              <w:t>Ability to recruit staff at sufficient scale and pace to meet demand</w:t>
            </w:r>
          </w:p>
          <w:p w:rsidR="00AD032A" w:rsidRPr="009B640E" w:rsidRDefault="00AD032A" w:rsidP="00AD032A">
            <w:pPr>
              <w:pStyle w:val="ListParagraph"/>
              <w:numPr>
                <w:ilvl w:val="0"/>
                <w:numId w:val="25"/>
              </w:numPr>
              <w:ind w:left="398" w:hanging="398"/>
            </w:pPr>
            <w:r w:rsidRPr="00736B4D">
              <w:rPr>
                <w:color w:val="FF0000"/>
              </w:rPr>
              <w:t>Longer term service delivery model for TTP</w:t>
            </w:r>
          </w:p>
        </w:tc>
      </w:tr>
      <w:tr w:rsidR="00AD032A" w:rsidRPr="007D4314" w:rsidTr="00181AB1">
        <w:trPr>
          <w:trHeight w:val="553"/>
        </w:trPr>
        <w:tc>
          <w:tcPr>
            <w:tcW w:w="2358" w:type="dxa"/>
            <w:tcBorders>
              <w:bottom w:val="single" w:sz="4" w:space="0" w:color="auto"/>
              <w:right w:val="nil"/>
            </w:tcBorders>
            <w:shd w:val="clear" w:color="auto" w:fill="8DB3E2" w:themeFill="text2" w:themeFillTint="66"/>
          </w:tcPr>
          <w:p w:rsidR="00AD032A" w:rsidRPr="007D4314" w:rsidRDefault="00AD032A" w:rsidP="00181AB1">
            <w:pPr>
              <w:rPr>
                <w:b/>
              </w:rPr>
            </w:pPr>
            <w:r>
              <w:br w:type="page"/>
            </w:r>
            <w:r w:rsidRPr="007D4314">
              <w:br w:type="page"/>
            </w:r>
            <w:r w:rsidRPr="007D4314">
              <w:rPr>
                <w:b/>
              </w:rPr>
              <w:t>Actions</w:t>
            </w:r>
          </w:p>
        </w:tc>
        <w:tc>
          <w:tcPr>
            <w:tcW w:w="2774" w:type="dxa"/>
            <w:gridSpan w:val="2"/>
            <w:tcBorders>
              <w:left w:val="nil"/>
              <w:bottom w:val="single" w:sz="4" w:space="0" w:color="auto"/>
              <w:right w:val="single" w:sz="4" w:space="0" w:color="auto"/>
            </w:tcBorders>
            <w:shd w:val="clear" w:color="auto" w:fill="8DB3E2" w:themeFill="text2" w:themeFillTint="66"/>
          </w:tcPr>
          <w:p w:rsidR="00AD032A" w:rsidRPr="007D4314" w:rsidRDefault="00AD032A" w:rsidP="00181AB1"/>
        </w:tc>
        <w:tc>
          <w:tcPr>
            <w:tcW w:w="1200" w:type="dxa"/>
            <w:tcBorders>
              <w:left w:val="single" w:sz="4" w:space="0" w:color="auto"/>
              <w:bottom w:val="single" w:sz="4" w:space="0" w:color="auto"/>
              <w:right w:val="single" w:sz="4" w:space="0" w:color="auto"/>
            </w:tcBorders>
            <w:shd w:val="clear" w:color="auto" w:fill="8DB3E2" w:themeFill="text2" w:themeFillTint="66"/>
          </w:tcPr>
          <w:p w:rsidR="00AD032A" w:rsidRPr="007D4314" w:rsidRDefault="00AD032A" w:rsidP="00181AB1">
            <w:pPr>
              <w:rPr>
                <w:b/>
              </w:rPr>
            </w:pPr>
            <w:r w:rsidRPr="007D4314">
              <w:rPr>
                <w:b/>
              </w:rPr>
              <w:t>Lead</w:t>
            </w:r>
          </w:p>
        </w:tc>
        <w:tc>
          <w:tcPr>
            <w:tcW w:w="1344" w:type="dxa"/>
            <w:gridSpan w:val="2"/>
            <w:tcBorders>
              <w:left w:val="single" w:sz="4" w:space="0" w:color="auto"/>
              <w:bottom w:val="single" w:sz="4" w:space="0" w:color="auto"/>
            </w:tcBorders>
            <w:shd w:val="clear" w:color="auto" w:fill="8DB3E2" w:themeFill="text2" w:themeFillTint="66"/>
          </w:tcPr>
          <w:p w:rsidR="00AD032A" w:rsidRPr="007D4314" w:rsidRDefault="00AD032A" w:rsidP="00181AB1">
            <w:pPr>
              <w:rPr>
                <w:b/>
              </w:rPr>
            </w:pPr>
            <w:r w:rsidRPr="007D4314">
              <w:rPr>
                <w:b/>
              </w:rPr>
              <w:t>By when</w:t>
            </w:r>
          </w:p>
        </w:tc>
        <w:tc>
          <w:tcPr>
            <w:tcW w:w="2672" w:type="dxa"/>
            <w:tcBorders>
              <w:left w:val="single" w:sz="4" w:space="0" w:color="auto"/>
              <w:bottom w:val="single" w:sz="4" w:space="0" w:color="auto"/>
            </w:tcBorders>
            <w:shd w:val="clear" w:color="auto" w:fill="8DB3E2" w:themeFill="text2" w:themeFillTint="66"/>
          </w:tcPr>
          <w:p w:rsidR="00AD032A" w:rsidRPr="007D4314" w:rsidRDefault="00AD032A" w:rsidP="00181AB1">
            <w:pPr>
              <w:rPr>
                <w:b/>
              </w:rPr>
            </w:pPr>
            <w:r w:rsidRPr="007D4314">
              <w:rPr>
                <w:b/>
              </w:rPr>
              <w:t xml:space="preserve">Update since </w:t>
            </w:r>
            <w:r>
              <w:rPr>
                <w:b/>
              </w:rPr>
              <w:t>January 21</w:t>
            </w:r>
          </w:p>
        </w:tc>
      </w:tr>
      <w:tr w:rsidR="00AD032A" w:rsidRPr="007D4314" w:rsidTr="00181AB1">
        <w:tc>
          <w:tcPr>
            <w:tcW w:w="5132" w:type="dxa"/>
            <w:gridSpan w:val="3"/>
            <w:tcBorders>
              <w:top w:val="single" w:sz="4" w:space="0" w:color="auto"/>
              <w:right w:val="single" w:sz="4" w:space="0" w:color="auto"/>
            </w:tcBorders>
          </w:tcPr>
          <w:p w:rsidR="00AD032A" w:rsidRDefault="00AD032A" w:rsidP="00AD032A">
            <w:pPr>
              <w:pStyle w:val="ListParagraph"/>
              <w:numPr>
                <w:ilvl w:val="0"/>
                <w:numId w:val="27"/>
              </w:numPr>
            </w:pPr>
            <w:r w:rsidRPr="009B640E">
              <w:t>Deliver a mass vaccination programme to meet nationally agreed targets</w:t>
            </w:r>
          </w:p>
          <w:p w:rsidR="00AD032A" w:rsidRDefault="00AD032A" w:rsidP="00181AB1">
            <w:pPr>
              <w:pStyle w:val="ListParagraph"/>
              <w:spacing w:after="200" w:line="276" w:lineRule="auto"/>
            </w:pPr>
          </w:p>
          <w:p w:rsidR="00AD032A" w:rsidRPr="009B640E" w:rsidRDefault="00AD032A" w:rsidP="00AD032A">
            <w:pPr>
              <w:pStyle w:val="ListParagraph"/>
              <w:numPr>
                <w:ilvl w:val="0"/>
                <w:numId w:val="27"/>
              </w:numPr>
            </w:pPr>
            <w:r w:rsidRPr="00736B4D">
              <w:rPr>
                <w:color w:val="FF0000"/>
              </w:rPr>
              <w:t>Agree long term delivery plan for TTP services</w:t>
            </w:r>
          </w:p>
        </w:tc>
        <w:tc>
          <w:tcPr>
            <w:tcW w:w="1200" w:type="dxa"/>
            <w:tcBorders>
              <w:top w:val="single" w:sz="4" w:space="0" w:color="auto"/>
              <w:left w:val="single" w:sz="4" w:space="0" w:color="auto"/>
              <w:right w:val="single" w:sz="4" w:space="0" w:color="auto"/>
            </w:tcBorders>
          </w:tcPr>
          <w:p w:rsidR="00AD032A" w:rsidRDefault="00AD032A" w:rsidP="00181AB1">
            <w:r w:rsidRPr="009B640E">
              <w:t>Fiona Kinghorn</w:t>
            </w:r>
          </w:p>
          <w:p w:rsidR="00AD032A" w:rsidRDefault="00AD032A" w:rsidP="00181AB1"/>
          <w:p w:rsidR="00AD032A" w:rsidRPr="009B640E" w:rsidRDefault="00AD032A" w:rsidP="00181AB1">
            <w:r w:rsidRPr="00736B4D">
              <w:rPr>
                <w:color w:val="FF0000"/>
              </w:rPr>
              <w:t>Fiona Kinghorn</w:t>
            </w:r>
          </w:p>
        </w:tc>
        <w:tc>
          <w:tcPr>
            <w:tcW w:w="1344" w:type="dxa"/>
            <w:gridSpan w:val="2"/>
            <w:tcBorders>
              <w:top w:val="single" w:sz="4" w:space="0" w:color="auto"/>
              <w:left w:val="single" w:sz="4" w:space="0" w:color="auto"/>
            </w:tcBorders>
          </w:tcPr>
          <w:p w:rsidR="00AD032A" w:rsidRDefault="00AD032A" w:rsidP="00181AB1">
            <w:r>
              <w:t>31/8/21</w:t>
            </w:r>
          </w:p>
          <w:p w:rsidR="00AD032A" w:rsidRDefault="00AD032A" w:rsidP="00181AB1"/>
          <w:p w:rsidR="00AD032A" w:rsidRDefault="00AD032A" w:rsidP="00181AB1">
            <w:pPr>
              <w:rPr>
                <w:color w:val="FF0000"/>
              </w:rPr>
            </w:pPr>
          </w:p>
          <w:p w:rsidR="00AD032A" w:rsidRPr="009B640E" w:rsidRDefault="00AD032A" w:rsidP="00181AB1">
            <w:r w:rsidRPr="00736B4D">
              <w:rPr>
                <w:color w:val="FF0000"/>
              </w:rPr>
              <w:t>31/5/21</w:t>
            </w:r>
          </w:p>
        </w:tc>
        <w:tc>
          <w:tcPr>
            <w:tcW w:w="2672" w:type="dxa"/>
            <w:tcBorders>
              <w:top w:val="single" w:sz="4" w:space="0" w:color="auto"/>
              <w:left w:val="single" w:sz="4" w:space="0" w:color="auto"/>
            </w:tcBorders>
            <w:shd w:val="clear" w:color="auto" w:fill="FFFFFF" w:themeFill="background1"/>
          </w:tcPr>
          <w:p w:rsidR="00AD032A" w:rsidRPr="009B640E" w:rsidRDefault="00AD032A" w:rsidP="00181AB1">
            <w:r w:rsidRPr="00736B4D">
              <w:rPr>
                <w:color w:val="FF0000"/>
              </w:rPr>
              <w:t>In progress and on trac</w:t>
            </w:r>
            <w:r w:rsidRPr="00AD032A">
              <w:rPr>
                <w:color w:val="FF0000"/>
              </w:rPr>
              <w:t>k</w:t>
            </w:r>
          </w:p>
          <w:p w:rsidR="00AD032A" w:rsidRDefault="00AD032A" w:rsidP="00181AB1"/>
          <w:p w:rsidR="00AD032A" w:rsidRDefault="00AD032A" w:rsidP="00181AB1">
            <w:pPr>
              <w:rPr>
                <w:color w:val="FF0000"/>
              </w:rPr>
            </w:pPr>
          </w:p>
          <w:p w:rsidR="00AD032A" w:rsidRPr="009B640E" w:rsidRDefault="00AD032A" w:rsidP="00181AB1">
            <w:r w:rsidRPr="00736B4D">
              <w:rPr>
                <w:color w:val="FF0000"/>
              </w:rPr>
              <w:t>New action</w:t>
            </w:r>
          </w:p>
        </w:tc>
      </w:tr>
      <w:tr w:rsidR="00AD032A" w:rsidRPr="007D4314" w:rsidTr="00AD032A">
        <w:tc>
          <w:tcPr>
            <w:tcW w:w="2358" w:type="dxa"/>
          </w:tcPr>
          <w:p w:rsidR="00AD032A" w:rsidRPr="007D4314" w:rsidRDefault="00AD032A" w:rsidP="00181AB1">
            <w:pPr>
              <w:rPr>
                <w:b/>
              </w:rPr>
            </w:pPr>
            <w:r w:rsidRPr="007D4314">
              <w:rPr>
                <w:b/>
              </w:rPr>
              <w:t>Impact Score: 5</w:t>
            </w:r>
          </w:p>
        </w:tc>
        <w:tc>
          <w:tcPr>
            <w:tcW w:w="2774" w:type="dxa"/>
            <w:gridSpan w:val="2"/>
          </w:tcPr>
          <w:p w:rsidR="00AD032A" w:rsidRPr="007D4314" w:rsidRDefault="00AD032A" w:rsidP="00181AB1">
            <w:pPr>
              <w:rPr>
                <w:b/>
              </w:rPr>
            </w:pPr>
            <w:r w:rsidRPr="007D4314">
              <w:rPr>
                <w:b/>
              </w:rPr>
              <w:t>Likelihood Score: 2</w:t>
            </w:r>
          </w:p>
        </w:tc>
        <w:tc>
          <w:tcPr>
            <w:tcW w:w="2544" w:type="dxa"/>
            <w:gridSpan w:val="3"/>
          </w:tcPr>
          <w:p w:rsidR="00AD032A" w:rsidRPr="007D4314" w:rsidRDefault="00AD032A" w:rsidP="00181AB1">
            <w:pPr>
              <w:rPr>
                <w:b/>
              </w:rPr>
            </w:pPr>
            <w:r w:rsidRPr="007D4314">
              <w:rPr>
                <w:b/>
              </w:rPr>
              <w:t>Target  Risk Score: 10</w:t>
            </w:r>
          </w:p>
        </w:tc>
        <w:tc>
          <w:tcPr>
            <w:tcW w:w="2672" w:type="dxa"/>
            <w:shd w:val="clear" w:color="auto" w:fill="FFC000"/>
          </w:tcPr>
          <w:p w:rsidR="00AD032A" w:rsidRPr="007D4314" w:rsidRDefault="00AD032A" w:rsidP="00AD032A">
            <w:pPr>
              <w:rPr>
                <w:b/>
              </w:rPr>
            </w:pPr>
            <w:r w:rsidRPr="007D4314">
              <w:rPr>
                <w:b/>
              </w:rPr>
              <w:t>10 (</w:t>
            </w:r>
            <w:r>
              <w:rPr>
                <w:b/>
              </w:rPr>
              <w:t>High</w:t>
            </w:r>
            <w:r w:rsidRPr="007D4314">
              <w:rPr>
                <w:b/>
              </w:rPr>
              <w:t>)</w:t>
            </w:r>
          </w:p>
        </w:tc>
      </w:tr>
    </w:tbl>
    <w:p w:rsidR="00AD032A" w:rsidRDefault="00AD032A" w:rsidP="00AD032A">
      <w:pPr>
        <w:rPr>
          <w:b/>
        </w:rPr>
      </w:pPr>
      <w:r>
        <w:rPr>
          <w:b/>
        </w:rPr>
        <w:br w:type="page"/>
      </w:r>
    </w:p>
    <w:p w:rsidR="00BE23E4" w:rsidRPr="003A7EC1" w:rsidRDefault="003A7EC1" w:rsidP="003A7EC1">
      <w:pPr>
        <w:rPr>
          <w:b/>
        </w:rPr>
      </w:pPr>
      <w:r w:rsidRPr="003A7EC1">
        <w:rPr>
          <w:b/>
        </w:rPr>
        <w:lastRenderedPageBreak/>
        <w:t>8.</w:t>
      </w:r>
      <w:r>
        <w:rPr>
          <w:b/>
        </w:rPr>
        <w:t xml:space="preserve"> </w:t>
      </w:r>
      <w:r w:rsidR="00BE23E4" w:rsidRPr="003A7EC1">
        <w:rPr>
          <w:b/>
        </w:rPr>
        <w:t xml:space="preserve">Inadequate Planned Care Capacity </w:t>
      </w:r>
      <w:r w:rsidR="00530294">
        <w:rPr>
          <w:b/>
        </w:rPr>
        <w:t>- Lead Executive - Steve Curry</w:t>
      </w:r>
    </w:p>
    <w:p w:rsidR="00BE23E4" w:rsidRPr="0022356E" w:rsidRDefault="00BE23E4" w:rsidP="00BE23E4">
      <w:pPr>
        <w:ind w:left="-567"/>
        <w:rPr>
          <w:color w:val="FF0000"/>
        </w:rPr>
      </w:pPr>
      <w:r>
        <w:t xml:space="preserve">The impact of COVID 19 has had many consequences to Healthcare and in particular the continuation of the Health Board being able to undertake Planned Care both during the peak of the </w:t>
      </w:r>
      <w:r w:rsidR="00530294">
        <w:t xml:space="preserve">pandemic and any future peaks of the pandemic.  </w:t>
      </w:r>
      <w:r w:rsidR="00530294" w:rsidRPr="0022356E">
        <w:t>There has been significant disruption to planned care and disruption to the progress which was being made after the first wave of Covid 19.  There has now been a second cessation of elective activity and despite progress been made planned care has been significantly compounded by the second wave.</w:t>
      </w:r>
      <w:r w:rsidR="0022356E">
        <w:t xml:space="preserve">  </w:t>
      </w:r>
      <w:r w:rsidR="0022356E" w:rsidRPr="0022356E">
        <w:rPr>
          <w:color w:val="FF0000"/>
        </w:rPr>
        <w:t>This is a significant risk for the Health Board which will be fully assessed when the Health Board has clear data available on the impact of the cessation.</w:t>
      </w:r>
    </w:p>
    <w:tbl>
      <w:tblPr>
        <w:tblStyle w:val="TableGrid"/>
        <w:tblW w:w="10348" w:type="dxa"/>
        <w:tblInd w:w="-459" w:type="dxa"/>
        <w:tblLook w:val="04A0" w:firstRow="1" w:lastRow="0" w:firstColumn="1" w:lastColumn="0" w:noHBand="0" w:noVBand="1"/>
      </w:tblPr>
      <w:tblGrid>
        <w:gridCol w:w="2358"/>
        <w:gridCol w:w="2605"/>
        <w:gridCol w:w="2307"/>
        <w:gridCol w:w="3078"/>
      </w:tblGrid>
      <w:tr w:rsidR="00BE23E4" w:rsidTr="00BE23E4">
        <w:tc>
          <w:tcPr>
            <w:tcW w:w="2358" w:type="dxa"/>
            <w:tcBorders>
              <w:bottom w:val="single" w:sz="4" w:space="0" w:color="auto"/>
              <w:right w:val="nil"/>
            </w:tcBorders>
          </w:tcPr>
          <w:p w:rsidR="00BE23E4" w:rsidRDefault="00BE23E4" w:rsidP="00BE23E4">
            <w:pPr>
              <w:rPr>
                <w:b/>
              </w:rPr>
            </w:pPr>
            <w:r w:rsidRPr="00B838A9">
              <w:rPr>
                <w:b/>
              </w:rPr>
              <w:t>Risk</w:t>
            </w:r>
          </w:p>
          <w:p w:rsidR="00BE23E4" w:rsidRPr="00B838A9" w:rsidRDefault="00BE23E4" w:rsidP="00BE23E4">
            <w:pPr>
              <w:rPr>
                <w:b/>
              </w:rPr>
            </w:pPr>
          </w:p>
        </w:tc>
        <w:tc>
          <w:tcPr>
            <w:tcW w:w="7990" w:type="dxa"/>
            <w:gridSpan w:val="3"/>
            <w:tcBorders>
              <w:left w:val="nil"/>
            </w:tcBorders>
          </w:tcPr>
          <w:p w:rsidR="00BE23E4" w:rsidRDefault="00BE23E4" w:rsidP="00BE23E4">
            <w:r>
              <w:t xml:space="preserve">There is a risk that there will be inadequate capacity due to constraints of being ‘covid ready’ resulting in reduced access to planned care and potential associated risks </w:t>
            </w:r>
          </w:p>
        </w:tc>
      </w:tr>
      <w:tr w:rsidR="00BE23E4" w:rsidTr="00BE23E4">
        <w:tc>
          <w:tcPr>
            <w:tcW w:w="2358" w:type="dxa"/>
            <w:tcBorders>
              <w:bottom w:val="single" w:sz="4" w:space="0" w:color="auto"/>
              <w:right w:val="nil"/>
            </w:tcBorders>
          </w:tcPr>
          <w:p w:rsidR="00BE23E4" w:rsidRPr="00B838A9" w:rsidRDefault="00BE23E4" w:rsidP="00BE23E4">
            <w:pPr>
              <w:rPr>
                <w:b/>
              </w:rPr>
            </w:pPr>
            <w:r>
              <w:rPr>
                <w:b/>
              </w:rPr>
              <w:t xml:space="preserve">Date added:  </w:t>
            </w:r>
          </w:p>
        </w:tc>
        <w:tc>
          <w:tcPr>
            <w:tcW w:w="7990" w:type="dxa"/>
            <w:gridSpan w:val="3"/>
            <w:tcBorders>
              <w:left w:val="nil"/>
            </w:tcBorders>
          </w:tcPr>
          <w:p w:rsidR="00BE23E4" w:rsidRDefault="00BE23E4" w:rsidP="00BE23E4"/>
        </w:tc>
      </w:tr>
      <w:tr w:rsidR="00BE23E4" w:rsidTr="00BE23E4">
        <w:tc>
          <w:tcPr>
            <w:tcW w:w="2358" w:type="dxa"/>
            <w:tcBorders>
              <w:bottom w:val="single" w:sz="4" w:space="0" w:color="auto"/>
              <w:right w:val="nil"/>
            </w:tcBorders>
          </w:tcPr>
          <w:p w:rsidR="00BE23E4" w:rsidRPr="00B838A9" w:rsidRDefault="00BE23E4" w:rsidP="00BE23E4">
            <w:pPr>
              <w:rPr>
                <w:b/>
              </w:rPr>
            </w:pPr>
            <w:r w:rsidRPr="00B838A9">
              <w:rPr>
                <w:b/>
              </w:rPr>
              <w:t>Cause</w:t>
            </w:r>
          </w:p>
        </w:tc>
        <w:tc>
          <w:tcPr>
            <w:tcW w:w="7990" w:type="dxa"/>
            <w:gridSpan w:val="3"/>
            <w:tcBorders>
              <w:left w:val="nil"/>
            </w:tcBorders>
          </w:tcPr>
          <w:p w:rsidR="00BE23E4" w:rsidRDefault="00BE23E4" w:rsidP="00BE23E4">
            <w:r>
              <w:t>Covid pandemic resulting in a cessation of elective activity</w:t>
            </w:r>
          </w:p>
          <w:p w:rsidR="00BE23E4" w:rsidRDefault="00BE23E4" w:rsidP="00BE23E4">
            <w:r>
              <w:t>Our operating models assumes we will remain ‘covid ready’ resulting in reduced capacity and efficiency</w:t>
            </w:r>
          </w:p>
        </w:tc>
      </w:tr>
      <w:tr w:rsidR="00BE23E4" w:rsidTr="00BE23E4">
        <w:tc>
          <w:tcPr>
            <w:tcW w:w="2358" w:type="dxa"/>
            <w:tcBorders>
              <w:right w:val="nil"/>
            </w:tcBorders>
          </w:tcPr>
          <w:p w:rsidR="00BE23E4" w:rsidRPr="00B838A9" w:rsidRDefault="00BE23E4" w:rsidP="00BE23E4">
            <w:pPr>
              <w:rPr>
                <w:b/>
              </w:rPr>
            </w:pPr>
            <w:r w:rsidRPr="00B838A9">
              <w:rPr>
                <w:b/>
              </w:rPr>
              <w:t>Impact</w:t>
            </w:r>
          </w:p>
        </w:tc>
        <w:tc>
          <w:tcPr>
            <w:tcW w:w="7990" w:type="dxa"/>
            <w:gridSpan w:val="3"/>
            <w:tcBorders>
              <w:left w:val="nil"/>
            </w:tcBorders>
          </w:tcPr>
          <w:p w:rsidR="00BE23E4" w:rsidRDefault="00BE23E4" w:rsidP="00BE23E4">
            <w:r>
              <w:t>A growing waiting list for planned care</w:t>
            </w:r>
          </w:p>
          <w:p w:rsidR="00BE23E4" w:rsidRDefault="00BE23E4" w:rsidP="00BE23E4">
            <w:r>
              <w:t>An ageing waiting list</w:t>
            </w:r>
          </w:p>
          <w:p w:rsidR="00BE23E4" w:rsidRDefault="00BE23E4" w:rsidP="00BE23E4">
            <w:r>
              <w:t>Potential clinical risk associated with delayed access</w:t>
            </w:r>
          </w:p>
        </w:tc>
      </w:tr>
      <w:tr w:rsidR="00BE23E4" w:rsidTr="00BE23E4">
        <w:tc>
          <w:tcPr>
            <w:tcW w:w="2358" w:type="dxa"/>
            <w:tcBorders>
              <w:bottom w:val="single" w:sz="4" w:space="0" w:color="auto"/>
            </w:tcBorders>
          </w:tcPr>
          <w:p w:rsidR="00BE23E4" w:rsidRPr="00290CFB" w:rsidRDefault="00BE23E4" w:rsidP="00BE23E4">
            <w:pPr>
              <w:rPr>
                <w:b/>
              </w:rPr>
            </w:pPr>
            <w:r w:rsidRPr="00290CFB">
              <w:rPr>
                <w:b/>
              </w:rPr>
              <w:t xml:space="preserve">Impact Score:   </w:t>
            </w:r>
            <w:r>
              <w:rPr>
                <w:b/>
              </w:rPr>
              <w:t>4</w:t>
            </w:r>
          </w:p>
        </w:tc>
        <w:tc>
          <w:tcPr>
            <w:tcW w:w="2605" w:type="dxa"/>
          </w:tcPr>
          <w:p w:rsidR="00BE23E4" w:rsidRPr="00290CFB" w:rsidRDefault="00BE23E4" w:rsidP="00BE23E4">
            <w:pPr>
              <w:rPr>
                <w:b/>
              </w:rPr>
            </w:pPr>
            <w:r w:rsidRPr="00290CFB">
              <w:rPr>
                <w:b/>
              </w:rPr>
              <w:t xml:space="preserve">Likelihood Score:  </w:t>
            </w:r>
            <w:r>
              <w:rPr>
                <w:b/>
              </w:rPr>
              <w:t>5</w:t>
            </w:r>
          </w:p>
        </w:tc>
        <w:tc>
          <w:tcPr>
            <w:tcW w:w="2307" w:type="dxa"/>
          </w:tcPr>
          <w:p w:rsidR="00BE23E4" w:rsidRPr="00290CFB" w:rsidRDefault="00BE23E4" w:rsidP="00BE23E4">
            <w:pPr>
              <w:rPr>
                <w:b/>
              </w:rPr>
            </w:pPr>
            <w:r w:rsidRPr="00290CFB">
              <w:rPr>
                <w:b/>
              </w:rPr>
              <w:t>Gross Risk Score:</w:t>
            </w:r>
          </w:p>
        </w:tc>
        <w:tc>
          <w:tcPr>
            <w:tcW w:w="3078" w:type="dxa"/>
            <w:shd w:val="clear" w:color="auto" w:fill="FF0000"/>
          </w:tcPr>
          <w:p w:rsidR="00BE23E4" w:rsidRPr="00F42466" w:rsidRDefault="00BE23E4" w:rsidP="00BE23E4">
            <w:pPr>
              <w:rPr>
                <w:b/>
              </w:rPr>
            </w:pPr>
            <w:r>
              <w:rPr>
                <w:b/>
              </w:rPr>
              <w:t>20 (Extreme)</w:t>
            </w:r>
          </w:p>
        </w:tc>
      </w:tr>
      <w:tr w:rsidR="00BE23E4" w:rsidTr="00BE23E4">
        <w:tc>
          <w:tcPr>
            <w:tcW w:w="2358" w:type="dxa"/>
            <w:tcBorders>
              <w:bottom w:val="single" w:sz="4" w:space="0" w:color="auto"/>
              <w:right w:val="nil"/>
            </w:tcBorders>
          </w:tcPr>
          <w:p w:rsidR="00BE23E4" w:rsidRPr="00B838A9" w:rsidRDefault="00BE23E4" w:rsidP="00BE23E4">
            <w:pPr>
              <w:rPr>
                <w:b/>
              </w:rPr>
            </w:pPr>
            <w:r w:rsidRPr="00B838A9">
              <w:rPr>
                <w:b/>
              </w:rPr>
              <w:t>Current Controls</w:t>
            </w:r>
          </w:p>
        </w:tc>
        <w:tc>
          <w:tcPr>
            <w:tcW w:w="7990" w:type="dxa"/>
            <w:gridSpan w:val="3"/>
            <w:tcBorders>
              <w:left w:val="nil"/>
            </w:tcBorders>
          </w:tcPr>
          <w:p w:rsidR="00BE23E4" w:rsidRDefault="00BE23E4" w:rsidP="00BE23E4">
            <w:r>
              <w:t>Clinical risk assessments by specialty to prioritise access</w:t>
            </w:r>
          </w:p>
          <w:p w:rsidR="00BE23E4" w:rsidRDefault="00BE23E4" w:rsidP="00BE23E4">
            <w:r>
              <w:t>Following risk stratifications where available i.e. Royal College of Surgeons L1 to L4 classifications</w:t>
            </w:r>
          </w:p>
          <w:p w:rsidR="00BE23E4" w:rsidRDefault="00BE23E4" w:rsidP="00BE23E4">
            <w:r>
              <w:t>Development of ‘green zones’ to provide confidence for low risk operating environments</w:t>
            </w:r>
          </w:p>
          <w:p w:rsidR="00BE23E4" w:rsidRDefault="00BE23E4" w:rsidP="00BE23E4">
            <w:r>
              <w:t>Increase the use of virtual consultation to avoid person to person contact</w:t>
            </w:r>
          </w:p>
          <w:p w:rsidR="00BE23E4" w:rsidRPr="00603282" w:rsidRDefault="00BE23E4" w:rsidP="00BE23E4">
            <w:pPr>
              <w:rPr>
                <w:i/>
              </w:rPr>
            </w:pPr>
            <w:r>
              <w:t>Securing additional capacity within the private sector</w:t>
            </w:r>
          </w:p>
        </w:tc>
      </w:tr>
      <w:tr w:rsidR="00BE23E4" w:rsidTr="00BE23E4">
        <w:tc>
          <w:tcPr>
            <w:tcW w:w="2358" w:type="dxa"/>
            <w:tcBorders>
              <w:right w:val="nil"/>
            </w:tcBorders>
          </w:tcPr>
          <w:p w:rsidR="00BE23E4" w:rsidRPr="00B838A9" w:rsidRDefault="00BE23E4" w:rsidP="00BE23E4">
            <w:pPr>
              <w:rPr>
                <w:b/>
              </w:rPr>
            </w:pPr>
            <w:r w:rsidRPr="00B838A9">
              <w:rPr>
                <w:b/>
              </w:rPr>
              <w:t>Current Assurances</w:t>
            </w:r>
          </w:p>
        </w:tc>
        <w:tc>
          <w:tcPr>
            <w:tcW w:w="7990" w:type="dxa"/>
            <w:gridSpan w:val="3"/>
            <w:tcBorders>
              <w:left w:val="nil"/>
            </w:tcBorders>
          </w:tcPr>
          <w:p w:rsidR="00BE23E4" w:rsidRPr="007A5345" w:rsidRDefault="00BE23E4" w:rsidP="00BE23E4">
            <w:r w:rsidRPr="007A5345">
              <w:t xml:space="preserve">Growth in ‘green zone’ activity </w:t>
            </w:r>
          </w:p>
          <w:p w:rsidR="00BE23E4" w:rsidRPr="007A5345" w:rsidRDefault="00BE23E4" w:rsidP="00BE23E4">
            <w:r w:rsidRPr="007A5345">
              <w:t>Surgical audit to provide assurance on outcomes</w:t>
            </w:r>
          </w:p>
          <w:p w:rsidR="00BE23E4" w:rsidRPr="007A5345" w:rsidRDefault="00BE23E4" w:rsidP="00BE23E4">
            <w:r w:rsidRPr="007A5345">
              <w:t>Growth in virtual outpatients activity</w:t>
            </w:r>
          </w:p>
          <w:p w:rsidR="00BE23E4" w:rsidRPr="00603282" w:rsidRDefault="00BE23E4" w:rsidP="00BE23E4">
            <w:r w:rsidRPr="007A5345">
              <w:t>Growth in diagnostics activity</w:t>
            </w:r>
          </w:p>
        </w:tc>
      </w:tr>
      <w:tr w:rsidR="00BE23E4" w:rsidRPr="00290CFB" w:rsidTr="00BE23E4">
        <w:tc>
          <w:tcPr>
            <w:tcW w:w="2358" w:type="dxa"/>
            <w:tcBorders>
              <w:bottom w:val="single" w:sz="4" w:space="0" w:color="auto"/>
            </w:tcBorders>
          </w:tcPr>
          <w:p w:rsidR="00BE23E4" w:rsidRPr="00290CFB" w:rsidRDefault="00BE23E4" w:rsidP="00BE23E4">
            <w:pPr>
              <w:rPr>
                <w:b/>
              </w:rPr>
            </w:pPr>
            <w:r w:rsidRPr="00290CFB">
              <w:rPr>
                <w:b/>
              </w:rPr>
              <w:t xml:space="preserve">Impact Score: </w:t>
            </w:r>
            <w:r>
              <w:rPr>
                <w:b/>
              </w:rPr>
              <w:t>4</w:t>
            </w:r>
          </w:p>
        </w:tc>
        <w:tc>
          <w:tcPr>
            <w:tcW w:w="2605" w:type="dxa"/>
          </w:tcPr>
          <w:p w:rsidR="00BE23E4" w:rsidRPr="00290CFB" w:rsidRDefault="00BE23E4" w:rsidP="00BE23E4">
            <w:pPr>
              <w:rPr>
                <w:b/>
              </w:rPr>
            </w:pPr>
            <w:r w:rsidRPr="00290CFB">
              <w:rPr>
                <w:b/>
              </w:rPr>
              <w:t xml:space="preserve">Likelihood Score: </w:t>
            </w:r>
            <w:r>
              <w:rPr>
                <w:b/>
              </w:rPr>
              <w:t>4</w:t>
            </w:r>
          </w:p>
        </w:tc>
        <w:tc>
          <w:tcPr>
            <w:tcW w:w="2307" w:type="dxa"/>
          </w:tcPr>
          <w:p w:rsidR="00BE23E4" w:rsidRPr="00290CFB" w:rsidRDefault="00BE23E4" w:rsidP="00BE23E4">
            <w:pPr>
              <w:rPr>
                <w:b/>
              </w:rPr>
            </w:pPr>
            <w:r w:rsidRPr="00290CFB">
              <w:rPr>
                <w:b/>
              </w:rPr>
              <w:t>Net Risk Score:</w:t>
            </w:r>
          </w:p>
        </w:tc>
        <w:tc>
          <w:tcPr>
            <w:tcW w:w="3078" w:type="dxa"/>
            <w:shd w:val="clear" w:color="auto" w:fill="FF0000"/>
          </w:tcPr>
          <w:p w:rsidR="00BE23E4" w:rsidRPr="00290CFB" w:rsidRDefault="00BE23E4" w:rsidP="00BE23E4">
            <w:pPr>
              <w:rPr>
                <w:b/>
              </w:rPr>
            </w:pPr>
            <w:r>
              <w:rPr>
                <w:b/>
              </w:rPr>
              <w:t>16 (Extreme)</w:t>
            </w:r>
          </w:p>
        </w:tc>
      </w:tr>
      <w:tr w:rsidR="00BE23E4" w:rsidTr="00BE23E4">
        <w:tc>
          <w:tcPr>
            <w:tcW w:w="2358" w:type="dxa"/>
            <w:tcBorders>
              <w:bottom w:val="single" w:sz="4" w:space="0" w:color="auto"/>
              <w:right w:val="nil"/>
            </w:tcBorders>
          </w:tcPr>
          <w:p w:rsidR="00BE23E4" w:rsidRPr="00B838A9" w:rsidRDefault="00BE23E4" w:rsidP="00BE23E4">
            <w:pPr>
              <w:rPr>
                <w:b/>
              </w:rPr>
            </w:pPr>
            <w:r w:rsidRPr="00B838A9">
              <w:rPr>
                <w:b/>
              </w:rPr>
              <w:t>Gap in Controls</w:t>
            </w:r>
          </w:p>
        </w:tc>
        <w:tc>
          <w:tcPr>
            <w:tcW w:w="7990" w:type="dxa"/>
            <w:gridSpan w:val="3"/>
            <w:tcBorders>
              <w:left w:val="nil"/>
            </w:tcBorders>
          </w:tcPr>
          <w:p w:rsidR="00BE23E4" w:rsidRDefault="00BE23E4" w:rsidP="00BE23E4">
            <w:r>
              <w:t>Roll out Health Board-wide risk stratification</w:t>
            </w:r>
          </w:p>
          <w:p w:rsidR="00BE23E4" w:rsidRDefault="00BE23E4" w:rsidP="00BE23E4">
            <w:r>
              <w:t>Maximise use of green pathways whilst balancing risk and outcome</w:t>
            </w:r>
          </w:p>
          <w:p w:rsidR="00BE23E4" w:rsidRDefault="00BE23E4" w:rsidP="00BE23E4">
            <w:r>
              <w:t>Virtual platforms need to be rolled out across the Health Board and clinical teams persuaded to make use</w:t>
            </w:r>
          </w:p>
          <w:p w:rsidR="00BE23E4" w:rsidRDefault="00BE23E4" w:rsidP="00BE23E4">
            <w:r>
              <w:t>Contractual arrangements are still under review – need to negotiate a contract to prolong access</w:t>
            </w:r>
          </w:p>
        </w:tc>
      </w:tr>
      <w:tr w:rsidR="00BE23E4" w:rsidTr="00BE23E4">
        <w:tc>
          <w:tcPr>
            <w:tcW w:w="2358" w:type="dxa"/>
            <w:tcBorders>
              <w:bottom w:val="single" w:sz="4" w:space="0" w:color="auto"/>
              <w:right w:val="nil"/>
            </w:tcBorders>
          </w:tcPr>
          <w:p w:rsidR="00BE23E4" w:rsidRPr="00B838A9" w:rsidRDefault="00BE23E4" w:rsidP="00BE23E4">
            <w:pPr>
              <w:rPr>
                <w:b/>
              </w:rPr>
            </w:pPr>
            <w:r w:rsidRPr="00B838A9">
              <w:rPr>
                <w:b/>
              </w:rPr>
              <w:t>Gap in Assurances</w:t>
            </w:r>
          </w:p>
        </w:tc>
        <w:tc>
          <w:tcPr>
            <w:tcW w:w="7990" w:type="dxa"/>
            <w:gridSpan w:val="3"/>
            <w:tcBorders>
              <w:left w:val="nil"/>
              <w:bottom w:val="single" w:sz="4" w:space="0" w:color="auto"/>
            </w:tcBorders>
          </w:tcPr>
          <w:p w:rsidR="00BE23E4" w:rsidRDefault="00BE23E4" w:rsidP="00BE23E4">
            <w:r>
              <w:t>Able to meet the highest priority caseloads – essential services</w:t>
            </w:r>
          </w:p>
          <w:p w:rsidR="00BE23E4" w:rsidRDefault="00BE23E4" w:rsidP="00BE23E4">
            <w:r>
              <w:t>Surgical audit needs to be supported to continue to provide evidence of safe and effective surgery</w:t>
            </w:r>
          </w:p>
          <w:p w:rsidR="00BE23E4" w:rsidRPr="00290CFB" w:rsidRDefault="00BE23E4" w:rsidP="00BE23E4">
            <w:r>
              <w:t>Digital platforms need to roll out further and clinical engagement needs to result in their use</w:t>
            </w:r>
          </w:p>
        </w:tc>
      </w:tr>
    </w:tbl>
    <w:p w:rsidR="00C10004" w:rsidRDefault="00C10004">
      <w:r>
        <w:br w:type="page"/>
      </w:r>
    </w:p>
    <w:tbl>
      <w:tblPr>
        <w:tblStyle w:val="TableGrid"/>
        <w:tblW w:w="10348" w:type="dxa"/>
        <w:tblInd w:w="-459" w:type="dxa"/>
        <w:tblLook w:val="04A0" w:firstRow="1" w:lastRow="0" w:firstColumn="1" w:lastColumn="0" w:noHBand="0" w:noVBand="1"/>
      </w:tblPr>
      <w:tblGrid>
        <w:gridCol w:w="2309"/>
        <w:gridCol w:w="2557"/>
        <w:gridCol w:w="230"/>
        <w:gridCol w:w="1284"/>
        <w:gridCol w:w="933"/>
        <w:gridCol w:w="399"/>
        <w:gridCol w:w="2636"/>
      </w:tblGrid>
      <w:tr w:rsidR="00BE23E4" w:rsidTr="00F8160E">
        <w:tc>
          <w:tcPr>
            <w:tcW w:w="2309" w:type="dxa"/>
            <w:tcBorders>
              <w:bottom w:val="single" w:sz="4" w:space="0" w:color="auto"/>
              <w:right w:val="nil"/>
            </w:tcBorders>
            <w:shd w:val="clear" w:color="auto" w:fill="8DB3E2" w:themeFill="text2" w:themeFillTint="66"/>
          </w:tcPr>
          <w:p w:rsidR="00BE23E4" w:rsidRPr="00B838A9" w:rsidRDefault="00BE23E4" w:rsidP="00BE23E4">
            <w:pPr>
              <w:rPr>
                <w:b/>
              </w:rPr>
            </w:pPr>
            <w:r>
              <w:lastRenderedPageBreak/>
              <w:br w:type="page"/>
            </w:r>
            <w:r w:rsidRPr="00B838A9">
              <w:rPr>
                <w:b/>
              </w:rPr>
              <w:t>Actions</w:t>
            </w:r>
          </w:p>
        </w:tc>
        <w:tc>
          <w:tcPr>
            <w:tcW w:w="2787" w:type="dxa"/>
            <w:gridSpan w:val="2"/>
            <w:tcBorders>
              <w:left w:val="nil"/>
              <w:bottom w:val="single" w:sz="4" w:space="0" w:color="auto"/>
              <w:right w:val="single" w:sz="4" w:space="0" w:color="auto"/>
            </w:tcBorders>
            <w:shd w:val="clear" w:color="auto" w:fill="8DB3E2" w:themeFill="text2" w:themeFillTint="66"/>
          </w:tcPr>
          <w:p w:rsidR="00BE23E4" w:rsidRDefault="00BE23E4" w:rsidP="00BE23E4"/>
        </w:tc>
        <w:tc>
          <w:tcPr>
            <w:tcW w:w="1284" w:type="dxa"/>
            <w:tcBorders>
              <w:left w:val="single" w:sz="4" w:space="0" w:color="auto"/>
              <w:bottom w:val="single" w:sz="4" w:space="0" w:color="auto"/>
              <w:right w:val="single" w:sz="4" w:space="0" w:color="auto"/>
            </w:tcBorders>
            <w:shd w:val="clear" w:color="auto" w:fill="8DB3E2" w:themeFill="text2" w:themeFillTint="66"/>
          </w:tcPr>
          <w:p w:rsidR="00BE23E4" w:rsidRPr="006A44E4" w:rsidRDefault="00BE23E4" w:rsidP="00BE23E4">
            <w:pPr>
              <w:rPr>
                <w:b/>
              </w:rPr>
            </w:pPr>
            <w:r w:rsidRPr="006A44E4">
              <w:rPr>
                <w:b/>
              </w:rPr>
              <w:t>Lead</w:t>
            </w:r>
          </w:p>
        </w:tc>
        <w:tc>
          <w:tcPr>
            <w:tcW w:w="1332" w:type="dxa"/>
            <w:gridSpan w:val="2"/>
            <w:tcBorders>
              <w:left w:val="single" w:sz="4" w:space="0" w:color="auto"/>
              <w:bottom w:val="single" w:sz="4" w:space="0" w:color="auto"/>
            </w:tcBorders>
            <w:shd w:val="clear" w:color="auto" w:fill="8DB3E2" w:themeFill="text2" w:themeFillTint="66"/>
          </w:tcPr>
          <w:p w:rsidR="00BE23E4" w:rsidRPr="006A44E4" w:rsidRDefault="00BE23E4" w:rsidP="00BE23E4">
            <w:pPr>
              <w:rPr>
                <w:b/>
              </w:rPr>
            </w:pPr>
            <w:r w:rsidRPr="006A44E4">
              <w:rPr>
                <w:b/>
              </w:rPr>
              <w:t>By when</w:t>
            </w:r>
          </w:p>
        </w:tc>
        <w:tc>
          <w:tcPr>
            <w:tcW w:w="2636" w:type="dxa"/>
            <w:tcBorders>
              <w:left w:val="single" w:sz="4" w:space="0" w:color="auto"/>
              <w:bottom w:val="single" w:sz="4" w:space="0" w:color="auto"/>
            </w:tcBorders>
            <w:shd w:val="clear" w:color="auto" w:fill="8DB3E2" w:themeFill="text2" w:themeFillTint="66"/>
          </w:tcPr>
          <w:p w:rsidR="00BE23E4" w:rsidRPr="006A44E4" w:rsidRDefault="003A7EC1" w:rsidP="00F67E9C">
            <w:pPr>
              <w:rPr>
                <w:b/>
              </w:rPr>
            </w:pPr>
            <w:r>
              <w:rPr>
                <w:b/>
              </w:rPr>
              <w:t xml:space="preserve">Update since </w:t>
            </w:r>
            <w:r w:rsidR="00F67E9C">
              <w:rPr>
                <w:b/>
              </w:rPr>
              <w:t xml:space="preserve">November </w:t>
            </w:r>
            <w:r>
              <w:rPr>
                <w:b/>
              </w:rPr>
              <w:t>20</w:t>
            </w:r>
          </w:p>
        </w:tc>
      </w:tr>
      <w:tr w:rsidR="00BE23E4" w:rsidTr="00F8160E">
        <w:tc>
          <w:tcPr>
            <w:tcW w:w="5096" w:type="dxa"/>
            <w:gridSpan w:val="3"/>
            <w:tcBorders>
              <w:top w:val="single" w:sz="4" w:space="0" w:color="auto"/>
              <w:right w:val="single" w:sz="4" w:space="0" w:color="auto"/>
            </w:tcBorders>
          </w:tcPr>
          <w:p w:rsidR="00BE23E4" w:rsidRDefault="00BE23E4" w:rsidP="00F8160E">
            <w:pPr>
              <w:pStyle w:val="ListParagraph"/>
              <w:numPr>
                <w:ilvl w:val="0"/>
                <w:numId w:val="32"/>
              </w:numPr>
            </w:pPr>
            <w:r>
              <w:t>Roll out virtual consultation platforms</w:t>
            </w:r>
          </w:p>
        </w:tc>
        <w:tc>
          <w:tcPr>
            <w:tcW w:w="1284" w:type="dxa"/>
            <w:tcBorders>
              <w:top w:val="single" w:sz="4" w:space="0" w:color="auto"/>
              <w:left w:val="single" w:sz="4" w:space="0" w:color="auto"/>
              <w:right w:val="single" w:sz="4" w:space="0" w:color="auto"/>
            </w:tcBorders>
          </w:tcPr>
          <w:p w:rsidR="00BE23E4" w:rsidRDefault="00BE23E4" w:rsidP="00BE23E4">
            <w:r>
              <w:t>Information</w:t>
            </w:r>
          </w:p>
        </w:tc>
        <w:tc>
          <w:tcPr>
            <w:tcW w:w="1332" w:type="dxa"/>
            <w:gridSpan w:val="2"/>
            <w:tcBorders>
              <w:top w:val="single" w:sz="4" w:space="0" w:color="auto"/>
              <w:left w:val="single" w:sz="4" w:space="0" w:color="auto"/>
            </w:tcBorders>
          </w:tcPr>
          <w:p w:rsidR="00BE23E4" w:rsidRDefault="00BE23E4" w:rsidP="00BE23E4">
            <w:r>
              <w:t>July onwards</w:t>
            </w:r>
          </w:p>
        </w:tc>
        <w:tc>
          <w:tcPr>
            <w:tcW w:w="2636" w:type="dxa"/>
            <w:tcBorders>
              <w:top w:val="single" w:sz="4" w:space="0" w:color="auto"/>
              <w:left w:val="single" w:sz="4" w:space="0" w:color="auto"/>
            </w:tcBorders>
            <w:shd w:val="clear" w:color="auto" w:fill="FFFFFF" w:themeFill="background1"/>
          </w:tcPr>
          <w:p w:rsidR="00BE23E4" w:rsidRPr="00530294" w:rsidRDefault="00F8160E" w:rsidP="00BE23E4">
            <w:r w:rsidRPr="00530294">
              <w:t>1/3 of outpatient activity now taking place virtually.</w:t>
            </w:r>
          </w:p>
        </w:tc>
      </w:tr>
      <w:tr w:rsidR="00BE23E4" w:rsidTr="00F8160E">
        <w:tc>
          <w:tcPr>
            <w:tcW w:w="5096" w:type="dxa"/>
            <w:gridSpan w:val="3"/>
            <w:tcBorders>
              <w:top w:val="single" w:sz="4" w:space="0" w:color="auto"/>
              <w:right w:val="single" w:sz="4" w:space="0" w:color="auto"/>
            </w:tcBorders>
          </w:tcPr>
          <w:p w:rsidR="00BE23E4" w:rsidRDefault="00BE23E4" w:rsidP="00F8160E">
            <w:pPr>
              <w:pStyle w:val="ListParagraph"/>
              <w:numPr>
                <w:ilvl w:val="0"/>
                <w:numId w:val="32"/>
              </w:numPr>
            </w:pPr>
            <w:r>
              <w:t>Establish private sector pathways for in-patients, outpatients and diagnostics</w:t>
            </w:r>
          </w:p>
        </w:tc>
        <w:tc>
          <w:tcPr>
            <w:tcW w:w="1284" w:type="dxa"/>
            <w:tcBorders>
              <w:top w:val="single" w:sz="4" w:space="0" w:color="auto"/>
              <w:left w:val="single" w:sz="4" w:space="0" w:color="auto"/>
              <w:right w:val="single" w:sz="4" w:space="0" w:color="auto"/>
            </w:tcBorders>
          </w:tcPr>
          <w:p w:rsidR="00BE23E4" w:rsidRDefault="0022356E" w:rsidP="00BE23E4">
            <w:r>
              <w:t>SC</w:t>
            </w:r>
          </w:p>
        </w:tc>
        <w:tc>
          <w:tcPr>
            <w:tcW w:w="1332" w:type="dxa"/>
            <w:gridSpan w:val="2"/>
            <w:tcBorders>
              <w:top w:val="single" w:sz="4" w:space="0" w:color="auto"/>
              <w:left w:val="single" w:sz="4" w:space="0" w:color="auto"/>
            </w:tcBorders>
          </w:tcPr>
          <w:p w:rsidR="00BE23E4" w:rsidRDefault="00BE23E4" w:rsidP="00BE23E4">
            <w:r>
              <w:t>April onwards</w:t>
            </w:r>
          </w:p>
        </w:tc>
        <w:tc>
          <w:tcPr>
            <w:tcW w:w="2636" w:type="dxa"/>
            <w:tcBorders>
              <w:top w:val="single" w:sz="4" w:space="0" w:color="auto"/>
              <w:left w:val="single" w:sz="4" w:space="0" w:color="auto"/>
            </w:tcBorders>
            <w:shd w:val="clear" w:color="auto" w:fill="FFFFFF" w:themeFill="background1"/>
          </w:tcPr>
          <w:p w:rsidR="00BE23E4" w:rsidRPr="00530294" w:rsidRDefault="00F8160E" w:rsidP="00BE23E4">
            <w:r w:rsidRPr="00530294">
              <w:t>Private sector pathways in negotiation to continue beyond the end of the year.  There has been a presentation to Management Executives and reflected in Board Reporting</w:t>
            </w:r>
          </w:p>
        </w:tc>
      </w:tr>
      <w:tr w:rsidR="0022356E" w:rsidTr="00F8160E">
        <w:tc>
          <w:tcPr>
            <w:tcW w:w="5096" w:type="dxa"/>
            <w:gridSpan w:val="3"/>
            <w:tcBorders>
              <w:top w:val="single" w:sz="4" w:space="0" w:color="auto"/>
              <w:right w:val="single" w:sz="4" w:space="0" w:color="auto"/>
            </w:tcBorders>
          </w:tcPr>
          <w:p w:rsidR="0022356E" w:rsidRDefault="0022356E" w:rsidP="0022356E">
            <w:pPr>
              <w:pStyle w:val="ListParagraph"/>
              <w:numPr>
                <w:ilvl w:val="0"/>
                <w:numId w:val="32"/>
              </w:numPr>
            </w:pPr>
            <w:r>
              <w:t>Full assessment of risk to be undertaken</w:t>
            </w:r>
          </w:p>
        </w:tc>
        <w:tc>
          <w:tcPr>
            <w:tcW w:w="1284" w:type="dxa"/>
            <w:tcBorders>
              <w:top w:val="single" w:sz="4" w:space="0" w:color="auto"/>
              <w:left w:val="single" w:sz="4" w:space="0" w:color="auto"/>
              <w:right w:val="single" w:sz="4" w:space="0" w:color="auto"/>
            </w:tcBorders>
          </w:tcPr>
          <w:p w:rsidR="0022356E" w:rsidRDefault="0022356E" w:rsidP="00BE23E4">
            <w:r>
              <w:t>SC</w:t>
            </w:r>
          </w:p>
        </w:tc>
        <w:tc>
          <w:tcPr>
            <w:tcW w:w="1332" w:type="dxa"/>
            <w:gridSpan w:val="2"/>
            <w:tcBorders>
              <w:top w:val="single" w:sz="4" w:space="0" w:color="auto"/>
              <w:left w:val="single" w:sz="4" w:space="0" w:color="auto"/>
            </w:tcBorders>
          </w:tcPr>
          <w:p w:rsidR="0022356E" w:rsidRDefault="0022356E" w:rsidP="00BE23E4">
            <w:r>
              <w:t>May 2021</w:t>
            </w:r>
          </w:p>
        </w:tc>
        <w:tc>
          <w:tcPr>
            <w:tcW w:w="2636" w:type="dxa"/>
            <w:tcBorders>
              <w:top w:val="single" w:sz="4" w:space="0" w:color="auto"/>
              <w:left w:val="single" w:sz="4" w:space="0" w:color="auto"/>
            </w:tcBorders>
            <w:shd w:val="clear" w:color="auto" w:fill="FFFFFF" w:themeFill="background1"/>
          </w:tcPr>
          <w:p w:rsidR="0022356E" w:rsidRPr="00530294" w:rsidRDefault="00C10004" w:rsidP="00BE23E4">
            <w:r>
              <w:rPr>
                <w:color w:val="FF0000"/>
              </w:rPr>
              <w:t>Assessment will be undertaken when data is available and there is clarity on the overall position.</w:t>
            </w:r>
          </w:p>
        </w:tc>
      </w:tr>
      <w:tr w:rsidR="00BE23E4" w:rsidRPr="00290CFB" w:rsidTr="00F8160E">
        <w:tc>
          <w:tcPr>
            <w:tcW w:w="2309" w:type="dxa"/>
          </w:tcPr>
          <w:p w:rsidR="00BE23E4" w:rsidRPr="00290CFB" w:rsidRDefault="00BE23E4" w:rsidP="00BE23E4">
            <w:pPr>
              <w:rPr>
                <w:b/>
              </w:rPr>
            </w:pPr>
            <w:r w:rsidRPr="00290CFB">
              <w:rPr>
                <w:b/>
              </w:rPr>
              <w:t xml:space="preserve">Impact Score: </w:t>
            </w:r>
            <w:r>
              <w:rPr>
                <w:b/>
              </w:rPr>
              <w:t>4</w:t>
            </w:r>
          </w:p>
        </w:tc>
        <w:tc>
          <w:tcPr>
            <w:tcW w:w="2557" w:type="dxa"/>
          </w:tcPr>
          <w:p w:rsidR="00BE23E4" w:rsidRPr="00290CFB" w:rsidRDefault="00BE23E4" w:rsidP="00BE23E4">
            <w:pPr>
              <w:rPr>
                <w:b/>
              </w:rPr>
            </w:pPr>
            <w:r w:rsidRPr="00290CFB">
              <w:rPr>
                <w:b/>
              </w:rPr>
              <w:t xml:space="preserve">Likelihood Score: </w:t>
            </w:r>
            <w:r>
              <w:rPr>
                <w:b/>
              </w:rPr>
              <w:t>3</w:t>
            </w:r>
          </w:p>
        </w:tc>
        <w:tc>
          <w:tcPr>
            <w:tcW w:w="2447" w:type="dxa"/>
            <w:gridSpan w:val="3"/>
          </w:tcPr>
          <w:p w:rsidR="00BE23E4" w:rsidRPr="00290CFB" w:rsidRDefault="00BE23E4" w:rsidP="00BE23E4">
            <w:pPr>
              <w:rPr>
                <w:b/>
              </w:rPr>
            </w:pPr>
            <w:r w:rsidRPr="00290CFB">
              <w:rPr>
                <w:b/>
              </w:rPr>
              <w:t>Target  Risk Score:</w:t>
            </w:r>
          </w:p>
        </w:tc>
        <w:tc>
          <w:tcPr>
            <w:tcW w:w="3035" w:type="dxa"/>
            <w:gridSpan w:val="2"/>
            <w:shd w:val="clear" w:color="auto" w:fill="FFC000"/>
          </w:tcPr>
          <w:p w:rsidR="00BE23E4" w:rsidRPr="00290CFB" w:rsidRDefault="00BE23E4" w:rsidP="00BE23E4">
            <w:pPr>
              <w:rPr>
                <w:b/>
              </w:rPr>
            </w:pPr>
            <w:r>
              <w:rPr>
                <w:b/>
              </w:rPr>
              <w:t>12 (High)</w:t>
            </w:r>
          </w:p>
        </w:tc>
      </w:tr>
    </w:tbl>
    <w:p w:rsidR="00C10004" w:rsidRDefault="00C10004" w:rsidP="00BE23E4">
      <w:pPr>
        <w:pStyle w:val="ListParagraph"/>
        <w:ind w:left="0"/>
        <w:rPr>
          <w:b/>
        </w:rPr>
      </w:pPr>
    </w:p>
    <w:p w:rsidR="00C10004" w:rsidRDefault="00C10004">
      <w:pPr>
        <w:rPr>
          <w:b/>
        </w:rPr>
      </w:pPr>
      <w:r>
        <w:rPr>
          <w:b/>
        </w:rPr>
        <w:br w:type="page"/>
      </w:r>
    </w:p>
    <w:p w:rsidR="00557BB8" w:rsidRDefault="00557BB8" w:rsidP="00BE23E4">
      <w:pPr>
        <w:pStyle w:val="ListParagraph"/>
        <w:ind w:left="0"/>
        <w:rPr>
          <w:b/>
        </w:rPr>
      </w:pPr>
    </w:p>
    <w:p w:rsidR="00E3402B" w:rsidRPr="00C10004" w:rsidRDefault="00530294" w:rsidP="00C10004">
      <w:pPr>
        <w:pStyle w:val="ListParagraph"/>
        <w:numPr>
          <w:ilvl w:val="0"/>
          <w:numId w:val="45"/>
        </w:numPr>
        <w:rPr>
          <w:b/>
        </w:rPr>
      </w:pPr>
      <w:r w:rsidRPr="00C10004">
        <w:rPr>
          <w:b/>
        </w:rPr>
        <w:t xml:space="preserve">Risk of Delivery of IMTP - </w:t>
      </w:r>
      <w:r w:rsidR="00557BB8" w:rsidRPr="00C10004">
        <w:rPr>
          <w:b/>
        </w:rPr>
        <w:t xml:space="preserve">Lead </w:t>
      </w:r>
      <w:r w:rsidRPr="00C10004">
        <w:rPr>
          <w:b/>
        </w:rPr>
        <w:t>Executive – Abigail Harris</w:t>
      </w:r>
      <w:r w:rsidR="00557BB8" w:rsidRPr="00C10004">
        <w:rPr>
          <w:b/>
        </w:rPr>
        <w:t xml:space="preserve"> </w:t>
      </w:r>
    </w:p>
    <w:p w:rsidR="00E3402B" w:rsidRPr="00C10004" w:rsidRDefault="00E3402B" w:rsidP="00E3402B">
      <w:pPr>
        <w:ind w:left="-426"/>
      </w:pPr>
      <w:r w:rsidRPr="00C10004">
        <w:t>The requirement for a three year IMTP remains suspended by Welsh Government due to the Covid 19 pandemic.  However, the Health Board are still required to produce an Annual Plan for 21/22 which will reference the last approved IMTP.</w:t>
      </w:r>
    </w:p>
    <w:tbl>
      <w:tblPr>
        <w:tblStyle w:val="TableGrid"/>
        <w:tblW w:w="10348" w:type="dxa"/>
        <w:tblInd w:w="-459" w:type="dxa"/>
        <w:tblLook w:val="04A0" w:firstRow="1" w:lastRow="0" w:firstColumn="1" w:lastColumn="0" w:noHBand="0" w:noVBand="1"/>
      </w:tblPr>
      <w:tblGrid>
        <w:gridCol w:w="2358"/>
        <w:gridCol w:w="2605"/>
        <w:gridCol w:w="169"/>
        <w:gridCol w:w="1200"/>
        <w:gridCol w:w="938"/>
        <w:gridCol w:w="406"/>
        <w:gridCol w:w="2672"/>
      </w:tblGrid>
      <w:tr w:rsidR="00557BB8" w:rsidTr="00557BB8">
        <w:tc>
          <w:tcPr>
            <w:tcW w:w="2358" w:type="dxa"/>
            <w:tcBorders>
              <w:bottom w:val="single" w:sz="4" w:space="0" w:color="auto"/>
              <w:right w:val="nil"/>
            </w:tcBorders>
          </w:tcPr>
          <w:p w:rsidR="00557BB8" w:rsidRDefault="00557BB8" w:rsidP="00557BB8">
            <w:pPr>
              <w:rPr>
                <w:b/>
              </w:rPr>
            </w:pPr>
            <w:r w:rsidRPr="00B838A9">
              <w:rPr>
                <w:b/>
              </w:rPr>
              <w:t>Risk</w:t>
            </w:r>
          </w:p>
          <w:p w:rsidR="00557BB8" w:rsidRPr="00B838A9" w:rsidRDefault="00557BB8" w:rsidP="00557BB8">
            <w:pPr>
              <w:rPr>
                <w:b/>
              </w:rPr>
            </w:pPr>
          </w:p>
        </w:tc>
        <w:tc>
          <w:tcPr>
            <w:tcW w:w="7990" w:type="dxa"/>
            <w:gridSpan w:val="6"/>
            <w:tcBorders>
              <w:left w:val="nil"/>
            </w:tcBorders>
          </w:tcPr>
          <w:p w:rsidR="00557BB8" w:rsidRDefault="00557BB8" w:rsidP="00E3402B">
            <w:r>
              <w:t>There is a risk that th</w:t>
            </w:r>
            <w:r w:rsidR="005655C1">
              <w:t>e Health Board will not deliver</w:t>
            </w:r>
            <w:r>
              <w:t xml:space="preserve"> the objectives</w:t>
            </w:r>
            <w:r w:rsidR="005655C1">
              <w:t xml:space="preserve"> set out in the Annua</w:t>
            </w:r>
            <w:r w:rsidR="00C10004">
              <w:t>l</w:t>
            </w:r>
            <w:r w:rsidR="005655C1">
              <w:t xml:space="preserve"> Plan</w:t>
            </w:r>
            <w:r>
              <w:t xml:space="preserve"> out due to the </w:t>
            </w:r>
            <w:r w:rsidR="00E3402B">
              <w:t>challenge around recovering the backlog of planned activity (see separate risk), not taking the opportunity to do things differently and the potential risk associated with the Medium Term Financial position all of which could impact upon delivery of the Annual Plan or future IMTP.</w:t>
            </w:r>
          </w:p>
        </w:tc>
      </w:tr>
      <w:tr w:rsidR="00557BB8" w:rsidTr="00557BB8">
        <w:tc>
          <w:tcPr>
            <w:tcW w:w="2358" w:type="dxa"/>
            <w:tcBorders>
              <w:bottom w:val="single" w:sz="4" w:space="0" w:color="auto"/>
              <w:right w:val="nil"/>
            </w:tcBorders>
          </w:tcPr>
          <w:p w:rsidR="00557BB8" w:rsidRPr="00B838A9" w:rsidRDefault="00557BB8" w:rsidP="00557BB8">
            <w:pPr>
              <w:rPr>
                <w:b/>
              </w:rPr>
            </w:pPr>
            <w:r>
              <w:rPr>
                <w:b/>
              </w:rPr>
              <w:t xml:space="preserve">Date added:  </w:t>
            </w:r>
          </w:p>
        </w:tc>
        <w:tc>
          <w:tcPr>
            <w:tcW w:w="7990" w:type="dxa"/>
            <w:gridSpan w:val="6"/>
            <w:tcBorders>
              <w:left w:val="nil"/>
            </w:tcBorders>
          </w:tcPr>
          <w:p w:rsidR="00557BB8" w:rsidRDefault="00557BB8" w:rsidP="00557BB8">
            <w:r>
              <w:t>April 20</w:t>
            </w:r>
          </w:p>
        </w:tc>
      </w:tr>
      <w:tr w:rsidR="00557BB8" w:rsidTr="00557BB8">
        <w:tc>
          <w:tcPr>
            <w:tcW w:w="2358" w:type="dxa"/>
            <w:tcBorders>
              <w:bottom w:val="single" w:sz="4" w:space="0" w:color="auto"/>
              <w:right w:val="nil"/>
            </w:tcBorders>
          </w:tcPr>
          <w:p w:rsidR="00557BB8" w:rsidRPr="00B838A9" w:rsidRDefault="00557BB8" w:rsidP="00557BB8">
            <w:pPr>
              <w:rPr>
                <w:b/>
              </w:rPr>
            </w:pPr>
            <w:r w:rsidRPr="00B838A9">
              <w:rPr>
                <w:b/>
              </w:rPr>
              <w:t>Cause</w:t>
            </w:r>
          </w:p>
        </w:tc>
        <w:tc>
          <w:tcPr>
            <w:tcW w:w="7990" w:type="dxa"/>
            <w:gridSpan w:val="6"/>
            <w:tcBorders>
              <w:left w:val="nil"/>
            </w:tcBorders>
          </w:tcPr>
          <w:p w:rsidR="00557BB8" w:rsidRDefault="00557BB8" w:rsidP="00557BB8">
            <w:r>
              <w:t>The focus of executive and operational efforts is on directing the organisational response creating the operational capacity to meet the immediate acute demand generated by the COVID-19 pandemic.</w:t>
            </w:r>
          </w:p>
        </w:tc>
      </w:tr>
      <w:tr w:rsidR="00557BB8" w:rsidTr="00557BB8">
        <w:tc>
          <w:tcPr>
            <w:tcW w:w="2358" w:type="dxa"/>
            <w:tcBorders>
              <w:right w:val="nil"/>
            </w:tcBorders>
          </w:tcPr>
          <w:p w:rsidR="00557BB8" w:rsidRPr="00B838A9" w:rsidRDefault="00557BB8" w:rsidP="00557BB8">
            <w:pPr>
              <w:rPr>
                <w:b/>
              </w:rPr>
            </w:pPr>
            <w:r w:rsidRPr="00B838A9">
              <w:rPr>
                <w:b/>
              </w:rPr>
              <w:t>Impact</w:t>
            </w:r>
          </w:p>
        </w:tc>
        <w:tc>
          <w:tcPr>
            <w:tcW w:w="7990" w:type="dxa"/>
            <w:gridSpan w:val="6"/>
            <w:tcBorders>
              <w:left w:val="nil"/>
            </w:tcBorders>
          </w:tcPr>
          <w:p w:rsidR="00557BB8" w:rsidRDefault="00557BB8" w:rsidP="00557BB8">
            <w:r>
              <w:t>The UHB may not be appropriately prepared to manage the consequences of a protracted and disruptive emergency response particularly in terms of:</w:t>
            </w:r>
          </w:p>
          <w:p w:rsidR="00557BB8" w:rsidRDefault="00557BB8" w:rsidP="00557BB8">
            <w:pPr>
              <w:ind w:left="720"/>
            </w:pPr>
            <w:r>
              <w:t>workforce (e.g. many will be exhausted and many will have built up leave)</w:t>
            </w:r>
          </w:p>
          <w:p w:rsidR="005655C1" w:rsidRDefault="00557BB8" w:rsidP="00557BB8">
            <w:pPr>
              <w:ind w:left="720"/>
            </w:pPr>
            <w:r>
              <w:t xml:space="preserve">Infrastructure </w:t>
            </w:r>
          </w:p>
          <w:p w:rsidR="00557BB8" w:rsidRDefault="00557BB8" w:rsidP="00557BB8">
            <w:pPr>
              <w:ind w:left="720"/>
            </w:pPr>
            <w:r>
              <w:t>Planned care</w:t>
            </w:r>
          </w:p>
          <w:p w:rsidR="00557BB8" w:rsidRDefault="00557BB8" w:rsidP="00557BB8">
            <w:pPr>
              <w:ind w:left="720"/>
            </w:pPr>
            <w:r>
              <w:t>Unplanned care</w:t>
            </w:r>
          </w:p>
          <w:p w:rsidR="00557BB8" w:rsidRDefault="00557BB8" w:rsidP="00557BB8">
            <w:pPr>
              <w:ind w:left="720"/>
            </w:pPr>
            <w:r>
              <w:t>Financial delivery</w:t>
            </w:r>
          </w:p>
          <w:p w:rsidR="00557BB8" w:rsidRDefault="00557BB8" w:rsidP="00557BB8">
            <w:r>
              <w:t>The benefits of emergency changes may not be adequately captured.</w:t>
            </w:r>
          </w:p>
          <w:p w:rsidR="00557BB8" w:rsidRDefault="00557BB8" w:rsidP="00557BB8">
            <w:r>
              <w:t>There may be learning opportunities missed.</w:t>
            </w:r>
          </w:p>
          <w:p w:rsidR="00557BB8" w:rsidRDefault="00557BB8" w:rsidP="00557BB8"/>
          <w:p w:rsidR="00557BB8" w:rsidRDefault="00557BB8" w:rsidP="00557BB8"/>
        </w:tc>
      </w:tr>
      <w:tr w:rsidR="00557BB8" w:rsidTr="00557BB8">
        <w:tc>
          <w:tcPr>
            <w:tcW w:w="2358" w:type="dxa"/>
            <w:tcBorders>
              <w:bottom w:val="single" w:sz="4" w:space="0" w:color="auto"/>
            </w:tcBorders>
          </w:tcPr>
          <w:p w:rsidR="00557BB8" w:rsidRPr="00290CFB" w:rsidRDefault="00557BB8" w:rsidP="00557BB8">
            <w:pPr>
              <w:rPr>
                <w:b/>
              </w:rPr>
            </w:pPr>
            <w:r w:rsidRPr="00290CFB">
              <w:rPr>
                <w:b/>
              </w:rPr>
              <w:t xml:space="preserve">Impact Score:   </w:t>
            </w:r>
            <w:r>
              <w:rPr>
                <w:b/>
              </w:rPr>
              <w:t>5</w:t>
            </w:r>
          </w:p>
        </w:tc>
        <w:tc>
          <w:tcPr>
            <w:tcW w:w="2605" w:type="dxa"/>
          </w:tcPr>
          <w:p w:rsidR="00557BB8" w:rsidRPr="00290CFB" w:rsidRDefault="00557BB8" w:rsidP="00557BB8">
            <w:pPr>
              <w:rPr>
                <w:b/>
              </w:rPr>
            </w:pPr>
            <w:r w:rsidRPr="00290CFB">
              <w:rPr>
                <w:b/>
              </w:rPr>
              <w:t xml:space="preserve">Likelihood Score:  </w:t>
            </w:r>
            <w:r>
              <w:rPr>
                <w:b/>
              </w:rPr>
              <w:t>4</w:t>
            </w:r>
          </w:p>
        </w:tc>
        <w:tc>
          <w:tcPr>
            <w:tcW w:w="2307" w:type="dxa"/>
            <w:gridSpan w:val="3"/>
          </w:tcPr>
          <w:p w:rsidR="00557BB8" w:rsidRPr="00290CFB" w:rsidRDefault="00557BB8" w:rsidP="00557BB8">
            <w:pPr>
              <w:rPr>
                <w:b/>
              </w:rPr>
            </w:pPr>
            <w:r w:rsidRPr="00290CFB">
              <w:rPr>
                <w:b/>
              </w:rPr>
              <w:t>Gross Risk Score:</w:t>
            </w:r>
          </w:p>
        </w:tc>
        <w:tc>
          <w:tcPr>
            <w:tcW w:w="3078" w:type="dxa"/>
            <w:gridSpan w:val="2"/>
            <w:shd w:val="clear" w:color="auto" w:fill="FF0000"/>
          </w:tcPr>
          <w:p w:rsidR="00557BB8" w:rsidRPr="00F42466" w:rsidRDefault="00557BB8" w:rsidP="00557BB8">
            <w:pPr>
              <w:rPr>
                <w:b/>
              </w:rPr>
            </w:pPr>
            <w:r>
              <w:rPr>
                <w:b/>
              </w:rPr>
              <w:t>20</w:t>
            </w:r>
          </w:p>
        </w:tc>
      </w:tr>
      <w:tr w:rsidR="00557BB8" w:rsidTr="00557BB8">
        <w:tc>
          <w:tcPr>
            <w:tcW w:w="2358" w:type="dxa"/>
            <w:tcBorders>
              <w:bottom w:val="single" w:sz="4" w:space="0" w:color="auto"/>
              <w:right w:val="nil"/>
            </w:tcBorders>
          </w:tcPr>
          <w:p w:rsidR="00557BB8" w:rsidRPr="00B838A9" w:rsidRDefault="00557BB8" w:rsidP="00557BB8">
            <w:pPr>
              <w:rPr>
                <w:b/>
              </w:rPr>
            </w:pPr>
            <w:r w:rsidRPr="00B838A9">
              <w:rPr>
                <w:b/>
              </w:rPr>
              <w:t>Current Controls</w:t>
            </w:r>
          </w:p>
        </w:tc>
        <w:tc>
          <w:tcPr>
            <w:tcW w:w="7990" w:type="dxa"/>
            <w:gridSpan w:val="6"/>
            <w:tcBorders>
              <w:left w:val="nil"/>
            </w:tcBorders>
          </w:tcPr>
          <w:p w:rsidR="00557BB8" w:rsidRPr="00A34BC3" w:rsidRDefault="00557BB8" w:rsidP="00557BB8">
            <w:pPr>
              <w:pStyle w:val="ListParagraph"/>
              <w:numPr>
                <w:ilvl w:val="0"/>
                <w:numId w:val="28"/>
              </w:numPr>
              <w:ind w:left="256" w:hanging="256"/>
              <w:rPr>
                <w:b/>
              </w:rPr>
            </w:pPr>
            <w:r>
              <w:t xml:space="preserve">Welsh Government has suspended the IMTP process and Health Boards are working to quarterly operational plans that reflect the current COVID29 situation and the need to re-establish as much of our non-COVID19 activity as possible, recognising the need to continue to provide services in different ways in light of the service transformation that took place in the emergency response phase and the ongoing requirement for social distancing and infection prevention and control measures. </w:t>
            </w:r>
          </w:p>
          <w:p w:rsidR="00557BB8" w:rsidRPr="00BF74DB" w:rsidRDefault="00C10004" w:rsidP="00557BB8">
            <w:pPr>
              <w:pStyle w:val="ListParagraph"/>
              <w:numPr>
                <w:ilvl w:val="0"/>
                <w:numId w:val="28"/>
              </w:numPr>
              <w:ind w:left="256" w:hanging="256"/>
              <w:rPr>
                <w:b/>
              </w:rPr>
            </w:pPr>
            <w:r>
              <w:t xml:space="preserve"> </w:t>
            </w:r>
            <w:r w:rsidR="00557BB8">
              <w:t>‘Recovery planning’ with roadmap presented to Board for discussion on 29</w:t>
            </w:r>
            <w:r w:rsidR="00557BB8" w:rsidRPr="00A34BC3">
              <w:rPr>
                <w:vertAlign w:val="superscript"/>
              </w:rPr>
              <w:t>th</w:t>
            </w:r>
            <w:r w:rsidR="00557BB8">
              <w:t xml:space="preserve"> June – planning underway with partners to reflect impact of COVID19 on communities and the need to accelerate delivery of Shaping Our Future Wellbeing and the Area Plan. </w:t>
            </w:r>
          </w:p>
          <w:p w:rsidR="00557BB8" w:rsidRPr="00C55EE3" w:rsidRDefault="00557BB8" w:rsidP="00557BB8">
            <w:pPr>
              <w:pStyle w:val="ListParagraph"/>
              <w:ind w:left="256"/>
            </w:pPr>
          </w:p>
        </w:tc>
      </w:tr>
      <w:tr w:rsidR="00557BB8" w:rsidTr="00557BB8">
        <w:tc>
          <w:tcPr>
            <w:tcW w:w="2358" w:type="dxa"/>
            <w:tcBorders>
              <w:right w:val="nil"/>
            </w:tcBorders>
          </w:tcPr>
          <w:p w:rsidR="00557BB8" w:rsidRPr="00B838A9" w:rsidRDefault="00557BB8" w:rsidP="00557BB8">
            <w:pPr>
              <w:rPr>
                <w:b/>
              </w:rPr>
            </w:pPr>
            <w:r w:rsidRPr="00B838A9">
              <w:rPr>
                <w:b/>
              </w:rPr>
              <w:t>Current Assurances</w:t>
            </w:r>
          </w:p>
        </w:tc>
        <w:tc>
          <w:tcPr>
            <w:tcW w:w="7990" w:type="dxa"/>
            <w:gridSpan w:val="6"/>
            <w:tcBorders>
              <w:left w:val="nil"/>
            </w:tcBorders>
          </w:tcPr>
          <w:p w:rsidR="00557BB8" w:rsidRPr="00A34BC3" w:rsidRDefault="003D2A1F" w:rsidP="00557BB8">
            <w:r>
              <w:rPr>
                <w:color w:val="FF0000"/>
              </w:rPr>
              <w:t xml:space="preserve">Outline draft </w:t>
            </w:r>
            <w:r w:rsidR="00C10004" w:rsidRPr="00C10004">
              <w:rPr>
                <w:color w:val="FF0000"/>
              </w:rPr>
              <w:t>Annual Plan presented to Board 25.02.21</w:t>
            </w:r>
            <w:r w:rsidR="00557BB8" w:rsidRPr="00C10004">
              <w:rPr>
                <w:color w:val="FF0000"/>
              </w:rPr>
              <w:t xml:space="preserve"> </w:t>
            </w:r>
          </w:p>
        </w:tc>
      </w:tr>
      <w:tr w:rsidR="00557BB8" w:rsidRPr="00290CFB" w:rsidTr="00557BB8">
        <w:tc>
          <w:tcPr>
            <w:tcW w:w="2358" w:type="dxa"/>
            <w:tcBorders>
              <w:bottom w:val="single" w:sz="4" w:space="0" w:color="auto"/>
            </w:tcBorders>
          </w:tcPr>
          <w:p w:rsidR="00557BB8" w:rsidRPr="00290CFB" w:rsidRDefault="00557BB8" w:rsidP="003A7EC1">
            <w:pPr>
              <w:rPr>
                <w:b/>
              </w:rPr>
            </w:pPr>
            <w:r w:rsidRPr="00290CFB">
              <w:rPr>
                <w:b/>
              </w:rPr>
              <w:t xml:space="preserve">Impact Score: </w:t>
            </w:r>
            <w:r w:rsidR="003A7EC1">
              <w:rPr>
                <w:b/>
              </w:rPr>
              <w:t>5</w:t>
            </w:r>
          </w:p>
        </w:tc>
        <w:tc>
          <w:tcPr>
            <w:tcW w:w="2605" w:type="dxa"/>
          </w:tcPr>
          <w:p w:rsidR="00557BB8" w:rsidRPr="00290CFB" w:rsidRDefault="00557BB8" w:rsidP="003A7EC1">
            <w:pPr>
              <w:rPr>
                <w:b/>
              </w:rPr>
            </w:pPr>
            <w:r w:rsidRPr="00290CFB">
              <w:rPr>
                <w:b/>
              </w:rPr>
              <w:t xml:space="preserve">Likelihood Score: </w:t>
            </w:r>
            <w:r w:rsidR="003A7EC1">
              <w:rPr>
                <w:b/>
              </w:rPr>
              <w:t>3</w:t>
            </w:r>
          </w:p>
        </w:tc>
        <w:tc>
          <w:tcPr>
            <w:tcW w:w="2307" w:type="dxa"/>
            <w:gridSpan w:val="3"/>
          </w:tcPr>
          <w:p w:rsidR="00557BB8" w:rsidRPr="00290CFB" w:rsidRDefault="00557BB8" w:rsidP="00557BB8">
            <w:pPr>
              <w:rPr>
                <w:b/>
              </w:rPr>
            </w:pPr>
            <w:r w:rsidRPr="00290CFB">
              <w:rPr>
                <w:b/>
              </w:rPr>
              <w:t>Net Risk Score:</w:t>
            </w:r>
          </w:p>
        </w:tc>
        <w:tc>
          <w:tcPr>
            <w:tcW w:w="3078" w:type="dxa"/>
            <w:gridSpan w:val="2"/>
            <w:shd w:val="clear" w:color="auto" w:fill="FF0000"/>
          </w:tcPr>
          <w:p w:rsidR="00557BB8" w:rsidRPr="00290CFB" w:rsidRDefault="00557BB8" w:rsidP="003A7EC1">
            <w:pPr>
              <w:rPr>
                <w:b/>
              </w:rPr>
            </w:pPr>
            <w:r>
              <w:rPr>
                <w:b/>
              </w:rPr>
              <w:t>1</w:t>
            </w:r>
            <w:r w:rsidR="003A7EC1">
              <w:rPr>
                <w:b/>
              </w:rPr>
              <w:t>5</w:t>
            </w:r>
          </w:p>
        </w:tc>
      </w:tr>
      <w:tr w:rsidR="00557BB8" w:rsidTr="00557BB8">
        <w:tc>
          <w:tcPr>
            <w:tcW w:w="2358" w:type="dxa"/>
            <w:tcBorders>
              <w:bottom w:val="single" w:sz="4" w:space="0" w:color="auto"/>
              <w:right w:val="nil"/>
            </w:tcBorders>
          </w:tcPr>
          <w:p w:rsidR="00557BB8" w:rsidRPr="00B838A9" w:rsidRDefault="00557BB8" w:rsidP="00557BB8">
            <w:pPr>
              <w:rPr>
                <w:b/>
              </w:rPr>
            </w:pPr>
            <w:r w:rsidRPr="00B838A9">
              <w:rPr>
                <w:b/>
              </w:rPr>
              <w:t>Gap in Controls</w:t>
            </w:r>
          </w:p>
        </w:tc>
        <w:tc>
          <w:tcPr>
            <w:tcW w:w="7990" w:type="dxa"/>
            <w:gridSpan w:val="6"/>
            <w:tcBorders>
              <w:left w:val="nil"/>
            </w:tcBorders>
          </w:tcPr>
          <w:p w:rsidR="00557BB8" w:rsidRPr="001823BE" w:rsidRDefault="00557BB8" w:rsidP="00557BB8">
            <w:r>
              <w:t xml:space="preserve">Timeliness of planning requirements for Q3/4 plan issued by WG. Risk of request for multiple overlapping plans – agreement with Local Authority Directors of Social Services – to pull this into one coherent plan with more detailed specific action plans where needed. </w:t>
            </w:r>
          </w:p>
        </w:tc>
      </w:tr>
      <w:tr w:rsidR="00557BB8" w:rsidTr="00557BB8">
        <w:tc>
          <w:tcPr>
            <w:tcW w:w="2358" w:type="dxa"/>
            <w:tcBorders>
              <w:bottom w:val="single" w:sz="4" w:space="0" w:color="auto"/>
              <w:right w:val="nil"/>
            </w:tcBorders>
          </w:tcPr>
          <w:p w:rsidR="00557BB8" w:rsidRPr="00B838A9" w:rsidRDefault="00557BB8" w:rsidP="00557BB8">
            <w:pPr>
              <w:rPr>
                <w:b/>
              </w:rPr>
            </w:pPr>
            <w:r w:rsidRPr="00B838A9">
              <w:rPr>
                <w:b/>
              </w:rPr>
              <w:t>Gap in Assurances</w:t>
            </w:r>
          </w:p>
        </w:tc>
        <w:tc>
          <w:tcPr>
            <w:tcW w:w="7990" w:type="dxa"/>
            <w:gridSpan w:val="6"/>
            <w:tcBorders>
              <w:left w:val="nil"/>
              <w:bottom w:val="single" w:sz="4" w:space="0" w:color="auto"/>
            </w:tcBorders>
          </w:tcPr>
          <w:p w:rsidR="00557BB8" w:rsidRPr="00290CFB" w:rsidRDefault="00557BB8" w:rsidP="00557BB8">
            <w:r>
              <w:t xml:space="preserve">RPB required to sign off Winter Protection Plan – no clear guidance but work progressing in line with framework suggested by WG. </w:t>
            </w:r>
          </w:p>
        </w:tc>
      </w:tr>
      <w:tr w:rsidR="00557BB8" w:rsidTr="00557BB8">
        <w:tc>
          <w:tcPr>
            <w:tcW w:w="2358" w:type="dxa"/>
            <w:tcBorders>
              <w:bottom w:val="single" w:sz="4" w:space="0" w:color="auto"/>
              <w:right w:val="nil"/>
            </w:tcBorders>
            <w:shd w:val="clear" w:color="auto" w:fill="8DB3E2" w:themeFill="text2" w:themeFillTint="66"/>
          </w:tcPr>
          <w:p w:rsidR="00557BB8" w:rsidRPr="00B838A9" w:rsidRDefault="00557BB8" w:rsidP="00557BB8">
            <w:pPr>
              <w:rPr>
                <w:b/>
              </w:rPr>
            </w:pPr>
            <w:r>
              <w:br w:type="page"/>
            </w:r>
            <w:r w:rsidRPr="00B838A9">
              <w:rPr>
                <w:b/>
              </w:rPr>
              <w:t>Actions</w:t>
            </w:r>
          </w:p>
        </w:tc>
        <w:tc>
          <w:tcPr>
            <w:tcW w:w="2774" w:type="dxa"/>
            <w:gridSpan w:val="2"/>
            <w:tcBorders>
              <w:left w:val="nil"/>
              <w:bottom w:val="single" w:sz="4" w:space="0" w:color="auto"/>
              <w:right w:val="single" w:sz="4" w:space="0" w:color="auto"/>
            </w:tcBorders>
            <w:shd w:val="clear" w:color="auto" w:fill="8DB3E2" w:themeFill="text2" w:themeFillTint="66"/>
          </w:tcPr>
          <w:p w:rsidR="00557BB8" w:rsidRDefault="00557BB8" w:rsidP="00557BB8"/>
        </w:tc>
        <w:tc>
          <w:tcPr>
            <w:tcW w:w="1200" w:type="dxa"/>
            <w:tcBorders>
              <w:left w:val="single" w:sz="4" w:space="0" w:color="auto"/>
              <w:bottom w:val="single" w:sz="4" w:space="0" w:color="auto"/>
              <w:right w:val="single" w:sz="4" w:space="0" w:color="auto"/>
            </w:tcBorders>
            <w:shd w:val="clear" w:color="auto" w:fill="8DB3E2" w:themeFill="text2" w:themeFillTint="66"/>
          </w:tcPr>
          <w:p w:rsidR="00557BB8" w:rsidRPr="006A44E4" w:rsidRDefault="00557BB8" w:rsidP="00557BB8">
            <w:pPr>
              <w:rPr>
                <w:b/>
              </w:rPr>
            </w:pPr>
            <w:r w:rsidRPr="006A44E4">
              <w:rPr>
                <w:b/>
              </w:rPr>
              <w:t>Lead</w:t>
            </w:r>
          </w:p>
        </w:tc>
        <w:tc>
          <w:tcPr>
            <w:tcW w:w="1344" w:type="dxa"/>
            <w:gridSpan w:val="2"/>
            <w:tcBorders>
              <w:left w:val="single" w:sz="4" w:space="0" w:color="auto"/>
              <w:bottom w:val="single" w:sz="4" w:space="0" w:color="auto"/>
            </w:tcBorders>
            <w:shd w:val="clear" w:color="auto" w:fill="8DB3E2" w:themeFill="text2" w:themeFillTint="66"/>
          </w:tcPr>
          <w:p w:rsidR="00557BB8" w:rsidRPr="006A44E4" w:rsidRDefault="00557BB8" w:rsidP="00557BB8">
            <w:pPr>
              <w:rPr>
                <w:b/>
              </w:rPr>
            </w:pPr>
            <w:r w:rsidRPr="006A44E4">
              <w:rPr>
                <w:b/>
              </w:rPr>
              <w:t>By when</w:t>
            </w:r>
          </w:p>
        </w:tc>
        <w:tc>
          <w:tcPr>
            <w:tcW w:w="2672" w:type="dxa"/>
            <w:tcBorders>
              <w:left w:val="single" w:sz="4" w:space="0" w:color="auto"/>
              <w:bottom w:val="single" w:sz="4" w:space="0" w:color="auto"/>
            </w:tcBorders>
            <w:shd w:val="clear" w:color="auto" w:fill="8DB3E2" w:themeFill="text2" w:themeFillTint="66"/>
          </w:tcPr>
          <w:p w:rsidR="00557BB8" w:rsidRPr="006A44E4" w:rsidRDefault="003A7EC1" w:rsidP="00892259">
            <w:pPr>
              <w:rPr>
                <w:b/>
              </w:rPr>
            </w:pPr>
            <w:r>
              <w:rPr>
                <w:b/>
              </w:rPr>
              <w:t xml:space="preserve">Update since </w:t>
            </w:r>
            <w:r w:rsidR="00892259">
              <w:rPr>
                <w:b/>
              </w:rPr>
              <w:t>January 21</w:t>
            </w:r>
          </w:p>
        </w:tc>
      </w:tr>
      <w:tr w:rsidR="00C10004" w:rsidRPr="00C10004" w:rsidTr="00A34E3A">
        <w:tc>
          <w:tcPr>
            <w:tcW w:w="5132" w:type="dxa"/>
            <w:gridSpan w:val="3"/>
            <w:tcBorders>
              <w:bottom w:val="single" w:sz="4" w:space="0" w:color="auto"/>
              <w:right w:val="single" w:sz="4" w:space="0" w:color="auto"/>
            </w:tcBorders>
            <w:shd w:val="clear" w:color="auto" w:fill="FFFFFF" w:themeFill="background1"/>
          </w:tcPr>
          <w:p w:rsidR="00E3402B" w:rsidRPr="00C10004" w:rsidRDefault="00E3402B" w:rsidP="00557BB8">
            <w:r w:rsidRPr="00C10004">
              <w:t>Monit</w:t>
            </w:r>
            <w:r w:rsidR="005655C1" w:rsidRPr="00C10004">
              <w:t>or implementation of Annual Plan and continue to report through Strategy and Delivery Committee</w:t>
            </w:r>
          </w:p>
        </w:tc>
        <w:tc>
          <w:tcPr>
            <w:tcW w:w="1200" w:type="dxa"/>
            <w:tcBorders>
              <w:left w:val="single" w:sz="4" w:space="0" w:color="auto"/>
              <w:bottom w:val="single" w:sz="4" w:space="0" w:color="auto"/>
              <w:right w:val="single" w:sz="4" w:space="0" w:color="auto"/>
            </w:tcBorders>
            <w:shd w:val="clear" w:color="auto" w:fill="FFFFFF" w:themeFill="background1"/>
          </w:tcPr>
          <w:p w:rsidR="00E3402B" w:rsidRPr="00C10004" w:rsidRDefault="005655C1" w:rsidP="00557BB8">
            <w:r w:rsidRPr="00C10004">
              <w:t>AH</w:t>
            </w:r>
          </w:p>
        </w:tc>
        <w:tc>
          <w:tcPr>
            <w:tcW w:w="1344" w:type="dxa"/>
            <w:gridSpan w:val="2"/>
            <w:tcBorders>
              <w:left w:val="single" w:sz="4" w:space="0" w:color="auto"/>
              <w:bottom w:val="single" w:sz="4" w:space="0" w:color="auto"/>
            </w:tcBorders>
            <w:shd w:val="clear" w:color="auto" w:fill="FFFFFF" w:themeFill="background1"/>
          </w:tcPr>
          <w:p w:rsidR="00E3402B" w:rsidRPr="00C10004" w:rsidRDefault="005655C1" w:rsidP="00557BB8">
            <w:r w:rsidRPr="00C10004">
              <w:t>31/03/22</w:t>
            </w:r>
          </w:p>
        </w:tc>
        <w:tc>
          <w:tcPr>
            <w:tcW w:w="2672" w:type="dxa"/>
            <w:tcBorders>
              <w:left w:val="single" w:sz="4" w:space="0" w:color="auto"/>
              <w:bottom w:val="single" w:sz="4" w:space="0" w:color="auto"/>
            </w:tcBorders>
            <w:shd w:val="clear" w:color="auto" w:fill="FFFFFF" w:themeFill="background1"/>
          </w:tcPr>
          <w:p w:rsidR="00E3402B" w:rsidRPr="00C10004" w:rsidRDefault="00C10004" w:rsidP="003D2A1F">
            <w:r w:rsidRPr="00C10004">
              <w:rPr>
                <w:color w:val="FF0000"/>
              </w:rPr>
              <w:t xml:space="preserve">Development of </w:t>
            </w:r>
            <w:r w:rsidR="003D2A1F">
              <w:rPr>
                <w:color w:val="FF0000"/>
              </w:rPr>
              <w:t>A</w:t>
            </w:r>
            <w:r w:rsidRPr="00C10004">
              <w:rPr>
                <w:color w:val="FF0000"/>
              </w:rPr>
              <w:t xml:space="preserve">nnual </w:t>
            </w:r>
            <w:r w:rsidR="003D2A1F">
              <w:rPr>
                <w:color w:val="FF0000"/>
              </w:rPr>
              <w:t>P</w:t>
            </w:r>
            <w:bookmarkStart w:id="0" w:name="_GoBack"/>
            <w:bookmarkEnd w:id="0"/>
            <w:r w:rsidRPr="00C10004">
              <w:rPr>
                <w:color w:val="FF0000"/>
              </w:rPr>
              <w:t xml:space="preserve">lan </w:t>
            </w:r>
            <w:r w:rsidR="003D2A1F">
              <w:rPr>
                <w:color w:val="FF0000"/>
              </w:rPr>
              <w:t>continuing.</w:t>
            </w:r>
            <w:r w:rsidRPr="00C10004">
              <w:rPr>
                <w:color w:val="FF0000"/>
              </w:rPr>
              <w:t xml:space="preserve"> </w:t>
            </w:r>
          </w:p>
        </w:tc>
      </w:tr>
      <w:tr w:rsidR="00557BB8" w:rsidRPr="00290CFB" w:rsidTr="00557BB8">
        <w:tc>
          <w:tcPr>
            <w:tcW w:w="2358" w:type="dxa"/>
          </w:tcPr>
          <w:p w:rsidR="00557BB8" w:rsidRPr="00290CFB" w:rsidRDefault="00557BB8" w:rsidP="00557BB8">
            <w:pPr>
              <w:rPr>
                <w:b/>
              </w:rPr>
            </w:pPr>
            <w:r w:rsidRPr="00290CFB">
              <w:rPr>
                <w:b/>
              </w:rPr>
              <w:t xml:space="preserve">Impact Score: </w:t>
            </w:r>
            <w:r>
              <w:rPr>
                <w:b/>
              </w:rPr>
              <w:t>5</w:t>
            </w:r>
          </w:p>
        </w:tc>
        <w:tc>
          <w:tcPr>
            <w:tcW w:w="2774" w:type="dxa"/>
            <w:gridSpan w:val="2"/>
          </w:tcPr>
          <w:p w:rsidR="00557BB8" w:rsidRPr="00290CFB" w:rsidRDefault="00557BB8" w:rsidP="00557BB8">
            <w:pPr>
              <w:rPr>
                <w:b/>
              </w:rPr>
            </w:pPr>
            <w:r w:rsidRPr="00290CFB">
              <w:rPr>
                <w:b/>
              </w:rPr>
              <w:t xml:space="preserve">Likelihood Score: </w:t>
            </w:r>
            <w:r>
              <w:rPr>
                <w:b/>
              </w:rPr>
              <w:t>2</w:t>
            </w:r>
          </w:p>
        </w:tc>
        <w:tc>
          <w:tcPr>
            <w:tcW w:w="2544" w:type="dxa"/>
            <w:gridSpan w:val="3"/>
          </w:tcPr>
          <w:p w:rsidR="00557BB8" w:rsidRPr="00290CFB" w:rsidRDefault="00557BB8" w:rsidP="00557BB8">
            <w:pPr>
              <w:rPr>
                <w:b/>
              </w:rPr>
            </w:pPr>
            <w:r w:rsidRPr="00290CFB">
              <w:rPr>
                <w:b/>
              </w:rPr>
              <w:t>Target  Risk Score:</w:t>
            </w:r>
          </w:p>
        </w:tc>
        <w:tc>
          <w:tcPr>
            <w:tcW w:w="2672" w:type="dxa"/>
            <w:shd w:val="clear" w:color="auto" w:fill="FFC000"/>
          </w:tcPr>
          <w:p w:rsidR="00557BB8" w:rsidRPr="00290CFB" w:rsidRDefault="00557BB8" w:rsidP="00557BB8">
            <w:pPr>
              <w:rPr>
                <w:b/>
              </w:rPr>
            </w:pPr>
            <w:r>
              <w:rPr>
                <w:b/>
              </w:rPr>
              <w:t>10</w:t>
            </w:r>
          </w:p>
        </w:tc>
      </w:tr>
    </w:tbl>
    <w:p w:rsidR="00557BB8" w:rsidRDefault="00557BB8" w:rsidP="00557BB8">
      <w:pPr>
        <w:rPr>
          <w:b/>
        </w:rPr>
      </w:pPr>
    </w:p>
    <w:p w:rsidR="006B75EB" w:rsidRDefault="006B75EB" w:rsidP="00F75121">
      <w:pPr>
        <w:rPr>
          <w:b/>
        </w:rPr>
      </w:pPr>
    </w:p>
    <w:p w:rsidR="00C10004" w:rsidRDefault="00C10004" w:rsidP="00F75121">
      <w:pPr>
        <w:rPr>
          <w:b/>
        </w:rPr>
      </w:pPr>
    </w:p>
    <w:p w:rsidR="00C10004" w:rsidRDefault="00C10004" w:rsidP="00F75121">
      <w:pPr>
        <w:rPr>
          <w:b/>
        </w:rPr>
      </w:pPr>
    </w:p>
    <w:p w:rsidR="008E667E" w:rsidRDefault="008E667E" w:rsidP="00F75121">
      <w:pPr>
        <w:rPr>
          <w:b/>
        </w:rPr>
      </w:pPr>
      <w:r>
        <w:rPr>
          <w:b/>
        </w:rPr>
        <w:lastRenderedPageBreak/>
        <w:t>Key:</w:t>
      </w:r>
    </w:p>
    <w:p w:rsidR="008E667E" w:rsidRDefault="008E667E" w:rsidP="00F75121">
      <w:pPr>
        <w:rPr>
          <w:b/>
        </w:rPr>
      </w:pPr>
      <w:r>
        <w:rPr>
          <w:b/>
        </w:rPr>
        <w:t>1 -3</w:t>
      </w:r>
      <w:r>
        <w:rPr>
          <w:b/>
        </w:rPr>
        <w:tab/>
        <w:t xml:space="preserve"> </w:t>
      </w:r>
      <w:r>
        <w:rPr>
          <w:b/>
        </w:rPr>
        <w:tab/>
        <w:t xml:space="preserve">Low Risk    </w:t>
      </w:r>
      <w:r w:rsidRPr="008E667E">
        <w:rPr>
          <w:b/>
          <w:shd w:val="clear" w:color="auto" w:fill="92D050"/>
        </w:rPr>
        <w:t xml:space="preserve">          </w:t>
      </w:r>
    </w:p>
    <w:p w:rsidR="008E667E" w:rsidRDefault="008E667E" w:rsidP="00F75121">
      <w:pPr>
        <w:rPr>
          <w:b/>
        </w:rPr>
      </w:pPr>
      <w:r>
        <w:rPr>
          <w:b/>
        </w:rPr>
        <w:t>4-6</w:t>
      </w:r>
      <w:r>
        <w:rPr>
          <w:b/>
        </w:rPr>
        <w:tab/>
      </w:r>
      <w:r>
        <w:rPr>
          <w:b/>
        </w:rPr>
        <w:tab/>
        <w:t>Moderate Risk</w:t>
      </w:r>
    </w:p>
    <w:p w:rsidR="008E667E" w:rsidRDefault="008E667E" w:rsidP="00F75121">
      <w:pPr>
        <w:rPr>
          <w:b/>
        </w:rPr>
      </w:pPr>
      <w:r>
        <w:rPr>
          <w:b/>
        </w:rPr>
        <w:t>8-12</w:t>
      </w:r>
      <w:r>
        <w:rPr>
          <w:b/>
        </w:rPr>
        <w:tab/>
      </w:r>
      <w:r>
        <w:rPr>
          <w:b/>
        </w:rPr>
        <w:tab/>
        <w:t>High Risk</w:t>
      </w:r>
    </w:p>
    <w:p w:rsidR="008E667E" w:rsidRPr="00F75121" w:rsidRDefault="008E667E" w:rsidP="00F75121">
      <w:pPr>
        <w:rPr>
          <w:b/>
        </w:rPr>
      </w:pPr>
      <w:r>
        <w:rPr>
          <w:b/>
        </w:rPr>
        <w:t>15 – 25</w:t>
      </w:r>
      <w:r>
        <w:rPr>
          <w:b/>
        </w:rPr>
        <w:tab/>
        <w:t xml:space="preserve"> </w:t>
      </w:r>
      <w:r>
        <w:rPr>
          <w:b/>
        </w:rPr>
        <w:tab/>
        <w:t>Extreme Risk</w:t>
      </w:r>
    </w:p>
    <w:p w:rsidR="006B75EB" w:rsidRPr="00F75121" w:rsidRDefault="006B75EB">
      <w:pPr>
        <w:rPr>
          <w:b/>
        </w:rPr>
      </w:pPr>
    </w:p>
    <w:sectPr w:rsidR="006B75EB" w:rsidRPr="00F75121" w:rsidSect="0013557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7B" w:rsidRDefault="00D4247B" w:rsidP="0045792D">
      <w:pPr>
        <w:spacing w:after="0" w:line="240" w:lineRule="auto"/>
      </w:pPr>
      <w:r>
        <w:separator/>
      </w:r>
    </w:p>
  </w:endnote>
  <w:endnote w:type="continuationSeparator" w:id="0">
    <w:p w:rsidR="00D4247B" w:rsidRDefault="00D4247B" w:rsidP="0045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7B" w:rsidRDefault="00D4247B" w:rsidP="0045792D">
      <w:pPr>
        <w:spacing w:after="0" w:line="240" w:lineRule="auto"/>
      </w:pPr>
      <w:r>
        <w:separator/>
      </w:r>
    </w:p>
  </w:footnote>
  <w:footnote w:type="continuationSeparator" w:id="0">
    <w:p w:rsidR="00D4247B" w:rsidRDefault="00D4247B" w:rsidP="00457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279"/>
    <w:multiLevelType w:val="hybridMultilevel"/>
    <w:tmpl w:val="FA9E2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8281F"/>
    <w:multiLevelType w:val="hybridMultilevel"/>
    <w:tmpl w:val="1184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17CE0"/>
    <w:multiLevelType w:val="hybridMultilevel"/>
    <w:tmpl w:val="E6C4A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D4184"/>
    <w:multiLevelType w:val="hybridMultilevel"/>
    <w:tmpl w:val="45A4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14A9D"/>
    <w:multiLevelType w:val="hybridMultilevel"/>
    <w:tmpl w:val="72E07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B79D0"/>
    <w:multiLevelType w:val="hybridMultilevel"/>
    <w:tmpl w:val="4FF6E87E"/>
    <w:lvl w:ilvl="0" w:tplc="4C48EF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6E04AD"/>
    <w:multiLevelType w:val="hybridMultilevel"/>
    <w:tmpl w:val="5FB2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E79ED"/>
    <w:multiLevelType w:val="hybridMultilevel"/>
    <w:tmpl w:val="769C9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A46F83"/>
    <w:multiLevelType w:val="hybridMultilevel"/>
    <w:tmpl w:val="7626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6D46"/>
    <w:multiLevelType w:val="hybridMultilevel"/>
    <w:tmpl w:val="83A4D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94FF3"/>
    <w:multiLevelType w:val="hybridMultilevel"/>
    <w:tmpl w:val="C892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A69E0"/>
    <w:multiLevelType w:val="hybridMultilevel"/>
    <w:tmpl w:val="060C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30D56"/>
    <w:multiLevelType w:val="hybridMultilevel"/>
    <w:tmpl w:val="D73EDD40"/>
    <w:lvl w:ilvl="0" w:tplc="7720A2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35477"/>
    <w:multiLevelType w:val="hybridMultilevel"/>
    <w:tmpl w:val="EF7CF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F042B"/>
    <w:multiLevelType w:val="hybridMultilevel"/>
    <w:tmpl w:val="045E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460B7"/>
    <w:multiLevelType w:val="hybridMultilevel"/>
    <w:tmpl w:val="A8FA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134F65"/>
    <w:multiLevelType w:val="hybridMultilevel"/>
    <w:tmpl w:val="37D6902C"/>
    <w:lvl w:ilvl="0" w:tplc="59B6FD3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2A0E14F9"/>
    <w:multiLevelType w:val="hybridMultilevel"/>
    <w:tmpl w:val="CF428D9E"/>
    <w:lvl w:ilvl="0" w:tplc="4A062834">
      <w:start w:val="3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AE023A"/>
    <w:multiLevelType w:val="hybridMultilevel"/>
    <w:tmpl w:val="38F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A4822"/>
    <w:multiLevelType w:val="hybridMultilevel"/>
    <w:tmpl w:val="1444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D61F6D"/>
    <w:multiLevelType w:val="hybridMultilevel"/>
    <w:tmpl w:val="57222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561CCD"/>
    <w:multiLevelType w:val="hybridMultilevel"/>
    <w:tmpl w:val="D4324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00312"/>
    <w:multiLevelType w:val="hybridMultilevel"/>
    <w:tmpl w:val="522E0178"/>
    <w:lvl w:ilvl="0" w:tplc="B2EA5F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AE4037"/>
    <w:multiLevelType w:val="hybridMultilevel"/>
    <w:tmpl w:val="8B82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7C077B"/>
    <w:multiLevelType w:val="hybridMultilevel"/>
    <w:tmpl w:val="70AC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154062"/>
    <w:multiLevelType w:val="hybridMultilevel"/>
    <w:tmpl w:val="4366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A2F62"/>
    <w:multiLevelType w:val="hybridMultilevel"/>
    <w:tmpl w:val="8B46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F10BE"/>
    <w:multiLevelType w:val="hybridMultilevel"/>
    <w:tmpl w:val="DF8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3080C"/>
    <w:multiLevelType w:val="hybridMultilevel"/>
    <w:tmpl w:val="40AC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EF4C1E"/>
    <w:multiLevelType w:val="hybridMultilevel"/>
    <w:tmpl w:val="277E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EC2BBC"/>
    <w:multiLevelType w:val="hybridMultilevel"/>
    <w:tmpl w:val="22602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963C5"/>
    <w:multiLevelType w:val="hybridMultilevel"/>
    <w:tmpl w:val="5A526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47A2C"/>
    <w:multiLevelType w:val="hybridMultilevel"/>
    <w:tmpl w:val="5362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B6A13"/>
    <w:multiLevelType w:val="hybridMultilevel"/>
    <w:tmpl w:val="67EA07BC"/>
    <w:lvl w:ilvl="0" w:tplc="5BDEE8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205B12"/>
    <w:multiLevelType w:val="hybridMultilevel"/>
    <w:tmpl w:val="61F21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B058D"/>
    <w:multiLevelType w:val="hybridMultilevel"/>
    <w:tmpl w:val="81C4B3C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A3985"/>
    <w:multiLevelType w:val="hybridMultilevel"/>
    <w:tmpl w:val="3B26AF22"/>
    <w:lvl w:ilvl="0" w:tplc="0BECE10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B513B"/>
    <w:multiLevelType w:val="hybridMultilevel"/>
    <w:tmpl w:val="277E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B37AC9"/>
    <w:multiLevelType w:val="hybridMultilevel"/>
    <w:tmpl w:val="67AE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D2C69"/>
    <w:multiLevelType w:val="hybridMultilevel"/>
    <w:tmpl w:val="61F2148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E906ABC"/>
    <w:multiLevelType w:val="hybridMultilevel"/>
    <w:tmpl w:val="DB7A8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5B17DA"/>
    <w:multiLevelType w:val="hybridMultilevel"/>
    <w:tmpl w:val="A1F25A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22381"/>
    <w:multiLevelType w:val="hybridMultilevel"/>
    <w:tmpl w:val="A5E49F44"/>
    <w:lvl w:ilvl="0" w:tplc="1D48B42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3" w15:restartNumberingAfterBreak="0">
    <w:nsid w:val="761E1C06"/>
    <w:multiLevelType w:val="hybridMultilevel"/>
    <w:tmpl w:val="AAC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814E4"/>
    <w:multiLevelType w:val="hybridMultilevel"/>
    <w:tmpl w:val="5C7C5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EA087C"/>
    <w:multiLevelType w:val="hybridMultilevel"/>
    <w:tmpl w:val="8B467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1"/>
  </w:num>
  <w:num w:numId="3">
    <w:abstractNumId w:val="4"/>
  </w:num>
  <w:num w:numId="4">
    <w:abstractNumId w:val="34"/>
  </w:num>
  <w:num w:numId="5">
    <w:abstractNumId w:val="29"/>
  </w:num>
  <w:num w:numId="6">
    <w:abstractNumId w:val="7"/>
  </w:num>
  <w:num w:numId="7">
    <w:abstractNumId w:val="44"/>
  </w:num>
  <w:num w:numId="8">
    <w:abstractNumId w:val="16"/>
  </w:num>
  <w:num w:numId="9">
    <w:abstractNumId w:val="26"/>
  </w:num>
  <w:num w:numId="10">
    <w:abstractNumId w:val="45"/>
  </w:num>
  <w:num w:numId="11">
    <w:abstractNumId w:val="28"/>
  </w:num>
  <w:num w:numId="12">
    <w:abstractNumId w:val="13"/>
  </w:num>
  <w:num w:numId="13">
    <w:abstractNumId w:val="1"/>
  </w:num>
  <w:num w:numId="14">
    <w:abstractNumId w:val="15"/>
  </w:num>
  <w:num w:numId="15">
    <w:abstractNumId w:val="17"/>
  </w:num>
  <w:num w:numId="16">
    <w:abstractNumId w:val="22"/>
  </w:num>
  <w:num w:numId="17">
    <w:abstractNumId w:val="39"/>
  </w:num>
  <w:num w:numId="18">
    <w:abstractNumId w:val="5"/>
  </w:num>
  <w:num w:numId="19">
    <w:abstractNumId w:val="12"/>
  </w:num>
  <w:num w:numId="20">
    <w:abstractNumId w:val="42"/>
  </w:num>
  <w:num w:numId="21">
    <w:abstractNumId w:val="2"/>
  </w:num>
  <w:num w:numId="22">
    <w:abstractNumId w:val="23"/>
  </w:num>
  <w:num w:numId="23">
    <w:abstractNumId w:val="40"/>
  </w:num>
  <w:num w:numId="24">
    <w:abstractNumId w:val="11"/>
  </w:num>
  <w:num w:numId="25">
    <w:abstractNumId w:val="27"/>
  </w:num>
  <w:num w:numId="26">
    <w:abstractNumId w:val="19"/>
  </w:num>
  <w:num w:numId="27">
    <w:abstractNumId w:val="33"/>
  </w:num>
  <w:num w:numId="28">
    <w:abstractNumId w:val="6"/>
  </w:num>
  <w:num w:numId="29">
    <w:abstractNumId w:val="30"/>
  </w:num>
  <w:num w:numId="30">
    <w:abstractNumId w:val="20"/>
  </w:num>
  <w:num w:numId="31">
    <w:abstractNumId w:val="37"/>
  </w:num>
  <w:num w:numId="32">
    <w:abstractNumId w:val="9"/>
  </w:num>
  <w:num w:numId="33">
    <w:abstractNumId w:val="36"/>
  </w:num>
  <w:num w:numId="34">
    <w:abstractNumId w:val="14"/>
  </w:num>
  <w:num w:numId="35">
    <w:abstractNumId w:val="8"/>
  </w:num>
  <w:num w:numId="36">
    <w:abstractNumId w:val="25"/>
  </w:num>
  <w:num w:numId="37">
    <w:abstractNumId w:val="38"/>
  </w:num>
  <w:num w:numId="38">
    <w:abstractNumId w:val="32"/>
  </w:num>
  <w:num w:numId="39">
    <w:abstractNumId w:val="43"/>
  </w:num>
  <w:num w:numId="40">
    <w:abstractNumId w:val="24"/>
  </w:num>
  <w:num w:numId="41">
    <w:abstractNumId w:val="3"/>
  </w:num>
  <w:num w:numId="42">
    <w:abstractNumId w:val="18"/>
  </w:num>
  <w:num w:numId="43">
    <w:abstractNumId w:val="10"/>
  </w:num>
  <w:num w:numId="44">
    <w:abstractNumId w:val="41"/>
  </w:num>
  <w:num w:numId="45">
    <w:abstractNumId w:val="3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44"/>
    <w:rsid w:val="00003EC8"/>
    <w:rsid w:val="000174CF"/>
    <w:rsid w:val="0002278E"/>
    <w:rsid w:val="0003550B"/>
    <w:rsid w:val="00041CD1"/>
    <w:rsid w:val="00052335"/>
    <w:rsid w:val="00053E3F"/>
    <w:rsid w:val="000645D5"/>
    <w:rsid w:val="00066DC3"/>
    <w:rsid w:val="000823BD"/>
    <w:rsid w:val="00097138"/>
    <w:rsid w:val="000B1F17"/>
    <w:rsid w:val="000B215D"/>
    <w:rsid w:val="000C37A7"/>
    <w:rsid w:val="000C746F"/>
    <w:rsid w:val="000D4E38"/>
    <w:rsid w:val="000D677E"/>
    <w:rsid w:val="000F00E0"/>
    <w:rsid w:val="000F3287"/>
    <w:rsid w:val="001127F1"/>
    <w:rsid w:val="00112C93"/>
    <w:rsid w:val="00125D3A"/>
    <w:rsid w:val="001265BA"/>
    <w:rsid w:val="00132227"/>
    <w:rsid w:val="00134577"/>
    <w:rsid w:val="00135575"/>
    <w:rsid w:val="00135E2D"/>
    <w:rsid w:val="001828E2"/>
    <w:rsid w:val="00186C46"/>
    <w:rsid w:val="00193609"/>
    <w:rsid w:val="001A0874"/>
    <w:rsid w:val="001C6969"/>
    <w:rsid w:val="001E6BF9"/>
    <w:rsid w:val="001F1A10"/>
    <w:rsid w:val="002144CF"/>
    <w:rsid w:val="00215E38"/>
    <w:rsid w:val="0022248C"/>
    <w:rsid w:val="00222BF6"/>
    <w:rsid w:val="0022356E"/>
    <w:rsid w:val="00224E51"/>
    <w:rsid w:val="002278B2"/>
    <w:rsid w:val="002472A0"/>
    <w:rsid w:val="00283D1B"/>
    <w:rsid w:val="002853E2"/>
    <w:rsid w:val="00293A06"/>
    <w:rsid w:val="002947F1"/>
    <w:rsid w:val="002A3EC2"/>
    <w:rsid w:val="002A4921"/>
    <w:rsid w:val="002A6402"/>
    <w:rsid w:val="002A6CD9"/>
    <w:rsid w:val="002C45D4"/>
    <w:rsid w:val="002D5CE1"/>
    <w:rsid w:val="002E0074"/>
    <w:rsid w:val="002E3337"/>
    <w:rsid w:val="002E745C"/>
    <w:rsid w:val="00314F44"/>
    <w:rsid w:val="003173D4"/>
    <w:rsid w:val="00317FF3"/>
    <w:rsid w:val="00320226"/>
    <w:rsid w:val="00324C1F"/>
    <w:rsid w:val="00325EBE"/>
    <w:rsid w:val="00341EAB"/>
    <w:rsid w:val="00364950"/>
    <w:rsid w:val="00364C5A"/>
    <w:rsid w:val="003A7EC1"/>
    <w:rsid w:val="003B1586"/>
    <w:rsid w:val="003B34B9"/>
    <w:rsid w:val="003C502D"/>
    <w:rsid w:val="003D2A1F"/>
    <w:rsid w:val="003E6DFD"/>
    <w:rsid w:val="004131FC"/>
    <w:rsid w:val="00427FE3"/>
    <w:rsid w:val="0043133B"/>
    <w:rsid w:val="0045792D"/>
    <w:rsid w:val="00472358"/>
    <w:rsid w:val="00494D3D"/>
    <w:rsid w:val="004A0CBF"/>
    <w:rsid w:val="004C12EB"/>
    <w:rsid w:val="004C2663"/>
    <w:rsid w:val="004C2D4A"/>
    <w:rsid w:val="004E09D8"/>
    <w:rsid w:val="005038A2"/>
    <w:rsid w:val="005078DF"/>
    <w:rsid w:val="00522DFD"/>
    <w:rsid w:val="00525CD8"/>
    <w:rsid w:val="00530294"/>
    <w:rsid w:val="0053783B"/>
    <w:rsid w:val="005504E8"/>
    <w:rsid w:val="005553E6"/>
    <w:rsid w:val="00557BB8"/>
    <w:rsid w:val="00561DBA"/>
    <w:rsid w:val="00563FE8"/>
    <w:rsid w:val="005655C1"/>
    <w:rsid w:val="00567792"/>
    <w:rsid w:val="00571D7C"/>
    <w:rsid w:val="00574C8D"/>
    <w:rsid w:val="00577CCF"/>
    <w:rsid w:val="005F789E"/>
    <w:rsid w:val="00600583"/>
    <w:rsid w:val="00603282"/>
    <w:rsid w:val="00605AA2"/>
    <w:rsid w:val="00611DF2"/>
    <w:rsid w:val="00617FB8"/>
    <w:rsid w:val="00627D9A"/>
    <w:rsid w:val="00634FC5"/>
    <w:rsid w:val="0063556D"/>
    <w:rsid w:val="006646D8"/>
    <w:rsid w:val="00665EC6"/>
    <w:rsid w:val="00687409"/>
    <w:rsid w:val="00687572"/>
    <w:rsid w:val="0069284D"/>
    <w:rsid w:val="006A44E4"/>
    <w:rsid w:val="006B75EB"/>
    <w:rsid w:val="006B7C0F"/>
    <w:rsid w:val="006C19FD"/>
    <w:rsid w:val="006C6847"/>
    <w:rsid w:val="006D4804"/>
    <w:rsid w:val="00703D7D"/>
    <w:rsid w:val="00715A43"/>
    <w:rsid w:val="00724C2E"/>
    <w:rsid w:val="0074594B"/>
    <w:rsid w:val="007865C2"/>
    <w:rsid w:val="007A305C"/>
    <w:rsid w:val="007B1DDC"/>
    <w:rsid w:val="007C4A80"/>
    <w:rsid w:val="007D67EF"/>
    <w:rsid w:val="007E2EBE"/>
    <w:rsid w:val="008164E0"/>
    <w:rsid w:val="00820516"/>
    <w:rsid w:val="00825149"/>
    <w:rsid w:val="00832F44"/>
    <w:rsid w:val="00835FE3"/>
    <w:rsid w:val="00837FA2"/>
    <w:rsid w:val="00840CB4"/>
    <w:rsid w:val="0085309A"/>
    <w:rsid w:val="0085387C"/>
    <w:rsid w:val="00870704"/>
    <w:rsid w:val="00873BA9"/>
    <w:rsid w:val="00892259"/>
    <w:rsid w:val="008B0DDF"/>
    <w:rsid w:val="008D5AF4"/>
    <w:rsid w:val="008E16B5"/>
    <w:rsid w:val="008E242D"/>
    <w:rsid w:val="008E667E"/>
    <w:rsid w:val="008F64B9"/>
    <w:rsid w:val="008F66AA"/>
    <w:rsid w:val="009029C3"/>
    <w:rsid w:val="009235AB"/>
    <w:rsid w:val="00925892"/>
    <w:rsid w:val="00941BEB"/>
    <w:rsid w:val="00945DEE"/>
    <w:rsid w:val="00972386"/>
    <w:rsid w:val="009A1FF6"/>
    <w:rsid w:val="009A2151"/>
    <w:rsid w:val="009B640E"/>
    <w:rsid w:val="009F2CAE"/>
    <w:rsid w:val="009F46D8"/>
    <w:rsid w:val="00A21F69"/>
    <w:rsid w:val="00A22FB0"/>
    <w:rsid w:val="00A34E3A"/>
    <w:rsid w:val="00A40DDF"/>
    <w:rsid w:val="00A4706A"/>
    <w:rsid w:val="00A474AE"/>
    <w:rsid w:val="00A6373D"/>
    <w:rsid w:val="00A82E83"/>
    <w:rsid w:val="00AD032A"/>
    <w:rsid w:val="00AD635A"/>
    <w:rsid w:val="00AE08FD"/>
    <w:rsid w:val="00AE1CEA"/>
    <w:rsid w:val="00B07E1D"/>
    <w:rsid w:val="00B42479"/>
    <w:rsid w:val="00B60180"/>
    <w:rsid w:val="00B668D1"/>
    <w:rsid w:val="00B838A9"/>
    <w:rsid w:val="00B9378C"/>
    <w:rsid w:val="00BB7FDA"/>
    <w:rsid w:val="00BD4AA1"/>
    <w:rsid w:val="00BE0DAC"/>
    <w:rsid w:val="00BE23E4"/>
    <w:rsid w:val="00BE4FEA"/>
    <w:rsid w:val="00C10004"/>
    <w:rsid w:val="00C568F1"/>
    <w:rsid w:val="00C633A0"/>
    <w:rsid w:val="00C6735D"/>
    <w:rsid w:val="00C77953"/>
    <w:rsid w:val="00C82459"/>
    <w:rsid w:val="00C907FC"/>
    <w:rsid w:val="00C93934"/>
    <w:rsid w:val="00CA1804"/>
    <w:rsid w:val="00CA7012"/>
    <w:rsid w:val="00CC0D11"/>
    <w:rsid w:val="00CC2E53"/>
    <w:rsid w:val="00CD2333"/>
    <w:rsid w:val="00CD573A"/>
    <w:rsid w:val="00D15AB2"/>
    <w:rsid w:val="00D23E23"/>
    <w:rsid w:val="00D30574"/>
    <w:rsid w:val="00D32F7E"/>
    <w:rsid w:val="00D34D96"/>
    <w:rsid w:val="00D41997"/>
    <w:rsid w:val="00D4247B"/>
    <w:rsid w:val="00D436E8"/>
    <w:rsid w:val="00D574E9"/>
    <w:rsid w:val="00D77B23"/>
    <w:rsid w:val="00D935E3"/>
    <w:rsid w:val="00D96534"/>
    <w:rsid w:val="00DB67B1"/>
    <w:rsid w:val="00DD6D38"/>
    <w:rsid w:val="00DE2CDD"/>
    <w:rsid w:val="00DF64C3"/>
    <w:rsid w:val="00E04565"/>
    <w:rsid w:val="00E07BDC"/>
    <w:rsid w:val="00E3402B"/>
    <w:rsid w:val="00E51AF4"/>
    <w:rsid w:val="00EA471F"/>
    <w:rsid w:val="00EB638B"/>
    <w:rsid w:val="00EC6ED7"/>
    <w:rsid w:val="00EE031B"/>
    <w:rsid w:val="00EF64F8"/>
    <w:rsid w:val="00F03322"/>
    <w:rsid w:val="00F06A2A"/>
    <w:rsid w:val="00F17A8E"/>
    <w:rsid w:val="00F24574"/>
    <w:rsid w:val="00F42466"/>
    <w:rsid w:val="00F67E9C"/>
    <w:rsid w:val="00F75121"/>
    <w:rsid w:val="00F81527"/>
    <w:rsid w:val="00F8160E"/>
    <w:rsid w:val="00F94AC4"/>
    <w:rsid w:val="00F9555B"/>
    <w:rsid w:val="00FA11C8"/>
    <w:rsid w:val="00FA4932"/>
    <w:rsid w:val="00FB1254"/>
    <w:rsid w:val="00FE46BF"/>
    <w:rsid w:val="00FE5299"/>
    <w:rsid w:val="00FF2094"/>
    <w:rsid w:val="00FF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6504B-2435-4A8A-9862-E71F8926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574"/>
    <w:pPr>
      <w:ind w:left="720"/>
      <w:contextualSpacing/>
    </w:pPr>
  </w:style>
  <w:style w:type="paragraph" w:customStyle="1" w:styleId="Default">
    <w:name w:val="Default"/>
    <w:rsid w:val="00D77B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C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4A"/>
    <w:rPr>
      <w:rFonts w:ascii="Tahoma" w:hAnsi="Tahoma" w:cs="Tahoma"/>
      <w:sz w:val="16"/>
      <w:szCs w:val="16"/>
    </w:rPr>
  </w:style>
  <w:style w:type="character" w:styleId="CommentReference">
    <w:name w:val="annotation reference"/>
    <w:basedOn w:val="DefaultParagraphFont"/>
    <w:uiPriority w:val="99"/>
    <w:semiHidden/>
    <w:unhideWhenUsed/>
    <w:rsid w:val="00125D3A"/>
    <w:rPr>
      <w:sz w:val="16"/>
      <w:szCs w:val="16"/>
    </w:rPr>
  </w:style>
  <w:style w:type="paragraph" w:styleId="CommentText">
    <w:name w:val="annotation text"/>
    <w:basedOn w:val="Normal"/>
    <w:link w:val="CommentTextChar"/>
    <w:uiPriority w:val="99"/>
    <w:semiHidden/>
    <w:unhideWhenUsed/>
    <w:rsid w:val="00125D3A"/>
    <w:pPr>
      <w:spacing w:line="240" w:lineRule="auto"/>
    </w:pPr>
    <w:rPr>
      <w:sz w:val="20"/>
      <w:szCs w:val="20"/>
    </w:rPr>
  </w:style>
  <w:style w:type="character" w:customStyle="1" w:styleId="CommentTextChar">
    <w:name w:val="Comment Text Char"/>
    <w:basedOn w:val="DefaultParagraphFont"/>
    <w:link w:val="CommentText"/>
    <w:uiPriority w:val="99"/>
    <w:semiHidden/>
    <w:rsid w:val="00125D3A"/>
    <w:rPr>
      <w:sz w:val="20"/>
      <w:szCs w:val="20"/>
    </w:rPr>
  </w:style>
  <w:style w:type="paragraph" w:styleId="CommentSubject">
    <w:name w:val="annotation subject"/>
    <w:basedOn w:val="CommentText"/>
    <w:next w:val="CommentText"/>
    <w:link w:val="CommentSubjectChar"/>
    <w:uiPriority w:val="99"/>
    <w:semiHidden/>
    <w:unhideWhenUsed/>
    <w:rsid w:val="00125D3A"/>
    <w:rPr>
      <w:b/>
      <w:bCs/>
    </w:rPr>
  </w:style>
  <w:style w:type="character" w:customStyle="1" w:styleId="CommentSubjectChar">
    <w:name w:val="Comment Subject Char"/>
    <w:basedOn w:val="CommentTextChar"/>
    <w:link w:val="CommentSubject"/>
    <w:uiPriority w:val="99"/>
    <w:semiHidden/>
    <w:rsid w:val="00125D3A"/>
    <w:rPr>
      <w:b/>
      <w:bCs/>
      <w:sz w:val="20"/>
      <w:szCs w:val="20"/>
    </w:rPr>
  </w:style>
  <w:style w:type="table" w:styleId="LightShading-Accent3">
    <w:name w:val="Light Shading Accent 3"/>
    <w:basedOn w:val="TableNormal"/>
    <w:uiPriority w:val="60"/>
    <w:rsid w:val="00835FE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35F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835F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5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2D"/>
  </w:style>
  <w:style w:type="paragraph" w:styleId="Footer">
    <w:name w:val="footer"/>
    <w:basedOn w:val="Normal"/>
    <w:link w:val="FooterChar"/>
    <w:uiPriority w:val="99"/>
    <w:unhideWhenUsed/>
    <w:rsid w:val="00457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4106">
      <w:bodyDiv w:val="1"/>
      <w:marLeft w:val="0"/>
      <w:marRight w:val="0"/>
      <w:marTop w:val="0"/>
      <w:marBottom w:val="0"/>
      <w:divBdr>
        <w:top w:val="none" w:sz="0" w:space="0" w:color="auto"/>
        <w:left w:val="none" w:sz="0" w:space="0" w:color="auto"/>
        <w:bottom w:val="none" w:sz="0" w:space="0" w:color="auto"/>
        <w:right w:val="none" w:sz="0" w:space="0" w:color="auto"/>
      </w:divBdr>
    </w:div>
    <w:div w:id="147601137">
      <w:bodyDiv w:val="1"/>
      <w:marLeft w:val="0"/>
      <w:marRight w:val="0"/>
      <w:marTop w:val="0"/>
      <w:marBottom w:val="0"/>
      <w:divBdr>
        <w:top w:val="none" w:sz="0" w:space="0" w:color="auto"/>
        <w:left w:val="none" w:sz="0" w:space="0" w:color="auto"/>
        <w:bottom w:val="none" w:sz="0" w:space="0" w:color="auto"/>
        <w:right w:val="none" w:sz="0" w:space="0" w:color="auto"/>
      </w:divBdr>
    </w:div>
    <w:div w:id="194776962">
      <w:bodyDiv w:val="1"/>
      <w:marLeft w:val="0"/>
      <w:marRight w:val="0"/>
      <w:marTop w:val="0"/>
      <w:marBottom w:val="0"/>
      <w:divBdr>
        <w:top w:val="none" w:sz="0" w:space="0" w:color="auto"/>
        <w:left w:val="none" w:sz="0" w:space="0" w:color="auto"/>
        <w:bottom w:val="none" w:sz="0" w:space="0" w:color="auto"/>
        <w:right w:val="none" w:sz="0" w:space="0" w:color="auto"/>
      </w:divBdr>
    </w:div>
    <w:div w:id="317659289">
      <w:bodyDiv w:val="1"/>
      <w:marLeft w:val="0"/>
      <w:marRight w:val="0"/>
      <w:marTop w:val="0"/>
      <w:marBottom w:val="0"/>
      <w:divBdr>
        <w:top w:val="none" w:sz="0" w:space="0" w:color="auto"/>
        <w:left w:val="none" w:sz="0" w:space="0" w:color="auto"/>
        <w:bottom w:val="none" w:sz="0" w:space="0" w:color="auto"/>
        <w:right w:val="none" w:sz="0" w:space="0" w:color="auto"/>
      </w:divBdr>
    </w:div>
    <w:div w:id="784733584">
      <w:bodyDiv w:val="1"/>
      <w:marLeft w:val="0"/>
      <w:marRight w:val="0"/>
      <w:marTop w:val="0"/>
      <w:marBottom w:val="0"/>
      <w:divBdr>
        <w:top w:val="none" w:sz="0" w:space="0" w:color="auto"/>
        <w:left w:val="none" w:sz="0" w:space="0" w:color="auto"/>
        <w:bottom w:val="none" w:sz="0" w:space="0" w:color="auto"/>
        <w:right w:val="none" w:sz="0" w:space="0" w:color="auto"/>
      </w:divBdr>
    </w:div>
    <w:div w:id="1244415950">
      <w:bodyDiv w:val="1"/>
      <w:marLeft w:val="0"/>
      <w:marRight w:val="0"/>
      <w:marTop w:val="0"/>
      <w:marBottom w:val="0"/>
      <w:divBdr>
        <w:top w:val="none" w:sz="0" w:space="0" w:color="auto"/>
        <w:left w:val="none" w:sz="0" w:space="0" w:color="auto"/>
        <w:bottom w:val="none" w:sz="0" w:space="0" w:color="auto"/>
        <w:right w:val="none" w:sz="0" w:space="0" w:color="auto"/>
      </w:divBdr>
    </w:div>
    <w:div w:id="1534031358">
      <w:bodyDiv w:val="1"/>
      <w:marLeft w:val="0"/>
      <w:marRight w:val="0"/>
      <w:marTop w:val="0"/>
      <w:marBottom w:val="0"/>
      <w:divBdr>
        <w:top w:val="none" w:sz="0" w:space="0" w:color="auto"/>
        <w:left w:val="none" w:sz="0" w:space="0" w:color="auto"/>
        <w:bottom w:val="none" w:sz="0" w:space="0" w:color="auto"/>
        <w:right w:val="none" w:sz="0" w:space="0" w:color="auto"/>
      </w:divBdr>
    </w:div>
    <w:div w:id="15572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ADDE-0093-4224-9905-52348A5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8359</Words>
  <Characters>47651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55899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ni088304</dc:creator>
  <cp:keywords/>
  <dc:description/>
  <cp:lastModifiedBy>Nicola Foreman (Cardiff and Vale UHB - Executive Headquarters)</cp:lastModifiedBy>
  <cp:revision>9</cp:revision>
  <cp:lastPrinted>2021-03-05T11:01:00Z</cp:lastPrinted>
  <dcterms:created xsi:type="dcterms:W3CDTF">2021-03-01T16:02:00Z</dcterms:created>
  <dcterms:modified xsi:type="dcterms:W3CDTF">2021-03-22T09:25:00Z</dcterms:modified>
</cp:coreProperties>
</file>