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W w:w="8740" w:type="dxa"/>
        <w:tblInd w:w="134"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740"/>
      </w:tblGrid>
      <w:tr w:rsidR="001B63F6" w:rsidRPr="001B63F6" w14:paraId="1A1AA3D9" w14:textId="77777777" w:rsidTr="3F1A3405">
        <w:trPr>
          <w:trHeight w:val="550"/>
        </w:trPr>
        <w:tc>
          <w:tcPr>
            <w:tcW w:w="874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397C4E1E" w14:textId="011DE19E" w:rsidR="001B63F6" w:rsidRPr="001B63F6" w:rsidRDefault="001B63F6" w:rsidP="001D4670">
            <w:pPr>
              <w:jc w:val="center"/>
              <w:textAlignment w:val="baseline"/>
              <w:rPr>
                <w:rFonts w:ascii="Times New Roman" w:hAnsi="Times New Roman"/>
              </w:rPr>
            </w:pPr>
            <w:r w:rsidRPr="001B63F6">
              <w:rPr>
                <w:rFonts w:cs="Arial"/>
                <w:b/>
                <w:bCs/>
                <w:color w:val="000000"/>
                <w:sz w:val="32"/>
                <w:szCs w:val="32"/>
              </w:rPr>
              <w:t>VELINDRE UNIVERSITY NHS TRUST</w:t>
            </w:r>
          </w:p>
          <w:p w14:paraId="70CD96AF" w14:textId="77777777" w:rsidR="001B63F6" w:rsidRPr="001B63F6" w:rsidRDefault="001B63F6" w:rsidP="001B63F6">
            <w:pPr>
              <w:ind w:hanging="105"/>
              <w:jc w:val="center"/>
              <w:textAlignment w:val="baseline"/>
              <w:rPr>
                <w:rFonts w:ascii="Times New Roman" w:hAnsi="Times New Roman"/>
              </w:rPr>
            </w:pPr>
          </w:p>
        </w:tc>
      </w:tr>
      <w:tr w:rsidR="001B63F6" w:rsidRPr="001B63F6" w14:paraId="79CE9C12" w14:textId="77777777" w:rsidTr="3F1A3405">
        <w:trPr>
          <w:trHeight w:val="461"/>
        </w:trPr>
        <w:tc>
          <w:tcPr>
            <w:tcW w:w="874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0B0C8172" w14:textId="77777777" w:rsidR="001B63F6" w:rsidRPr="00390980" w:rsidRDefault="008E4F02" w:rsidP="008E4F02">
            <w:pPr>
              <w:jc w:val="center"/>
              <w:textAlignment w:val="baseline"/>
              <w:rPr>
                <w:rFonts w:cs="Arial"/>
                <w:b/>
                <w:bCs/>
                <w:sz w:val="32"/>
                <w:szCs w:val="32"/>
              </w:rPr>
            </w:pPr>
            <w:r>
              <w:rPr>
                <w:rFonts w:cs="Arial"/>
                <w:b/>
                <w:bCs/>
                <w:sz w:val="32"/>
                <w:szCs w:val="32"/>
              </w:rPr>
              <w:t xml:space="preserve">LHB </w:t>
            </w:r>
          </w:p>
        </w:tc>
      </w:tr>
      <w:tr w:rsidR="001B63F6" w:rsidRPr="001B63F6" w14:paraId="54A1F149" w14:textId="77777777" w:rsidTr="3F1A3405">
        <w:trPr>
          <w:trHeight w:val="538"/>
        </w:trPr>
        <w:tc>
          <w:tcPr>
            <w:tcW w:w="8740" w:type="dxa"/>
            <w:tcBorders>
              <w:top w:val="single" w:sz="6" w:space="0" w:color="auto"/>
              <w:left w:val="single" w:sz="6" w:space="0" w:color="auto"/>
              <w:bottom w:val="single" w:sz="6" w:space="0" w:color="auto"/>
              <w:right w:val="single" w:sz="6" w:space="0" w:color="auto"/>
            </w:tcBorders>
            <w:shd w:val="clear" w:color="auto" w:fill="auto"/>
            <w:vAlign w:val="center"/>
          </w:tcPr>
          <w:p w14:paraId="06465E72" w14:textId="77777777" w:rsidR="001B63F6" w:rsidRPr="0097142C" w:rsidRDefault="00BF269C" w:rsidP="001B63F6">
            <w:pPr>
              <w:jc w:val="center"/>
              <w:textAlignment w:val="baseline"/>
              <w:rPr>
                <w:rFonts w:cs="Arial"/>
                <w:b/>
                <w:bCs/>
                <w:color w:val="000000"/>
                <w:sz w:val="32"/>
                <w:szCs w:val="32"/>
              </w:rPr>
            </w:pPr>
            <w:r w:rsidRPr="0097142C">
              <w:rPr>
                <w:rFonts w:cs="Arial"/>
                <w:b/>
                <w:bCs/>
                <w:color w:val="000000"/>
                <w:sz w:val="32"/>
                <w:szCs w:val="32"/>
              </w:rPr>
              <w:t xml:space="preserve">nVCC </w:t>
            </w:r>
            <w:r w:rsidR="00F253D5">
              <w:rPr>
                <w:rFonts w:cs="Arial"/>
                <w:b/>
                <w:bCs/>
                <w:color w:val="000000"/>
                <w:sz w:val="32"/>
                <w:szCs w:val="32"/>
              </w:rPr>
              <w:t xml:space="preserve">FULL </w:t>
            </w:r>
            <w:r w:rsidRPr="0097142C">
              <w:rPr>
                <w:rFonts w:cs="Arial"/>
                <w:b/>
                <w:bCs/>
                <w:color w:val="000000"/>
                <w:sz w:val="32"/>
                <w:szCs w:val="32"/>
              </w:rPr>
              <w:t>B</w:t>
            </w:r>
            <w:r w:rsidR="0097142C">
              <w:rPr>
                <w:rFonts w:cs="Arial"/>
                <w:b/>
                <w:bCs/>
                <w:color w:val="000000"/>
                <w:sz w:val="32"/>
                <w:szCs w:val="32"/>
              </w:rPr>
              <w:t xml:space="preserve">USINESS CASE </w:t>
            </w:r>
            <w:r w:rsidR="00F253D5">
              <w:rPr>
                <w:rFonts w:cs="Arial"/>
                <w:b/>
                <w:bCs/>
                <w:color w:val="000000"/>
                <w:sz w:val="32"/>
                <w:szCs w:val="32"/>
              </w:rPr>
              <w:t xml:space="preserve">(FBC) </w:t>
            </w:r>
            <w:r w:rsidR="0097142C">
              <w:rPr>
                <w:rFonts w:cs="Arial"/>
                <w:b/>
                <w:bCs/>
                <w:color w:val="000000"/>
                <w:sz w:val="32"/>
                <w:szCs w:val="32"/>
              </w:rPr>
              <w:t>APPROVAL</w:t>
            </w:r>
          </w:p>
        </w:tc>
      </w:tr>
    </w:tbl>
    <w:p w14:paraId="63B26E5C" w14:textId="77777777" w:rsidR="001B63F6" w:rsidRPr="001B63F6" w:rsidRDefault="001B63F6" w:rsidP="001B63F6">
      <w:pPr>
        <w:jc w:val="left"/>
        <w:textAlignment w:val="baseline"/>
        <w:rPr>
          <w:rFonts w:ascii="Segoe UI" w:hAnsi="Segoe UI" w:cs="Segoe UI"/>
          <w:sz w:val="18"/>
          <w:szCs w:val="18"/>
        </w:rPr>
      </w:pPr>
      <w:r w:rsidRPr="001B63F6">
        <w:rPr>
          <w:rFonts w:cs="Arial"/>
          <w:color w:val="000000"/>
          <w:sz w:val="22"/>
          <w:szCs w:val="22"/>
        </w:rPr>
        <w:t> </w:t>
      </w:r>
      <w:r w:rsidRPr="001B63F6">
        <w:rPr>
          <w:rFonts w:ascii="Calibri" w:hAnsi="Calibri" w:cs="Calibri"/>
          <w:sz w:val="22"/>
          <w:szCs w:val="22"/>
        </w:rPr>
        <w:t> </w:t>
      </w:r>
    </w:p>
    <w:tbl>
      <w:tblPr>
        <w:tblW w:w="8740" w:type="dxa"/>
        <w:tblInd w:w="134"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762"/>
        <w:gridCol w:w="4978"/>
      </w:tblGrid>
      <w:tr w:rsidR="001B63F6" w:rsidRPr="001B63F6" w14:paraId="6240FEA5" w14:textId="77777777" w:rsidTr="3F1A3405">
        <w:trPr>
          <w:trHeight w:val="555"/>
        </w:trPr>
        <w:tc>
          <w:tcPr>
            <w:tcW w:w="3762" w:type="dxa"/>
            <w:tcBorders>
              <w:top w:val="single" w:sz="6" w:space="0" w:color="auto"/>
              <w:left w:val="single" w:sz="6" w:space="0" w:color="auto"/>
              <w:bottom w:val="single" w:sz="6" w:space="0" w:color="auto"/>
              <w:right w:val="single" w:sz="6" w:space="0" w:color="auto"/>
            </w:tcBorders>
            <w:shd w:val="clear" w:color="auto" w:fill="F2F2F2" w:themeFill="background1" w:themeFillShade="F2"/>
            <w:vAlign w:val="center"/>
            <w:hideMark/>
          </w:tcPr>
          <w:p w14:paraId="4F40AE64" w14:textId="77777777" w:rsidR="001B63F6" w:rsidRPr="001B63F6" w:rsidRDefault="008C5EBD" w:rsidP="008C5EBD">
            <w:pPr>
              <w:ind w:left="162"/>
              <w:jc w:val="left"/>
              <w:textAlignment w:val="baseline"/>
              <w:rPr>
                <w:rFonts w:ascii="Times New Roman" w:hAnsi="Times New Roman"/>
              </w:rPr>
            </w:pPr>
            <w:r>
              <w:rPr>
                <w:rFonts w:cs="Arial"/>
                <w:b/>
                <w:bCs/>
                <w:caps/>
                <w:sz w:val="22"/>
                <w:szCs w:val="22"/>
              </w:rPr>
              <w:t xml:space="preserve"> </w:t>
            </w:r>
            <w:r w:rsidR="001B63F6" w:rsidRPr="008C5EBD">
              <w:rPr>
                <w:rFonts w:cs="Arial"/>
                <w:b/>
                <w:bCs/>
                <w:sz w:val="22"/>
                <w:szCs w:val="22"/>
                <w:lang w:val="en-US"/>
              </w:rPr>
              <w:t>DATE OF MEETING</w:t>
            </w:r>
            <w:r w:rsidR="001B63F6" w:rsidRPr="001B63F6">
              <w:rPr>
                <w:rFonts w:cs="Arial"/>
                <w:sz w:val="22"/>
                <w:szCs w:val="22"/>
              </w:rPr>
              <w:t> </w:t>
            </w:r>
          </w:p>
        </w:tc>
        <w:tc>
          <w:tcPr>
            <w:tcW w:w="4978"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7F6F0C8A" w14:textId="77777777" w:rsidR="001B63F6" w:rsidRPr="00A513DF" w:rsidRDefault="008C5EBD" w:rsidP="001B63F6">
            <w:pPr>
              <w:jc w:val="left"/>
              <w:textAlignment w:val="baseline"/>
              <w:rPr>
                <w:rFonts w:ascii="Times New Roman" w:hAnsi="Times New Roman"/>
              </w:rPr>
            </w:pPr>
            <w:r w:rsidRPr="3F1A3405">
              <w:rPr>
                <w:rFonts w:cs="Arial"/>
              </w:rPr>
              <w:t xml:space="preserve"> </w:t>
            </w:r>
            <w:r w:rsidR="004D5E9F" w:rsidRPr="000C1E64">
              <w:rPr>
                <w:rFonts w:cs="Arial"/>
                <w:highlight w:val="yellow"/>
              </w:rPr>
              <w:t>TBC</w:t>
            </w:r>
            <w:r w:rsidR="001B63F6" w:rsidRPr="3F1A3405">
              <w:rPr>
                <w:rFonts w:cs="Arial"/>
              </w:rPr>
              <w:t> </w:t>
            </w:r>
          </w:p>
        </w:tc>
      </w:tr>
    </w:tbl>
    <w:p w14:paraId="7275EB29" w14:textId="77777777" w:rsidR="001B63F6" w:rsidRPr="001B63F6" w:rsidRDefault="001B63F6" w:rsidP="001B63F6">
      <w:pPr>
        <w:jc w:val="left"/>
        <w:textAlignment w:val="baseline"/>
        <w:rPr>
          <w:rFonts w:ascii="Segoe UI" w:hAnsi="Segoe UI" w:cs="Segoe UI"/>
          <w:sz w:val="18"/>
          <w:szCs w:val="18"/>
        </w:rPr>
      </w:pPr>
      <w:r w:rsidRPr="001B63F6">
        <w:rPr>
          <w:rFonts w:cs="Arial"/>
          <w:sz w:val="22"/>
          <w:szCs w:val="22"/>
        </w:rPr>
        <w:t> </w:t>
      </w:r>
    </w:p>
    <w:tbl>
      <w:tblPr>
        <w:tblW w:w="8740" w:type="dxa"/>
        <w:tblInd w:w="134"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790"/>
        <w:gridCol w:w="4950"/>
      </w:tblGrid>
      <w:tr w:rsidR="001B63F6" w:rsidRPr="001B63F6" w14:paraId="01A52B4B" w14:textId="77777777" w:rsidTr="000D7739">
        <w:trPr>
          <w:trHeight w:val="570"/>
        </w:trPr>
        <w:tc>
          <w:tcPr>
            <w:tcW w:w="3790" w:type="dxa"/>
            <w:tcBorders>
              <w:top w:val="single" w:sz="6" w:space="0" w:color="auto"/>
              <w:left w:val="single" w:sz="6" w:space="0" w:color="auto"/>
              <w:bottom w:val="single" w:sz="6" w:space="0" w:color="auto"/>
              <w:right w:val="single" w:sz="6" w:space="0" w:color="auto"/>
            </w:tcBorders>
            <w:shd w:val="clear" w:color="auto" w:fill="F2F2F2"/>
            <w:vAlign w:val="center"/>
            <w:hideMark/>
          </w:tcPr>
          <w:p w14:paraId="30CB8153" w14:textId="77777777" w:rsidR="001B63F6" w:rsidRPr="001B63F6" w:rsidRDefault="008C5EBD" w:rsidP="008C5EBD">
            <w:pPr>
              <w:ind w:left="162"/>
              <w:jc w:val="left"/>
              <w:textAlignment w:val="baseline"/>
              <w:rPr>
                <w:rFonts w:ascii="Times New Roman" w:hAnsi="Times New Roman"/>
              </w:rPr>
            </w:pPr>
            <w:r>
              <w:rPr>
                <w:rFonts w:cs="Arial"/>
                <w:b/>
                <w:bCs/>
                <w:sz w:val="22"/>
                <w:szCs w:val="22"/>
              </w:rPr>
              <w:t xml:space="preserve"> </w:t>
            </w:r>
            <w:r w:rsidR="001B63F6" w:rsidRPr="008C5EBD">
              <w:rPr>
                <w:rFonts w:cs="Arial"/>
                <w:b/>
                <w:bCs/>
                <w:sz w:val="22"/>
                <w:szCs w:val="22"/>
                <w:lang w:val="en-US"/>
              </w:rPr>
              <w:t>PUBLIC OR PRIVATE REPORT</w:t>
            </w:r>
            <w:r w:rsidR="001B63F6" w:rsidRPr="001B63F6">
              <w:rPr>
                <w:rFonts w:cs="Arial"/>
                <w:sz w:val="22"/>
                <w:szCs w:val="22"/>
              </w:rPr>
              <w:t> </w:t>
            </w:r>
          </w:p>
        </w:tc>
        <w:tc>
          <w:tcPr>
            <w:tcW w:w="495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0A2D29B1" w14:textId="035F257B" w:rsidR="001B63F6" w:rsidRPr="001B63F6" w:rsidRDefault="008C5EBD" w:rsidP="001B63F6">
            <w:pPr>
              <w:jc w:val="left"/>
              <w:textAlignment w:val="baseline"/>
              <w:rPr>
                <w:rFonts w:ascii="Times New Roman" w:hAnsi="Times New Roman"/>
              </w:rPr>
            </w:pPr>
            <w:r>
              <w:rPr>
                <w:rFonts w:cs="Arial"/>
                <w:sz w:val="22"/>
                <w:szCs w:val="22"/>
              </w:rPr>
              <w:t xml:space="preserve"> </w:t>
            </w:r>
            <w:r w:rsidR="004A649D">
              <w:rPr>
                <w:rFonts w:cs="Arial"/>
              </w:rPr>
              <w:t>Public</w:t>
            </w:r>
          </w:p>
        </w:tc>
      </w:tr>
    </w:tbl>
    <w:p w14:paraId="387A945E" w14:textId="77777777" w:rsidR="001B63F6" w:rsidRPr="001B63F6" w:rsidRDefault="001B63F6" w:rsidP="001B63F6">
      <w:pPr>
        <w:jc w:val="left"/>
        <w:textAlignment w:val="baseline"/>
        <w:rPr>
          <w:rFonts w:ascii="Segoe UI" w:hAnsi="Segoe UI" w:cs="Segoe UI"/>
          <w:sz w:val="18"/>
          <w:szCs w:val="18"/>
        </w:rPr>
      </w:pPr>
      <w:r w:rsidRPr="001B63F6">
        <w:rPr>
          <w:rFonts w:cs="Arial"/>
          <w:sz w:val="22"/>
          <w:szCs w:val="22"/>
        </w:rPr>
        <w:t> </w:t>
      </w:r>
    </w:p>
    <w:tbl>
      <w:tblPr>
        <w:tblW w:w="8740" w:type="dxa"/>
        <w:tblInd w:w="134"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766"/>
        <w:gridCol w:w="4974"/>
      </w:tblGrid>
      <w:tr w:rsidR="001B63F6" w:rsidRPr="001B63F6" w14:paraId="2088CB00" w14:textId="77777777" w:rsidTr="000D7739">
        <w:trPr>
          <w:trHeight w:val="570"/>
        </w:trPr>
        <w:tc>
          <w:tcPr>
            <w:tcW w:w="3766" w:type="dxa"/>
            <w:tcBorders>
              <w:top w:val="single" w:sz="6" w:space="0" w:color="auto"/>
              <w:left w:val="single" w:sz="6" w:space="0" w:color="auto"/>
              <w:bottom w:val="single" w:sz="6" w:space="0" w:color="auto"/>
              <w:right w:val="single" w:sz="6" w:space="0" w:color="auto"/>
            </w:tcBorders>
            <w:shd w:val="clear" w:color="auto" w:fill="F2F2F2"/>
            <w:vAlign w:val="center"/>
            <w:hideMark/>
          </w:tcPr>
          <w:p w14:paraId="519AB5DC" w14:textId="77777777" w:rsidR="001B63F6" w:rsidRPr="001B63F6" w:rsidRDefault="001B63F6" w:rsidP="008C5EBD">
            <w:pPr>
              <w:ind w:left="162"/>
              <w:jc w:val="left"/>
              <w:textAlignment w:val="baseline"/>
              <w:rPr>
                <w:rFonts w:ascii="Times New Roman" w:hAnsi="Times New Roman"/>
              </w:rPr>
            </w:pPr>
            <w:r w:rsidRPr="001B63F6">
              <w:rPr>
                <w:rFonts w:cs="Arial"/>
                <w:b/>
                <w:bCs/>
                <w:sz w:val="22"/>
                <w:szCs w:val="22"/>
                <w:lang w:val="en-US"/>
              </w:rPr>
              <w:t>IF PRIVATE PLEASE INDICATE REASON</w:t>
            </w:r>
            <w:r w:rsidRPr="001B63F6">
              <w:rPr>
                <w:rFonts w:cs="Arial"/>
                <w:sz w:val="22"/>
                <w:szCs w:val="22"/>
              </w:rPr>
              <w:t> </w:t>
            </w:r>
          </w:p>
        </w:tc>
        <w:tc>
          <w:tcPr>
            <w:tcW w:w="4974"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373FAAD0" w14:textId="742D8A2A" w:rsidR="001B63F6" w:rsidRPr="001B63F6" w:rsidRDefault="008C5EBD" w:rsidP="001B63F6">
            <w:pPr>
              <w:jc w:val="left"/>
              <w:textAlignment w:val="baseline"/>
              <w:rPr>
                <w:rFonts w:ascii="Times New Roman" w:hAnsi="Times New Roman"/>
              </w:rPr>
            </w:pPr>
            <w:r>
              <w:rPr>
                <w:rFonts w:cs="Arial"/>
                <w:sz w:val="22"/>
                <w:szCs w:val="22"/>
                <w:lang w:val="en-US"/>
              </w:rPr>
              <w:t xml:space="preserve"> </w:t>
            </w:r>
            <w:bookmarkStart w:id="0" w:name="_GoBack"/>
            <w:bookmarkEnd w:id="0"/>
          </w:p>
        </w:tc>
      </w:tr>
    </w:tbl>
    <w:p w14:paraId="3AE085E2" w14:textId="77777777" w:rsidR="001B63F6" w:rsidRPr="001B63F6" w:rsidRDefault="001B63F6" w:rsidP="001B63F6">
      <w:pPr>
        <w:jc w:val="left"/>
        <w:textAlignment w:val="baseline"/>
        <w:rPr>
          <w:rFonts w:ascii="Segoe UI" w:hAnsi="Segoe UI" w:cs="Segoe UI"/>
          <w:sz w:val="18"/>
          <w:szCs w:val="18"/>
        </w:rPr>
      </w:pPr>
      <w:r w:rsidRPr="001B63F6">
        <w:rPr>
          <w:rFonts w:cs="Arial"/>
          <w:sz w:val="22"/>
          <w:szCs w:val="22"/>
        </w:rPr>
        <w:t> </w:t>
      </w:r>
    </w:p>
    <w:tbl>
      <w:tblPr>
        <w:tblW w:w="8740" w:type="dxa"/>
        <w:tblInd w:w="134"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758"/>
        <w:gridCol w:w="4982"/>
      </w:tblGrid>
      <w:tr w:rsidR="001B63F6" w:rsidRPr="001B63F6" w14:paraId="3EC1EC80" w14:textId="77777777" w:rsidTr="000D7739">
        <w:trPr>
          <w:trHeight w:val="540"/>
        </w:trPr>
        <w:tc>
          <w:tcPr>
            <w:tcW w:w="3758" w:type="dxa"/>
            <w:tcBorders>
              <w:top w:val="single" w:sz="6" w:space="0" w:color="auto"/>
              <w:left w:val="single" w:sz="6" w:space="0" w:color="auto"/>
              <w:bottom w:val="single" w:sz="6" w:space="0" w:color="auto"/>
              <w:right w:val="single" w:sz="6" w:space="0" w:color="auto"/>
            </w:tcBorders>
            <w:shd w:val="clear" w:color="auto" w:fill="F2F2F2"/>
            <w:vAlign w:val="center"/>
            <w:hideMark/>
          </w:tcPr>
          <w:p w14:paraId="527D027F" w14:textId="77777777" w:rsidR="001B63F6" w:rsidRPr="001B63F6" w:rsidRDefault="001B63F6" w:rsidP="008C5EBD">
            <w:pPr>
              <w:ind w:left="162"/>
              <w:jc w:val="left"/>
              <w:textAlignment w:val="baseline"/>
              <w:rPr>
                <w:rFonts w:ascii="Times New Roman" w:hAnsi="Times New Roman"/>
              </w:rPr>
            </w:pPr>
            <w:r w:rsidRPr="008C5EBD">
              <w:rPr>
                <w:rFonts w:cs="Arial"/>
                <w:b/>
                <w:bCs/>
                <w:sz w:val="22"/>
                <w:szCs w:val="22"/>
                <w:lang w:val="en-US"/>
              </w:rPr>
              <w:t>PREPARED BY</w:t>
            </w:r>
            <w:r w:rsidRPr="001B63F6">
              <w:rPr>
                <w:rFonts w:cs="Arial"/>
                <w:sz w:val="22"/>
                <w:szCs w:val="22"/>
              </w:rPr>
              <w:t> </w:t>
            </w:r>
          </w:p>
        </w:tc>
        <w:tc>
          <w:tcPr>
            <w:tcW w:w="4982"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20D5A259" w14:textId="77777777" w:rsidR="001B63F6" w:rsidRPr="001B63F6" w:rsidRDefault="008C5EBD" w:rsidP="001B63F6">
            <w:pPr>
              <w:jc w:val="left"/>
              <w:textAlignment w:val="baseline"/>
              <w:rPr>
                <w:rFonts w:ascii="Times New Roman" w:hAnsi="Times New Roman"/>
              </w:rPr>
            </w:pPr>
            <w:r>
              <w:t xml:space="preserve"> </w:t>
            </w:r>
            <w:r w:rsidR="00BF269C">
              <w:t xml:space="preserve">Mark Ash, </w:t>
            </w:r>
            <w:r w:rsidR="00CA015B">
              <w:t xml:space="preserve">nVCC </w:t>
            </w:r>
            <w:r w:rsidR="00BF269C">
              <w:t>Assistant Project Director</w:t>
            </w:r>
          </w:p>
        </w:tc>
      </w:tr>
      <w:tr w:rsidR="001B63F6" w:rsidRPr="001B63F6" w14:paraId="0021BE2B" w14:textId="77777777" w:rsidTr="000D7739">
        <w:trPr>
          <w:trHeight w:val="540"/>
        </w:trPr>
        <w:tc>
          <w:tcPr>
            <w:tcW w:w="3758" w:type="dxa"/>
            <w:tcBorders>
              <w:top w:val="single" w:sz="6" w:space="0" w:color="auto"/>
              <w:left w:val="single" w:sz="6" w:space="0" w:color="auto"/>
              <w:bottom w:val="single" w:sz="6" w:space="0" w:color="auto"/>
              <w:right w:val="single" w:sz="6" w:space="0" w:color="auto"/>
            </w:tcBorders>
            <w:shd w:val="clear" w:color="auto" w:fill="F2F2F2"/>
            <w:vAlign w:val="center"/>
            <w:hideMark/>
          </w:tcPr>
          <w:p w14:paraId="309ABEDF" w14:textId="77777777" w:rsidR="001B63F6" w:rsidRPr="001B63F6" w:rsidRDefault="001B63F6" w:rsidP="008C5EBD">
            <w:pPr>
              <w:ind w:left="162"/>
              <w:jc w:val="left"/>
              <w:textAlignment w:val="baseline"/>
              <w:rPr>
                <w:rFonts w:ascii="Times New Roman" w:hAnsi="Times New Roman"/>
              </w:rPr>
            </w:pPr>
            <w:r w:rsidRPr="008C5EBD">
              <w:rPr>
                <w:rFonts w:cs="Arial"/>
                <w:b/>
                <w:bCs/>
                <w:sz w:val="22"/>
                <w:szCs w:val="22"/>
                <w:lang w:val="en-US"/>
              </w:rPr>
              <w:t>PRESENTED BY</w:t>
            </w:r>
            <w:r w:rsidRPr="001B63F6">
              <w:rPr>
                <w:rFonts w:cs="Arial"/>
                <w:sz w:val="22"/>
                <w:szCs w:val="22"/>
              </w:rPr>
              <w:t> </w:t>
            </w:r>
          </w:p>
        </w:tc>
        <w:tc>
          <w:tcPr>
            <w:tcW w:w="4982"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3B9938B8" w14:textId="77777777" w:rsidR="001B63F6" w:rsidRPr="00CA015B" w:rsidRDefault="008C5EBD" w:rsidP="001B63F6">
            <w:pPr>
              <w:jc w:val="left"/>
              <w:textAlignment w:val="baseline"/>
              <w:rPr>
                <w:rFonts w:ascii="Times New Roman" w:hAnsi="Times New Roman"/>
              </w:rPr>
            </w:pPr>
            <w:r>
              <w:rPr>
                <w:rFonts w:cs="Arial"/>
                <w:sz w:val="22"/>
                <w:szCs w:val="22"/>
              </w:rPr>
              <w:t xml:space="preserve"> </w:t>
            </w:r>
            <w:r w:rsidR="00BF269C" w:rsidRPr="00CA015B">
              <w:rPr>
                <w:rFonts w:cs="Arial"/>
              </w:rPr>
              <w:t>David Powell</w:t>
            </w:r>
            <w:r w:rsidR="00CA015B" w:rsidRPr="00CA015B">
              <w:rPr>
                <w:rFonts w:cs="Arial"/>
              </w:rPr>
              <w:t>,</w:t>
            </w:r>
            <w:r w:rsidR="00BF269C" w:rsidRPr="00CA015B">
              <w:rPr>
                <w:rFonts w:cs="Arial"/>
              </w:rPr>
              <w:t xml:space="preserve"> nVCC Project Director</w:t>
            </w:r>
            <w:r w:rsidR="001B63F6" w:rsidRPr="00CA015B">
              <w:rPr>
                <w:rFonts w:cs="Arial"/>
              </w:rPr>
              <w:t> </w:t>
            </w:r>
          </w:p>
        </w:tc>
      </w:tr>
      <w:tr w:rsidR="001B63F6" w:rsidRPr="001B63F6" w14:paraId="69CC97C3" w14:textId="77777777" w:rsidTr="000D7739">
        <w:trPr>
          <w:trHeight w:val="615"/>
        </w:trPr>
        <w:tc>
          <w:tcPr>
            <w:tcW w:w="3758" w:type="dxa"/>
            <w:tcBorders>
              <w:top w:val="single" w:sz="6" w:space="0" w:color="auto"/>
              <w:left w:val="single" w:sz="6" w:space="0" w:color="auto"/>
              <w:bottom w:val="single" w:sz="6" w:space="0" w:color="auto"/>
              <w:right w:val="single" w:sz="6" w:space="0" w:color="auto"/>
            </w:tcBorders>
            <w:shd w:val="clear" w:color="auto" w:fill="F2F2F2"/>
            <w:vAlign w:val="center"/>
            <w:hideMark/>
          </w:tcPr>
          <w:p w14:paraId="29892A80" w14:textId="77777777" w:rsidR="001B63F6" w:rsidRPr="001B63F6" w:rsidRDefault="001B63F6" w:rsidP="008C5EBD">
            <w:pPr>
              <w:ind w:left="162"/>
              <w:jc w:val="left"/>
              <w:textAlignment w:val="baseline"/>
              <w:rPr>
                <w:rFonts w:ascii="Times New Roman" w:hAnsi="Times New Roman"/>
              </w:rPr>
            </w:pPr>
            <w:r w:rsidRPr="008C5EBD">
              <w:rPr>
                <w:rFonts w:cs="Arial"/>
                <w:b/>
                <w:bCs/>
                <w:sz w:val="22"/>
                <w:szCs w:val="22"/>
                <w:lang w:val="en-US"/>
              </w:rPr>
              <w:t>EXECUTIVE SPONSOR APPROVED</w:t>
            </w:r>
            <w:r w:rsidRPr="001B63F6">
              <w:rPr>
                <w:rFonts w:cs="Arial"/>
                <w:sz w:val="22"/>
                <w:szCs w:val="22"/>
              </w:rPr>
              <w:t> </w:t>
            </w:r>
          </w:p>
        </w:tc>
        <w:tc>
          <w:tcPr>
            <w:tcW w:w="4982"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0E3030CB" w14:textId="77777777" w:rsidR="001B63F6" w:rsidRPr="001B63F6" w:rsidRDefault="00296A7F" w:rsidP="00296A7F">
            <w:pPr>
              <w:ind w:left="83"/>
              <w:jc w:val="left"/>
              <w:textAlignment w:val="baseline"/>
              <w:rPr>
                <w:rFonts w:ascii="Times New Roman" w:hAnsi="Times New Roman"/>
              </w:rPr>
            </w:pPr>
            <w:r w:rsidRPr="00705612">
              <w:rPr>
                <w:rFonts w:cs="Arial"/>
              </w:rPr>
              <w:t>Steve Ham, Chief Executive Officer</w:t>
            </w:r>
          </w:p>
        </w:tc>
      </w:tr>
    </w:tbl>
    <w:p w14:paraId="68E700A2" w14:textId="77777777" w:rsidR="001B63F6" w:rsidRPr="001B63F6" w:rsidRDefault="001B63F6" w:rsidP="001B63F6">
      <w:pPr>
        <w:jc w:val="left"/>
        <w:textAlignment w:val="baseline"/>
        <w:rPr>
          <w:rFonts w:ascii="Segoe UI" w:hAnsi="Segoe UI" w:cs="Segoe UI"/>
          <w:sz w:val="18"/>
          <w:szCs w:val="18"/>
        </w:rPr>
      </w:pPr>
      <w:r w:rsidRPr="001B63F6">
        <w:rPr>
          <w:rFonts w:cs="Arial"/>
          <w:sz w:val="22"/>
          <w:szCs w:val="22"/>
        </w:rPr>
        <w:t> </w:t>
      </w:r>
    </w:p>
    <w:tbl>
      <w:tblPr>
        <w:tblW w:w="8740" w:type="dxa"/>
        <w:tblInd w:w="134"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777"/>
        <w:gridCol w:w="4963"/>
      </w:tblGrid>
      <w:tr w:rsidR="001B63F6" w:rsidRPr="001B63F6" w14:paraId="1D35134D" w14:textId="77777777" w:rsidTr="000D7739">
        <w:trPr>
          <w:trHeight w:val="660"/>
        </w:trPr>
        <w:tc>
          <w:tcPr>
            <w:tcW w:w="3777" w:type="dxa"/>
            <w:tcBorders>
              <w:top w:val="single" w:sz="6" w:space="0" w:color="auto"/>
              <w:left w:val="single" w:sz="6" w:space="0" w:color="auto"/>
              <w:bottom w:val="single" w:sz="6" w:space="0" w:color="auto"/>
              <w:right w:val="single" w:sz="6" w:space="0" w:color="auto"/>
            </w:tcBorders>
            <w:shd w:val="clear" w:color="auto" w:fill="F2F2F2"/>
            <w:vAlign w:val="center"/>
            <w:hideMark/>
          </w:tcPr>
          <w:p w14:paraId="01103D2B" w14:textId="77777777" w:rsidR="001B63F6" w:rsidRPr="001B63F6" w:rsidRDefault="001B63F6" w:rsidP="008C5EBD">
            <w:pPr>
              <w:ind w:left="162"/>
              <w:jc w:val="left"/>
              <w:textAlignment w:val="baseline"/>
              <w:rPr>
                <w:rFonts w:ascii="Times New Roman" w:hAnsi="Times New Roman"/>
              </w:rPr>
            </w:pPr>
            <w:r w:rsidRPr="008C5EBD">
              <w:rPr>
                <w:rFonts w:cs="Arial"/>
                <w:b/>
                <w:bCs/>
                <w:sz w:val="22"/>
                <w:szCs w:val="22"/>
                <w:lang w:val="en-US"/>
              </w:rPr>
              <w:t>REPORT PURPOSE</w:t>
            </w:r>
            <w:r w:rsidRPr="001B63F6">
              <w:rPr>
                <w:rFonts w:cs="Arial"/>
                <w:sz w:val="22"/>
                <w:szCs w:val="22"/>
              </w:rPr>
              <w:t> </w:t>
            </w:r>
          </w:p>
        </w:tc>
        <w:tc>
          <w:tcPr>
            <w:tcW w:w="4963"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670746D4" w14:textId="77777777" w:rsidR="001B63F6" w:rsidRPr="001B63F6" w:rsidRDefault="008C5EBD" w:rsidP="001B63F6">
            <w:pPr>
              <w:jc w:val="left"/>
              <w:textAlignment w:val="baseline"/>
              <w:rPr>
                <w:rFonts w:ascii="Times New Roman" w:hAnsi="Times New Roman"/>
              </w:rPr>
            </w:pPr>
            <w:r>
              <w:t xml:space="preserve"> </w:t>
            </w:r>
            <w:r w:rsidR="004D5E9F">
              <w:t>Approve</w:t>
            </w:r>
          </w:p>
        </w:tc>
      </w:tr>
    </w:tbl>
    <w:p w14:paraId="18323F93" w14:textId="77777777" w:rsidR="001B63F6" w:rsidRPr="001B63F6" w:rsidRDefault="001B63F6" w:rsidP="001B63F6">
      <w:pPr>
        <w:jc w:val="left"/>
        <w:textAlignment w:val="baseline"/>
        <w:rPr>
          <w:rFonts w:ascii="Segoe UI" w:hAnsi="Segoe UI" w:cs="Segoe UI"/>
          <w:sz w:val="18"/>
          <w:szCs w:val="18"/>
        </w:rPr>
      </w:pPr>
      <w:r w:rsidRPr="001B63F6">
        <w:rPr>
          <w:rFonts w:cs="Arial"/>
          <w:sz w:val="22"/>
          <w:szCs w:val="22"/>
        </w:rPr>
        <w:t> </w:t>
      </w:r>
    </w:p>
    <w:tbl>
      <w:tblPr>
        <w:tblW w:w="8740" w:type="dxa"/>
        <w:tblInd w:w="134"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684"/>
        <w:gridCol w:w="1373"/>
        <w:gridCol w:w="3683"/>
      </w:tblGrid>
      <w:tr w:rsidR="001B63F6" w:rsidRPr="001B63F6" w14:paraId="3A7ACE96" w14:textId="77777777" w:rsidTr="2C748C7E">
        <w:trPr>
          <w:trHeight w:val="765"/>
        </w:trPr>
        <w:tc>
          <w:tcPr>
            <w:tcW w:w="8740" w:type="dxa"/>
            <w:gridSpan w:val="3"/>
            <w:tcBorders>
              <w:top w:val="single" w:sz="6" w:space="0" w:color="auto"/>
              <w:left w:val="single" w:sz="6" w:space="0" w:color="auto"/>
              <w:bottom w:val="single" w:sz="6" w:space="0" w:color="auto"/>
              <w:right w:val="single" w:sz="6" w:space="0" w:color="auto"/>
            </w:tcBorders>
            <w:shd w:val="clear" w:color="auto" w:fill="F2F2F2" w:themeFill="background1" w:themeFillShade="F2"/>
            <w:vAlign w:val="center"/>
            <w:hideMark/>
          </w:tcPr>
          <w:p w14:paraId="5ABDB2A2" w14:textId="77777777" w:rsidR="001B63F6" w:rsidRPr="001B63F6" w:rsidRDefault="001B63F6" w:rsidP="008C5EBD">
            <w:pPr>
              <w:ind w:left="162"/>
              <w:jc w:val="left"/>
              <w:textAlignment w:val="baseline"/>
              <w:divId w:val="1421098586"/>
              <w:rPr>
                <w:rFonts w:ascii="Times New Roman" w:hAnsi="Times New Roman"/>
              </w:rPr>
            </w:pPr>
            <w:r w:rsidRPr="008C5EBD">
              <w:rPr>
                <w:rFonts w:cs="Arial"/>
                <w:b/>
                <w:bCs/>
                <w:sz w:val="22"/>
                <w:szCs w:val="22"/>
                <w:lang w:val="en-US"/>
              </w:rPr>
              <w:t xml:space="preserve">COMMITTEE/GROUP WHO HAVE RECEIVED OR CONSIDERED THIS </w:t>
            </w:r>
            <w:r w:rsidR="008C5EBD" w:rsidRPr="008C5EBD">
              <w:rPr>
                <w:rFonts w:cs="Arial"/>
                <w:b/>
                <w:bCs/>
                <w:sz w:val="22"/>
                <w:szCs w:val="22"/>
                <w:lang w:val="en-US"/>
              </w:rPr>
              <w:t>PAPER PRIOR</w:t>
            </w:r>
            <w:r w:rsidRPr="008C5EBD">
              <w:rPr>
                <w:rFonts w:cs="Arial"/>
                <w:b/>
                <w:bCs/>
                <w:sz w:val="22"/>
                <w:szCs w:val="22"/>
                <w:lang w:val="en-US"/>
              </w:rPr>
              <w:t xml:space="preserve"> TO THIS MEETING</w:t>
            </w:r>
            <w:r w:rsidRPr="001B63F6">
              <w:rPr>
                <w:rFonts w:cs="Arial"/>
                <w:sz w:val="22"/>
                <w:szCs w:val="22"/>
              </w:rPr>
              <w:t> </w:t>
            </w:r>
          </w:p>
        </w:tc>
      </w:tr>
      <w:tr w:rsidR="001B63F6" w:rsidRPr="001B63F6" w14:paraId="656CBF63" w14:textId="77777777" w:rsidTr="2C748C7E">
        <w:trPr>
          <w:trHeight w:val="555"/>
        </w:trPr>
        <w:tc>
          <w:tcPr>
            <w:tcW w:w="3684" w:type="dxa"/>
            <w:tcBorders>
              <w:top w:val="single" w:sz="6" w:space="0" w:color="auto"/>
              <w:left w:val="single" w:sz="6" w:space="0" w:color="auto"/>
              <w:bottom w:val="single" w:sz="6" w:space="0" w:color="auto"/>
              <w:right w:val="single" w:sz="6" w:space="0" w:color="auto"/>
            </w:tcBorders>
            <w:shd w:val="clear" w:color="auto" w:fill="F2F2F2" w:themeFill="background1" w:themeFillShade="F2"/>
            <w:vAlign w:val="center"/>
            <w:hideMark/>
          </w:tcPr>
          <w:p w14:paraId="14543340" w14:textId="77777777" w:rsidR="001B63F6" w:rsidRPr="001B63F6" w:rsidRDefault="001B63F6" w:rsidP="00DB40A7">
            <w:pPr>
              <w:ind w:left="162"/>
              <w:jc w:val="center"/>
              <w:textAlignment w:val="baseline"/>
              <w:rPr>
                <w:rFonts w:ascii="Times New Roman" w:hAnsi="Times New Roman"/>
              </w:rPr>
            </w:pPr>
            <w:r w:rsidRPr="008C5EBD">
              <w:rPr>
                <w:rFonts w:cs="Arial"/>
                <w:b/>
                <w:bCs/>
                <w:sz w:val="22"/>
                <w:szCs w:val="22"/>
                <w:lang w:val="en-US"/>
              </w:rPr>
              <w:t>COMMITTEE OR GROUP</w:t>
            </w:r>
          </w:p>
        </w:tc>
        <w:tc>
          <w:tcPr>
            <w:tcW w:w="1373" w:type="dxa"/>
            <w:tcBorders>
              <w:top w:val="single" w:sz="6" w:space="0" w:color="auto"/>
              <w:left w:val="single" w:sz="6" w:space="0" w:color="auto"/>
              <w:bottom w:val="single" w:sz="6" w:space="0" w:color="auto"/>
              <w:right w:val="single" w:sz="6" w:space="0" w:color="auto"/>
            </w:tcBorders>
            <w:shd w:val="clear" w:color="auto" w:fill="F2F2F2" w:themeFill="background1" w:themeFillShade="F2"/>
            <w:vAlign w:val="center"/>
            <w:hideMark/>
          </w:tcPr>
          <w:p w14:paraId="7D3EE128" w14:textId="77777777" w:rsidR="001B63F6" w:rsidRPr="001B63F6" w:rsidRDefault="001B63F6" w:rsidP="008C5EBD">
            <w:pPr>
              <w:jc w:val="center"/>
              <w:textAlignment w:val="baseline"/>
              <w:rPr>
                <w:rFonts w:ascii="Times New Roman" w:hAnsi="Times New Roman"/>
              </w:rPr>
            </w:pPr>
            <w:r w:rsidRPr="001B63F6">
              <w:rPr>
                <w:rFonts w:cs="Arial"/>
                <w:b/>
                <w:bCs/>
                <w:sz w:val="22"/>
                <w:szCs w:val="22"/>
              </w:rPr>
              <w:t>DATE</w:t>
            </w:r>
          </w:p>
        </w:tc>
        <w:tc>
          <w:tcPr>
            <w:tcW w:w="3683" w:type="dxa"/>
            <w:tcBorders>
              <w:top w:val="single" w:sz="6" w:space="0" w:color="auto"/>
              <w:left w:val="single" w:sz="6" w:space="0" w:color="auto"/>
              <w:bottom w:val="single" w:sz="6" w:space="0" w:color="auto"/>
              <w:right w:val="single" w:sz="6" w:space="0" w:color="auto"/>
            </w:tcBorders>
            <w:shd w:val="clear" w:color="auto" w:fill="F2F2F2" w:themeFill="background1" w:themeFillShade="F2"/>
            <w:vAlign w:val="center"/>
            <w:hideMark/>
          </w:tcPr>
          <w:p w14:paraId="7050C399" w14:textId="77777777" w:rsidR="001B63F6" w:rsidRPr="001B63F6" w:rsidRDefault="001B63F6" w:rsidP="00DB40A7">
            <w:pPr>
              <w:jc w:val="center"/>
              <w:textAlignment w:val="baseline"/>
              <w:rPr>
                <w:rFonts w:ascii="Times New Roman" w:hAnsi="Times New Roman"/>
              </w:rPr>
            </w:pPr>
            <w:r w:rsidRPr="001B63F6">
              <w:rPr>
                <w:rFonts w:cs="Arial"/>
                <w:b/>
                <w:bCs/>
                <w:sz w:val="22"/>
                <w:szCs w:val="22"/>
              </w:rPr>
              <w:t>OUTCOME</w:t>
            </w:r>
          </w:p>
        </w:tc>
      </w:tr>
      <w:tr w:rsidR="001B63F6" w:rsidRPr="001B63F6" w14:paraId="2CFD936F" w14:textId="77777777" w:rsidTr="2C748C7E">
        <w:trPr>
          <w:trHeight w:val="600"/>
        </w:trPr>
        <w:tc>
          <w:tcPr>
            <w:tcW w:w="3684" w:type="dxa"/>
            <w:tcBorders>
              <w:top w:val="single" w:sz="6" w:space="0" w:color="auto"/>
              <w:left w:val="single" w:sz="6" w:space="0" w:color="auto"/>
              <w:bottom w:val="single" w:sz="6" w:space="0" w:color="auto"/>
              <w:right w:val="single" w:sz="6" w:space="0" w:color="auto"/>
            </w:tcBorders>
            <w:shd w:val="clear" w:color="auto" w:fill="auto"/>
            <w:vAlign w:val="center"/>
          </w:tcPr>
          <w:p w14:paraId="17F72E15" w14:textId="77777777" w:rsidR="001B63F6" w:rsidRPr="00360021" w:rsidRDefault="661D223F" w:rsidP="00DB40A7">
            <w:pPr>
              <w:jc w:val="center"/>
              <w:textAlignment w:val="baseline"/>
              <w:rPr>
                <w:rFonts w:cs="Arial"/>
              </w:rPr>
            </w:pPr>
            <w:r w:rsidRPr="2C748C7E">
              <w:rPr>
                <w:rFonts w:cs="Arial"/>
              </w:rPr>
              <w:t>TCS Programme Delivery Board</w:t>
            </w:r>
          </w:p>
        </w:tc>
        <w:tc>
          <w:tcPr>
            <w:tcW w:w="1373" w:type="dxa"/>
            <w:tcBorders>
              <w:top w:val="single" w:sz="6" w:space="0" w:color="auto"/>
              <w:left w:val="single" w:sz="6" w:space="0" w:color="auto"/>
              <w:bottom w:val="single" w:sz="6" w:space="0" w:color="auto"/>
              <w:right w:val="single" w:sz="6" w:space="0" w:color="auto"/>
            </w:tcBorders>
            <w:shd w:val="clear" w:color="auto" w:fill="auto"/>
            <w:vAlign w:val="center"/>
          </w:tcPr>
          <w:p w14:paraId="00AF8B70" w14:textId="77777777" w:rsidR="001B63F6" w:rsidRPr="00360021" w:rsidRDefault="661D223F" w:rsidP="00DB40A7">
            <w:pPr>
              <w:jc w:val="center"/>
              <w:textAlignment w:val="baseline"/>
              <w:rPr>
                <w:rFonts w:cs="Arial"/>
              </w:rPr>
            </w:pPr>
            <w:r w:rsidRPr="2C748C7E">
              <w:rPr>
                <w:rFonts w:cs="Arial"/>
              </w:rPr>
              <w:t>25/01/2023</w:t>
            </w:r>
          </w:p>
        </w:tc>
        <w:tc>
          <w:tcPr>
            <w:tcW w:w="3683" w:type="dxa"/>
            <w:tcBorders>
              <w:top w:val="single" w:sz="6" w:space="0" w:color="auto"/>
              <w:left w:val="single" w:sz="6" w:space="0" w:color="auto"/>
              <w:bottom w:val="single" w:sz="6" w:space="0" w:color="auto"/>
              <w:right w:val="single" w:sz="6" w:space="0" w:color="auto"/>
            </w:tcBorders>
            <w:shd w:val="clear" w:color="auto" w:fill="auto"/>
            <w:vAlign w:val="center"/>
          </w:tcPr>
          <w:p w14:paraId="6984F6D1" w14:textId="77777777" w:rsidR="001B63F6" w:rsidRPr="00360021" w:rsidRDefault="661D223F" w:rsidP="00DB40A7">
            <w:pPr>
              <w:jc w:val="center"/>
              <w:textAlignment w:val="baseline"/>
              <w:rPr>
                <w:rFonts w:cs="Arial"/>
              </w:rPr>
            </w:pPr>
            <w:r w:rsidRPr="2C748C7E">
              <w:rPr>
                <w:rFonts w:cs="Arial"/>
              </w:rPr>
              <w:t>Endorsed</w:t>
            </w:r>
          </w:p>
        </w:tc>
      </w:tr>
      <w:tr w:rsidR="006D0013" w:rsidRPr="001B63F6" w14:paraId="27E81957" w14:textId="77777777" w:rsidTr="2C748C7E">
        <w:trPr>
          <w:trHeight w:val="600"/>
        </w:trPr>
        <w:tc>
          <w:tcPr>
            <w:tcW w:w="3684" w:type="dxa"/>
            <w:tcBorders>
              <w:top w:val="single" w:sz="6" w:space="0" w:color="auto"/>
              <w:left w:val="single" w:sz="6" w:space="0" w:color="auto"/>
              <w:bottom w:val="single" w:sz="6" w:space="0" w:color="auto"/>
              <w:right w:val="single" w:sz="6" w:space="0" w:color="auto"/>
            </w:tcBorders>
            <w:shd w:val="clear" w:color="auto" w:fill="auto"/>
            <w:vAlign w:val="center"/>
          </w:tcPr>
          <w:p w14:paraId="170DD0A9" w14:textId="77777777" w:rsidR="006D0013" w:rsidRPr="2C748C7E" w:rsidRDefault="006D0013" w:rsidP="006D0013">
            <w:pPr>
              <w:ind w:left="144"/>
              <w:jc w:val="left"/>
              <w:textAlignment w:val="baseline"/>
              <w:rPr>
                <w:rFonts w:cs="Arial"/>
              </w:rPr>
            </w:pPr>
            <w:r>
              <w:rPr>
                <w:rFonts w:cs="Arial"/>
              </w:rPr>
              <w:t>TSC Programme Scrutiny Sub-Committee</w:t>
            </w:r>
          </w:p>
        </w:tc>
        <w:tc>
          <w:tcPr>
            <w:tcW w:w="1373" w:type="dxa"/>
            <w:tcBorders>
              <w:top w:val="single" w:sz="6" w:space="0" w:color="auto"/>
              <w:left w:val="single" w:sz="6" w:space="0" w:color="auto"/>
              <w:bottom w:val="single" w:sz="6" w:space="0" w:color="auto"/>
              <w:right w:val="single" w:sz="6" w:space="0" w:color="auto"/>
            </w:tcBorders>
            <w:shd w:val="clear" w:color="auto" w:fill="auto"/>
            <w:vAlign w:val="center"/>
          </w:tcPr>
          <w:p w14:paraId="080A93E0" w14:textId="77777777" w:rsidR="006D0013" w:rsidRPr="2C748C7E" w:rsidRDefault="006D0013" w:rsidP="00DB40A7">
            <w:pPr>
              <w:jc w:val="center"/>
              <w:textAlignment w:val="baseline"/>
              <w:rPr>
                <w:rFonts w:cs="Arial"/>
              </w:rPr>
            </w:pPr>
            <w:r>
              <w:rPr>
                <w:rFonts w:cs="Arial"/>
              </w:rPr>
              <w:t>26</w:t>
            </w:r>
            <w:r w:rsidR="00436D41">
              <w:rPr>
                <w:rFonts w:cs="Arial"/>
              </w:rPr>
              <w:t>/01/2023</w:t>
            </w:r>
          </w:p>
        </w:tc>
        <w:tc>
          <w:tcPr>
            <w:tcW w:w="3683" w:type="dxa"/>
            <w:tcBorders>
              <w:top w:val="single" w:sz="6" w:space="0" w:color="auto"/>
              <w:left w:val="single" w:sz="6" w:space="0" w:color="auto"/>
              <w:bottom w:val="single" w:sz="6" w:space="0" w:color="auto"/>
              <w:right w:val="single" w:sz="6" w:space="0" w:color="auto"/>
            </w:tcBorders>
            <w:shd w:val="clear" w:color="auto" w:fill="auto"/>
            <w:vAlign w:val="center"/>
          </w:tcPr>
          <w:p w14:paraId="18D7BFDC" w14:textId="77777777" w:rsidR="006D0013" w:rsidRPr="2C748C7E" w:rsidRDefault="00436D41" w:rsidP="00DB40A7">
            <w:pPr>
              <w:jc w:val="center"/>
              <w:textAlignment w:val="baseline"/>
              <w:rPr>
                <w:rFonts w:cs="Arial"/>
              </w:rPr>
            </w:pPr>
            <w:r>
              <w:rPr>
                <w:rFonts w:cs="Arial"/>
              </w:rPr>
              <w:t>Endorsed</w:t>
            </w:r>
          </w:p>
        </w:tc>
      </w:tr>
      <w:tr w:rsidR="004D5E9F" w:rsidRPr="001B63F6" w14:paraId="6A0DEDD8" w14:textId="77777777" w:rsidTr="2C748C7E">
        <w:trPr>
          <w:trHeight w:val="600"/>
        </w:trPr>
        <w:tc>
          <w:tcPr>
            <w:tcW w:w="3684" w:type="dxa"/>
            <w:tcBorders>
              <w:top w:val="single" w:sz="6" w:space="0" w:color="auto"/>
              <w:left w:val="single" w:sz="6" w:space="0" w:color="auto"/>
              <w:bottom w:val="single" w:sz="6" w:space="0" w:color="auto"/>
              <w:right w:val="single" w:sz="6" w:space="0" w:color="auto"/>
            </w:tcBorders>
            <w:shd w:val="clear" w:color="auto" w:fill="auto"/>
            <w:vAlign w:val="center"/>
          </w:tcPr>
          <w:p w14:paraId="0E20DDD9" w14:textId="77777777" w:rsidR="004D5E9F" w:rsidRDefault="004D5E9F" w:rsidP="006D0013">
            <w:pPr>
              <w:ind w:left="144"/>
              <w:jc w:val="left"/>
              <w:textAlignment w:val="baseline"/>
              <w:rPr>
                <w:rFonts w:cs="Arial"/>
              </w:rPr>
            </w:pPr>
            <w:r>
              <w:rPr>
                <w:rFonts w:cs="Arial"/>
              </w:rPr>
              <w:t>Trust Board</w:t>
            </w:r>
          </w:p>
        </w:tc>
        <w:tc>
          <w:tcPr>
            <w:tcW w:w="1373" w:type="dxa"/>
            <w:tcBorders>
              <w:top w:val="single" w:sz="6" w:space="0" w:color="auto"/>
              <w:left w:val="single" w:sz="6" w:space="0" w:color="auto"/>
              <w:bottom w:val="single" w:sz="6" w:space="0" w:color="auto"/>
              <w:right w:val="single" w:sz="6" w:space="0" w:color="auto"/>
            </w:tcBorders>
            <w:shd w:val="clear" w:color="auto" w:fill="auto"/>
            <w:vAlign w:val="center"/>
          </w:tcPr>
          <w:p w14:paraId="1DEB8D00" w14:textId="77777777" w:rsidR="004D5E9F" w:rsidRDefault="004D5E9F" w:rsidP="00DB40A7">
            <w:pPr>
              <w:jc w:val="center"/>
              <w:textAlignment w:val="baseline"/>
              <w:rPr>
                <w:rFonts w:cs="Arial"/>
              </w:rPr>
            </w:pPr>
            <w:r>
              <w:rPr>
                <w:rFonts w:cs="Arial"/>
              </w:rPr>
              <w:t>31/01/2023</w:t>
            </w:r>
          </w:p>
        </w:tc>
        <w:tc>
          <w:tcPr>
            <w:tcW w:w="3683" w:type="dxa"/>
            <w:tcBorders>
              <w:top w:val="single" w:sz="6" w:space="0" w:color="auto"/>
              <w:left w:val="single" w:sz="6" w:space="0" w:color="auto"/>
              <w:bottom w:val="single" w:sz="6" w:space="0" w:color="auto"/>
              <w:right w:val="single" w:sz="6" w:space="0" w:color="auto"/>
            </w:tcBorders>
            <w:shd w:val="clear" w:color="auto" w:fill="auto"/>
            <w:vAlign w:val="center"/>
          </w:tcPr>
          <w:p w14:paraId="708CF132" w14:textId="77777777" w:rsidR="004D5E9F" w:rsidRDefault="004D5E9F" w:rsidP="00DB40A7">
            <w:pPr>
              <w:jc w:val="center"/>
              <w:textAlignment w:val="baseline"/>
              <w:rPr>
                <w:rFonts w:cs="Arial"/>
              </w:rPr>
            </w:pPr>
            <w:r>
              <w:rPr>
                <w:rFonts w:cs="Arial"/>
              </w:rPr>
              <w:t>Approved</w:t>
            </w:r>
          </w:p>
        </w:tc>
      </w:tr>
    </w:tbl>
    <w:p w14:paraId="336A59DA" w14:textId="77777777" w:rsidR="001B63F6" w:rsidRPr="001B63F6" w:rsidRDefault="001B63F6" w:rsidP="001B63F6">
      <w:pPr>
        <w:jc w:val="left"/>
        <w:textAlignment w:val="baseline"/>
        <w:rPr>
          <w:rFonts w:ascii="Segoe UI" w:hAnsi="Segoe UI" w:cs="Segoe UI"/>
          <w:sz w:val="18"/>
          <w:szCs w:val="18"/>
        </w:rPr>
      </w:pPr>
      <w:r w:rsidRPr="001B63F6">
        <w:rPr>
          <w:rFonts w:cs="Arial"/>
          <w:sz w:val="22"/>
          <w:szCs w:val="22"/>
        </w:rPr>
        <w:t> </w:t>
      </w:r>
    </w:p>
    <w:tbl>
      <w:tblPr>
        <w:tblW w:w="8740" w:type="dxa"/>
        <w:tblInd w:w="134"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460"/>
        <w:gridCol w:w="7280"/>
      </w:tblGrid>
      <w:tr w:rsidR="001B63F6" w:rsidRPr="001B63F6" w14:paraId="02A1DE71" w14:textId="77777777" w:rsidTr="000D7739">
        <w:trPr>
          <w:trHeight w:val="540"/>
        </w:trPr>
        <w:tc>
          <w:tcPr>
            <w:tcW w:w="8740" w:type="dxa"/>
            <w:gridSpan w:val="2"/>
            <w:tcBorders>
              <w:top w:val="single" w:sz="6" w:space="0" w:color="auto"/>
              <w:left w:val="single" w:sz="6" w:space="0" w:color="auto"/>
              <w:bottom w:val="single" w:sz="6" w:space="0" w:color="auto"/>
              <w:right w:val="single" w:sz="6" w:space="0" w:color="auto"/>
            </w:tcBorders>
            <w:shd w:val="clear" w:color="auto" w:fill="F2F2F2"/>
            <w:vAlign w:val="center"/>
            <w:hideMark/>
          </w:tcPr>
          <w:p w14:paraId="1205C6A2" w14:textId="77777777" w:rsidR="001B63F6" w:rsidRPr="00C80D9A" w:rsidRDefault="00C80D9A" w:rsidP="008C5EBD">
            <w:pPr>
              <w:ind w:left="162"/>
              <w:jc w:val="left"/>
              <w:textAlignment w:val="baseline"/>
              <w:divId w:val="1025056015"/>
              <w:rPr>
                <w:rFonts w:ascii="Times New Roman" w:hAnsi="Times New Roman"/>
                <w:b/>
                <w:bCs/>
              </w:rPr>
            </w:pPr>
            <w:bookmarkStart w:id="1" w:name="_Hlk125458900"/>
            <w:r w:rsidRPr="00C80D9A">
              <w:rPr>
                <w:b/>
                <w:bCs/>
              </w:rPr>
              <w:t>INITIALI</w:t>
            </w:r>
            <w:r>
              <w:rPr>
                <w:b/>
                <w:bCs/>
              </w:rPr>
              <w:t>S</w:t>
            </w:r>
            <w:r w:rsidRPr="00C80D9A">
              <w:rPr>
                <w:b/>
                <w:bCs/>
              </w:rPr>
              <w:t>MS</w:t>
            </w:r>
          </w:p>
        </w:tc>
      </w:tr>
      <w:tr w:rsidR="00956127" w:rsidRPr="001B63F6" w14:paraId="1ABB217B" w14:textId="77777777" w:rsidTr="000C1E64">
        <w:trPr>
          <w:trHeight w:val="340"/>
        </w:trPr>
        <w:tc>
          <w:tcPr>
            <w:tcW w:w="1460" w:type="dxa"/>
            <w:tcBorders>
              <w:top w:val="single" w:sz="6" w:space="0" w:color="auto"/>
              <w:left w:val="single" w:sz="6" w:space="0" w:color="auto"/>
              <w:bottom w:val="single" w:sz="6" w:space="0" w:color="auto"/>
              <w:right w:val="single" w:sz="6" w:space="0" w:color="auto"/>
            </w:tcBorders>
            <w:shd w:val="clear" w:color="auto" w:fill="FFFFFF"/>
            <w:vAlign w:val="center"/>
          </w:tcPr>
          <w:p w14:paraId="16DF4143" w14:textId="77777777" w:rsidR="00956127" w:rsidRPr="000C1E64" w:rsidRDefault="00956127" w:rsidP="00A513DF">
            <w:pPr>
              <w:jc w:val="center"/>
              <w:textAlignment w:val="baseline"/>
              <w:rPr>
                <w:rFonts w:cs="Arial"/>
                <w:sz w:val="20"/>
                <w:szCs w:val="20"/>
              </w:rPr>
            </w:pPr>
            <w:r w:rsidRPr="000C1E64">
              <w:rPr>
                <w:rFonts w:cs="Arial"/>
                <w:sz w:val="20"/>
                <w:szCs w:val="20"/>
              </w:rPr>
              <w:t>ASP</w:t>
            </w:r>
          </w:p>
        </w:tc>
        <w:tc>
          <w:tcPr>
            <w:tcW w:w="7280" w:type="dxa"/>
            <w:tcBorders>
              <w:top w:val="single" w:sz="6" w:space="0" w:color="auto"/>
              <w:left w:val="single" w:sz="6" w:space="0" w:color="auto"/>
              <w:bottom w:val="single" w:sz="6" w:space="0" w:color="auto"/>
              <w:right w:val="single" w:sz="6" w:space="0" w:color="auto"/>
            </w:tcBorders>
            <w:shd w:val="clear" w:color="auto" w:fill="auto"/>
            <w:vAlign w:val="center"/>
          </w:tcPr>
          <w:p w14:paraId="0DD76144" w14:textId="77777777" w:rsidR="00956127" w:rsidRPr="000C1E64" w:rsidRDefault="00956127" w:rsidP="00A513DF">
            <w:pPr>
              <w:jc w:val="left"/>
              <w:textAlignment w:val="baseline"/>
              <w:rPr>
                <w:rFonts w:cs="Arial"/>
                <w:sz w:val="20"/>
                <w:szCs w:val="20"/>
              </w:rPr>
            </w:pPr>
            <w:r w:rsidRPr="000C1E64">
              <w:rPr>
                <w:rFonts w:cs="Arial"/>
                <w:sz w:val="20"/>
                <w:szCs w:val="20"/>
              </w:rPr>
              <w:t xml:space="preserve">  Annual Service Payment</w:t>
            </w:r>
          </w:p>
        </w:tc>
      </w:tr>
      <w:tr w:rsidR="00956127" w:rsidRPr="001B63F6" w14:paraId="1BDC1250" w14:textId="77777777" w:rsidTr="000C1E64">
        <w:trPr>
          <w:trHeight w:val="340"/>
        </w:trPr>
        <w:tc>
          <w:tcPr>
            <w:tcW w:w="1460" w:type="dxa"/>
            <w:tcBorders>
              <w:top w:val="single" w:sz="6" w:space="0" w:color="auto"/>
              <w:left w:val="single" w:sz="6" w:space="0" w:color="auto"/>
              <w:bottom w:val="single" w:sz="6" w:space="0" w:color="auto"/>
              <w:right w:val="single" w:sz="6" w:space="0" w:color="auto"/>
            </w:tcBorders>
            <w:shd w:val="clear" w:color="auto" w:fill="FFFFFF"/>
            <w:vAlign w:val="center"/>
          </w:tcPr>
          <w:p w14:paraId="180032DE" w14:textId="77777777" w:rsidR="00956127" w:rsidRPr="000C1E64" w:rsidRDefault="00956127" w:rsidP="00A513DF">
            <w:pPr>
              <w:jc w:val="center"/>
              <w:textAlignment w:val="baseline"/>
              <w:rPr>
                <w:rFonts w:cs="Arial"/>
                <w:sz w:val="20"/>
                <w:szCs w:val="20"/>
              </w:rPr>
            </w:pPr>
            <w:r w:rsidRPr="000C1E64">
              <w:rPr>
                <w:rFonts w:cs="Arial"/>
                <w:sz w:val="20"/>
                <w:szCs w:val="20"/>
              </w:rPr>
              <w:t>CAP</w:t>
            </w:r>
          </w:p>
        </w:tc>
        <w:tc>
          <w:tcPr>
            <w:tcW w:w="7280" w:type="dxa"/>
            <w:tcBorders>
              <w:top w:val="single" w:sz="6" w:space="0" w:color="auto"/>
              <w:left w:val="single" w:sz="6" w:space="0" w:color="auto"/>
              <w:bottom w:val="single" w:sz="6" w:space="0" w:color="auto"/>
              <w:right w:val="single" w:sz="6" w:space="0" w:color="auto"/>
            </w:tcBorders>
            <w:shd w:val="clear" w:color="auto" w:fill="auto"/>
            <w:vAlign w:val="center"/>
          </w:tcPr>
          <w:p w14:paraId="5AAC378D" w14:textId="77777777" w:rsidR="00956127" w:rsidRPr="000C1E64" w:rsidRDefault="00956127" w:rsidP="00A513DF">
            <w:pPr>
              <w:jc w:val="left"/>
              <w:textAlignment w:val="baseline"/>
              <w:rPr>
                <w:rFonts w:cs="Arial"/>
                <w:sz w:val="20"/>
                <w:szCs w:val="20"/>
              </w:rPr>
            </w:pPr>
            <w:r w:rsidRPr="000C1E64">
              <w:rPr>
                <w:rFonts w:cs="Arial"/>
                <w:sz w:val="20"/>
                <w:szCs w:val="20"/>
              </w:rPr>
              <w:t xml:space="preserve">  Commercial Approval Point</w:t>
            </w:r>
          </w:p>
        </w:tc>
      </w:tr>
      <w:tr w:rsidR="001B63F6" w:rsidRPr="001B63F6" w14:paraId="2447A65C" w14:textId="77777777" w:rsidTr="000C1E64">
        <w:trPr>
          <w:trHeight w:val="340"/>
        </w:trPr>
        <w:tc>
          <w:tcPr>
            <w:tcW w:w="1460" w:type="dxa"/>
            <w:tcBorders>
              <w:top w:val="single" w:sz="6" w:space="0" w:color="auto"/>
              <w:left w:val="single" w:sz="6" w:space="0" w:color="auto"/>
              <w:bottom w:val="single" w:sz="6" w:space="0" w:color="auto"/>
              <w:right w:val="single" w:sz="6" w:space="0" w:color="auto"/>
            </w:tcBorders>
            <w:shd w:val="clear" w:color="auto" w:fill="FFFFFF"/>
            <w:vAlign w:val="center"/>
          </w:tcPr>
          <w:p w14:paraId="64B744BA" w14:textId="77777777" w:rsidR="004E183F" w:rsidRPr="000C1E64" w:rsidRDefault="00956127" w:rsidP="00956127">
            <w:pPr>
              <w:jc w:val="center"/>
              <w:textAlignment w:val="baseline"/>
              <w:rPr>
                <w:rFonts w:cs="Arial"/>
                <w:sz w:val="20"/>
                <w:szCs w:val="20"/>
              </w:rPr>
            </w:pPr>
            <w:r w:rsidRPr="000C1E64">
              <w:rPr>
                <w:rFonts w:cs="Arial"/>
                <w:sz w:val="20"/>
                <w:szCs w:val="20"/>
              </w:rPr>
              <w:t xml:space="preserve"> FBC </w:t>
            </w:r>
          </w:p>
        </w:tc>
        <w:tc>
          <w:tcPr>
            <w:tcW w:w="7280" w:type="dxa"/>
            <w:tcBorders>
              <w:top w:val="single" w:sz="6" w:space="0" w:color="auto"/>
              <w:left w:val="single" w:sz="6" w:space="0" w:color="auto"/>
              <w:bottom w:val="single" w:sz="6" w:space="0" w:color="auto"/>
              <w:right w:val="single" w:sz="6" w:space="0" w:color="auto"/>
            </w:tcBorders>
            <w:shd w:val="clear" w:color="auto" w:fill="auto"/>
            <w:vAlign w:val="center"/>
          </w:tcPr>
          <w:p w14:paraId="65D48037" w14:textId="77777777" w:rsidR="004E183F" w:rsidRPr="000C1E64" w:rsidRDefault="00956127" w:rsidP="00A513DF">
            <w:pPr>
              <w:jc w:val="left"/>
              <w:textAlignment w:val="baseline"/>
              <w:rPr>
                <w:rFonts w:cs="Arial"/>
                <w:sz w:val="20"/>
                <w:szCs w:val="20"/>
              </w:rPr>
            </w:pPr>
            <w:r w:rsidRPr="000C1E64">
              <w:rPr>
                <w:rFonts w:cs="Arial"/>
                <w:sz w:val="20"/>
                <w:szCs w:val="20"/>
              </w:rPr>
              <w:t xml:space="preserve">  Full Business Case</w:t>
            </w:r>
          </w:p>
        </w:tc>
      </w:tr>
      <w:tr w:rsidR="00296A7F" w:rsidRPr="001B63F6" w14:paraId="741A0A1C" w14:textId="77777777" w:rsidTr="000C1E64">
        <w:trPr>
          <w:trHeight w:val="340"/>
        </w:trPr>
        <w:tc>
          <w:tcPr>
            <w:tcW w:w="1460" w:type="dxa"/>
            <w:tcBorders>
              <w:top w:val="single" w:sz="6" w:space="0" w:color="auto"/>
              <w:left w:val="single" w:sz="6" w:space="0" w:color="auto"/>
              <w:bottom w:val="single" w:sz="6" w:space="0" w:color="auto"/>
              <w:right w:val="single" w:sz="6" w:space="0" w:color="auto"/>
            </w:tcBorders>
            <w:shd w:val="clear" w:color="auto" w:fill="FFFFFF"/>
            <w:vAlign w:val="center"/>
          </w:tcPr>
          <w:p w14:paraId="6BC5CBDF" w14:textId="77777777" w:rsidR="00296A7F" w:rsidRPr="000C1E64" w:rsidRDefault="00956127" w:rsidP="00A513DF">
            <w:pPr>
              <w:jc w:val="center"/>
              <w:textAlignment w:val="baseline"/>
              <w:rPr>
                <w:rFonts w:cs="Arial"/>
                <w:sz w:val="20"/>
                <w:szCs w:val="20"/>
              </w:rPr>
            </w:pPr>
            <w:r w:rsidRPr="000C1E64">
              <w:rPr>
                <w:rFonts w:cs="Arial"/>
                <w:sz w:val="20"/>
                <w:szCs w:val="20"/>
              </w:rPr>
              <w:t>FC</w:t>
            </w:r>
          </w:p>
        </w:tc>
        <w:tc>
          <w:tcPr>
            <w:tcW w:w="7280" w:type="dxa"/>
            <w:tcBorders>
              <w:top w:val="single" w:sz="6" w:space="0" w:color="auto"/>
              <w:left w:val="single" w:sz="6" w:space="0" w:color="auto"/>
              <w:bottom w:val="single" w:sz="6" w:space="0" w:color="auto"/>
              <w:right w:val="single" w:sz="6" w:space="0" w:color="auto"/>
            </w:tcBorders>
            <w:shd w:val="clear" w:color="auto" w:fill="auto"/>
            <w:vAlign w:val="center"/>
          </w:tcPr>
          <w:p w14:paraId="1E2B098C" w14:textId="77777777" w:rsidR="00296A7F" w:rsidRPr="000C1E64" w:rsidRDefault="00956127" w:rsidP="00A513DF">
            <w:pPr>
              <w:jc w:val="left"/>
              <w:textAlignment w:val="baseline"/>
              <w:rPr>
                <w:rFonts w:cs="Arial"/>
                <w:sz w:val="20"/>
                <w:szCs w:val="20"/>
              </w:rPr>
            </w:pPr>
            <w:r w:rsidRPr="000C1E64">
              <w:rPr>
                <w:rFonts w:cs="Arial"/>
                <w:sz w:val="20"/>
                <w:szCs w:val="20"/>
              </w:rPr>
              <w:t xml:space="preserve">  Financial Close</w:t>
            </w:r>
          </w:p>
        </w:tc>
      </w:tr>
      <w:tr w:rsidR="00956127" w:rsidRPr="001B63F6" w14:paraId="635129A9" w14:textId="77777777" w:rsidTr="000C1E64">
        <w:trPr>
          <w:trHeight w:val="340"/>
        </w:trPr>
        <w:tc>
          <w:tcPr>
            <w:tcW w:w="1460" w:type="dxa"/>
            <w:tcBorders>
              <w:top w:val="single" w:sz="6" w:space="0" w:color="auto"/>
              <w:left w:val="single" w:sz="6" w:space="0" w:color="auto"/>
              <w:bottom w:val="single" w:sz="6" w:space="0" w:color="auto"/>
              <w:right w:val="single" w:sz="6" w:space="0" w:color="auto"/>
            </w:tcBorders>
            <w:shd w:val="clear" w:color="auto" w:fill="FFFFFF"/>
            <w:vAlign w:val="center"/>
          </w:tcPr>
          <w:p w14:paraId="2602D49A" w14:textId="77777777" w:rsidR="00956127" w:rsidRPr="000C1E64" w:rsidRDefault="00956127" w:rsidP="00A513DF">
            <w:pPr>
              <w:jc w:val="center"/>
              <w:textAlignment w:val="baseline"/>
              <w:rPr>
                <w:rFonts w:cs="Arial"/>
                <w:sz w:val="20"/>
                <w:szCs w:val="20"/>
              </w:rPr>
            </w:pPr>
            <w:r w:rsidRPr="000C1E64">
              <w:rPr>
                <w:rFonts w:cs="Arial"/>
                <w:sz w:val="20"/>
                <w:szCs w:val="20"/>
              </w:rPr>
              <w:t>LHB</w:t>
            </w:r>
          </w:p>
        </w:tc>
        <w:tc>
          <w:tcPr>
            <w:tcW w:w="7280" w:type="dxa"/>
            <w:tcBorders>
              <w:top w:val="single" w:sz="6" w:space="0" w:color="auto"/>
              <w:left w:val="single" w:sz="6" w:space="0" w:color="auto"/>
              <w:bottom w:val="single" w:sz="6" w:space="0" w:color="auto"/>
              <w:right w:val="single" w:sz="6" w:space="0" w:color="auto"/>
            </w:tcBorders>
            <w:shd w:val="clear" w:color="auto" w:fill="auto"/>
            <w:vAlign w:val="center"/>
          </w:tcPr>
          <w:p w14:paraId="55A2D84F" w14:textId="77777777" w:rsidR="00956127" w:rsidRPr="000C1E64" w:rsidRDefault="00956127" w:rsidP="00A513DF">
            <w:pPr>
              <w:jc w:val="left"/>
              <w:textAlignment w:val="baseline"/>
              <w:rPr>
                <w:rFonts w:cs="Arial"/>
                <w:sz w:val="20"/>
                <w:szCs w:val="20"/>
              </w:rPr>
            </w:pPr>
            <w:r w:rsidRPr="000C1E64">
              <w:rPr>
                <w:rFonts w:cs="Arial"/>
                <w:sz w:val="20"/>
                <w:szCs w:val="20"/>
              </w:rPr>
              <w:t xml:space="preserve">  Local Health</w:t>
            </w:r>
            <w:r w:rsidR="00012801" w:rsidRPr="000C1E64">
              <w:rPr>
                <w:rFonts w:cs="Arial"/>
                <w:sz w:val="20"/>
                <w:szCs w:val="20"/>
              </w:rPr>
              <w:t xml:space="preserve"> B</w:t>
            </w:r>
            <w:r w:rsidRPr="000C1E64">
              <w:rPr>
                <w:rFonts w:cs="Arial"/>
                <w:sz w:val="20"/>
                <w:szCs w:val="20"/>
              </w:rPr>
              <w:t>oard</w:t>
            </w:r>
          </w:p>
        </w:tc>
      </w:tr>
      <w:tr w:rsidR="00956127" w:rsidRPr="001B63F6" w14:paraId="41A58956" w14:textId="77777777" w:rsidTr="000C1E64">
        <w:trPr>
          <w:trHeight w:val="340"/>
        </w:trPr>
        <w:tc>
          <w:tcPr>
            <w:tcW w:w="1460" w:type="dxa"/>
            <w:tcBorders>
              <w:top w:val="single" w:sz="6" w:space="0" w:color="auto"/>
              <w:left w:val="single" w:sz="6" w:space="0" w:color="auto"/>
              <w:bottom w:val="single" w:sz="6" w:space="0" w:color="auto"/>
              <w:right w:val="single" w:sz="6" w:space="0" w:color="auto"/>
            </w:tcBorders>
            <w:shd w:val="clear" w:color="auto" w:fill="FFFFFF"/>
            <w:vAlign w:val="center"/>
          </w:tcPr>
          <w:p w14:paraId="3BB825DE" w14:textId="77777777" w:rsidR="00956127" w:rsidRPr="000C1E64" w:rsidRDefault="00956127" w:rsidP="00A513DF">
            <w:pPr>
              <w:jc w:val="center"/>
              <w:textAlignment w:val="baseline"/>
              <w:rPr>
                <w:rFonts w:cs="Arial"/>
                <w:sz w:val="20"/>
                <w:szCs w:val="20"/>
              </w:rPr>
            </w:pPr>
            <w:r w:rsidRPr="000C1E64">
              <w:rPr>
                <w:rFonts w:cs="Arial"/>
                <w:sz w:val="20"/>
                <w:szCs w:val="20"/>
              </w:rPr>
              <w:t>MiM</w:t>
            </w:r>
          </w:p>
        </w:tc>
        <w:tc>
          <w:tcPr>
            <w:tcW w:w="7280" w:type="dxa"/>
            <w:tcBorders>
              <w:top w:val="single" w:sz="6" w:space="0" w:color="auto"/>
              <w:left w:val="single" w:sz="6" w:space="0" w:color="auto"/>
              <w:bottom w:val="single" w:sz="6" w:space="0" w:color="auto"/>
              <w:right w:val="single" w:sz="6" w:space="0" w:color="auto"/>
            </w:tcBorders>
            <w:shd w:val="clear" w:color="auto" w:fill="auto"/>
            <w:vAlign w:val="center"/>
          </w:tcPr>
          <w:p w14:paraId="22917796" w14:textId="77777777" w:rsidR="00956127" w:rsidRPr="000C1E64" w:rsidRDefault="00956127" w:rsidP="00A513DF">
            <w:pPr>
              <w:jc w:val="left"/>
              <w:textAlignment w:val="baseline"/>
              <w:rPr>
                <w:rFonts w:cs="Arial"/>
                <w:sz w:val="20"/>
                <w:szCs w:val="20"/>
              </w:rPr>
            </w:pPr>
            <w:r w:rsidRPr="000C1E64">
              <w:rPr>
                <w:rFonts w:cs="Arial"/>
                <w:sz w:val="20"/>
                <w:szCs w:val="20"/>
              </w:rPr>
              <w:t xml:space="preserve">  Mutual Investment Model</w:t>
            </w:r>
          </w:p>
        </w:tc>
      </w:tr>
    </w:tbl>
    <w:p w14:paraId="06928BE7" w14:textId="77777777" w:rsidR="004A6E44" w:rsidRDefault="004A6E44">
      <w:r>
        <w:br w:type="page"/>
      </w:r>
    </w:p>
    <w:tbl>
      <w:tblPr>
        <w:tblW w:w="8740" w:type="dxa"/>
        <w:tblInd w:w="134"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460"/>
        <w:gridCol w:w="7280"/>
      </w:tblGrid>
      <w:tr w:rsidR="00C80D9A" w:rsidRPr="001B63F6" w14:paraId="0D99600B" w14:textId="77777777" w:rsidTr="00C80D9A">
        <w:trPr>
          <w:trHeight w:val="540"/>
        </w:trPr>
        <w:tc>
          <w:tcPr>
            <w:tcW w:w="8740" w:type="dxa"/>
            <w:gridSpan w:val="2"/>
            <w:tcBorders>
              <w:top w:val="single" w:sz="6" w:space="0" w:color="auto"/>
              <w:left w:val="single" w:sz="6" w:space="0" w:color="auto"/>
              <w:bottom w:val="single" w:sz="6" w:space="0" w:color="auto"/>
              <w:right w:val="single" w:sz="6" w:space="0" w:color="auto"/>
            </w:tcBorders>
            <w:shd w:val="clear" w:color="auto" w:fill="F2F2F2" w:themeFill="background1" w:themeFillShade="F2"/>
            <w:vAlign w:val="center"/>
          </w:tcPr>
          <w:p w14:paraId="3F0DC05C" w14:textId="77777777" w:rsidR="00C80D9A" w:rsidRDefault="00C80D9A" w:rsidP="00A513DF">
            <w:pPr>
              <w:jc w:val="left"/>
              <w:textAlignment w:val="baseline"/>
              <w:rPr>
                <w:rFonts w:cs="Arial"/>
              </w:rPr>
            </w:pPr>
            <w:r>
              <w:rPr>
                <w:b/>
                <w:bCs/>
              </w:rPr>
              <w:lastRenderedPageBreak/>
              <w:t xml:space="preserve">   </w:t>
            </w:r>
            <w:r w:rsidRPr="00C80D9A">
              <w:rPr>
                <w:b/>
                <w:bCs/>
              </w:rPr>
              <w:t>INITIALI</w:t>
            </w:r>
            <w:r>
              <w:rPr>
                <w:b/>
                <w:bCs/>
              </w:rPr>
              <w:t>S</w:t>
            </w:r>
            <w:r w:rsidRPr="00C80D9A">
              <w:rPr>
                <w:b/>
                <w:bCs/>
              </w:rPr>
              <w:t>MS</w:t>
            </w:r>
          </w:p>
        </w:tc>
      </w:tr>
      <w:tr w:rsidR="00390980" w:rsidRPr="001B63F6" w14:paraId="56200B30" w14:textId="77777777" w:rsidTr="000C1E64">
        <w:trPr>
          <w:trHeight w:val="340"/>
        </w:trPr>
        <w:tc>
          <w:tcPr>
            <w:tcW w:w="1460" w:type="dxa"/>
            <w:tcBorders>
              <w:top w:val="single" w:sz="6" w:space="0" w:color="auto"/>
              <w:left w:val="single" w:sz="6" w:space="0" w:color="auto"/>
              <w:bottom w:val="single" w:sz="6" w:space="0" w:color="auto"/>
              <w:right w:val="single" w:sz="6" w:space="0" w:color="auto"/>
            </w:tcBorders>
            <w:shd w:val="clear" w:color="auto" w:fill="FFFFFF"/>
            <w:vAlign w:val="center"/>
          </w:tcPr>
          <w:p w14:paraId="50063892" w14:textId="77777777" w:rsidR="00390980" w:rsidRPr="000C1E64" w:rsidRDefault="00956127" w:rsidP="00A513DF">
            <w:pPr>
              <w:jc w:val="center"/>
              <w:textAlignment w:val="baseline"/>
              <w:rPr>
                <w:rFonts w:cs="Arial"/>
                <w:sz w:val="20"/>
                <w:szCs w:val="20"/>
              </w:rPr>
            </w:pPr>
            <w:r w:rsidRPr="000C1E64">
              <w:rPr>
                <w:rFonts w:cs="Arial"/>
                <w:sz w:val="20"/>
                <w:szCs w:val="20"/>
              </w:rPr>
              <w:t>nVCC</w:t>
            </w:r>
          </w:p>
        </w:tc>
        <w:tc>
          <w:tcPr>
            <w:tcW w:w="7280" w:type="dxa"/>
            <w:tcBorders>
              <w:top w:val="single" w:sz="6" w:space="0" w:color="auto"/>
              <w:left w:val="single" w:sz="6" w:space="0" w:color="auto"/>
              <w:bottom w:val="single" w:sz="6" w:space="0" w:color="auto"/>
              <w:right w:val="single" w:sz="6" w:space="0" w:color="auto"/>
            </w:tcBorders>
            <w:shd w:val="clear" w:color="auto" w:fill="auto"/>
            <w:vAlign w:val="center"/>
          </w:tcPr>
          <w:p w14:paraId="19B52A2F" w14:textId="77777777" w:rsidR="00390980" w:rsidRPr="000C1E64" w:rsidRDefault="00956127" w:rsidP="00A513DF">
            <w:pPr>
              <w:jc w:val="left"/>
              <w:textAlignment w:val="baseline"/>
              <w:rPr>
                <w:rFonts w:cs="Arial"/>
                <w:sz w:val="20"/>
                <w:szCs w:val="20"/>
              </w:rPr>
            </w:pPr>
            <w:r w:rsidRPr="000C1E64">
              <w:rPr>
                <w:rFonts w:cs="Arial"/>
                <w:sz w:val="20"/>
                <w:szCs w:val="20"/>
              </w:rPr>
              <w:t xml:space="preserve">  New Velindre Cancer Centre</w:t>
            </w:r>
          </w:p>
        </w:tc>
      </w:tr>
      <w:tr w:rsidR="00956127" w:rsidRPr="001B63F6" w14:paraId="69C6E325" w14:textId="77777777" w:rsidTr="000C1E64">
        <w:trPr>
          <w:trHeight w:val="340"/>
        </w:trPr>
        <w:tc>
          <w:tcPr>
            <w:tcW w:w="1460" w:type="dxa"/>
            <w:tcBorders>
              <w:top w:val="single" w:sz="6" w:space="0" w:color="auto"/>
              <w:left w:val="single" w:sz="6" w:space="0" w:color="auto"/>
              <w:bottom w:val="single" w:sz="6" w:space="0" w:color="auto"/>
              <w:right w:val="single" w:sz="6" w:space="0" w:color="auto"/>
            </w:tcBorders>
            <w:shd w:val="clear" w:color="auto" w:fill="FFFFFF"/>
            <w:vAlign w:val="center"/>
          </w:tcPr>
          <w:p w14:paraId="265A2088" w14:textId="77777777" w:rsidR="00956127" w:rsidRPr="000C1E64" w:rsidRDefault="00956127" w:rsidP="00A513DF">
            <w:pPr>
              <w:jc w:val="center"/>
              <w:textAlignment w:val="baseline"/>
              <w:rPr>
                <w:rFonts w:cs="Arial"/>
                <w:sz w:val="20"/>
                <w:szCs w:val="20"/>
              </w:rPr>
            </w:pPr>
            <w:r w:rsidRPr="000C1E64">
              <w:rPr>
                <w:rFonts w:cs="Arial"/>
                <w:sz w:val="20"/>
                <w:szCs w:val="20"/>
              </w:rPr>
              <w:t>OBC</w:t>
            </w:r>
          </w:p>
        </w:tc>
        <w:tc>
          <w:tcPr>
            <w:tcW w:w="7280" w:type="dxa"/>
            <w:tcBorders>
              <w:top w:val="single" w:sz="6" w:space="0" w:color="auto"/>
              <w:left w:val="single" w:sz="6" w:space="0" w:color="auto"/>
              <w:bottom w:val="single" w:sz="6" w:space="0" w:color="auto"/>
              <w:right w:val="single" w:sz="6" w:space="0" w:color="auto"/>
            </w:tcBorders>
            <w:shd w:val="clear" w:color="auto" w:fill="auto"/>
            <w:vAlign w:val="center"/>
          </w:tcPr>
          <w:p w14:paraId="6A9ED10E" w14:textId="77777777" w:rsidR="00956127" w:rsidRPr="000C1E64" w:rsidRDefault="00956127" w:rsidP="00A513DF">
            <w:pPr>
              <w:jc w:val="left"/>
              <w:textAlignment w:val="baseline"/>
              <w:rPr>
                <w:rFonts w:cs="Arial"/>
                <w:sz w:val="20"/>
                <w:szCs w:val="20"/>
              </w:rPr>
            </w:pPr>
            <w:r w:rsidRPr="000C1E64">
              <w:rPr>
                <w:rFonts w:cs="Arial"/>
                <w:sz w:val="20"/>
                <w:szCs w:val="20"/>
              </w:rPr>
              <w:t xml:space="preserve">  Outline Business Case</w:t>
            </w:r>
          </w:p>
        </w:tc>
      </w:tr>
      <w:tr w:rsidR="00390980" w:rsidRPr="001B63F6" w14:paraId="00293BF4" w14:textId="77777777" w:rsidTr="000C1E64">
        <w:trPr>
          <w:trHeight w:val="340"/>
        </w:trPr>
        <w:tc>
          <w:tcPr>
            <w:tcW w:w="1460" w:type="dxa"/>
            <w:tcBorders>
              <w:top w:val="single" w:sz="6" w:space="0" w:color="auto"/>
              <w:left w:val="single" w:sz="6" w:space="0" w:color="auto"/>
              <w:bottom w:val="single" w:sz="6" w:space="0" w:color="auto"/>
              <w:right w:val="single" w:sz="6" w:space="0" w:color="auto"/>
            </w:tcBorders>
            <w:shd w:val="clear" w:color="auto" w:fill="FFFFFF"/>
            <w:vAlign w:val="center"/>
          </w:tcPr>
          <w:p w14:paraId="0E04F336" w14:textId="77777777" w:rsidR="00390980" w:rsidRPr="000C1E64" w:rsidRDefault="00956127" w:rsidP="00A513DF">
            <w:pPr>
              <w:jc w:val="center"/>
              <w:textAlignment w:val="baseline"/>
              <w:rPr>
                <w:rFonts w:cs="Arial"/>
                <w:sz w:val="20"/>
                <w:szCs w:val="20"/>
              </w:rPr>
            </w:pPr>
            <w:r w:rsidRPr="000C1E64">
              <w:rPr>
                <w:rFonts w:cs="Arial"/>
                <w:sz w:val="20"/>
                <w:szCs w:val="20"/>
              </w:rPr>
              <w:t>PA</w:t>
            </w:r>
          </w:p>
        </w:tc>
        <w:tc>
          <w:tcPr>
            <w:tcW w:w="7280" w:type="dxa"/>
            <w:tcBorders>
              <w:top w:val="single" w:sz="6" w:space="0" w:color="auto"/>
              <w:left w:val="single" w:sz="6" w:space="0" w:color="auto"/>
              <w:bottom w:val="single" w:sz="6" w:space="0" w:color="auto"/>
              <w:right w:val="single" w:sz="6" w:space="0" w:color="auto"/>
            </w:tcBorders>
            <w:shd w:val="clear" w:color="auto" w:fill="auto"/>
            <w:vAlign w:val="center"/>
          </w:tcPr>
          <w:p w14:paraId="6EF32040" w14:textId="77777777" w:rsidR="00390980" w:rsidRPr="000C1E64" w:rsidRDefault="00956127" w:rsidP="00A513DF">
            <w:pPr>
              <w:jc w:val="left"/>
              <w:textAlignment w:val="baseline"/>
              <w:rPr>
                <w:rFonts w:cs="Arial"/>
                <w:sz w:val="20"/>
                <w:szCs w:val="20"/>
              </w:rPr>
            </w:pPr>
            <w:r w:rsidRPr="000C1E64">
              <w:rPr>
                <w:rFonts w:cs="Arial"/>
                <w:sz w:val="20"/>
                <w:szCs w:val="20"/>
              </w:rPr>
              <w:t xml:space="preserve">  Project Agreement</w:t>
            </w:r>
          </w:p>
        </w:tc>
      </w:tr>
      <w:tr w:rsidR="001D1C20" w:rsidRPr="001B63F6" w14:paraId="6313354F" w14:textId="77777777" w:rsidTr="000C1E64">
        <w:trPr>
          <w:trHeight w:val="340"/>
        </w:trPr>
        <w:tc>
          <w:tcPr>
            <w:tcW w:w="1460" w:type="dxa"/>
            <w:tcBorders>
              <w:top w:val="single" w:sz="6" w:space="0" w:color="auto"/>
              <w:left w:val="single" w:sz="6" w:space="0" w:color="auto"/>
              <w:bottom w:val="single" w:sz="6" w:space="0" w:color="auto"/>
              <w:right w:val="single" w:sz="6" w:space="0" w:color="auto"/>
            </w:tcBorders>
            <w:shd w:val="clear" w:color="auto" w:fill="FFFFFF"/>
            <w:vAlign w:val="center"/>
          </w:tcPr>
          <w:p w14:paraId="48EDA721" w14:textId="77777777" w:rsidR="001D1C20" w:rsidRPr="000C1E64" w:rsidRDefault="00956127" w:rsidP="00A513DF">
            <w:pPr>
              <w:jc w:val="center"/>
              <w:textAlignment w:val="baseline"/>
              <w:rPr>
                <w:rFonts w:cs="Arial"/>
                <w:sz w:val="20"/>
                <w:szCs w:val="20"/>
              </w:rPr>
            </w:pPr>
            <w:r w:rsidRPr="000C1E64">
              <w:rPr>
                <w:rFonts w:cs="Arial"/>
                <w:sz w:val="20"/>
                <w:szCs w:val="20"/>
              </w:rPr>
              <w:t>SP</w:t>
            </w:r>
          </w:p>
        </w:tc>
        <w:tc>
          <w:tcPr>
            <w:tcW w:w="7280" w:type="dxa"/>
            <w:tcBorders>
              <w:top w:val="single" w:sz="6" w:space="0" w:color="auto"/>
              <w:left w:val="single" w:sz="6" w:space="0" w:color="auto"/>
              <w:bottom w:val="single" w:sz="6" w:space="0" w:color="auto"/>
              <w:right w:val="single" w:sz="6" w:space="0" w:color="auto"/>
            </w:tcBorders>
            <w:shd w:val="clear" w:color="auto" w:fill="auto"/>
            <w:vAlign w:val="center"/>
          </w:tcPr>
          <w:p w14:paraId="60316C43" w14:textId="77777777" w:rsidR="001D1C20" w:rsidRPr="000C1E64" w:rsidRDefault="00956127" w:rsidP="00A513DF">
            <w:pPr>
              <w:jc w:val="left"/>
              <w:textAlignment w:val="baseline"/>
              <w:rPr>
                <w:rFonts w:cs="Arial"/>
                <w:sz w:val="20"/>
                <w:szCs w:val="20"/>
              </w:rPr>
            </w:pPr>
            <w:r w:rsidRPr="000C1E64">
              <w:rPr>
                <w:rFonts w:cs="Arial"/>
                <w:sz w:val="20"/>
                <w:szCs w:val="20"/>
              </w:rPr>
              <w:t xml:space="preserve">  Successful Participant</w:t>
            </w:r>
          </w:p>
        </w:tc>
      </w:tr>
      <w:tr w:rsidR="00956127" w:rsidRPr="001B63F6" w14:paraId="06AB25C2" w14:textId="77777777" w:rsidTr="000C1E64">
        <w:trPr>
          <w:trHeight w:val="340"/>
        </w:trPr>
        <w:tc>
          <w:tcPr>
            <w:tcW w:w="1460" w:type="dxa"/>
            <w:tcBorders>
              <w:top w:val="single" w:sz="6" w:space="0" w:color="auto"/>
              <w:left w:val="single" w:sz="6" w:space="0" w:color="auto"/>
              <w:bottom w:val="single" w:sz="6" w:space="0" w:color="auto"/>
              <w:right w:val="single" w:sz="6" w:space="0" w:color="auto"/>
            </w:tcBorders>
            <w:shd w:val="clear" w:color="auto" w:fill="FFFFFF"/>
            <w:vAlign w:val="center"/>
          </w:tcPr>
          <w:p w14:paraId="72F0F1E9" w14:textId="77777777" w:rsidR="00956127" w:rsidRPr="000C1E64" w:rsidRDefault="00956127" w:rsidP="00A513DF">
            <w:pPr>
              <w:jc w:val="center"/>
              <w:textAlignment w:val="baseline"/>
              <w:rPr>
                <w:rFonts w:cs="Arial"/>
                <w:sz w:val="20"/>
                <w:szCs w:val="20"/>
              </w:rPr>
            </w:pPr>
            <w:r w:rsidRPr="000C1E64">
              <w:rPr>
                <w:rFonts w:cs="Arial"/>
                <w:sz w:val="20"/>
                <w:szCs w:val="20"/>
              </w:rPr>
              <w:t>VAT</w:t>
            </w:r>
          </w:p>
        </w:tc>
        <w:tc>
          <w:tcPr>
            <w:tcW w:w="7280" w:type="dxa"/>
            <w:tcBorders>
              <w:top w:val="single" w:sz="6" w:space="0" w:color="auto"/>
              <w:left w:val="single" w:sz="6" w:space="0" w:color="auto"/>
              <w:bottom w:val="single" w:sz="6" w:space="0" w:color="auto"/>
              <w:right w:val="single" w:sz="6" w:space="0" w:color="auto"/>
            </w:tcBorders>
            <w:shd w:val="clear" w:color="auto" w:fill="auto"/>
            <w:vAlign w:val="center"/>
          </w:tcPr>
          <w:p w14:paraId="207D6C29" w14:textId="77777777" w:rsidR="00956127" w:rsidRPr="000C1E64" w:rsidRDefault="00956127" w:rsidP="00A513DF">
            <w:pPr>
              <w:jc w:val="left"/>
              <w:textAlignment w:val="baseline"/>
              <w:rPr>
                <w:rFonts w:cs="Arial"/>
                <w:sz w:val="20"/>
                <w:szCs w:val="20"/>
              </w:rPr>
            </w:pPr>
            <w:r w:rsidRPr="000C1E64">
              <w:rPr>
                <w:rFonts w:cs="Arial"/>
                <w:sz w:val="20"/>
                <w:szCs w:val="20"/>
              </w:rPr>
              <w:t xml:space="preserve">  Value Added Tax</w:t>
            </w:r>
          </w:p>
        </w:tc>
      </w:tr>
      <w:tr w:rsidR="00956127" w:rsidRPr="001B63F6" w14:paraId="5AE48892" w14:textId="77777777" w:rsidTr="000C1E64">
        <w:trPr>
          <w:trHeight w:val="340"/>
        </w:trPr>
        <w:tc>
          <w:tcPr>
            <w:tcW w:w="1460" w:type="dxa"/>
            <w:tcBorders>
              <w:top w:val="single" w:sz="6" w:space="0" w:color="auto"/>
              <w:left w:val="single" w:sz="6" w:space="0" w:color="auto"/>
              <w:bottom w:val="single" w:sz="6" w:space="0" w:color="auto"/>
              <w:right w:val="single" w:sz="6" w:space="0" w:color="auto"/>
            </w:tcBorders>
            <w:shd w:val="clear" w:color="auto" w:fill="FFFFFF"/>
            <w:vAlign w:val="center"/>
          </w:tcPr>
          <w:p w14:paraId="6ED4342D" w14:textId="77777777" w:rsidR="00956127" w:rsidRPr="000C1E64" w:rsidRDefault="00956127" w:rsidP="00A513DF">
            <w:pPr>
              <w:jc w:val="center"/>
              <w:textAlignment w:val="baseline"/>
              <w:rPr>
                <w:rFonts w:cs="Arial"/>
                <w:sz w:val="20"/>
                <w:szCs w:val="20"/>
              </w:rPr>
            </w:pPr>
            <w:r w:rsidRPr="000C1E64">
              <w:rPr>
                <w:rFonts w:cs="Arial"/>
                <w:sz w:val="20"/>
                <w:szCs w:val="20"/>
              </w:rPr>
              <w:t>WG</w:t>
            </w:r>
          </w:p>
        </w:tc>
        <w:tc>
          <w:tcPr>
            <w:tcW w:w="7280" w:type="dxa"/>
            <w:tcBorders>
              <w:top w:val="single" w:sz="6" w:space="0" w:color="auto"/>
              <w:left w:val="single" w:sz="6" w:space="0" w:color="auto"/>
              <w:bottom w:val="single" w:sz="6" w:space="0" w:color="auto"/>
              <w:right w:val="single" w:sz="6" w:space="0" w:color="auto"/>
            </w:tcBorders>
            <w:shd w:val="clear" w:color="auto" w:fill="auto"/>
            <w:vAlign w:val="center"/>
          </w:tcPr>
          <w:p w14:paraId="5DE2A519" w14:textId="77777777" w:rsidR="00956127" w:rsidRPr="000C1E64" w:rsidRDefault="00956127" w:rsidP="00A513DF">
            <w:pPr>
              <w:jc w:val="left"/>
              <w:textAlignment w:val="baseline"/>
              <w:rPr>
                <w:rFonts w:cs="Arial"/>
                <w:sz w:val="20"/>
                <w:szCs w:val="20"/>
              </w:rPr>
            </w:pPr>
            <w:r w:rsidRPr="000C1E64">
              <w:rPr>
                <w:rFonts w:cs="Arial"/>
                <w:sz w:val="20"/>
                <w:szCs w:val="20"/>
              </w:rPr>
              <w:t xml:space="preserve">  Welsh Government</w:t>
            </w:r>
          </w:p>
        </w:tc>
      </w:tr>
      <w:bookmarkEnd w:id="1"/>
    </w:tbl>
    <w:p w14:paraId="0C5836BD" w14:textId="77777777" w:rsidR="00BF269C" w:rsidRDefault="00BF269C" w:rsidP="00F10C9F">
      <w:pPr>
        <w:ind w:left="705"/>
        <w:jc w:val="left"/>
        <w:textAlignment w:val="baseline"/>
        <w:rPr>
          <w:rFonts w:cs="Arial"/>
          <w:sz w:val="22"/>
          <w:szCs w:val="22"/>
        </w:rPr>
      </w:pPr>
    </w:p>
    <w:p w14:paraId="2F38A124" w14:textId="77777777" w:rsidR="00E03E85" w:rsidRDefault="00E03E85" w:rsidP="00F10C9F">
      <w:pPr>
        <w:ind w:left="705"/>
        <w:jc w:val="left"/>
        <w:textAlignment w:val="baseline"/>
        <w:rPr>
          <w:rFonts w:cs="Arial"/>
          <w:sz w:val="22"/>
          <w:szCs w:val="22"/>
        </w:rPr>
      </w:pPr>
    </w:p>
    <w:p w14:paraId="2A8AA990" w14:textId="77777777" w:rsidR="001B63F6" w:rsidRPr="00E03E85" w:rsidRDefault="001B63F6" w:rsidP="00E03E85">
      <w:pPr>
        <w:numPr>
          <w:ilvl w:val="0"/>
          <w:numId w:val="2"/>
        </w:numPr>
        <w:tabs>
          <w:tab w:val="clear" w:pos="1440"/>
          <w:tab w:val="num" w:pos="851"/>
        </w:tabs>
        <w:ind w:hanging="1440"/>
        <w:textAlignment w:val="baseline"/>
        <w:rPr>
          <w:rFonts w:cs="Arial"/>
          <w:b/>
          <w:bCs/>
        </w:rPr>
      </w:pPr>
      <w:r w:rsidRPr="001B63F6">
        <w:rPr>
          <w:rFonts w:cs="Arial"/>
          <w:b/>
          <w:bCs/>
        </w:rPr>
        <w:t>INTRODUCTION</w:t>
      </w:r>
      <w:r w:rsidRPr="008C5EBD">
        <w:rPr>
          <w:rFonts w:cs="Arial"/>
          <w:b/>
          <w:bCs/>
        </w:rPr>
        <w:t> </w:t>
      </w:r>
    </w:p>
    <w:p w14:paraId="2497B7BB" w14:textId="77777777" w:rsidR="00BF269C" w:rsidRPr="00BF269C" w:rsidRDefault="004648F8" w:rsidP="00360021">
      <w:pPr>
        <w:pStyle w:val="ListParagraph"/>
        <w:numPr>
          <w:ilvl w:val="1"/>
          <w:numId w:val="3"/>
        </w:numPr>
        <w:ind w:left="851" w:hanging="851"/>
        <w:jc w:val="both"/>
        <w:textAlignment w:val="baseline"/>
        <w:rPr>
          <w:rFonts w:cs="Arial"/>
          <w:b w:val="0"/>
        </w:rPr>
      </w:pPr>
      <w:r w:rsidRPr="0095099D">
        <w:rPr>
          <w:rFonts w:cs="Arial"/>
          <w:b w:val="0"/>
          <w:bCs/>
        </w:rPr>
        <w:t>T</w:t>
      </w:r>
      <w:r w:rsidR="00FC1628" w:rsidRPr="0095099D">
        <w:rPr>
          <w:rFonts w:cs="Arial"/>
          <w:b w:val="0"/>
          <w:bCs/>
        </w:rPr>
        <w:t xml:space="preserve">he </w:t>
      </w:r>
      <w:r w:rsidR="00390980">
        <w:rPr>
          <w:rFonts w:cs="Arial"/>
          <w:b w:val="0"/>
          <w:bCs/>
        </w:rPr>
        <w:t>nVCC Project</w:t>
      </w:r>
      <w:r w:rsidR="00F253D5">
        <w:rPr>
          <w:rFonts w:cs="Arial"/>
          <w:b w:val="0"/>
          <w:bCs/>
        </w:rPr>
        <w:t>, supported by the Treasury of the Welsh Government under their MIM Policy,</w:t>
      </w:r>
      <w:r w:rsidR="00390980">
        <w:rPr>
          <w:rFonts w:cs="Arial"/>
          <w:b w:val="0"/>
          <w:bCs/>
        </w:rPr>
        <w:t xml:space="preserve"> continues to progress through the planning</w:t>
      </w:r>
      <w:r w:rsidR="005A6829">
        <w:rPr>
          <w:rFonts w:cs="Arial"/>
          <w:b w:val="0"/>
          <w:bCs/>
        </w:rPr>
        <w:t xml:space="preserve"> permission</w:t>
      </w:r>
      <w:r w:rsidR="00390980">
        <w:rPr>
          <w:rFonts w:cs="Arial"/>
          <w:b w:val="0"/>
          <w:bCs/>
        </w:rPr>
        <w:t xml:space="preserve"> and procurement phase. </w:t>
      </w:r>
      <w:r w:rsidR="00F253D5">
        <w:rPr>
          <w:rFonts w:cs="Arial"/>
          <w:b w:val="0"/>
          <w:bCs/>
        </w:rPr>
        <w:t>Following t</w:t>
      </w:r>
      <w:r w:rsidR="00390980">
        <w:rPr>
          <w:rFonts w:cs="Arial"/>
          <w:b w:val="0"/>
          <w:bCs/>
        </w:rPr>
        <w:t xml:space="preserve">he </w:t>
      </w:r>
      <w:r w:rsidR="00FC1628" w:rsidRPr="0095099D">
        <w:rPr>
          <w:rFonts w:cs="Arial"/>
          <w:b w:val="0"/>
          <w:bCs/>
        </w:rPr>
        <w:t>Trust Board approv</w:t>
      </w:r>
      <w:r w:rsidR="00F253D5">
        <w:rPr>
          <w:rFonts w:cs="Arial"/>
          <w:b w:val="0"/>
          <w:bCs/>
        </w:rPr>
        <w:t>al of</w:t>
      </w:r>
      <w:r w:rsidR="00FC1628" w:rsidRPr="0095099D">
        <w:rPr>
          <w:rFonts w:cs="Arial"/>
          <w:b w:val="0"/>
          <w:bCs/>
        </w:rPr>
        <w:t xml:space="preserve"> the outcome </w:t>
      </w:r>
      <w:r w:rsidR="00617DB7" w:rsidRPr="0095099D">
        <w:rPr>
          <w:rFonts w:cs="Arial"/>
          <w:b w:val="0"/>
          <w:bCs/>
        </w:rPr>
        <w:t>of the</w:t>
      </w:r>
      <w:r w:rsidR="00BF269C">
        <w:rPr>
          <w:rFonts w:cs="Arial"/>
          <w:b w:val="0"/>
          <w:bCs/>
        </w:rPr>
        <w:t xml:space="preserve"> nVCC competitive dialogue on the </w:t>
      </w:r>
      <w:r w:rsidR="005A6829">
        <w:rPr>
          <w:rFonts w:cs="Arial"/>
          <w:b w:val="0"/>
          <w:bCs/>
        </w:rPr>
        <w:t>28</w:t>
      </w:r>
      <w:r w:rsidR="005A6829" w:rsidRPr="005A6829">
        <w:rPr>
          <w:rFonts w:cs="Arial"/>
          <w:b w:val="0"/>
          <w:bCs/>
          <w:vertAlign w:val="superscript"/>
        </w:rPr>
        <w:t>th</w:t>
      </w:r>
      <w:r w:rsidR="00E50223">
        <w:rPr>
          <w:rFonts w:cs="Arial"/>
          <w:b w:val="0"/>
          <w:bCs/>
        </w:rPr>
        <w:t xml:space="preserve"> July 2022</w:t>
      </w:r>
      <w:r w:rsidR="00F253D5">
        <w:rPr>
          <w:rFonts w:cs="Arial"/>
          <w:b w:val="0"/>
          <w:bCs/>
        </w:rPr>
        <w:t>,</w:t>
      </w:r>
      <w:r w:rsidR="00390980">
        <w:rPr>
          <w:rFonts w:cs="Arial"/>
          <w:b w:val="0"/>
          <w:bCs/>
        </w:rPr>
        <w:t xml:space="preserve"> two </w:t>
      </w:r>
      <w:r w:rsidR="00101831" w:rsidRPr="0095099D">
        <w:rPr>
          <w:rFonts w:cs="Arial"/>
          <w:b w:val="0"/>
          <w:bCs/>
        </w:rPr>
        <w:t>bidders</w:t>
      </w:r>
      <w:r w:rsidRPr="0095099D">
        <w:rPr>
          <w:rFonts w:cs="Arial"/>
          <w:b w:val="0"/>
          <w:bCs/>
        </w:rPr>
        <w:t xml:space="preserve"> were notified of the </w:t>
      </w:r>
      <w:r w:rsidR="006F4418" w:rsidRPr="0095099D">
        <w:rPr>
          <w:rFonts w:cs="Arial"/>
          <w:b w:val="0"/>
          <w:bCs/>
        </w:rPr>
        <w:t>outcome</w:t>
      </w:r>
      <w:r w:rsidR="00390980">
        <w:rPr>
          <w:rFonts w:cs="Arial"/>
          <w:b w:val="0"/>
          <w:bCs/>
        </w:rPr>
        <w:t xml:space="preserve"> and no </w:t>
      </w:r>
      <w:r w:rsidR="008C5EBD">
        <w:rPr>
          <w:rFonts w:cs="Arial"/>
          <w:b w:val="0"/>
          <w:bCs/>
        </w:rPr>
        <w:t xml:space="preserve">challenge was received </w:t>
      </w:r>
      <w:r w:rsidR="00390980">
        <w:rPr>
          <w:rFonts w:cs="Arial"/>
          <w:b w:val="0"/>
          <w:bCs/>
        </w:rPr>
        <w:t>from the unsuccessful bidder.</w:t>
      </w:r>
      <w:r w:rsidR="005A6829">
        <w:rPr>
          <w:rFonts w:cs="Arial"/>
          <w:b w:val="0"/>
          <w:bCs/>
        </w:rPr>
        <w:t xml:space="preserve"> </w:t>
      </w:r>
      <w:r w:rsidR="00390980">
        <w:rPr>
          <w:rFonts w:cs="Arial"/>
          <w:b w:val="0"/>
          <w:bCs/>
        </w:rPr>
        <w:t xml:space="preserve"> </w:t>
      </w:r>
      <w:r w:rsidR="00F253D5">
        <w:rPr>
          <w:rFonts w:cs="Arial"/>
          <w:b w:val="0"/>
          <w:bCs/>
        </w:rPr>
        <w:t>T</w:t>
      </w:r>
      <w:r w:rsidR="00390980">
        <w:rPr>
          <w:rFonts w:cs="Arial"/>
          <w:b w:val="0"/>
          <w:bCs/>
        </w:rPr>
        <w:t xml:space="preserve">he </w:t>
      </w:r>
      <w:r w:rsidR="008C5EBD">
        <w:rPr>
          <w:rFonts w:cs="Arial"/>
          <w:b w:val="0"/>
          <w:bCs/>
        </w:rPr>
        <w:t>Acorn</w:t>
      </w:r>
      <w:r w:rsidR="00390980">
        <w:rPr>
          <w:rFonts w:cs="Arial"/>
          <w:b w:val="0"/>
          <w:bCs/>
        </w:rPr>
        <w:t xml:space="preserve"> Consortium were c</w:t>
      </w:r>
      <w:r w:rsidR="00BF269C">
        <w:rPr>
          <w:rFonts w:cs="Arial"/>
          <w:b w:val="0"/>
          <w:bCs/>
        </w:rPr>
        <w:t>onfirmed as the Successful Participant (SP)</w:t>
      </w:r>
      <w:r w:rsidR="00390980">
        <w:rPr>
          <w:rFonts w:cs="Arial"/>
          <w:b w:val="0"/>
          <w:bCs/>
        </w:rPr>
        <w:t xml:space="preserve"> and </w:t>
      </w:r>
      <w:r w:rsidR="00BF269C">
        <w:rPr>
          <w:rFonts w:cs="Arial"/>
          <w:b w:val="0"/>
          <w:bCs/>
        </w:rPr>
        <w:t>received a</w:t>
      </w:r>
      <w:r w:rsidR="00390980">
        <w:rPr>
          <w:rFonts w:cs="Arial"/>
          <w:b w:val="0"/>
          <w:bCs/>
        </w:rPr>
        <w:t xml:space="preserve">n SP </w:t>
      </w:r>
      <w:r w:rsidR="00BF269C">
        <w:rPr>
          <w:rFonts w:cs="Arial"/>
          <w:b w:val="0"/>
          <w:bCs/>
        </w:rPr>
        <w:t xml:space="preserve">letter </w:t>
      </w:r>
      <w:r w:rsidR="00390980">
        <w:rPr>
          <w:rFonts w:cs="Arial"/>
          <w:b w:val="0"/>
          <w:bCs/>
        </w:rPr>
        <w:t xml:space="preserve">which </w:t>
      </w:r>
      <w:r w:rsidR="00BF269C">
        <w:rPr>
          <w:rFonts w:cs="Arial"/>
          <w:b w:val="0"/>
          <w:bCs/>
        </w:rPr>
        <w:t xml:space="preserve">set out a range of outstanding matters that needed at be resolved between </w:t>
      </w:r>
      <w:r w:rsidR="00390980">
        <w:rPr>
          <w:rFonts w:cs="Arial"/>
          <w:b w:val="0"/>
          <w:bCs/>
        </w:rPr>
        <w:t>before</w:t>
      </w:r>
      <w:r w:rsidR="00F253D5">
        <w:rPr>
          <w:rFonts w:cs="Arial"/>
          <w:b w:val="0"/>
          <w:bCs/>
        </w:rPr>
        <w:t xml:space="preserve"> Contractual and</w:t>
      </w:r>
      <w:r w:rsidR="00390980">
        <w:rPr>
          <w:rFonts w:cs="Arial"/>
          <w:b w:val="0"/>
          <w:bCs/>
        </w:rPr>
        <w:t xml:space="preserve"> Financial Close (FC) could be achieved.</w:t>
      </w:r>
    </w:p>
    <w:p w14:paraId="6B70402C" w14:textId="77777777" w:rsidR="00BF269C" w:rsidRDefault="004648F8" w:rsidP="00360021">
      <w:pPr>
        <w:pStyle w:val="ListParagraph"/>
        <w:numPr>
          <w:ilvl w:val="1"/>
          <w:numId w:val="3"/>
        </w:numPr>
        <w:ind w:left="851" w:hanging="851"/>
        <w:jc w:val="both"/>
        <w:textAlignment w:val="baseline"/>
        <w:rPr>
          <w:rFonts w:cs="Arial"/>
          <w:b w:val="0"/>
        </w:rPr>
      </w:pPr>
      <w:r>
        <w:rPr>
          <w:rFonts w:cs="Arial"/>
          <w:b w:val="0"/>
        </w:rPr>
        <w:t>T</w:t>
      </w:r>
      <w:r w:rsidR="00101831" w:rsidRPr="00A475E6">
        <w:rPr>
          <w:rFonts w:cs="Arial"/>
          <w:b w:val="0"/>
        </w:rPr>
        <w:t>he</w:t>
      </w:r>
      <w:r w:rsidR="00BF269C">
        <w:rPr>
          <w:rFonts w:cs="Arial"/>
          <w:b w:val="0"/>
        </w:rPr>
        <w:t xml:space="preserve"> nVCC </w:t>
      </w:r>
      <w:r w:rsidR="000F10B8">
        <w:rPr>
          <w:rFonts w:cs="Arial"/>
          <w:b w:val="0"/>
        </w:rPr>
        <w:t>Project T</w:t>
      </w:r>
      <w:r w:rsidR="00BF269C">
        <w:rPr>
          <w:rFonts w:cs="Arial"/>
          <w:b w:val="0"/>
        </w:rPr>
        <w:t>eam have been working closely with Aco</w:t>
      </w:r>
      <w:r w:rsidR="00390980">
        <w:rPr>
          <w:rFonts w:cs="Arial"/>
          <w:b w:val="0"/>
        </w:rPr>
        <w:t xml:space="preserve">rn to </w:t>
      </w:r>
      <w:r w:rsidR="00F253D5">
        <w:rPr>
          <w:rFonts w:cs="Arial"/>
          <w:b w:val="0"/>
        </w:rPr>
        <w:t xml:space="preserve">close down </w:t>
      </w:r>
      <w:r w:rsidR="00390980">
        <w:rPr>
          <w:rFonts w:cs="Arial"/>
          <w:b w:val="0"/>
        </w:rPr>
        <w:t xml:space="preserve">all outstanding matters </w:t>
      </w:r>
      <w:r w:rsidR="00F253D5">
        <w:rPr>
          <w:rFonts w:cs="Arial"/>
          <w:b w:val="0"/>
        </w:rPr>
        <w:t xml:space="preserve">in order </w:t>
      </w:r>
      <w:r w:rsidR="00390980">
        <w:rPr>
          <w:rFonts w:cs="Arial"/>
          <w:b w:val="0"/>
        </w:rPr>
        <w:t xml:space="preserve">to </w:t>
      </w:r>
      <w:r w:rsidR="008C5EBD">
        <w:rPr>
          <w:rFonts w:cs="Arial"/>
          <w:b w:val="0"/>
        </w:rPr>
        <w:t>achiev</w:t>
      </w:r>
      <w:r w:rsidR="00390980">
        <w:rPr>
          <w:rFonts w:cs="Arial"/>
          <w:b w:val="0"/>
        </w:rPr>
        <w:t xml:space="preserve">e FC </w:t>
      </w:r>
      <w:r w:rsidR="008C5EBD">
        <w:rPr>
          <w:rFonts w:cs="Arial"/>
          <w:b w:val="0"/>
        </w:rPr>
        <w:t>in March 2023</w:t>
      </w:r>
      <w:r w:rsidR="000F10B8">
        <w:rPr>
          <w:rFonts w:cs="Arial"/>
          <w:b w:val="0"/>
        </w:rPr>
        <w:t>,</w:t>
      </w:r>
      <w:r w:rsidR="008C5EBD">
        <w:rPr>
          <w:rFonts w:cs="Arial"/>
          <w:b w:val="0"/>
        </w:rPr>
        <w:t xml:space="preserve"> or as soon as possible thereafter.</w:t>
      </w:r>
    </w:p>
    <w:p w14:paraId="4C5ABD83" w14:textId="77777777" w:rsidR="00390980" w:rsidRDefault="00390980" w:rsidP="00360021">
      <w:pPr>
        <w:pStyle w:val="ListParagraph"/>
        <w:numPr>
          <w:ilvl w:val="1"/>
          <w:numId w:val="3"/>
        </w:numPr>
        <w:ind w:left="851" w:hanging="851"/>
        <w:jc w:val="both"/>
        <w:textAlignment w:val="baseline"/>
        <w:rPr>
          <w:rFonts w:cs="Arial"/>
          <w:b w:val="0"/>
        </w:rPr>
      </w:pPr>
      <w:r>
        <w:rPr>
          <w:rFonts w:cs="Arial"/>
          <w:b w:val="0"/>
        </w:rPr>
        <w:t xml:space="preserve">The Trust can only progress to </w:t>
      </w:r>
      <w:r w:rsidR="00FA28B8">
        <w:rPr>
          <w:rFonts w:cs="Arial"/>
          <w:b w:val="0"/>
        </w:rPr>
        <w:t>FC</w:t>
      </w:r>
      <w:r w:rsidR="00EE2799">
        <w:rPr>
          <w:rFonts w:cs="Arial"/>
          <w:b w:val="0"/>
        </w:rPr>
        <w:t>,</w:t>
      </w:r>
      <w:r w:rsidR="00FA28B8">
        <w:rPr>
          <w:rFonts w:cs="Arial"/>
          <w:b w:val="0"/>
        </w:rPr>
        <w:t xml:space="preserve"> and</w:t>
      </w:r>
      <w:r w:rsidR="000F10B8">
        <w:rPr>
          <w:rFonts w:cs="Arial"/>
          <w:b w:val="0"/>
        </w:rPr>
        <w:t xml:space="preserve"> enter into a contract</w:t>
      </w:r>
      <w:r w:rsidR="00EE2799">
        <w:rPr>
          <w:rFonts w:cs="Arial"/>
          <w:b w:val="0"/>
        </w:rPr>
        <w:t>,</w:t>
      </w:r>
      <w:r>
        <w:rPr>
          <w:rFonts w:cs="Arial"/>
          <w:b w:val="0"/>
        </w:rPr>
        <w:t xml:space="preserve"> once the FBC has been approved by the Trust</w:t>
      </w:r>
      <w:r w:rsidR="00F253D5">
        <w:rPr>
          <w:rFonts w:cs="Arial"/>
          <w:b w:val="0"/>
        </w:rPr>
        <w:t>, it’s commissioning</w:t>
      </w:r>
      <w:r>
        <w:rPr>
          <w:rFonts w:cs="Arial"/>
          <w:b w:val="0"/>
        </w:rPr>
        <w:t xml:space="preserve"> </w:t>
      </w:r>
      <w:r w:rsidR="000F10B8">
        <w:rPr>
          <w:rFonts w:cs="Arial"/>
          <w:b w:val="0"/>
        </w:rPr>
        <w:t>Local Health Boards (</w:t>
      </w:r>
      <w:r>
        <w:rPr>
          <w:rFonts w:cs="Arial"/>
          <w:b w:val="0"/>
        </w:rPr>
        <w:t>LHB</w:t>
      </w:r>
      <w:r w:rsidR="000F10B8">
        <w:rPr>
          <w:rFonts w:cs="Arial"/>
          <w:b w:val="0"/>
        </w:rPr>
        <w:t>’s)</w:t>
      </w:r>
      <w:r>
        <w:rPr>
          <w:rFonts w:cs="Arial"/>
          <w:b w:val="0"/>
        </w:rPr>
        <w:t xml:space="preserve"> and </w:t>
      </w:r>
      <w:r w:rsidR="00F253D5">
        <w:rPr>
          <w:rFonts w:cs="Arial"/>
          <w:b w:val="0"/>
        </w:rPr>
        <w:t>by both</w:t>
      </w:r>
      <w:r>
        <w:rPr>
          <w:rFonts w:cs="Arial"/>
          <w:b w:val="0"/>
        </w:rPr>
        <w:t xml:space="preserve"> Welsh Government Ministers</w:t>
      </w:r>
      <w:r w:rsidR="000F10B8">
        <w:rPr>
          <w:rFonts w:cs="Arial"/>
          <w:b w:val="0"/>
        </w:rPr>
        <w:t xml:space="preserve"> (Treasury and </w:t>
      </w:r>
      <w:r w:rsidR="00E50223">
        <w:rPr>
          <w:rFonts w:cs="Arial"/>
          <w:b w:val="0"/>
        </w:rPr>
        <w:t>Health)</w:t>
      </w:r>
      <w:r>
        <w:rPr>
          <w:rFonts w:cs="Arial"/>
          <w:b w:val="0"/>
        </w:rPr>
        <w:t>.</w:t>
      </w:r>
    </w:p>
    <w:p w14:paraId="50252939" w14:textId="77777777" w:rsidR="00194B49" w:rsidRDefault="00194B49" w:rsidP="000D7739">
      <w:pPr>
        <w:textAlignment w:val="baseline"/>
        <w:rPr>
          <w:rFonts w:cs="Arial"/>
        </w:rPr>
      </w:pPr>
    </w:p>
    <w:p w14:paraId="3CAB595B" w14:textId="77777777" w:rsidR="0059367D" w:rsidRDefault="0059367D" w:rsidP="00360021">
      <w:pPr>
        <w:numPr>
          <w:ilvl w:val="0"/>
          <w:numId w:val="2"/>
        </w:numPr>
        <w:tabs>
          <w:tab w:val="num" w:pos="851"/>
        </w:tabs>
        <w:ind w:left="851" w:hanging="851"/>
        <w:textAlignment w:val="baseline"/>
        <w:rPr>
          <w:rFonts w:cs="Arial"/>
        </w:rPr>
      </w:pPr>
      <w:r w:rsidRPr="001B63F6">
        <w:rPr>
          <w:rFonts w:cs="Arial"/>
          <w:b/>
          <w:bCs/>
        </w:rPr>
        <w:t>ANALYSIS</w:t>
      </w:r>
      <w:r w:rsidRPr="001B63F6">
        <w:rPr>
          <w:rFonts w:cs="Arial"/>
        </w:rPr>
        <w:t> </w:t>
      </w:r>
    </w:p>
    <w:p w14:paraId="148FD63F" w14:textId="77777777" w:rsidR="00577072" w:rsidRPr="00577072" w:rsidRDefault="00577072" w:rsidP="00577072">
      <w:pPr>
        <w:textAlignment w:val="baseline"/>
        <w:rPr>
          <w:rFonts w:cs="Arial"/>
          <w:b/>
          <w:bCs/>
        </w:rPr>
      </w:pPr>
    </w:p>
    <w:p w14:paraId="6D1AEEB9" w14:textId="77777777" w:rsidR="005A751F" w:rsidRDefault="00577072" w:rsidP="00360021">
      <w:pPr>
        <w:ind w:left="851"/>
        <w:textAlignment w:val="baseline"/>
        <w:rPr>
          <w:rFonts w:cs="Arial"/>
          <w:b/>
          <w:bCs/>
        </w:rPr>
      </w:pPr>
      <w:r w:rsidRPr="00577072">
        <w:rPr>
          <w:rFonts w:cs="Arial"/>
          <w:b/>
          <w:bCs/>
        </w:rPr>
        <w:t xml:space="preserve">The </w:t>
      </w:r>
      <w:r w:rsidR="00D1140A">
        <w:rPr>
          <w:rFonts w:cs="Arial"/>
          <w:b/>
          <w:bCs/>
        </w:rPr>
        <w:t>Full Business Case (FBC)</w:t>
      </w:r>
    </w:p>
    <w:p w14:paraId="3D45261E" w14:textId="77777777" w:rsidR="00292F52" w:rsidRDefault="00292F52" w:rsidP="00360021">
      <w:pPr>
        <w:ind w:left="851"/>
        <w:textAlignment w:val="baseline"/>
        <w:rPr>
          <w:rFonts w:cs="Arial"/>
          <w:b/>
          <w:bCs/>
        </w:rPr>
      </w:pPr>
    </w:p>
    <w:p w14:paraId="20D430EE" w14:textId="77777777" w:rsidR="006F5690" w:rsidRPr="009352DA" w:rsidRDefault="006F5690" w:rsidP="009352DA">
      <w:pPr>
        <w:ind w:left="360" w:hanging="360"/>
        <w:textAlignment w:val="baseline"/>
        <w:rPr>
          <w:rFonts w:cs="Arial"/>
          <w:vanish/>
        </w:rPr>
      </w:pPr>
    </w:p>
    <w:p w14:paraId="0765E0BF" w14:textId="77777777" w:rsidR="00184641" w:rsidRDefault="00142D1C" w:rsidP="00360021">
      <w:pPr>
        <w:ind w:left="851" w:hanging="851"/>
        <w:textAlignment w:val="baseline"/>
        <w:rPr>
          <w:rFonts w:cs="Arial"/>
        </w:rPr>
      </w:pPr>
      <w:r>
        <w:rPr>
          <w:rFonts w:cs="Arial"/>
        </w:rPr>
        <w:t>2.1</w:t>
      </w:r>
      <w:r>
        <w:rPr>
          <w:rFonts w:cs="Arial"/>
        </w:rPr>
        <w:tab/>
      </w:r>
      <w:r w:rsidR="00184641">
        <w:rPr>
          <w:rFonts w:cs="Arial"/>
        </w:rPr>
        <w:t>The FBC consists of 5 cases (</w:t>
      </w:r>
      <w:r w:rsidR="000F10B8">
        <w:rPr>
          <w:rFonts w:cs="Arial"/>
        </w:rPr>
        <w:t>S</w:t>
      </w:r>
      <w:r w:rsidR="00184641">
        <w:rPr>
          <w:rFonts w:cs="Arial"/>
        </w:rPr>
        <w:t xml:space="preserve">trategic; </w:t>
      </w:r>
      <w:r w:rsidR="000F10B8">
        <w:rPr>
          <w:rFonts w:cs="Arial"/>
        </w:rPr>
        <w:t>E</w:t>
      </w:r>
      <w:r w:rsidR="00184641">
        <w:rPr>
          <w:rFonts w:cs="Arial"/>
        </w:rPr>
        <w:t xml:space="preserve">conomic; </w:t>
      </w:r>
      <w:r w:rsidR="000F10B8">
        <w:rPr>
          <w:rFonts w:cs="Arial"/>
        </w:rPr>
        <w:t>C</w:t>
      </w:r>
      <w:r w:rsidR="00184641">
        <w:rPr>
          <w:rFonts w:cs="Arial"/>
        </w:rPr>
        <w:t xml:space="preserve">ommercial; </w:t>
      </w:r>
      <w:r w:rsidR="000F10B8">
        <w:rPr>
          <w:rFonts w:cs="Arial"/>
        </w:rPr>
        <w:t>M</w:t>
      </w:r>
      <w:r w:rsidR="00184641">
        <w:rPr>
          <w:rFonts w:cs="Arial"/>
        </w:rPr>
        <w:t xml:space="preserve">anagement; and </w:t>
      </w:r>
      <w:r w:rsidR="000F10B8">
        <w:rPr>
          <w:rFonts w:cs="Arial"/>
        </w:rPr>
        <w:t>F</w:t>
      </w:r>
      <w:r w:rsidR="00184641">
        <w:rPr>
          <w:rFonts w:cs="Arial"/>
        </w:rPr>
        <w:t>inancial) which are inter-connected</w:t>
      </w:r>
      <w:r w:rsidR="000F10B8">
        <w:rPr>
          <w:rFonts w:cs="Arial"/>
        </w:rPr>
        <w:t xml:space="preserve"> and set out </w:t>
      </w:r>
      <w:r w:rsidR="00F253D5">
        <w:rPr>
          <w:rFonts w:cs="Arial"/>
        </w:rPr>
        <w:t>the</w:t>
      </w:r>
      <w:r w:rsidR="000F10B8">
        <w:rPr>
          <w:rFonts w:cs="Arial"/>
        </w:rPr>
        <w:t xml:space="preserve"> case for investment</w:t>
      </w:r>
      <w:r w:rsidR="00184641">
        <w:rPr>
          <w:rFonts w:cs="Arial"/>
        </w:rPr>
        <w:t xml:space="preserve">.  </w:t>
      </w:r>
      <w:r w:rsidR="00F253D5">
        <w:rPr>
          <w:rFonts w:cs="Arial"/>
        </w:rPr>
        <w:t>Of</w:t>
      </w:r>
      <w:r w:rsidR="00184641">
        <w:rPr>
          <w:rFonts w:cs="Arial"/>
        </w:rPr>
        <w:t xml:space="preserve">f the 5 </w:t>
      </w:r>
      <w:r w:rsidR="00F253D5">
        <w:rPr>
          <w:rFonts w:cs="Arial"/>
        </w:rPr>
        <w:t>C</w:t>
      </w:r>
      <w:r w:rsidR="00184641">
        <w:rPr>
          <w:rFonts w:cs="Arial"/>
        </w:rPr>
        <w:t>ases</w:t>
      </w:r>
      <w:r w:rsidR="00F253D5">
        <w:rPr>
          <w:rFonts w:cs="Arial"/>
        </w:rPr>
        <w:t>,</w:t>
      </w:r>
      <w:r w:rsidR="00184641">
        <w:rPr>
          <w:rFonts w:cs="Arial"/>
        </w:rPr>
        <w:t xml:space="preserve"> four (</w:t>
      </w:r>
      <w:r w:rsidR="005A6829">
        <w:rPr>
          <w:rFonts w:cs="Arial"/>
        </w:rPr>
        <w:t>S</w:t>
      </w:r>
      <w:r w:rsidR="00184641">
        <w:rPr>
          <w:rFonts w:cs="Arial"/>
        </w:rPr>
        <w:t xml:space="preserve">trategic; </w:t>
      </w:r>
      <w:r w:rsidR="005A6829">
        <w:rPr>
          <w:rFonts w:cs="Arial"/>
        </w:rPr>
        <w:t>E</w:t>
      </w:r>
      <w:r w:rsidR="00184641">
        <w:rPr>
          <w:rFonts w:cs="Arial"/>
        </w:rPr>
        <w:t xml:space="preserve">conomic; </w:t>
      </w:r>
      <w:r w:rsidR="005A6829">
        <w:rPr>
          <w:rFonts w:cs="Arial"/>
        </w:rPr>
        <w:t>M</w:t>
      </w:r>
      <w:r w:rsidR="00184641">
        <w:rPr>
          <w:rFonts w:cs="Arial"/>
        </w:rPr>
        <w:t xml:space="preserve">anagement; and </w:t>
      </w:r>
      <w:r w:rsidR="005A6829">
        <w:rPr>
          <w:rFonts w:cs="Arial"/>
        </w:rPr>
        <w:t>F</w:t>
      </w:r>
      <w:r w:rsidR="00184641">
        <w:rPr>
          <w:rFonts w:cs="Arial"/>
        </w:rPr>
        <w:t>inancial) are complete.</w:t>
      </w:r>
      <w:r w:rsidR="004D5E9F">
        <w:rPr>
          <w:rFonts w:cs="Arial"/>
        </w:rPr>
        <w:t xml:space="preserve"> It should be noted that at the time of this report, the Commercial Case is commercial in confidence and therefore not able to be released to LHBs at this stage.</w:t>
      </w:r>
    </w:p>
    <w:p w14:paraId="6A6BC165" w14:textId="77777777" w:rsidR="00184641" w:rsidRDefault="00184641" w:rsidP="00360021">
      <w:pPr>
        <w:ind w:left="851" w:hanging="851"/>
        <w:textAlignment w:val="baseline"/>
        <w:rPr>
          <w:rFonts w:cs="Arial"/>
        </w:rPr>
      </w:pPr>
    </w:p>
    <w:p w14:paraId="42E740DE" w14:textId="77777777" w:rsidR="00956127" w:rsidRDefault="00184641" w:rsidP="00360021">
      <w:pPr>
        <w:ind w:left="851" w:hanging="851"/>
        <w:textAlignment w:val="baseline"/>
        <w:rPr>
          <w:rFonts w:cs="Arial"/>
        </w:rPr>
      </w:pPr>
      <w:r>
        <w:rPr>
          <w:rFonts w:cs="Arial"/>
        </w:rPr>
        <w:t>2.2</w:t>
      </w:r>
      <w:r>
        <w:rPr>
          <w:rFonts w:cs="Arial"/>
        </w:rPr>
        <w:tab/>
        <w:t xml:space="preserve">The </w:t>
      </w:r>
      <w:r w:rsidR="007C633B">
        <w:rPr>
          <w:rFonts w:cs="Arial"/>
        </w:rPr>
        <w:t xml:space="preserve">completion </w:t>
      </w:r>
      <w:r>
        <w:rPr>
          <w:rFonts w:cs="Arial"/>
        </w:rPr>
        <w:t xml:space="preserve">of the </w:t>
      </w:r>
      <w:r w:rsidR="000F10B8">
        <w:rPr>
          <w:rFonts w:cs="Arial"/>
        </w:rPr>
        <w:t>C</w:t>
      </w:r>
      <w:r>
        <w:rPr>
          <w:rFonts w:cs="Arial"/>
        </w:rPr>
        <w:t xml:space="preserve">ommercial </w:t>
      </w:r>
      <w:r w:rsidR="000F10B8">
        <w:rPr>
          <w:rFonts w:cs="Arial"/>
        </w:rPr>
        <w:t>C</w:t>
      </w:r>
      <w:r>
        <w:rPr>
          <w:rFonts w:cs="Arial"/>
        </w:rPr>
        <w:t xml:space="preserve">ase </w:t>
      </w:r>
      <w:r w:rsidR="00F253D5">
        <w:rPr>
          <w:rFonts w:cs="Arial"/>
        </w:rPr>
        <w:t xml:space="preserve">is the final </w:t>
      </w:r>
      <w:r>
        <w:rPr>
          <w:rFonts w:cs="Arial"/>
        </w:rPr>
        <w:t xml:space="preserve">element to conclude </w:t>
      </w:r>
      <w:r w:rsidR="00F253D5">
        <w:rPr>
          <w:rFonts w:cs="Arial"/>
        </w:rPr>
        <w:t xml:space="preserve">and will close when </w:t>
      </w:r>
      <w:r>
        <w:rPr>
          <w:rFonts w:cs="Arial"/>
        </w:rPr>
        <w:t>planning matters</w:t>
      </w:r>
      <w:r w:rsidR="00900CBC">
        <w:rPr>
          <w:rFonts w:cs="Arial"/>
        </w:rPr>
        <w:t xml:space="preserve"> </w:t>
      </w:r>
      <w:r w:rsidR="00F253D5">
        <w:rPr>
          <w:rFonts w:cs="Arial"/>
        </w:rPr>
        <w:t>and the</w:t>
      </w:r>
      <w:r>
        <w:rPr>
          <w:rFonts w:cs="Arial"/>
        </w:rPr>
        <w:t xml:space="preserve"> </w:t>
      </w:r>
      <w:r w:rsidR="005A6829">
        <w:rPr>
          <w:rFonts w:cs="Arial"/>
        </w:rPr>
        <w:t>P</w:t>
      </w:r>
      <w:r>
        <w:rPr>
          <w:rFonts w:cs="Arial"/>
        </w:rPr>
        <w:t xml:space="preserve">roject </w:t>
      </w:r>
      <w:r w:rsidR="005A6829">
        <w:rPr>
          <w:rFonts w:cs="Arial"/>
        </w:rPr>
        <w:t>A</w:t>
      </w:r>
      <w:r>
        <w:rPr>
          <w:rFonts w:cs="Arial"/>
        </w:rPr>
        <w:t>greement</w:t>
      </w:r>
      <w:r w:rsidR="004A7D66">
        <w:rPr>
          <w:rFonts w:cs="Arial"/>
        </w:rPr>
        <w:t xml:space="preserve"> (PA)</w:t>
      </w:r>
      <w:r w:rsidR="00F253D5">
        <w:rPr>
          <w:rFonts w:cs="Arial"/>
        </w:rPr>
        <w:t xml:space="preserve"> are finalised</w:t>
      </w:r>
      <w:r>
        <w:rPr>
          <w:rFonts w:cs="Arial"/>
        </w:rPr>
        <w:t>.</w:t>
      </w:r>
    </w:p>
    <w:p w14:paraId="3CB0642F" w14:textId="77777777" w:rsidR="00184641" w:rsidRDefault="00184641" w:rsidP="00360021">
      <w:pPr>
        <w:ind w:left="851" w:hanging="851"/>
        <w:textAlignment w:val="baseline"/>
        <w:rPr>
          <w:rFonts w:cs="Arial"/>
        </w:rPr>
      </w:pPr>
      <w:r>
        <w:rPr>
          <w:rFonts w:cs="Arial"/>
        </w:rPr>
        <w:t xml:space="preserve">  </w:t>
      </w:r>
    </w:p>
    <w:p w14:paraId="56002941" w14:textId="77777777" w:rsidR="00184641" w:rsidRDefault="00184641" w:rsidP="00360021">
      <w:pPr>
        <w:ind w:left="851" w:hanging="851"/>
        <w:textAlignment w:val="baseline"/>
        <w:rPr>
          <w:rFonts w:cs="Arial"/>
        </w:rPr>
      </w:pPr>
    </w:p>
    <w:p w14:paraId="5F3B75B5" w14:textId="77777777" w:rsidR="001B723F" w:rsidRDefault="00184641" w:rsidP="00360021">
      <w:pPr>
        <w:ind w:left="851" w:hanging="851"/>
        <w:textAlignment w:val="baseline"/>
        <w:rPr>
          <w:rFonts w:cs="Arial"/>
        </w:rPr>
      </w:pPr>
      <w:r>
        <w:rPr>
          <w:rFonts w:cs="Arial"/>
        </w:rPr>
        <w:t>2.3</w:t>
      </w:r>
      <w:r>
        <w:rPr>
          <w:rFonts w:cs="Arial"/>
        </w:rPr>
        <w:tab/>
      </w:r>
      <w:r w:rsidR="001D1C20">
        <w:rPr>
          <w:rFonts w:cs="Arial"/>
        </w:rPr>
        <w:t xml:space="preserve">The aim of the </w:t>
      </w:r>
      <w:r w:rsidR="000F10B8">
        <w:rPr>
          <w:rFonts w:cs="Arial"/>
        </w:rPr>
        <w:t>C</w:t>
      </w:r>
      <w:r w:rsidR="001D1C20">
        <w:rPr>
          <w:rFonts w:cs="Arial"/>
        </w:rPr>
        <w:t xml:space="preserve">ommercial </w:t>
      </w:r>
      <w:r w:rsidR="000F10B8">
        <w:rPr>
          <w:rFonts w:cs="Arial"/>
        </w:rPr>
        <w:t>C</w:t>
      </w:r>
      <w:r w:rsidR="001D1C20">
        <w:rPr>
          <w:rFonts w:cs="Arial"/>
        </w:rPr>
        <w:t xml:space="preserve">ase is to set out the commercial </w:t>
      </w:r>
      <w:r w:rsidR="00F253D5">
        <w:rPr>
          <w:rFonts w:cs="Arial"/>
        </w:rPr>
        <w:t>arrangements</w:t>
      </w:r>
      <w:r w:rsidR="001D1C20">
        <w:rPr>
          <w:rFonts w:cs="Arial"/>
        </w:rPr>
        <w:t xml:space="preserve"> </w:t>
      </w:r>
      <w:r w:rsidR="00360021">
        <w:rPr>
          <w:rFonts w:cs="Arial"/>
        </w:rPr>
        <w:t>i.e.,</w:t>
      </w:r>
      <w:r w:rsidR="001D1C20">
        <w:rPr>
          <w:rFonts w:cs="Arial"/>
        </w:rPr>
        <w:t xml:space="preserve"> </w:t>
      </w:r>
      <w:r w:rsidR="00F253D5">
        <w:rPr>
          <w:rFonts w:cs="Arial"/>
        </w:rPr>
        <w:t>the</w:t>
      </w:r>
      <w:r w:rsidR="001D1C20">
        <w:rPr>
          <w:rFonts w:cs="Arial"/>
        </w:rPr>
        <w:t xml:space="preserve"> solution (the nVCC final design), together with the contract (</w:t>
      </w:r>
      <w:r w:rsidR="004A7D66">
        <w:rPr>
          <w:rFonts w:cs="Arial"/>
        </w:rPr>
        <w:t>P</w:t>
      </w:r>
      <w:r w:rsidR="001D1C20">
        <w:rPr>
          <w:rFonts w:cs="Arial"/>
        </w:rPr>
        <w:t xml:space="preserve">roject </w:t>
      </w:r>
      <w:r w:rsidR="004A7D66">
        <w:rPr>
          <w:rFonts w:cs="Arial"/>
        </w:rPr>
        <w:t>A</w:t>
      </w:r>
      <w:r w:rsidR="001D1C20">
        <w:rPr>
          <w:rFonts w:cs="Arial"/>
        </w:rPr>
        <w:t xml:space="preserve">greement).  The nVCC </w:t>
      </w:r>
      <w:r w:rsidR="00F253D5">
        <w:rPr>
          <w:rFonts w:cs="Arial"/>
        </w:rPr>
        <w:t>P</w:t>
      </w:r>
      <w:r w:rsidR="001D1C20">
        <w:rPr>
          <w:rFonts w:cs="Arial"/>
        </w:rPr>
        <w:t>roject is being procured using the Welsh Government Mutual Investment Model (MIM)</w:t>
      </w:r>
      <w:r w:rsidR="00E50223">
        <w:rPr>
          <w:rFonts w:cs="Arial"/>
        </w:rPr>
        <w:t xml:space="preserve">, </w:t>
      </w:r>
      <w:r w:rsidR="00F253D5">
        <w:rPr>
          <w:rFonts w:cs="Arial"/>
        </w:rPr>
        <w:t>under</w:t>
      </w:r>
      <w:r w:rsidR="00E50223">
        <w:rPr>
          <w:rFonts w:cs="Arial"/>
        </w:rPr>
        <w:t xml:space="preserve"> WG</w:t>
      </w:r>
      <w:r w:rsidR="001D1C20">
        <w:rPr>
          <w:rFonts w:cs="Arial"/>
        </w:rPr>
        <w:t xml:space="preserve"> </w:t>
      </w:r>
      <w:r w:rsidR="00360021">
        <w:rPr>
          <w:rFonts w:cs="Arial"/>
        </w:rPr>
        <w:t>policy: -</w:t>
      </w:r>
      <w:r w:rsidR="001B723F">
        <w:rPr>
          <w:rFonts w:cs="Arial"/>
        </w:rPr>
        <w:t xml:space="preserve"> </w:t>
      </w:r>
    </w:p>
    <w:p w14:paraId="071F8B75" w14:textId="77777777" w:rsidR="001B723F" w:rsidRDefault="001B723F" w:rsidP="00184641">
      <w:pPr>
        <w:ind w:left="720" w:hanging="720"/>
        <w:textAlignment w:val="baseline"/>
        <w:rPr>
          <w:rFonts w:cs="Arial"/>
        </w:rPr>
      </w:pPr>
    </w:p>
    <w:p w14:paraId="6035ADCA" w14:textId="77777777" w:rsidR="004D5E9F" w:rsidRPr="000C1E64" w:rsidRDefault="00F253D5" w:rsidP="000C1E64">
      <w:pPr>
        <w:pStyle w:val="ListParagraph"/>
        <w:numPr>
          <w:ilvl w:val="1"/>
          <w:numId w:val="23"/>
        </w:numPr>
        <w:ind w:left="851" w:hanging="851"/>
        <w:jc w:val="both"/>
        <w:rPr>
          <w:rFonts w:cs="Arial"/>
          <w:b w:val="0"/>
          <w:bCs/>
        </w:rPr>
      </w:pPr>
      <w:r w:rsidRPr="00A917A9">
        <w:rPr>
          <w:rFonts w:cs="Arial"/>
          <w:b w:val="0"/>
          <w:bCs/>
        </w:rPr>
        <w:lastRenderedPageBreak/>
        <w:t>The Commercial Case is considered</w:t>
      </w:r>
      <w:r w:rsidR="00E50223" w:rsidRPr="00A917A9">
        <w:rPr>
          <w:rFonts w:cs="Arial"/>
          <w:b w:val="0"/>
          <w:bCs/>
        </w:rPr>
        <w:t xml:space="preserve"> </w:t>
      </w:r>
      <w:r w:rsidR="001B723F" w:rsidRPr="00A917A9">
        <w:rPr>
          <w:rFonts w:cs="Arial"/>
          <w:b w:val="0"/>
          <w:bCs/>
        </w:rPr>
        <w:t>a matter for the Trust and Welsh Government</w:t>
      </w:r>
      <w:r w:rsidRPr="00A917A9">
        <w:rPr>
          <w:rFonts w:cs="Arial"/>
          <w:b w:val="0"/>
          <w:bCs/>
        </w:rPr>
        <w:t>.</w:t>
      </w:r>
      <w:r w:rsidR="001B723F" w:rsidRPr="00A917A9">
        <w:rPr>
          <w:rFonts w:cs="Arial"/>
          <w:b w:val="0"/>
          <w:bCs/>
        </w:rPr>
        <w:t xml:space="preserve"> </w:t>
      </w:r>
      <w:r w:rsidRPr="00A917A9">
        <w:rPr>
          <w:rFonts w:cs="Arial"/>
          <w:b w:val="0"/>
          <w:bCs/>
        </w:rPr>
        <w:t>The Case</w:t>
      </w:r>
      <w:r w:rsidR="001B723F" w:rsidRPr="00A917A9">
        <w:rPr>
          <w:rFonts w:cs="Arial"/>
          <w:b w:val="0"/>
          <w:bCs/>
        </w:rPr>
        <w:t xml:space="preserve"> requires commercial</w:t>
      </w:r>
      <w:r w:rsidR="00360021" w:rsidRPr="00A917A9">
        <w:rPr>
          <w:rFonts w:cs="Arial"/>
          <w:b w:val="0"/>
          <w:bCs/>
        </w:rPr>
        <w:t xml:space="preserve"> </w:t>
      </w:r>
      <w:r w:rsidR="001B723F" w:rsidRPr="00A917A9">
        <w:rPr>
          <w:rFonts w:cs="Arial"/>
          <w:b w:val="0"/>
          <w:bCs/>
        </w:rPr>
        <w:t xml:space="preserve">confidentially </w:t>
      </w:r>
      <w:r w:rsidRPr="00A917A9">
        <w:rPr>
          <w:rFonts w:cs="Arial"/>
          <w:b w:val="0"/>
          <w:bCs/>
        </w:rPr>
        <w:t xml:space="preserve">of the </w:t>
      </w:r>
      <w:r w:rsidR="001B723F" w:rsidRPr="00A917A9">
        <w:rPr>
          <w:rFonts w:cs="Arial"/>
          <w:b w:val="0"/>
          <w:bCs/>
        </w:rPr>
        <w:t xml:space="preserve">arrangements </w:t>
      </w:r>
      <w:r w:rsidR="00BB1691">
        <w:rPr>
          <w:rFonts w:cs="Arial"/>
          <w:b w:val="0"/>
          <w:bCs/>
        </w:rPr>
        <w:t xml:space="preserve">which are </w:t>
      </w:r>
      <w:r w:rsidRPr="00A917A9">
        <w:rPr>
          <w:rFonts w:cs="Arial"/>
          <w:b w:val="0"/>
          <w:bCs/>
        </w:rPr>
        <w:t xml:space="preserve">at a sensitive stage </w:t>
      </w:r>
      <w:r w:rsidR="001B723F" w:rsidRPr="00A917A9">
        <w:rPr>
          <w:rFonts w:cs="Arial"/>
          <w:b w:val="0"/>
          <w:bCs/>
        </w:rPr>
        <w:t xml:space="preserve">of </w:t>
      </w:r>
      <w:r w:rsidRPr="00A917A9">
        <w:rPr>
          <w:rFonts w:cs="Arial"/>
          <w:b w:val="0"/>
          <w:bCs/>
        </w:rPr>
        <w:t>the</w:t>
      </w:r>
      <w:r w:rsidR="001B723F" w:rsidRPr="00A917A9">
        <w:rPr>
          <w:rFonts w:cs="Arial"/>
          <w:b w:val="0"/>
          <w:bCs/>
        </w:rPr>
        <w:t xml:space="preserve"> procurement process.</w:t>
      </w:r>
    </w:p>
    <w:p w14:paraId="0659179F" w14:textId="2BC4C793" w:rsidR="00AA09BB" w:rsidRPr="000C1E64" w:rsidRDefault="00F253D5" w:rsidP="000C1E64">
      <w:pPr>
        <w:pStyle w:val="ListParagraph"/>
        <w:numPr>
          <w:ilvl w:val="1"/>
          <w:numId w:val="23"/>
        </w:numPr>
        <w:ind w:left="851" w:hanging="851"/>
        <w:jc w:val="both"/>
        <w:rPr>
          <w:b w:val="0"/>
          <w:bCs/>
        </w:rPr>
      </w:pPr>
      <w:r w:rsidRPr="000C1E64">
        <w:rPr>
          <w:b w:val="0"/>
          <w:bCs/>
        </w:rPr>
        <w:t>In this context, it can be highlighted that t</w:t>
      </w:r>
      <w:r w:rsidR="001D1C20" w:rsidRPr="000C1E64">
        <w:rPr>
          <w:b w:val="0"/>
          <w:bCs/>
        </w:rPr>
        <w:t>he Welsh Government (Centr</w:t>
      </w:r>
      <w:r w:rsidR="00AA09BB" w:rsidRPr="000C1E64">
        <w:rPr>
          <w:b w:val="0"/>
          <w:bCs/>
        </w:rPr>
        <w:t>a</w:t>
      </w:r>
      <w:r w:rsidR="001D1C20" w:rsidRPr="000C1E64">
        <w:rPr>
          <w:b w:val="0"/>
          <w:bCs/>
        </w:rPr>
        <w:t xml:space="preserve">l Treasury) </w:t>
      </w:r>
      <w:r w:rsidRPr="000C1E64">
        <w:rPr>
          <w:b w:val="0"/>
          <w:bCs/>
        </w:rPr>
        <w:t>is</w:t>
      </w:r>
      <w:r w:rsidR="001D1C20" w:rsidRPr="000C1E64">
        <w:rPr>
          <w:b w:val="0"/>
          <w:bCs/>
        </w:rPr>
        <w:t xml:space="preserve"> the funder for the Annual Service Payment (ASP)</w:t>
      </w:r>
      <w:r w:rsidRPr="000C1E64">
        <w:rPr>
          <w:b w:val="0"/>
          <w:bCs/>
        </w:rPr>
        <w:t xml:space="preserve"> -</w:t>
      </w:r>
      <w:r w:rsidR="001D1C20" w:rsidRPr="000C1E64">
        <w:rPr>
          <w:b w:val="0"/>
          <w:bCs/>
        </w:rPr>
        <w:t xml:space="preserve"> </w:t>
      </w:r>
      <w:r w:rsidR="004A7D66" w:rsidRPr="000C1E64">
        <w:rPr>
          <w:b w:val="0"/>
          <w:bCs/>
        </w:rPr>
        <w:t>which is the annual revenue payment</w:t>
      </w:r>
      <w:r w:rsidR="001D1C20" w:rsidRPr="000C1E64">
        <w:rPr>
          <w:b w:val="0"/>
          <w:bCs/>
        </w:rPr>
        <w:t xml:space="preserve"> to the Acorn Consortium for the </w:t>
      </w:r>
      <w:r w:rsidR="00360021" w:rsidRPr="000C1E64">
        <w:rPr>
          <w:b w:val="0"/>
          <w:bCs/>
        </w:rPr>
        <w:t>25-year</w:t>
      </w:r>
      <w:r w:rsidR="001D1C20" w:rsidRPr="000C1E64">
        <w:rPr>
          <w:b w:val="0"/>
          <w:bCs/>
        </w:rPr>
        <w:t xml:space="preserve"> term of the </w:t>
      </w:r>
      <w:r w:rsidR="004A7D66" w:rsidRPr="000C1E64">
        <w:rPr>
          <w:b w:val="0"/>
          <w:bCs/>
        </w:rPr>
        <w:t>PA</w:t>
      </w:r>
      <w:r w:rsidR="000F10B8" w:rsidRPr="000C1E64">
        <w:rPr>
          <w:b w:val="0"/>
          <w:bCs/>
        </w:rPr>
        <w:t xml:space="preserve"> </w:t>
      </w:r>
      <w:r w:rsidRPr="000C1E64">
        <w:rPr>
          <w:b w:val="0"/>
          <w:bCs/>
        </w:rPr>
        <w:t xml:space="preserve">- </w:t>
      </w:r>
      <w:r w:rsidR="000F10B8" w:rsidRPr="000C1E64">
        <w:rPr>
          <w:b w:val="0"/>
          <w:bCs/>
        </w:rPr>
        <w:t xml:space="preserve">and </w:t>
      </w:r>
      <w:r w:rsidRPr="000C1E64">
        <w:rPr>
          <w:b w:val="0"/>
          <w:bCs/>
        </w:rPr>
        <w:t xml:space="preserve">the Welsh Government (Health) is the </w:t>
      </w:r>
      <w:proofErr w:type="spellStart"/>
      <w:r w:rsidRPr="000C1E64">
        <w:rPr>
          <w:b w:val="0"/>
          <w:bCs/>
        </w:rPr>
        <w:t>funder</w:t>
      </w:r>
      <w:proofErr w:type="spellEnd"/>
      <w:r w:rsidRPr="000C1E64">
        <w:rPr>
          <w:b w:val="0"/>
          <w:bCs/>
        </w:rPr>
        <w:t xml:space="preserve"> of the NHS </w:t>
      </w:r>
      <w:r w:rsidR="000F10B8" w:rsidRPr="000C1E64">
        <w:rPr>
          <w:b w:val="0"/>
          <w:bCs/>
        </w:rPr>
        <w:t>capital equi</w:t>
      </w:r>
      <w:r w:rsidR="004A7D66" w:rsidRPr="000C1E64">
        <w:rPr>
          <w:b w:val="0"/>
          <w:bCs/>
        </w:rPr>
        <w:t>pping costs</w:t>
      </w:r>
      <w:r w:rsidR="001D1C20" w:rsidRPr="000C1E64">
        <w:rPr>
          <w:b w:val="0"/>
          <w:bCs/>
        </w:rPr>
        <w:t>.</w:t>
      </w:r>
      <w:r w:rsidR="00AA09BB" w:rsidRPr="000C1E64">
        <w:rPr>
          <w:b w:val="0"/>
          <w:bCs/>
        </w:rPr>
        <w:t xml:space="preserve"> This</w:t>
      </w:r>
      <w:r w:rsidRPr="000C1E64">
        <w:rPr>
          <w:b w:val="0"/>
          <w:bCs/>
        </w:rPr>
        <w:t xml:space="preserve"> clarity </w:t>
      </w:r>
      <w:r w:rsidR="00AA09BB" w:rsidRPr="000C1E64">
        <w:rPr>
          <w:b w:val="0"/>
          <w:bCs/>
        </w:rPr>
        <w:t>is important in respect of the approvals sought from each of the stakeholders.</w:t>
      </w:r>
      <w:r w:rsidR="00BB42E4">
        <w:rPr>
          <w:b w:val="0"/>
          <w:bCs/>
        </w:rPr>
        <w:t xml:space="preserve"> T</w:t>
      </w:r>
      <w:r w:rsidR="00AA09BB" w:rsidRPr="000C1E64">
        <w:rPr>
          <w:b w:val="0"/>
          <w:bCs/>
        </w:rPr>
        <w:t xml:space="preserve">he primary areas of decision-making/approvals for each stakeholder </w:t>
      </w:r>
      <w:proofErr w:type="gramStart"/>
      <w:r w:rsidR="00AA09BB" w:rsidRPr="000C1E64">
        <w:rPr>
          <w:b w:val="0"/>
          <w:bCs/>
        </w:rPr>
        <w:t>is:-</w:t>
      </w:r>
      <w:proofErr w:type="gramEnd"/>
    </w:p>
    <w:p w14:paraId="22EBDE32" w14:textId="77777777" w:rsidR="0011034F" w:rsidRPr="004D5E9F" w:rsidRDefault="0011034F" w:rsidP="000C1E64">
      <w:pPr>
        <w:pStyle w:val="ListParagraph"/>
        <w:numPr>
          <w:ilvl w:val="0"/>
          <w:numId w:val="6"/>
        </w:numPr>
        <w:ind w:left="1276" w:hanging="425"/>
        <w:jc w:val="both"/>
        <w:textAlignment w:val="baseline"/>
        <w:rPr>
          <w:rFonts w:cs="Arial"/>
          <w:b w:val="0"/>
          <w:bCs/>
        </w:rPr>
      </w:pPr>
      <w:r w:rsidRPr="004D5E9F">
        <w:rPr>
          <w:rFonts w:cs="Arial"/>
          <w:b w:val="0"/>
          <w:bCs/>
        </w:rPr>
        <w:t xml:space="preserve">Trust: </w:t>
      </w:r>
      <w:r w:rsidR="00D94C27" w:rsidRPr="004D5E9F">
        <w:rPr>
          <w:rFonts w:cs="Arial"/>
          <w:b w:val="0"/>
          <w:bCs/>
        </w:rPr>
        <w:t>overall approval including</w:t>
      </w:r>
      <w:r w:rsidRPr="004D5E9F">
        <w:rPr>
          <w:rFonts w:cs="Arial"/>
          <w:b w:val="0"/>
          <w:bCs/>
        </w:rPr>
        <w:t xml:space="preserve"> </w:t>
      </w:r>
      <w:r w:rsidR="00F253D5" w:rsidRPr="004D5E9F">
        <w:rPr>
          <w:rFonts w:cs="Arial"/>
          <w:b w:val="0"/>
          <w:bCs/>
        </w:rPr>
        <w:t>PA</w:t>
      </w:r>
      <w:r w:rsidRPr="004D5E9F">
        <w:rPr>
          <w:rFonts w:cs="Arial"/>
          <w:b w:val="0"/>
          <w:bCs/>
        </w:rPr>
        <w:t xml:space="preserve"> (commercial aspects); </w:t>
      </w:r>
      <w:r w:rsidR="00F253D5" w:rsidRPr="004D5E9F">
        <w:rPr>
          <w:rFonts w:cs="Arial"/>
          <w:b w:val="0"/>
          <w:bCs/>
        </w:rPr>
        <w:t>capital costs,</w:t>
      </w:r>
      <w:r w:rsidRPr="004D5E9F">
        <w:rPr>
          <w:rFonts w:cs="Arial"/>
          <w:b w:val="0"/>
          <w:bCs/>
        </w:rPr>
        <w:t xml:space="preserve"> revenue costs</w:t>
      </w:r>
      <w:r w:rsidR="00D94C27" w:rsidRPr="004D5E9F">
        <w:rPr>
          <w:rFonts w:cs="Arial"/>
          <w:b w:val="0"/>
          <w:bCs/>
        </w:rPr>
        <w:t>, management arrangements</w:t>
      </w:r>
      <w:r w:rsidR="00F253D5" w:rsidRPr="004D5E9F">
        <w:rPr>
          <w:rFonts w:cs="Arial"/>
          <w:b w:val="0"/>
          <w:bCs/>
        </w:rPr>
        <w:t xml:space="preserve"> and retained risk as the contracting party</w:t>
      </w:r>
      <w:r w:rsidRPr="004D5E9F">
        <w:rPr>
          <w:rFonts w:cs="Arial"/>
          <w:b w:val="0"/>
          <w:bCs/>
        </w:rPr>
        <w:t>.</w:t>
      </w:r>
    </w:p>
    <w:p w14:paraId="4DB7D6D1" w14:textId="77777777" w:rsidR="00AA09BB" w:rsidRPr="004D5E9F" w:rsidRDefault="0011034F" w:rsidP="000C1E64">
      <w:pPr>
        <w:pStyle w:val="ListParagraph"/>
        <w:numPr>
          <w:ilvl w:val="0"/>
          <w:numId w:val="6"/>
        </w:numPr>
        <w:ind w:left="1276" w:hanging="425"/>
        <w:jc w:val="both"/>
        <w:textAlignment w:val="baseline"/>
        <w:rPr>
          <w:rFonts w:cs="Arial"/>
          <w:b w:val="0"/>
          <w:bCs/>
        </w:rPr>
      </w:pPr>
      <w:r w:rsidRPr="004D5E9F">
        <w:rPr>
          <w:rFonts w:cs="Arial"/>
          <w:b w:val="0"/>
          <w:bCs/>
        </w:rPr>
        <w:t xml:space="preserve">Trust/Local Health Boards: </w:t>
      </w:r>
      <w:r w:rsidR="00F253D5" w:rsidRPr="004D5E9F">
        <w:rPr>
          <w:rFonts w:cs="Arial"/>
          <w:b w:val="0"/>
          <w:bCs/>
        </w:rPr>
        <w:t>Identified</w:t>
      </w:r>
      <w:r w:rsidR="00A662FE" w:rsidRPr="000C1E64">
        <w:rPr>
          <w:rFonts w:cs="Arial"/>
          <w:b w:val="0"/>
          <w:bCs/>
        </w:rPr>
        <w:t xml:space="preserve"> </w:t>
      </w:r>
      <w:r w:rsidRPr="004D5E9F">
        <w:rPr>
          <w:rFonts w:cs="Arial"/>
          <w:b w:val="0"/>
          <w:bCs/>
        </w:rPr>
        <w:t>r</w:t>
      </w:r>
      <w:r w:rsidR="00AA09BB" w:rsidRPr="004D5E9F">
        <w:rPr>
          <w:rFonts w:cs="Arial"/>
          <w:b w:val="0"/>
          <w:bCs/>
        </w:rPr>
        <w:t xml:space="preserve">evenue </w:t>
      </w:r>
      <w:r w:rsidR="00D94C27" w:rsidRPr="004D5E9F">
        <w:rPr>
          <w:rFonts w:cs="Arial"/>
          <w:b w:val="0"/>
          <w:bCs/>
        </w:rPr>
        <w:t>investment</w:t>
      </w:r>
      <w:r w:rsidR="00AA09BB" w:rsidRPr="004D5E9F">
        <w:rPr>
          <w:rFonts w:cs="Arial"/>
          <w:b w:val="0"/>
          <w:bCs/>
        </w:rPr>
        <w:t xml:space="preserve"> (</w:t>
      </w:r>
      <w:r w:rsidR="00F253D5" w:rsidRPr="004D5E9F">
        <w:rPr>
          <w:rFonts w:cs="Arial"/>
          <w:b w:val="0"/>
          <w:bCs/>
        </w:rPr>
        <w:t>recurring and non-recurring</w:t>
      </w:r>
      <w:r w:rsidRPr="004D5E9F">
        <w:rPr>
          <w:rFonts w:cs="Arial"/>
          <w:b w:val="0"/>
          <w:bCs/>
        </w:rPr>
        <w:t xml:space="preserve">). </w:t>
      </w:r>
    </w:p>
    <w:p w14:paraId="20B8E1AD" w14:textId="77777777" w:rsidR="00AA09BB" w:rsidRPr="004D5E9F" w:rsidRDefault="00AA09BB" w:rsidP="000C1E64">
      <w:pPr>
        <w:pStyle w:val="ListParagraph"/>
        <w:numPr>
          <w:ilvl w:val="0"/>
          <w:numId w:val="6"/>
        </w:numPr>
        <w:ind w:left="1276" w:hanging="425"/>
        <w:jc w:val="both"/>
        <w:textAlignment w:val="baseline"/>
        <w:rPr>
          <w:rFonts w:cs="Arial"/>
          <w:b w:val="0"/>
          <w:bCs/>
        </w:rPr>
      </w:pPr>
      <w:r w:rsidRPr="004D5E9F">
        <w:rPr>
          <w:rFonts w:cs="Arial"/>
          <w:b w:val="0"/>
          <w:bCs/>
        </w:rPr>
        <w:t>Welsh Government</w:t>
      </w:r>
      <w:r w:rsidR="0011034F" w:rsidRPr="004D5E9F">
        <w:rPr>
          <w:rFonts w:cs="Arial"/>
          <w:b w:val="0"/>
          <w:bCs/>
        </w:rPr>
        <w:t xml:space="preserve">: </w:t>
      </w:r>
      <w:r w:rsidR="00F253D5" w:rsidRPr="004D5E9F">
        <w:rPr>
          <w:rFonts w:cs="Arial"/>
          <w:b w:val="0"/>
          <w:bCs/>
        </w:rPr>
        <w:t xml:space="preserve">Treasury </w:t>
      </w:r>
      <w:r w:rsidR="0011034F" w:rsidRPr="004D5E9F">
        <w:rPr>
          <w:rFonts w:cs="Arial"/>
          <w:b w:val="0"/>
          <w:bCs/>
        </w:rPr>
        <w:t xml:space="preserve">all </w:t>
      </w:r>
      <w:r w:rsidRPr="004D5E9F">
        <w:rPr>
          <w:rFonts w:cs="Arial"/>
          <w:b w:val="0"/>
          <w:bCs/>
        </w:rPr>
        <w:t xml:space="preserve">matters relating to the Annual Service Payment and </w:t>
      </w:r>
      <w:r w:rsidR="00F253D5" w:rsidRPr="004D5E9F">
        <w:rPr>
          <w:rFonts w:cs="Arial"/>
          <w:b w:val="0"/>
          <w:bCs/>
        </w:rPr>
        <w:t xml:space="preserve">Health Department all matters relating to NHS </w:t>
      </w:r>
      <w:r w:rsidRPr="004D5E9F">
        <w:rPr>
          <w:rFonts w:cs="Arial"/>
          <w:b w:val="0"/>
          <w:bCs/>
        </w:rPr>
        <w:t>Capital Equipping Costs.</w:t>
      </w:r>
    </w:p>
    <w:p w14:paraId="6FB663D7" w14:textId="77777777" w:rsidR="00AA09BB" w:rsidRDefault="00AA09BB" w:rsidP="00184641">
      <w:pPr>
        <w:ind w:left="720" w:hanging="720"/>
        <w:textAlignment w:val="baseline"/>
        <w:rPr>
          <w:rFonts w:cs="Arial"/>
        </w:rPr>
      </w:pPr>
    </w:p>
    <w:p w14:paraId="43211F93" w14:textId="77777777" w:rsidR="0011034F" w:rsidRDefault="0011034F" w:rsidP="00360021">
      <w:pPr>
        <w:ind w:left="851" w:hanging="851"/>
        <w:textAlignment w:val="baseline"/>
        <w:rPr>
          <w:rFonts w:cs="Arial"/>
        </w:rPr>
      </w:pPr>
      <w:r>
        <w:rPr>
          <w:rFonts w:cs="Arial"/>
        </w:rPr>
        <w:t>2.</w:t>
      </w:r>
      <w:r w:rsidR="004D5E9F">
        <w:rPr>
          <w:rFonts w:cs="Arial"/>
        </w:rPr>
        <w:t>6</w:t>
      </w:r>
      <w:r>
        <w:rPr>
          <w:rFonts w:cs="Arial"/>
        </w:rPr>
        <w:tab/>
      </w:r>
      <w:r w:rsidR="00AA09BB">
        <w:rPr>
          <w:rFonts w:cs="Arial"/>
        </w:rPr>
        <w:t>The Local Health Boards have agreed the scope</w:t>
      </w:r>
      <w:r w:rsidR="00D94C27">
        <w:rPr>
          <w:rFonts w:cs="Arial"/>
        </w:rPr>
        <w:t xml:space="preserve"> of, and approach to, investment in</w:t>
      </w:r>
      <w:r w:rsidR="00AA09BB">
        <w:rPr>
          <w:rFonts w:cs="Arial"/>
        </w:rPr>
        <w:t xml:space="preserve"> the nVCC (</w:t>
      </w:r>
      <w:r w:rsidR="0081088F">
        <w:rPr>
          <w:rFonts w:cs="Arial"/>
        </w:rPr>
        <w:t>e.g.,</w:t>
      </w:r>
      <w:r w:rsidR="00AA09BB">
        <w:rPr>
          <w:rFonts w:cs="Arial"/>
        </w:rPr>
        <w:t xml:space="preserve"> increased cleaning costs of a bigger floor area</w:t>
      </w:r>
      <w:r w:rsidR="004A7D66">
        <w:rPr>
          <w:rFonts w:cs="Arial"/>
        </w:rPr>
        <w:t>, and the costs of transition</w:t>
      </w:r>
      <w:r w:rsidR="00AA09BB">
        <w:rPr>
          <w:rFonts w:cs="Arial"/>
        </w:rPr>
        <w:t xml:space="preserve">) </w:t>
      </w:r>
      <w:r w:rsidR="00D94C27">
        <w:rPr>
          <w:rFonts w:cs="Arial"/>
        </w:rPr>
        <w:t>within the OBC. The OBC also set down</w:t>
      </w:r>
      <w:r w:rsidR="00A662FE">
        <w:rPr>
          <w:rFonts w:cs="Arial"/>
        </w:rPr>
        <w:t xml:space="preserve"> </w:t>
      </w:r>
      <w:r w:rsidR="00AA09BB">
        <w:rPr>
          <w:rFonts w:cs="Arial"/>
        </w:rPr>
        <w:t xml:space="preserve">what </w:t>
      </w:r>
      <w:r w:rsidR="00D94C27">
        <w:rPr>
          <w:rFonts w:cs="Arial"/>
        </w:rPr>
        <w:t>costs are</w:t>
      </w:r>
      <w:r w:rsidR="00AA09BB">
        <w:rPr>
          <w:rFonts w:cs="Arial"/>
        </w:rPr>
        <w:t xml:space="preserve"> outside the scope </w:t>
      </w:r>
      <w:r w:rsidR="00D94C27">
        <w:rPr>
          <w:rFonts w:cs="Arial"/>
        </w:rPr>
        <w:t>of investment (</w:t>
      </w:r>
      <w:r w:rsidR="0081088F">
        <w:rPr>
          <w:rFonts w:cs="Arial"/>
        </w:rPr>
        <w:t>e.g.,</w:t>
      </w:r>
      <w:r w:rsidR="00AA09BB">
        <w:rPr>
          <w:rFonts w:cs="Arial"/>
        </w:rPr>
        <w:t xml:space="preserve"> the commercial deal with the Acorn consortium which is being funded by the Welsh Government</w:t>
      </w:r>
      <w:r w:rsidR="0081088F">
        <w:rPr>
          <w:rFonts w:cs="Arial"/>
        </w:rPr>
        <w:t xml:space="preserve"> (via the ASP)</w:t>
      </w:r>
      <w:r w:rsidR="00AA09BB">
        <w:rPr>
          <w:rFonts w:cs="Arial"/>
        </w:rPr>
        <w:t xml:space="preserve">.  In respect of the </w:t>
      </w:r>
      <w:r w:rsidR="005F7C89">
        <w:rPr>
          <w:rFonts w:cs="Arial"/>
        </w:rPr>
        <w:t xml:space="preserve">commercial </w:t>
      </w:r>
      <w:r w:rsidR="00AA09BB">
        <w:rPr>
          <w:rFonts w:cs="Arial"/>
        </w:rPr>
        <w:t xml:space="preserve">matters within the </w:t>
      </w:r>
      <w:r w:rsidR="000F10B8">
        <w:rPr>
          <w:rFonts w:cs="Arial"/>
        </w:rPr>
        <w:t>C</w:t>
      </w:r>
      <w:r w:rsidR="00AA09BB">
        <w:rPr>
          <w:rFonts w:cs="Arial"/>
        </w:rPr>
        <w:t xml:space="preserve">ommercial </w:t>
      </w:r>
      <w:r w:rsidR="000F10B8">
        <w:rPr>
          <w:rFonts w:cs="Arial"/>
        </w:rPr>
        <w:t>C</w:t>
      </w:r>
      <w:r w:rsidR="00AA09BB">
        <w:rPr>
          <w:rFonts w:cs="Arial"/>
        </w:rPr>
        <w:t>ase</w:t>
      </w:r>
      <w:r w:rsidR="00D94C27">
        <w:rPr>
          <w:rFonts w:cs="Arial"/>
        </w:rPr>
        <w:t>,</w:t>
      </w:r>
      <w:r w:rsidR="00AA09BB">
        <w:rPr>
          <w:rFonts w:cs="Arial"/>
        </w:rPr>
        <w:t xml:space="preserve"> the</w:t>
      </w:r>
      <w:r w:rsidR="00A662FE">
        <w:rPr>
          <w:rFonts w:cs="Arial"/>
        </w:rPr>
        <w:t xml:space="preserve"> </w:t>
      </w:r>
      <w:r w:rsidR="00AA09BB">
        <w:rPr>
          <w:rFonts w:cs="Arial"/>
        </w:rPr>
        <w:t xml:space="preserve">funding position is clear with the Trust </w:t>
      </w:r>
      <w:r w:rsidR="00D94C27">
        <w:rPr>
          <w:rFonts w:cs="Arial"/>
        </w:rPr>
        <w:t xml:space="preserve">planning on investment </w:t>
      </w:r>
      <w:r w:rsidR="00AA09BB">
        <w:rPr>
          <w:rFonts w:cs="Arial"/>
        </w:rPr>
        <w:t>by the Welsh Government</w:t>
      </w:r>
      <w:r w:rsidR="00D94C27">
        <w:rPr>
          <w:rFonts w:cs="Arial"/>
        </w:rPr>
        <w:t xml:space="preserve"> for the ASP</w:t>
      </w:r>
      <w:r w:rsidR="00AA09BB">
        <w:rPr>
          <w:rFonts w:cs="Arial"/>
        </w:rPr>
        <w:t xml:space="preserve">.  </w:t>
      </w:r>
    </w:p>
    <w:p w14:paraId="68C5169A" w14:textId="77777777" w:rsidR="0011034F" w:rsidRDefault="0011034F" w:rsidP="00360021">
      <w:pPr>
        <w:ind w:left="851" w:hanging="851"/>
        <w:textAlignment w:val="baseline"/>
        <w:rPr>
          <w:rFonts w:cs="Arial"/>
        </w:rPr>
      </w:pPr>
    </w:p>
    <w:p w14:paraId="6C0107BB" w14:textId="77777777" w:rsidR="001D1C20" w:rsidRDefault="0011034F" w:rsidP="00360021">
      <w:pPr>
        <w:ind w:left="851" w:hanging="851"/>
        <w:textAlignment w:val="baseline"/>
        <w:rPr>
          <w:rFonts w:cs="Arial"/>
        </w:rPr>
      </w:pPr>
      <w:r>
        <w:rPr>
          <w:rFonts w:cs="Arial"/>
        </w:rPr>
        <w:t>2.</w:t>
      </w:r>
      <w:r w:rsidR="004D5E9F">
        <w:rPr>
          <w:rFonts w:cs="Arial"/>
        </w:rPr>
        <w:t>7</w:t>
      </w:r>
      <w:r>
        <w:rPr>
          <w:rFonts w:cs="Arial"/>
        </w:rPr>
        <w:tab/>
      </w:r>
      <w:r w:rsidR="00AA09BB">
        <w:rPr>
          <w:rFonts w:cs="Arial"/>
        </w:rPr>
        <w:t>Th</w:t>
      </w:r>
      <w:r w:rsidR="00D94C27">
        <w:rPr>
          <w:rFonts w:cs="Arial"/>
        </w:rPr>
        <w:t xml:space="preserve">e funding role of the ASP by the Welsh </w:t>
      </w:r>
      <w:r w:rsidR="00A662FE">
        <w:rPr>
          <w:rFonts w:cs="Arial"/>
        </w:rPr>
        <w:t>Government</w:t>
      </w:r>
      <w:r w:rsidR="00D94C27">
        <w:rPr>
          <w:rFonts w:cs="Arial"/>
        </w:rPr>
        <w:t xml:space="preserve"> is</w:t>
      </w:r>
      <w:r w:rsidR="00BB1691">
        <w:rPr>
          <w:rFonts w:cs="Arial"/>
        </w:rPr>
        <w:t>, we believe,</w:t>
      </w:r>
      <w:r w:rsidR="00AA09BB">
        <w:rPr>
          <w:rFonts w:cs="Arial"/>
        </w:rPr>
        <w:t xml:space="preserve"> important to note</w:t>
      </w:r>
      <w:r w:rsidR="005F7C89">
        <w:rPr>
          <w:rFonts w:cs="Arial"/>
        </w:rPr>
        <w:t>,</w:t>
      </w:r>
      <w:r w:rsidR="00AA09BB">
        <w:rPr>
          <w:rFonts w:cs="Arial"/>
        </w:rPr>
        <w:t xml:space="preserve"> as it </w:t>
      </w:r>
      <w:r w:rsidR="00D94C27">
        <w:rPr>
          <w:rFonts w:cs="Arial"/>
        </w:rPr>
        <w:t>frames</w:t>
      </w:r>
      <w:r w:rsidR="00AA09BB">
        <w:rPr>
          <w:rFonts w:cs="Arial"/>
        </w:rPr>
        <w:t xml:space="preserve"> the </w:t>
      </w:r>
      <w:r w:rsidR="00D94C27">
        <w:rPr>
          <w:rFonts w:cs="Arial"/>
        </w:rPr>
        <w:t xml:space="preserve">approval required on the </w:t>
      </w:r>
      <w:r w:rsidR="00AA09BB">
        <w:rPr>
          <w:rFonts w:cs="Arial"/>
        </w:rPr>
        <w:t xml:space="preserve">four </w:t>
      </w:r>
      <w:r w:rsidR="00D94C27">
        <w:rPr>
          <w:rFonts w:cs="Arial"/>
        </w:rPr>
        <w:t>C</w:t>
      </w:r>
      <w:r w:rsidR="00AA09BB">
        <w:rPr>
          <w:rFonts w:cs="Arial"/>
        </w:rPr>
        <w:t>ases (</w:t>
      </w:r>
      <w:r w:rsidR="005F7C89">
        <w:rPr>
          <w:rFonts w:cs="Arial"/>
        </w:rPr>
        <w:t>S</w:t>
      </w:r>
      <w:r w:rsidR="00AA09BB">
        <w:rPr>
          <w:rFonts w:cs="Arial"/>
        </w:rPr>
        <w:t xml:space="preserve">trategic; </w:t>
      </w:r>
      <w:r w:rsidR="005F7C89">
        <w:rPr>
          <w:rFonts w:cs="Arial"/>
        </w:rPr>
        <w:t>E</w:t>
      </w:r>
      <w:r w:rsidR="00AA09BB">
        <w:rPr>
          <w:rFonts w:cs="Arial"/>
        </w:rPr>
        <w:t xml:space="preserve">conomic; </w:t>
      </w:r>
      <w:r w:rsidR="005F7C89">
        <w:rPr>
          <w:rFonts w:cs="Arial"/>
        </w:rPr>
        <w:t>M</w:t>
      </w:r>
      <w:r w:rsidR="00AA09BB">
        <w:rPr>
          <w:rFonts w:cs="Arial"/>
        </w:rPr>
        <w:t xml:space="preserve">anagement; and </w:t>
      </w:r>
      <w:r w:rsidR="005F7C89">
        <w:rPr>
          <w:rFonts w:cs="Arial"/>
        </w:rPr>
        <w:t>F</w:t>
      </w:r>
      <w:r w:rsidR="00AA09BB">
        <w:rPr>
          <w:rFonts w:cs="Arial"/>
        </w:rPr>
        <w:t>inancial) by</w:t>
      </w:r>
      <w:r w:rsidR="00D94C27">
        <w:rPr>
          <w:rFonts w:cs="Arial"/>
        </w:rPr>
        <w:t xml:space="preserve"> commissioning</w:t>
      </w:r>
      <w:r w:rsidR="00AA09BB">
        <w:rPr>
          <w:rFonts w:cs="Arial"/>
        </w:rPr>
        <w:t xml:space="preserve"> Local Health Bo</w:t>
      </w:r>
      <w:r>
        <w:rPr>
          <w:rFonts w:cs="Arial"/>
        </w:rPr>
        <w:t>ard</w:t>
      </w:r>
      <w:r w:rsidR="00D94C27">
        <w:rPr>
          <w:rFonts w:cs="Arial"/>
        </w:rPr>
        <w:t>s.</w:t>
      </w:r>
      <w:r w:rsidR="00A662FE">
        <w:rPr>
          <w:rFonts w:cs="Arial"/>
        </w:rPr>
        <w:t xml:space="preserve"> </w:t>
      </w:r>
      <w:r w:rsidR="00AB1E2F">
        <w:rPr>
          <w:rFonts w:cs="Arial"/>
        </w:rPr>
        <w:t xml:space="preserve">The Local Health Boards are </w:t>
      </w:r>
      <w:r w:rsidR="00D94C27">
        <w:rPr>
          <w:rFonts w:cs="Arial"/>
        </w:rPr>
        <w:t>not an investment party to any ASP funding requirements</w:t>
      </w:r>
      <w:r w:rsidR="004D5E9F">
        <w:rPr>
          <w:rFonts w:cs="Arial"/>
        </w:rPr>
        <w:t xml:space="preserve"> </w:t>
      </w:r>
      <w:r w:rsidR="00D94C27">
        <w:rPr>
          <w:rFonts w:cs="Arial"/>
        </w:rPr>
        <w:t>that flow from</w:t>
      </w:r>
      <w:r w:rsidR="00AB1E2F">
        <w:rPr>
          <w:rFonts w:cs="Arial"/>
        </w:rPr>
        <w:t xml:space="preserve"> the commercial </w:t>
      </w:r>
      <w:r w:rsidR="00D94C27">
        <w:rPr>
          <w:rFonts w:cs="Arial"/>
        </w:rPr>
        <w:t>arrangements with ACORN as set down in any Commercial Case.</w:t>
      </w:r>
    </w:p>
    <w:p w14:paraId="7E927F73" w14:textId="77777777" w:rsidR="00AA09BB" w:rsidRDefault="00AA09BB" w:rsidP="00360021">
      <w:pPr>
        <w:ind w:left="851" w:hanging="851"/>
        <w:textAlignment w:val="baseline"/>
        <w:rPr>
          <w:rFonts w:cs="Arial"/>
        </w:rPr>
      </w:pPr>
    </w:p>
    <w:p w14:paraId="55305BFB" w14:textId="483DED03" w:rsidR="001B723F" w:rsidRDefault="001D1C20" w:rsidP="00360021">
      <w:pPr>
        <w:ind w:left="851" w:hanging="851"/>
        <w:textAlignment w:val="baseline"/>
        <w:rPr>
          <w:rFonts w:cs="Arial"/>
        </w:rPr>
      </w:pPr>
      <w:r>
        <w:rPr>
          <w:rFonts w:cs="Arial"/>
        </w:rPr>
        <w:t>2.</w:t>
      </w:r>
      <w:r w:rsidR="004D5E9F">
        <w:rPr>
          <w:rFonts w:cs="Arial"/>
        </w:rPr>
        <w:t>8</w:t>
      </w:r>
      <w:r>
        <w:rPr>
          <w:rFonts w:cs="Arial"/>
        </w:rPr>
        <w:tab/>
      </w:r>
      <w:r w:rsidR="001B723F">
        <w:rPr>
          <w:rFonts w:cs="Arial"/>
        </w:rPr>
        <w:t>A</w:t>
      </w:r>
      <w:r w:rsidR="008C5EBD">
        <w:rPr>
          <w:rFonts w:cs="Arial"/>
        </w:rPr>
        <w:t xml:space="preserve"> </w:t>
      </w:r>
      <w:r w:rsidR="0011034F">
        <w:rPr>
          <w:rFonts w:cs="Arial"/>
        </w:rPr>
        <w:t>two-</w:t>
      </w:r>
      <w:r w:rsidR="008C5EBD">
        <w:rPr>
          <w:rFonts w:cs="Arial"/>
        </w:rPr>
        <w:t>staged approach to FBC approval</w:t>
      </w:r>
      <w:r w:rsidR="0011034F">
        <w:rPr>
          <w:rFonts w:cs="Arial"/>
        </w:rPr>
        <w:t xml:space="preserve"> has been discussed</w:t>
      </w:r>
      <w:r w:rsidR="001B723F">
        <w:rPr>
          <w:rFonts w:cs="Arial"/>
        </w:rPr>
        <w:t xml:space="preserve"> </w:t>
      </w:r>
      <w:r w:rsidR="0011034F">
        <w:rPr>
          <w:rFonts w:cs="Arial"/>
        </w:rPr>
        <w:t xml:space="preserve">with </w:t>
      </w:r>
      <w:r w:rsidR="00D94C27">
        <w:rPr>
          <w:rFonts w:cs="Arial"/>
        </w:rPr>
        <w:t>Welsh</w:t>
      </w:r>
      <w:r w:rsidR="00033E3A">
        <w:rPr>
          <w:rFonts w:cs="Arial"/>
        </w:rPr>
        <w:t xml:space="preserve"> Govern</w:t>
      </w:r>
      <w:r w:rsidR="00D94C27">
        <w:rPr>
          <w:rFonts w:cs="Arial"/>
        </w:rPr>
        <w:t xml:space="preserve">ment and </w:t>
      </w:r>
      <w:r w:rsidR="0011034F">
        <w:rPr>
          <w:rFonts w:cs="Arial"/>
        </w:rPr>
        <w:t>the Local Health Boards</w:t>
      </w:r>
      <w:r w:rsidR="001B723F">
        <w:rPr>
          <w:rFonts w:cs="Arial"/>
        </w:rPr>
        <w:t>:-</w:t>
      </w:r>
    </w:p>
    <w:p w14:paraId="3B459A1B" w14:textId="77777777" w:rsidR="001B723F" w:rsidRDefault="001B723F" w:rsidP="0011034F">
      <w:pPr>
        <w:ind w:left="720" w:hanging="720"/>
        <w:textAlignment w:val="baseline"/>
        <w:rPr>
          <w:rFonts w:cs="Arial"/>
        </w:rPr>
      </w:pPr>
    </w:p>
    <w:p w14:paraId="7835C330" w14:textId="77777777" w:rsidR="0011034F" w:rsidRDefault="001B723F" w:rsidP="00360021">
      <w:pPr>
        <w:ind w:left="2268" w:hanging="1134"/>
        <w:textAlignment w:val="baseline"/>
        <w:rPr>
          <w:rFonts w:cs="Arial"/>
        </w:rPr>
      </w:pPr>
      <w:r w:rsidRPr="00705612">
        <w:rPr>
          <w:rFonts w:cs="Arial"/>
          <w:b/>
          <w:bCs/>
        </w:rPr>
        <w:t>Stage 1</w:t>
      </w:r>
      <w:r>
        <w:rPr>
          <w:rFonts w:cs="Arial"/>
        </w:rPr>
        <w:t xml:space="preserve">: </w:t>
      </w:r>
      <w:r>
        <w:rPr>
          <w:rFonts w:cs="Arial"/>
        </w:rPr>
        <w:tab/>
      </w:r>
      <w:r w:rsidR="0011034F">
        <w:rPr>
          <w:rFonts w:cs="Arial"/>
        </w:rPr>
        <w:t xml:space="preserve">consideration and approval (or </w:t>
      </w:r>
      <w:r>
        <w:rPr>
          <w:rFonts w:cs="Arial"/>
        </w:rPr>
        <w:t>otherwise</w:t>
      </w:r>
      <w:r w:rsidR="0011034F">
        <w:rPr>
          <w:rFonts w:cs="Arial"/>
        </w:rPr>
        <w:t xml:space="preserve">) of the four </w:t>
      </w:r>
      <w:r w:rsidR="00033E3A">
        <w:rPr>
          <w:rFonts w:cs="Arial"/>
        </w:rPr>
        <w:t>C</w:t>
      </w:r>
      <w:r w:rsidR="0011034F">
        <w:rPr>
          <w:rFonts w:cs="Arial"/>
        </w:rPr>
        <w:t>ases (</w:t>
      </w:r>
      <w:r w:rsidR="005F7C89">
        <w:rPr>
          <w:rFonts w:cs="Arial"/>
        </w:rPr>
        <w:t>S</w:t>
      </w:r>
      <w:r w:rsidR="0011034F">
        <w:rPr>
          <w:rFonts w:cs="Arial"/>
        </w:rPr>
        <w:t xml:space="preserve">trategic; </w:t>
      </w:r>
      <w:r w:rsidR="005F7C89">
        <w:rPr>
          <w:rFonts w:cs="Arial"/>
        </w:rPr>
        <w:t>E</w:t>
      </w:r>
      <w:r w:rsidR="0011034F">
        <w:rPr>
          <w:rFonts w:cs="Arial"/>
        </w:rPr>
        <w:t xml:space="preserve">conomic; </w:t>
      </w:r>
      <w:r w:rsidR="005F7C89">
        <w:rPr>
          <w:rFonts w:cs="Arial"/>
        </w:rPr>
        <w:t>M</w:t>
      </w:r>
      <w:r w:rsidR="0011034F">
        <w:rPr>
          <w:rFonts w:cs="Arial"/>
        </w:rPr>
        <w:t xml:space="preserve">anagement; and </w:t>
      </w:r>
      <w:r w:rsidR="005F7C89">
        <w:rPr>
          <w:rFonts w:cs="Arial"/>
        </w:rPr>
        <w:t>F</w:t>
      </w:r>
      <w:r w:rsidR="0011034F">
        <w:rPr>
          <w:rFonts w:cs="Arial"/>
        </w:rPr>
        <w:t xml:space="preserve">inancial) by the Trust and Local Health Boards in February 2023.  </w:t>
      </w:r>
    </w:p>
    <w:p w14:paraId="418E1048" w14:textId="77777777" w:rsidR="001B723F" w:rsidRDefault="001B723F" w:rsidP="00360021">
      <w:pPr>
        <w:ind w:left="2268" w:hanging="1134"/>
        <w:textAlignment w:val="baseline"/>
        <w:rPr>
          <w:rFonts w:cs="Arial"/>
        </w:rPr>
      </w:pPr>
    </w:p>
    <w:p w14:paraId="02138023" w14:textId="77777777" w:rsidR="001B723F" w:rsidRDefault="001B723F" w:rsidP="00360021">
      <w:pPr>
        <w:ind w:left="2268" w:hanging="1134"/>
        <w:textAlignment w:val="baseline"/>
        <w:rPr>
          <w:rFonts w:cs="Arial"/>
        </w:rPr>
      </w:pPr>
      <w:r w:rsidRPr="00705612">
        <w:rPr>
          <w:rFonts w:cs="Arial"/>
          <w:b/>
          <w:bCs/>
        </w:rPr>
        <w:t>Stage 2</w:t>
      </w:r>
      <w:r>
        <w:rPr>
          <w:rFonts w:cs="Arial"/>
        </w:rPr>
        <w:t>:</w:t>
      </w:r>
      <w:r>
        <w:rPr>
          <w:rFonts w:cs="Arial"/>
        </w:rPr>
        <w:tab/>
        <w:t xml:space="preserve">consideration and approval (or otherwise) of the </w:t>
      </w:r>
      <w:r w:rsidR="000F10B8">
        <w:rPr>
          <w:rFonts w:cs="Arial"/>
        </w:rPr>
        <w:t>C</w:t>
      </w:r>
      <w:r>
        <w:rPr>
          <w:rFonts w:cs="Arial"/>
        </w:rPr>
        <w:t xml:space="preserve">ommercial </w:t>
      </w:r>
      <w:r w:rsidR="000F10B8">
        <w:rPr>
          <w:rFonts w:cs="Arial"/>
        </w:rPr>
        <w:t>C</w:t>
      </w:r>
      <w:r>
        <w:rPr>
          <w:rFonts w:cs="Arial"/>
        </w:rPr>
        <w:t>ase by the Trust as soon as possible</w:t>
      </w:r>
      <w:r w:rsidR="00033E3A">
        <w:rPr>
          <w:rFonts w:cs="Arial"/>
        </w:rPr>
        <w:t xml:space="preserve"> and subsequently the Welsh </w:t>
      </w:r>
      <w:r w:rsidR="00A662FE">
        <w:rPr>
          <w:rFonts w:cs="Arial"/>
        </w:rPr>
        <w:t>Government</w:t>
      </w:r>
      <w:r w:rsidR="00033E3A">
        <w:rPr>
          <w:rFonts w:cs="Arial"/>
        </w:rPr>
        <w:t xml:space="preserve"> </w:t>
      </w:r>
      <w:r>
        <w:rPr>
          <w:rFonts w:cs="Arial"/>
        </w:rPr>
        <w:t xml:space="preserve">  </w:t>
      </w:r>
      <w:r w:rsidR="00033E3A">
        <w:rPr>
          <w:rFonts w:cs="Arial"/>
        </w:rPr>
        <w:t xml:space="preserve">At this stage, </w:t>
      </w:r>
      <w:r w:rsidR="00BB42E4">
        <w:rPr>
          <w:rFonts w:cs="Arial"/>
        </w:rPr>
        <w:t>t</w:t>
      </w:r>
      <w:r>
        <w:rPr>
          <w:rFonts w:cs="Arial"/>
        </w:rPr>
        <w:t xml:space="preserve">he Trust </w:t>
      </w:r>
      <w:r w:rsidR="00033E3A">
        <w:rPr>
          <w:rFonts w:cs="Arial"/>
        </w:rPr>
        <w:t>can</w:t>
      </w:r>
      <w:r>
        <w:rPr>
          <w:rFonts w:cs="Arial"/>
        </w:rPr>
        <w:t xml:space="preserve"> provide the Local Health Boards with</w:t>
      </w:r>
      <w:r w:rsidR="00A662FE">
        <w:rPr>
          <w:rFonts w:cs="Arial"/>
        </w:rPr>
        <w:t xml:space="preserve"> </w:t>
      </w:r>
      <w:r>
        <w:rPr>
          <w:rFonts w:cs="Arial"/>
        </w:rPr>
        <w:t>assurance that the commercial</w:t>
      </w:r>
      <w:r w:rsidR="00033E3A">
        <w:rPr>
          <w:rFonts w:cs="Arial"/>
        </w:rPr>
        <w:t xml:space="preserve"> arrangements</w:t>
      </w:r>
      <w:r>
        <w:rPr>
          <w:rFonts w:cs="Arial"/>
        </w:rPr>
        <w:t xml:space="preserve"> (and subsequent Commercial Case) </w:t>
      </w:r>
      <w:r w:rsidR="00033E3A">
        <w:rPr>
          <w:rFonts w:cs="Arial"/>
        </w:rPr>
        <w:t>will be</w:t>
      </w:r>
      <w:r>
        <w:rPr>
          <w:rFonts w:cs="Arial"/>
        </w:rPr>
        <w:t xml:space="preserve"> robust and represent </w:t>
      </w:r>
      <w:r w:rsidR="00033E3A">
        <w:rPr>
          <w:rFonts w:cs="Arial"/>
        </w:rPr>
        <w:t>an acceptable</w:t>
      </w:r>
      <w:r>
        <w:rPr>
          <w:rFonts w:cs="Arial"/>
        </w:rPr>
        <w:t xml:space="preserve"> commercial positio</w:t>
      </w:r>
      <w:r w:rsidR="00033E3A">
        <w:rPr>
          <w:rFonts w:cs="Arial"/>
        </w:rPr>
        <w:t>n.</w:t>
      </w:r>
      <w:r w:rsidR="00BB42E4">
        <w:rPr>
          <w:rFonts w:cs="Arial"/>
        </w:rPr>
        <w:t xml:space="preserve"> </w:t>
      </w:r>
      <w:r>
        <w:rPr>
          <w:rFonts w:cs="Arial"/>
        </w:rPr>
        <w:t xml:space="preserve">This </w:t>
      </w:r>
      <w:r>
        <w:rPr>
          <w:rFonts w:cs="Arial"/>
        </w:rPr>
        <w:lastRenderedPageBreak/>
        <w:t xml:space="preserve">assurance will </w:t>
      </w:r>
      <w:r w:rsidR="00033E3A">
        <w:rPr>
          <w:rFonts w:cs="Arial"/>
        </w:rPr>
        <w:t xml:space="preserve">also </w:t>
      </w:r>
      <w:r>
        <w:rPr>
          <w:rFonts w:cs="Arial"/>
        </w:rPr>
        <w:t xml:space="preserve">be </w:t>
      </w:r>
      <w:r w:rsidR="00033E3A">
        <w:rPr>
          <w:rFonts w:cs="Arial"/>
        </w:rPr>
        <w:t>demonstrated</w:t>
      </w:r>
      <w:r w:rsidR="00DA78F2">
        <w:rPr>
          <w:rFonts w:cs="Arial"/>
        </w:rPr>
        <w:t xml:space="preserve"> </w:t>
      </w:r>
      <w:r w:rsidR="00033E3A">
        <w:rPr>
          <w:rFonts w:cs="Arial"/>
        </w:rPr>
        <w:t xml:space="preserve">through the detailed </w:t>
      </w:r>
      <w:r w:rsidR="00DA78F2">
        <w:rPr>
          <w:rFonts w:cs="Arial"/>
        </w:rPr>
        <w:t xml:space="preserve">governance </w:t>
      </w:r>
      <w:r w:rsidR="00AB1E2F">
        <w:rPr>
          <w:rFonts w:cs="Arial"/>
        </w:rPr>
        <w:t>arrangements</w:t>
      </w:r>
      <w:r w:rsidR="00DA78F2">
        <w:rPr>
          <w:rFonts w:cs="Arial"/>
        </w:rPr>
        <w:t xml:space="preserve"> </w:t>
      </w:r>
      <w:r w:rsidR="00033E3A">
        <w:rPr>
          <w:rFonts w:cs="Arial"/>
        </w:rPr>
        <w:t xml:space="preserve">that </w:t>
      </w:r>
      <w:r w:rsidR="00DA78F2">
        <w:rPr>
          <w:rFonts w:cs="Arial"/>
        </w:rPr>
        <w:t xml:space="preserve">are in place </w:t>
      </w:r>
      <w:r w:rsidR="00033E3A">
        <w:rPr>
          <w:rFonts w:cs="Arial"/>
        </w:rPr>
        <w:t xml:space="preserve">with Welsh Government </w:t>
      </w:r>
      <w:r w:rsidR="00DA78F2">
        <w:rPr>
          <w:rFonts w:cs="Arial"/>
        </w:rPr>
        <w:t>to secure approval</w:t>
      </w:r>
      <w:r w:rsidR="00033E3A">
        <w:rPr>
          <w:rFonts w:cs="Arial"/>
        </w:rPr>
        <w:t>.</w:t>
      </w:r>
    </w:p>
    <w:p w14:paraId="41277A5C" w14:textId="77777777" w:rsidR="008C5EBD" w:rsidRDefault="008C5EBD" w:rsidP="001D1C20">
      <w:pPr>
        <w:ind w:left="720" w:hanging="720"/>
        <w:textAlignment w:val="baseline"/>
        <w:rPr>
          <w:rFonts w:cs="Arial"/>
        </w:rPr>
      </w:pPr>
    </w:p>
    <w:p w14:paraId="228DE561" w14:textId="77777777" w:rsidR="00D4709A" w:rsidRDefault="008C5EBD" w:rsidP="00360021">
      <w:pPr>
        <w:ind w:left="851" w:hanging="851"/>
        <w:textAlignment w:val="baseline"/>
        <w:rPr>
          <w:rFonts w:cs="Arial"/>
        </w:rPr>
      </w:pPr>
      <w:r w:rsidRPr="008C5EBD">
        <w:rPr>
          <w:rFonts w:cs="Arial"/>
        </w:rPr>
        <w:t>2.</w:t>
      </w:r>
      <w:r w:rsidR="004D5E9F">
        <w:rPr>
          <w:rFonts w:cs="Arial"/>
        </w:rPr>
        <w:t>9</w:t>
      </w:r>
      <w:r w:rsidRPr="008C5EBD">
        <w:rPr>
          <w:rFonts w:cs="Arial"/>
        </w:rPr>
        <w:tab/>
      </w:r>
      <w:r>
        <w:rPr>
          <w:rFonts w:cs="Arial"/>
        </w:rPr>
        <w:t xml:space="preserve">The two-stage approval </w:t>
      </w:r>
      <w:r w:rsidR="00033E3A">
        <w:rPr>
          <w:rFonts w:cs="Arial"/>
        </w:rPr>
        <w:t>process enables</w:t>
      </w:r>
      <w:r w:rsidR="00D4709A">
        <w:rPr>
          <w:rFonts w:cs="Arial"/>
        </w:rPr>
        <w:t xml:space="preserve"> </w:t>
      </w:r>
      <w:r w:rsidR="00033E3A">
        <w:rPr>
          <w:rFonts w:cs="Arial"/>
        </w:rPr>
        <w:t>t</w:t>
      </w:r>
      <w:r w:rsidR="005F7C89">
        <w:rPr>
          <w:rFonts w:cs="Arial"/>
        </w:rPr>
        <w:t xml:space="preserve">he Trust </w:t>
      </w:r>
      <w:r w:rsidR="00033E3A">
        <w:rPr>
          <w:rFonts w:cs="Arial"/>
        </w:rPr>
        <w:t xml:space="preserve">to receive </w:t>
      </w:r>
      <w:r w:rsidR="005F7C89">
        <w:rPr>
          <w:rFonts w:cs="Arial"/>
        </w:rPr>
        <w:t xml:space="preserve">formal approval letters from its </w:t>
      </w:r>
      <w:r w:rsidR="00033E3A">
        <w:rPr>
          <w:rFonts w:cs="Arial"/>
        </w:rPr>
        <w:t>C</w:t>
      </w:r>
      <w:r w:rsidR="005F7C89">
        <w:rPr>
          <w:rFonts w:cs="Arial"/>
        </w:rPr>
        <w:t xml:space="preserve">ommissioners, which will be </w:t>
      </w:r>
      <w:r w:rsidR="00033E3A">
        <w:rPr>
          <w:rFonts w:cs="Arial"/>
        </w:rPr>
        <w:t>required</w:t>
      </w:r>
      <w:r w:rsidR="005F7C89">
        <w:rPr>
          <w:rFonts w:cs="Arial"/>
        </w:rPr>
        <w:t xml:space="preserve"> </w:t>
      </w:r>
      <w:r w:rsidR="00033E3A">
        <w:rPr>
          <w:rFonts w:cs="Arial"/>
        </w:rPr>
        <w:t>by</w:t>
      </w:r>
      <w:r w:rsidR="005F7C89">
        <w:rPr>
          <w:rFonts w:cs="Arial"/>
        </w:rPr>
        <w:t xml:space="preserve"> the WG Scrutiny </w:t>
      </w:r>
      <w:r w:rsidR="00033E3A">
        <w:rPr>
          <w:rFonts w:cs="Arial"/>
        </w:rPr>
        <w:t xml:space="preserve">and approval </w:t>
      </w:r>
      <w:r w:rsidR="005F7C89">
        <w:rPr>
          <w:rFonts w:cs="Arial"/>
        </w:rPr>
        <w:t>process.</w:t>
      </w:r>
    </w:p>
    <w:p w14:paraId="38A58F6F" w14:textId="77777777" w:rsidR="00D4709A" w:rsidRDefault="00D4709A" w:rsidP="00360021">
      <w:pPr>
        <w:ind w:left="851" w:hanging="851"/>
        <w:textAlignment w:val="baseline"/>
        <w:rPr>
          <w:rFonts w:cs="Arial"/>
        </w:rPr>
      </w:pPr>
    </w:p>
    <w:p w14:paraId="427C5CF5" w14:textId="77777777" w:rsidR="00D4709A" w:rsidRDefault="00D4709A" w:rsidP="00360021">
      <w:pPr>
        <w:ind w:left="851" w:hanging="851"/>
        <w:textAlignment w:val="baseline"/>
        <w:rPr>
          <w:rFonts w:cs="Arial"/>
        </w:rPr>
      </w:pPr>
      <w:r>
        <w:rPr>
          <w:rFonts w:cs="Arial"/>
        </w:rPr>
        <w:t>2.</w:t>
      </w:r>
      <w:r w:rsidR="004D5E9F">
        <w:rPr>
          <w:rFonts w:cs="Arial"/>
        </w:rPr>
        <w:t>10</w:t>
      </w:r>
      <w:r>
        <w:rPr>
          <w:rFonts w:cs="Arial"/>
        </w:rPr>
        <w:tab/>
      </w:r>
      <w:r w:rsidR="00033E3A">
        <w:rPr>
          <w:rFonts w:cs="Arial"/>
        </w:rPr>
        <w:t>This process</w:t>
      </w:r>
      <w:r>
        <w:rPr>
          <w:rFonts w:cs="Arial"/>
        </w:rPr>
        <w:t xml:space="preserve"> also </w:t>
      </w:r>
      <w:r w:rsidR="00033E3A">
        <w:rPr>
          <w:rFonts w:cs="Arial"/>
        </w:rPr>
        <w:t>facilitates</w:t>
      </w:r>
      <w:r w:rsidR="00A662FE">
        <w:rPr>
          <w:rFonts w:cs="Arial"/>
        </w:rPr>
        <w:t xml:space="preserve"> </w:t>
      </w:r>
      <w:r w:rsidR="00033E3A">
        <w:rPr>
          <w:rFonts w:cs="Arial"/>
        </w:rPr>
        <w:t>the</w:t>
      </w:r>
      <w:r w:rsidR="00A662FE">
        <w:rPr>
          <w:rFonts w:cs="Arial"/>
        </w:rPr>
        <w:t xml:space="preserve"> </w:t>
      </w:r>
      <w:r>
        <w:rPr>
          <w:rFonts w:cs="Arial"/>
        </w:rPr>
        <w:t>external assurance reviews required (Gateway 4 and a Commercial A</w:t>
      </w:r>
      <w:r w:rsidR="000F5FDD">
        <w:rPr>
          <w:rFonts w:cs="Arial"/>
        </w:rPr>
        <w:t>pproval</w:t>
      </w:r>
      <w:r>
        <w:rPr>
          <w:rFonts w:cs="Arial"/>
        </w:rPr>
        <w:t xml:space="preserve"> Point</w:t>
      </w:r>
      <w:r w:rsidR="000F5FDD">
        <w:rPr>
          <w:rFonts w:cs="Arial"/>
        </w:rPr>
        <w:t xml:space="preserve"> (CAP)</w:t>
      </w:r>
      <w:r>
        <w:rPr>
          <w:rFonts w:cs="Arial"/>
        </w:rPr>
        <w:t xml:space="preserve"> 5) prior to </w:t>
      </w:r>
      <w:r w:rsidR="00033E3A">
        <w:rPr>
          <w:rFonts w:cs="Arial"/>
        </w:rPr>
        <w:t>WG approval.</w:t>
      </w:r>
    </w:p>
    <w:p w14:paraId="3806EF5B" w14:textId="77777777" w:rsidR="00D4709A" w:rsidRDefault="00D4709A" w:rsidP="00360021">
      <w:pPr>
        <w:ind w:left="851" w:hanging="851"/>
        <w:textAlignment w:val="baseline"/>
        <w:rPr>
          <w:rFonts w:cs="Arial"/>
        </w:rPr>
      </w:pPr>
    </w:p>
    <w:p w14:paraId="7D19536A" w14:textId="77777777" w:rsidR="008C5EBD" w:rsidRDefault="008C5EBD" w:rsidP="008C5EBD">
      <w:pPr>
        <w:ind w:left="720" w:firstLine="131"/>
        <w:textAlignment w:val="baseline"/>
        <w:rPr>
          <w:rFonts w:cs="Arial"/>
        </w:rPr>
      </w:pPr>
      <w:r>
        <w:rPr>
          <w:rFonts w:cs="Arial"/>
          <w:b/>
          <w:bCs/>
        </w:rPr>
        <w:t>D</w:t>
      </w:r>
      <w:r w:rsidR="002B2EFD">
        <w:rPr>
          <w:rFonts w:cs="Arial"/>
          <w:b/>
          <w:bCs/>
        </w:rPr>
        <w:t xml:space="preserve">eveloping the nVCC FBC: </w:t>
      </w:r>
      <w:r w:rsidR="00F548E8">
        <w:rPr>
          <w:rFonts w:cs="Arial"/>
          <w:b/>
          <w:bCs/>
        </w:rPr>
        <w:t xml:space="preserve">updates from OBC to FBC and </w:t>
      </w:r>
      <w:r w:rsidR="002B2EFD">
        <w:rPr>
          <w:rFonts w:cs="Arial"/>
          <w:b/>
          <w:bCs/>
        </w:rPr>
        <w:t>assurance</w:t>
      </w:r>
    </w:p>
    <w:p w14:paraId="4FA21626" w14:textId="77777777" w:rsidR="00F40F21" w:rsidRPr="008C5EBD" w:rsidRDefault="00657F79" w:rsidP="00360021">
      <w:pPr>
        <w:pStyle w:val="ListParagraph"/>
        <w:numPr>
          <w:ilvl w:val="0"/>
          <w:numId w:val="0"/>
        </w:numPr>
        <w:ind w:left="851" w:hanging="851"/>
        <w:jc w:val="both"/>
        <w:textAlignment w:val="baseline"/>
        <w:rPr>
          <w:rFonts w:cs="Arial"/>
          <w:b w:val="0"/>
          <w:bCs/>
        </w:rPr>
      </w:pPr>
      <w:r>
        <w:rPr>
          <w:rFonts w:cs="Arial"/>
          <w:b w:val="0"/>
          <w:bCs/>
        </w:rPr>
        <w:t>2.</w:t>
      </w:r>
      <w:r w:rsidR="004D5E9F">
        <w:rPr>
          <w:rFonts w:cs="Arial"/>
          <w:b w:val="0"/>
          <w:bCs/>
        </w:rPr>
        <w:t>11</w:t>
      </w:r>
      <w:r w:rsidR="00504BCC">
        <w:rPr>
          <w:rFonts w:cs="Arial"/>
          <w:b w:val="0"/>
          <w:bCs/>
        </w:rPr>
        <w:tab/>
      </w:r>
      <w:r w:rsidR="00F40F21" w:rsidRPr="008C5EBD">
        <w:rPr>
          <w:rFonts w:cs="Arial"/>
          <w:b w:val="0"/>
          <w:bCs/>
        </w:rPr>
        <w:t>Th</w:t>
      </w:r>
      <w:r w:rsidR="00F40F21">
        <w:rPr>
          <w:rFonts w:cs="Arial"/>
          <w:b w:val="0"/>
          <w:bCs/>
        </w:rPr>
        <w:t xml:space="preserve">e </w:t>
      </w:r>
      <w:r w:rsidR="00F40F21" w:rsidRPr="008C5EBD">
        <w:rPr>
          <w:rFonts w:cs="Arial"/>
          <w:b w:val="0"/>
          <w:bCs/>
        </w:rPr>
        <w:t xml:space="preserve">FBC </w:t>
      </w:r>
      <w:r w:rsidR="00F40F21">
        <w:rPr>
          <w:rFonts w:cs="Arial"/>
          <w:b w:val="0"/>
          <w:bCs/>
        </w:rPr>
        <w:t xml:space="preserve">has been developed following the </w:t>
      </w:r>
      <w:r w:rsidR="00F40F21" w:rsidRPr="008C5EBD">
        <w:rPr>
          <w:rFonts w:cs="Arial"/>
          <w:b w:val="0"/>
          <w:bCs/>
        </w:rPr>
        <w:t xml:space="preserve">Treasury Green Book and Better Business Case Guidance for </w:t>
      </w:r>
      <w:r w:rsidR="00F40F21">
        <w:rPr>
          <w:rFonts w:cs="Arial"/>
          <w:b w:val="0"/>
          <w:bCs/>
        </w:rPr>
        <w:t xml:space="preserve">Public Sector </w:t>
      </w:r>
      <w:r w:rsidR="00F40F21" w:rsidRPr="008C5EBD">
        <w:rPr>
          <w:rFonts w:cs="Arial"/>
          <w:b w:val="0"/>
          <w:bCs/>
        </w:rPr>
        <w:t>Projects</w:t>
      </w:r>
      <w:r w:rsidR="00504BCC">
        <w:rPr>
          <w:rFonts w:cs="Arial"/>
          <w:b w:val="0"/>
          <w:bCs/>
        </w:rPr>
        <w:t>.</w:t>
      </w:r>
      <w:r w:rsidR="004D5E9F">
        <w:rPr>
          <w:rFonts w:cs="Arial"/>
          <w:b w:val="0"/>
          <w:bCs/>
        </w:rPr>
        <w:t xml:space="preserve"> </w:t>
      </w:r>
      <w:r w:rsidR="00504BCC" w:rsidRPr="008C5EBD">
        <w:rPr>
          <w:rFonts w:cs="Arial"/>
          <w:b w:val="0"/>
          <w:bCs/>
        </w:rPr>
        <w:t xml:space="preserve">The </w:t>
      </w:r>
      <w:r w:rsidR="00504BCC">
        <w:rPr>
          <w:rFonts w:cs="Arial"/>
          <w:b w:val="0"/>
          <w:bCs/>
        </w:rPr>
        <w:t xml:space="preserve">four </w:t>
      </w:r>
      <w:r w:rsidR="00664FD8">
        <w:rPr>
          <w:rFonts w:cs="Arial"/>
          <w:b w:val="0"/>
          <w:bCs/>
        </w:rPr>
        <w:t>C</w:t>
      </w:r>
      <w:r w:rsidR="00504BCC">
        <w:rPr>
          <w:rFonts w:cs="Arial"/>
          <w:b w:val="0"/>
          <w:bCs/>
        </w:rPr>
        <w:t>ases (</w:t>
      </w:r>
      <w:r w:rsidR="005F7C89">
        <w:rPr>
          <w:rFonts w:cs="Arial"/>
          <w:b w:val="0"/>
          <w:bCs/>
        </w:rPr>
        <w:t>S</w:t>
      </w:r>
      <w:r w:rsidR="00504BCC">
        <w:rPr>
          <w:rFonts w:cs="Arial"/>
          <w:b w:val="0"/>
          <w:bCs/>
        </w:rPr>
        <w:t xml:space="preserve">trategic, </w:t>
      </w:r>
      <w:r w:rsidR="005F7C89">
        <w:rPr>
          <w:rFonts w:cs="Arial"/>
          <w:b w:val="0"/>
          <w:bCs/>
        </w:rPr>
        <w:t>E</w:t>
      </w:r>
      <w:r w:rsidR="00504BCC">
        <w:rPr>
          <w:rFonts w:cs="Arial"/>
          <w:b w:val="0"/>
          <w:bCs/>
        </w:rPr>
        <w:t xml:space="preserve">conomic, </w:t>
      </w:r>
      <w:r w:rsidR="005F7C89">
        <w:rPr>
          <w:rFonts w:cs="Arial"/>
          <w:b w:val="0"/>
          <w:bCs/>
        </w:rPr>
        <w:t>M</w:t>
      </w:r>
      <w:r w:rsidR="00504BCC">
        <w:rPr>
          <w:rFonts w:cs="Arial"/>
          <w:b w:val="0"/>
          <w:bCs/>
        </w:rPr>
        <w:t xml:space="preserve">anagement and </w:t>
      </w:r>
      <w:r w:rsidR="005F7C89">
        <w:rPr>
          <w:rFonts w:cs="Arial"/>
          <w:b w:val="0"/>
          <w:bCs/>
        </w:rPr>
        <w:t>F</w:t>
      </w:r>
      <w:r w:rsidR="00504BCC">
        <w:rPr>
          <w:rFonts w:cs="Arial"/>
          <w:b w:val="0"/>
          <w:bCs/>
        </w:rPr>
        <w:t>inancial) are</w:t>
      </w:r>
      <w:r w:rsidR="00504BCC" w:rsidRPr="008C5EBD">
        <w:rPr>
          <w:rFonts w:cs="Arial"/>
          <w:b w:val="0"/>
          <w:bCs/>
        </w:rPr>
        <w:t xml:space="preserve"> </w:t>
      </w:r>
      <w:r w:rsidR="00504BCC">
        <w:rPr>
          <w:rFonts w:cs="Arial"/>
          <w:b w:val="0"/>
          <w:bCs/>
        </w:rPr>
        <w:t xml:space="preserve">set out in Annexes 1 – 4. </w:t>
      </w:r>
      <w:r w:rsidR="005F7C89">
        <w:rPr>
          <w:rFonts w:cs="Arial"/>
          <w:b w:val="0"/>
          <w:bCs/>
        </w:rPr>
        <w:t>A summary of e</w:t>
      </w:r>
      <w:r w:rsidR="00504BCC">
        <w:rPr>
          <w:rFonts w:cs="Arial"/>
          <w:b w:val="0"/>
          <w:bCs/>
        </w:rPr>
        <w:t xml:space="preserve">ach of the cases is set out below, together with the key issues contained within them and </w:t>
      </w:r>
      <w:r w:rsidR="005F7C89">
        <w:rPr>
          <w:rFonts w:cs="Arial"/>
          <w:b w:val="0"/>
          <w:bCs/>
        </w:rPr>
        <w:t xml:space="preserve">the </w:t>
      </w:r>
      <w:r w:rsidR="00504BCC">
        <w:rPr>
          <w:rFonts w:cs="Arial"/>
          <w:b w:val="0"/>
          <w:bCs/>
        </w:rPr>
        <w:t xml:space="preserve">levels of assurance for each (using the Treasury Green Book checklist).  </w:t>
      </w:r>
    </w:p>
    <w:p w14:paraId="18388766" w14:textId="77777777" w:rsidR="00F40F21" w:rsidRPr="00132E87" w:rsidRDefault="00F40F21" w:rsidP="005F7C89">
      <w:pPr>
        <w:pStyle w:val="ListParagraph"/>
        <w:numPr>
          <w:ilvl w:val="0"/>
          <w:numId w:val="5"/>
        </w:numPr>
        <w:ind w:left="851" w:hanging="851"/>
        <w:textAlignment w:val="baseline"/>
        <w:rPr>
          <w:rFonts w:cs="Arial"/>
          <w:u w:val="single"/>
        </w:rPr>
      </w:pPr>
      <w:r w:rsidRPr="00132E87">
        <w:rPr>
          <w:rFonts w:cs="Arial"/>
          <w:u w:val="single"/>
        </w:rPr>
        <w:t>Strategic Case</w:t>
      </w:r>
    </w:p>
    <w:p w14:paraId="4BAF147E" w14:textId="77777777" w:rsidR="00504BCC" w:rsidRDefault="00504BCC" w:rsidP="00504BCC">
      <w:pPr>
        <w:textAlignment w:val="baseline"/>
        <w:rPr>
          <w:rFonts w:cs="Arial"/>
          <w:bCs/>
        </w:rPr>
      </w:pPr>
    </w:p>
    <w:p w14:paraId="16B207B5" w14:textId="77777777" w:rsidR="00956127" w:rsidRDefault="00657F79" w:rsidP="00115193">
      <w:pPr>
        <w:ind w:left="851" w:hanging="851"/>
        <w:textAlignment w:val="baseline"/>
        <w:rPr>
          <w:rFonts w:cs="Arial"/>
          <w:bCs/>
        </w:rPr>
      </w:pPr>
      <w:r>
        <w:rPr>
          <w:rFonts w:cs="Arial"/>
          <w:bCs/>
        </w:rPr>
        <w:t>2</w:t>
      </w:r>
      <w:r w:rsidR="00504BCC">
        <w:rPr>
          <w:rFonts w:cs="Arial"/>
          <w:bCs/>
        </w:rPr>
        <w:t>.</w:t>
      </w:r>
      <w:r w:rsidR="006E5EBC">
        <w:rPr>
          <w:rFonts w:cs="Arial"/>
          <w:bCs/>
        </w:rPr>
        <w:t>1</w:t>
      </w:r>
      <w:r w:rsidR="00E244C5">
        <w:rPr>
          <w:rFonts w:cs="Arial"/>
          <w:bCs/>
        </w:rPr>
        <w:t>2</w:t>
      </w:r>
      <w:r w:rsidR="00504BCC">
        <w:rPr>
          <w:rFonts w:cs="Arial"/>
          <w:bCs/>
        </w:rPr>
        <w:tab/>
      </w:r>
      <w:r w:rsidR="00F40F21" w:rsidRPr="00504BCC">
        <w:rPr>
          <w:rFonts w:cs="Arial"/>
          <w:bCs/>
        </w:rPr>
        <w:t>Th</w:t>
      </w:r>
      <w:r w:rsidR="00504BCC">
        <w:rPr>
          <w:rFonts w:cs="Arial"/>
          <w:bCs/>
        </w:rPr>
        <w:t xml:space="preserve">e Strategic Case </w:t>
      </w:r>
      <w:r w:rsidR="0065546C">
        <w:rPr>
          <w:rFonts w:cs="Arial"/>
          <w:bCs/>
        </w:rPr>
        <w:t xml:space="preserve">has </w:t>
      </w:r>
      <w:r w:rsidR="00F40F21" w:rsidRPr="00504BCC">
        <w:rPr>
          <w:rFonts w:cs="Arial"/>
          <w:bCs/>
        </w:rPr>
        <w:t xml:space="preserve">been </w:t>
      </w:r>
      <w:r w:rsidR="00504BCC">
        <w:rPr>
          <w:rFonts w:cs="Arial"/>
          <w:bCs/>
        </w:rPr>
        <w:t xml:space="preserve">reviewed and </w:t>
      </w:r>
      <w:r w:rsidR="00F40F21" w:rsidRPr="00504BCC">
        <w:rPr>
          <w:rFonts w:cs="Arial"/>
          <w:bCs/>
        </w:rPr>
        <w:t xml:space="preserve">updated </w:t>
      </w:r>
      <w:r w:rsidR="00504BCC">
        <w:rPr>
          <w:rFonts w:cs="Arial"/>
          <w:bCs/>
        </w:rPr>
        <w:t xml:space="preserve">from the </w:t>
      </w:r>
      <w:r w:rsidR="00F40F21" w:rsidRPr="00504BCC">
        <w:rPr>
          <w:rFonts w:cs="Arial"/>
          <w:bCs/>
        </w:rPr>
        <w:t xml:space="preserve">Outline Business Case </w:t>
      </w:r>
      <w:r w:rsidR="00504BCC">
        <w:rPr>
          <w:rFonts w:cs="Arial"/>
          <w:bCs/>
        </w:rPr>
        <w:t xml:space="preserve">approval in </w:t>
      </w:r>
      <w:r w:rsidR="004D5E9F">
        <w:rPr>
          <w:rFonts w:cs="Arial"/>
          <w:bCs/>
        </w:rPr>
        <w:t>October 2018</w:t>
      </w:r>
      <w:r w:rsidR="00504BCC">
        <w:rPr>
          <w:rFonts w:cs="Arial"/>
          <w:bCs/>
        </w:rPr>
        <w:t>. The key issues and levels of assurance are set out</w:t>
      </w:r>
      <w:r w:rsidR="00115193">
        <w:rPr>
          <w:rFonts w:cs="Arial"/>
          <w:bCs/>
        </w:rPr>
        <w:t xml:space="preserve"> below </w:t>
      </w:r>
      <w:r w:rsidR="00504BCC">
        <w:rPr>
          <w:rFonts w:cs="Arial"/>
          <w:bCs/>
        </w:rPr>
        <w:t>in Table 1</w:t>
      </w:r>
      <w:r w:rsidR="00115193">
        <w:rPr>
          <w:rFonts w:cs="Arial"/>
          <w:bCs/>
        </w:rPr>
        <w:t>:</w:t>
      </w:r>
    </w:p>
    <w:p w14:paraId="46DE6DBD" w14:textId="77777777" w:rsidR="00115193" w:rsidRDefault="00115193" w:rsidP="000C1E64">
      <w:pPr>
        <w:ind w:left="851" w:hanging="851"/>
        <w:textAlignment w:val="baseline"/>
        <w:rPr>
          <w:rFonts w:cs="Arial"/>
          <w:bCs/>
        </w:rPr>
      </w:pPr>
    </w:p>
    <w:p w14:paraId="5E24D455" w14:textId="77777777" w:rsidR="00F40F21" w:rsidRPr="006D7A49" w:rsidRDefault="00504BCC" w:rsidP="000C1E64">
      <w:pPr>
        <w:pStyle w:val="Caption"/>
        <w:keepNext/>
        <w:ind w:left="0" w:firstLine="720"/>
        <w:rPr>
          <w:iCs w:val="0"/>
          <w:color w:val="2F5496"/>
          <w:sz w:val="20"/>
          <w:szCs w:val="20"/>
        </w:rPr>
      </w:pPr>
      <w:r w:rsidRPr="006D7A49">
        <w:rPr>
          <w:iCs w:val="0"/>
          <w:color w:val="2F5496"/>
          <w:sz w:val="20"/>
          <w:szCs w:val="20"/>
        </w:rPr>
        <w:t>Table 1</w:t>
      </w:r>
      <w:r w:rsidR="0081088F" w:rsidRPr="006D7A49">
        <w:rPr>
          <w:iCs w:val="0"/>
          <w:color w:val="2F5496"/>
          <w:sz w:val="20"/>
          <w:szCs w:val="20"/>
        </w:rPr>
        <w:t xml:space="preserve"> – Strategic Case Updates / Assurance</w:t>
      </w:r>
    </w:p>
    <w:tbl>
      <w:tblPr>
        <w:tblStyle w:val="TableGrid"/>
        <w:tblW w:w="8789" w:type="dxa"/>
        <w:tblInd w:w="704" w:type="dxa"/>
        <w:tblLook w:val="04A0" w:firstRow="1" w:lastRow="0" w:firstColumn="1" w:lastColumn="0" w:noHBand="0" w:noVBand="1"/>
      </w:tblPr>
      <w:tblGrid>
        <w:gridCol w:w="2372"/>
        <w:gridCol w:w="4205"/>
        <w:gridCol w:w="2212"/>
      </w:tblGrid>
      <w:tr w:rsidR="00504BCC" w:rsidRPr="00E244C5" w14:paraId="42888BFB" w14:textId="77777777" w:rsidTr="000C1E64">
        <w:tc>
          <w:tcPr>
            <w:tcW w:w="1985" w:type="dxa"/>
            <w:shd w:val="clear" w:color="auto" w:fill="BFBFBF" w:themeFill="background1" w:themeFillShade="BF"/>
            <w:vAlign w:val="center"/>
          </w:tcPr>
          <w:p w14:paraId="45F2B791" w14:textId="77777777" w:rsidR="00504BCC" w:rsidRPr="000C1E64" w:rsidRDefault="00504BCC" w:rsidP="00397DCC">
            <w:pPr>
              <w:pStyle w:val="ListParagraph"/>
              <w:numPr>
                <w:ilvl w:val="0"/>
                <w:numId w:val="0"/>
              </w:numPr>
              <w:textAlignment w:val="baseline"/>
              <w:rPr>
                <w:rFonts w:cs="Arial"/>
                <w:sz w:val="20"/>
                <w:szCs w:val="20"/>
              </w:rPr>
            </w:pPr>
            <w:r w:rsidRPr="000C1E64">
              <w:rPr>
                <w:rFonts w:cs="Arial"/>
                <w:sz w:val="20"/>
                <w:szCs w:val="20"/>
              </w:rPr>
              <w:t>Update</w:t>
            </w:r>
          </w:p>
        </w:tc>
        <w:tc>
          <w:tcPr>
            <w:tcW w:w="4533" w:type="dxa"/>
            <w:shd w:val="clear" w:color="auto" w:fill="BFBFBF" w:themeFill="background1" w:themeFillShade="BF"/>
            <w:vAlign w:val="center"/>
          </w:tcPr>
          <w:p w14:paraId="0B7904BB" w14:textId="77777777" w:rsidR="00504BCC" w:rsidRPr="000C1E64" w:rsidRDefault="00504BCC" w:rsidP="00397DCC">
            <w:pPr>
              <w:pStyle w:val="ListParagraph"/>
              <w:numPr>
                <w:ilvl w:val="0"/>
                <w:numId w:val="0"/>
              </w:numPr>
              <w:jc w:val="center"/>
              <w:textAlignment w:val="baseline"/>
              <w:rPr>
                <w:rFonts w:cs="Arial"/>
                <w:sz w:val="20"/>
                <w:szCs w:val="20"/>
              </w:rPr>
            </w:pPr>
            <w:r w:rsidRPr="000C1E64">
              <w:rPr>
                <w:rFonts w:cs="Arial"/>
                <w:sz w:val="20"/>
                <w:szCs w:val="20"/>
              </w:rPr>
              <w:t>Activity between OBC &amp; FBC</w:t>
            </w:r>
          </w:p>
        </w:tc>
        <w:tc>
          <w:tcPr>
            <w:tcW w:w="2271" w:type="dxa"/>
            <w:shd w:val="clear" w:color="auto" w:fill="BFBFBF" w:themeFill="background1" w:themeFillShade="BF"/>
          </w:tcPr>
          <w:p w14:paraId="3CB71F40" w14:textId="77777777" w:rsidR="00504BCC" w:rsidRPr="000C1E64" w:rsidRDefault="00504BCC" w:rsidP="00504BCC">
            <w:pPr>
              <w:pStyle w:val="ListParagraph"/>
              <w:numPr>
                <w:ilvl w:val="0"/>
                <w:numId w:val="0"/>
              </w:numPr>
              <w:jc w:val="center"/>
              <w:textAlignment w:val="baseline"/>
              <w:rPr>
                <w:rFonts w:cs="Arial"/>
                <w:sz w:val="20"/>
                <w:szCs w:val="20"/>
              </w:rPr>
            </w:pPr>
            <w:r w:rsidRPr="000C1E64">
              <w:rPr>
                <w:rFonts w:cs="Arial"/>
                <w:sz w:val="20"/>
                <w:szCs w:val="20"/>
              </w:rPr>
              <w:t>Requirement of Treasury Green Book Achieved</w:t>
            </w:r>
          </w:p>
          <w:p w14:paraId="58369F42" w14:textId="77777777" w:rsidR="00504BCC" w:rsidRPr="000C1E64" w:rsidRDefault="00504BCC" w:rsidP="00504BCC">
            <w:pPr>
              <w:pStyle w:val="ListParagraph"/>
              <w:numPr>
                <w:ilvl w:val="0"/>
                <w:numId w:val="0"/>
              </w:numPr>
              <w:jc w:val="center"/>
              <w:textAlignment w:val="baseline"/>
              <w:rPr>
                <w:rFonts w:cs="Arial"/>
                <w:sz w:val="20"/>
                <w:szCs w:val="20"/>
              </w:rPr>
            </w:pPr>
            <w:r w:rsidRPr="000C1E64">
              <w:rPr>
                <w:rFonts w:cs="Arial"/>
                <w:sz w:val="20"/>
                <w:szCs w:val="20"/>
              </w:rPr>
              <w:t>Yes / No</w:t>
            </w:r>
          </w:p>
        </w:tc>
      </w:tr>
      <w:tr w:rsidR="00504BCC" w:rsidRPr="00E244C5" w14:paraId="53D6EA4E" w14:textId="77777777" w:rsidTr="000C1E64">
        <w:tc>
          <w:tcPr>
            <w:tcW w:w="1985" w:type="dxa"/>
            <w:vAlign w:val="center"/>
          </w:tcPr>
          <w:p w14:paraId="0B6EF055" w14:textId="77777777" w:rsidR="00504BCC" w:rsidRPr="000C1E64" w:rsidRDefault="00504BCC" w:rsidP="00504BCC">
            <w:pPr>
              <w:pStyle w:val="ListParagraph"/>
              <w:numPr>
                <w:ilvl w:val="0"/>
                <w:numId w:val="0"/>
              </w:numPr>
              <w:textAlignment w:val="baseline"/>
              <w:rPr>
                <w:rFonts w:cs="Arial"/>
                <w:sz w:val="20"/>
                <w:szCs w:val="20"/>
              </w:rPr>
            </w:pPr>
            <w:r w:rsidRPr="000C1E64">
              <w:rPr>
                <w:rFonts w:cs="Arial"/>
                <w:sz w:val="20"/>
                <w:szCs w:val="20"/>
              </w:rPr>
              <w:t>Strategic Alignment: is the nVCC project aligned to national/regional/Trust strategy and policy?</w:t>
            </w:r>
          </w:p>
        </w:tc>
        <w:tc>
          <w:tcPr>
            <w:tcW w:w="4533" w:type="dxa"/>
            <w:vAlign w:val="center"/>
          </w:tcPr>
          <w:p w14:paraId="3A069FAE" w14:textId="77777777" w:rsidR="00504BCC" w:rsidRPr="000C1E64" w:rsidRDefault="00504BCC" w:rsidP="00397DCC">
            <w:pPr>
              <w:pStyle w:val="ListParagraph"/>
              <w:numPr>
                <w:ilvl w:val="0"/>
                <w:numId w:val="0"/>
              </w:numPr>
              <w:textAlignment w:val="baseline"/>
              <w:rPr>
                <w:rFonts w:cs="Arial"/>
                <w:b w:val="0"/>
                <w:bCs/>
                <w:sz w:val="20"/>
                <w:szCs w:val="20"/>
              </w:rPr>
            </w:pPr>
            <w:r w:rsidRPr="000C1E64">
              <w:rPr>
                <w:rFonts w:cs="Arial"/>
                <w:b w:val="0"/>
                <w:bCs/>
                <w:sz w:val="20"/>
                <w:szCs w:val="20"/>
              </w:rPr>
              <w:t>Case updated to reflect the changes to national/regional</w:t>
            </w:r>
            <w:r w:rsidR="005F7C89" w:rsidRPr="000C1E64">
              <w:rPr>
                <w:rFonts w:cs="Arial"/>
                <w:b w:val="0"/>
                <w:bCs/>
                <w:sz w:val="20"/>
                <w:szCs w:val="20"/>
              </w:rPr>
              <w:t xml:space="preserve"> and Trust</w:t>
            </w:r>
            <w:r w:rsidRPr="000C1E64">
              <w:rPr>
                <w:rFonts w:cs="Arial"/>
                <w:b w:val="0"/>
                <w:bCs/>
                <w:sz w:val="20"/>
                <w:szCs w:val="20"/>
              </w:rPr>
              <w:t xml:space="preserve"> strategy and policy. </w:t>
            </w:r>
          </w:p>
        </w:tc>
        <w:tc>
          <w:tcPr>
            <w:tcW w:w="2271" w:type="dxa"/>
            <w:vAlign w:val="center"/>
          </w:tcPr>
          <w:p w14:paraId="2B28B5E5" w14:textId="77777777" w:rsidR="00504BCC" w:rsidRPr="000C1E64" w:rsidRDefault="00504BCC" w:rsidP="00504BCC">
            <w:pPr>
              <w:pStyle w:val="ListParagraph"/>
              <w:numPr>
                <w:ilvl w:val="0"/>
                <w:numId w:val="0"/>
              </w:numPr>
              <w:jc w:val="center"/>
              <w:textAlignment w:val="baseline"/>
              <w:rPr>
                <w:rFonts w:cs="Arial"/>
                <w:b w:val="0"/>
                <w:bCs/>
                <w:sz w:val="20"/>
                <w:szCs w:val="20"/>
              </w:rPr>
            </w:pPr>
            <w:r w:rsidRPr="000C1E64">
              <w:rPr>
                <w:rFonts w:cs="Arial"/>
                <w:b w:val="0"/>
                <w:bCs/>
                <w:sz w:val="20"/>
                <w:szCs w:val="20"/>
              </w:rPr>
              <w:t>Yes</w:t>
            </w:r>
            <w:r w:rsidR="00FD72DD" w:rsidRPr="000C1E64">
              <w:rPr>
                <w:rFonts w:cs="Arial"/>
                <w:b w:val="0"/>
                <w:bCs/>
                <w:sz w:val="20"/>
                <w:szCs w:val="20"/>
              </w:rPr>
              <w:t>: strategic alignment clear and robust</w:t>
            </w:r>
          </w:p>
        </w:tc>
      </w:tr>
      <w:tr w:rsidR="00504BCC" w:rsidRPr="00E244C5" w14:paraId="38549F7C" w14:textId="77777777" w:rsidTr="000C1E64">
        <w:tc>
          <w:tcPr>
            <w:tcW w:w="1985" w:type="dxa"/>
          </w:tcPr>
          <w:p w14:paraId="76E7A38D" w14:textId="77777777" w:rsidR="00504BCC" w:rsidRPr="000C1E64" w:rsidRDefault="00504BCC" w:rsidP="00504BCC">
            <w:pPr>
              <w:pStyle w:val="ListParagraph"/>
              <w:numPr>
                <w:ilvl w:val="0"/>
                <w:numId w:val="0"/>
              </w:numPr>
              <w:jc w:val="both"/>
              <w:textAlignment w:val="baseline"/>
              <w:rPr>
                <w:rFonts w:cs="Arial"/>
                <w:sz w:val="20"/>
                <w:szCs w:val="20"/>
              </w:rPr>
            </w:pPr>
            <w:r w:rsidRPr="000C1E64">
              <w:rPr>
                <w:rFonts w:cs="Arial"/>
                <w:sz w:val="20"/>
                <w:szCs w:val="20"/>
              </w:rPr>
              <w:t>Existing Arrangements and Business needs</w:t>
            </w:r>
          </w:p>
        </w:tc>
        <w:tc>
          <w:tcPr>
            <w:tcW w:w="4533" w:type="dxa"/>
          </w:tcPr>
          <w:p w14:paraId="2F7A43AC" w14:textId="77777777" w:rsidR="00504BCC" w:rsidRPr="000C1E64" w:rsidRDefault="00504BCC" w:rsidP="00FD72DD">
            <w:pPr>
              <w:pStyle w:val="ListParagraph"/>
              <w:numPr>
                <w:ilvl w:val="0"/>
                <w:numId w:val="0"/>
              </w:numPr>
              <w:jc w:val="both"/>
              <w:textAlignment w:val="baseline"/>
              <w:rPr>
                <w:rFonts w:cs="Arial"/>
                <w:b w:val="0"/>
                <w:bCs/>
                <w:sz w:val="20"/>
                <w:szCs w:val="20"/>
              </w:rPr>
            </w:pPr>
            <w:r w:rsidRPr="000C1E64">
              <w:rPr>
                <w:rFonts w:cs="Arial"/>
                <w:b w:val="0"/>
                <w:bCs/>
                <w:sz w:val="20"/>
                <w:szCs w:val="20"/>
              </w:rPr>
              <w:t xml:space="preserve">General updates to improve flow and backlog maintenance update. </w:t>
            </w:r>
          </w:p>
        </w:tc>
        <w:tc>
          <w:tcPr>
            <w:tcW w:w="2271" w:type="dxa"/>
            <w:vAlign w:val="center"/>
          </w:tcPr>
          <w:p w14:paraId="0082E33F" w14:textId="77777777" w:rsidR="00504BCC" w:rsidRPr="000C1E64" w:rsidRDefault="00504BCC" w:rsidP="00504BCC">
            <w:pPr>
              <w:pStyle w:val="ListParagraph"/>
              <w:numPr>
                <w:ilvl w:val="0"/>
                <w:numId w:val="0"/>
              </w:numPr>
              <w:jc w:val="center"/>
              <w:textAlignment w:val="baseline"/>
              <w:rPr>
                <w:rFonts w:cs="Arial"/>
                <w:b w:val="0"/>
                <w:bCs/>
                <w:sz w:val="20"/>
                <w:szCs w:val="20"/>
              </w:rPr>
            </w:pPr>
            <w:r w:rsidRPr="000C1E64">
              <w:rPr>
                <w:rFonts w:cs="Arial"/>
                <w:b w:val="0"/>
                <w:bCs/>
                <w:sz w:val="20"/>
                <w:szCs w:val="20"/>
              </w:rPr>
              <w:t>Yes</w:t>
            </w:r>
            <w:r w:rsidR="00FD72DD" w:rsidRPr="000C1E64">
              <w:rPr>
                <w:rFonts w:cs="Arial"/>
                <w:b w:val="0"/>
                <w:bCs/>
                <w:sz w:val="20"/>
                <w:szCs w:val="20"/>
              </w:rPr>
              <w:t>: case for change clear and robust</w:t>
            </w:r>
          </w:p>
        </w:tc>
      </w:tr>
      <w:tr w:rsidR="00504BCC" w:rsidRPr="00E244C5" w14:paraId="4EAD1F30" w14:textId="77777777" w:rsidTr="000C1E64">
        <w:tc>
          <w:tcPr>
            <w:tcW w:w="1985" w:type="dxa"/>
            <w:vAlign w:val="center"/>
          </w:tcPr>
          <w:p w14:paraId="21772959" w14:textId="77777777" w:rsidR="00504BCC" w:rsidRPr="000C1E64" w:rsidRDefault="00504BCC" w:rsidP="00504BCC">
            <w:pPr>
              <w:pStyle w:val="ListParagraph"/>
              <w:numPr>
                <w:ilvl w:val="0"/>
                <w:numId w:val="0"/>
              </w:numPr>
              <w:textAlignment w:val="baseline"/>
              <w:rPr>
                <w:rFonts w:cs="Arial"/>
                <w:sz w:val="20"/>
                <w:szCs w:val="20"/>
              </w:rPr>
            </w:pPr>
            <w:r w:rsidRPr="000C1E64">
              <w:rPr>
                <w:rFonts w:cs="Arial"/>
                <w:sz w:val="20"/>
                <w:szCs w:val="20"/>
              </w:rPr>
              <w:t xml:space="preserve">Clinical Operating Model </w:t>
            </w:r>
          </w:p>
        </w:tc>
        <w:tc>
          <w:tcPr>
            <w:tcW w:w="4533" w:type="dxa"/>
            <w:vAlign w:val="center"/>
          </w:tcPr>
          <w:p w14:paraId="7379FD57" w14:textId="77777777" w:rsidR="00504BCC" w:rsidRPr="000C1E64" w:rsidRDefault="00FD72DD" w:rsidP="00397DCC">
            <w:pPr>
              <w:pStyle w:val="ListParagraph"/>
              <w:numPr>
                <w:ilvl w:val="0"/>
                <w:numId w:val="0"/>
              </w:numPr>
              <w:textAlignment w:val="baseline"/>
              <w:rPr>
                <w:rFonts w:cs="Arial"/>
                <w:b w:val="0"/>
                <w:bCs/>
                <w:sz w:val="20"/>
                <w:szCs w:val="20"/>
              </w:rPr>
            </w:pPr>
            <w:r w:rsidRPr="000C1E64">
              <w:rPr>
                <w:rFonts w:cs="Arial"/>
                <w:b w:val="0"/>
                <w:bCs/>
                <w:sz w:val="20"/>
                <w:szCs w:val="20"/>
              </w:rPr>
              <w:t xml:space="preserve">External Independent Advice provided by the </w:t>
            </w:r>
            <w:r w:rsidR="00504BCC" w:rsidRPr="000C1E64">
              <w:rPr>
                <w:rFonts w:cs="Arial"/>
                <w:b w:val="0"/>
                <w:bCs/>
                <w:sz w:val="20"/>
                <w:szCs w:val="20"/>
              </w:rPr>
              <w:t>Nuffield Trust</w:t>
            </w:r>
            <w:r w:rsidRPr="000C1E64">
              <w:rPr>
                <w:rFonts w:cs="Arial"/>
                <w:b w:val="0"/>
                <w:bCs/>
                <w:sz w:val="20"/>
                <w:szCs w:val="20"/>
              </w:rPr>
              <w:t xml:space="preserve"> and regional action plan agreed and being implemented.  </w:t>
            </w:r>
          </w:p>
        </w:tc>
        <w:tc>
          <w:tcPr>
            <w:tcW w:w="2271" w:type="dxa"/>
            <w:vAlign w:val="center"/>
          </w:tcPr>
          <w:p w14:paraId="29F8F3C9" w14:textId="77777777" w:rsidR="00504BCC" w:rsidRPr="000C1E64" w:rsidRDefault="00504BCC" w:rsidP="00504BCC">
            <w:pPr>
              <w:pStyle w:val="ListParagraph"/>
              <w:numPr>
                <w:ilvl w:val="0"/>
                <w:numId w:val="0"/>
              </w:numPr>
              <w:jc w:val="center"/>
              <w:textAlignment w:val="baseline"/>
              <w:rPr>
                <w:rFonts w:cs="Arial"/>
                <w:b w:val="0"/>
                <w:bCs/>
                <w:sz w:val="20"/>
                <w:szCs w:val="20"/>
              </w:rPr>
            </w:pPr>
            <w:r w:rsidRPr="000C1E64">
              <w:rPr>
                <w:rFonts w:cs="Arial"/>
                <w:b w:val="0"/>
                <w:bCs/>
                <w:sz w:val="20"/>
                <w:szCs w:val="20"/>
              </w:rPr>
              <w:t>Yes</w:t>
            </w:r>
            <w:r w:rsidR="00FD72DD" w:rsidRPr="000C1E64">
              <w:rPr>
                <w:rFonts w:cs="Arial"/>
                <w:b w:val="0"/>
                <w:bCs/>
                <w:sz w:val="20"/>
                <w:szCs w:val="20"/>
              </w:rPr>
              <w:t xml:space="preserve">: </w:t>
            </w:r>
            <w:r w:rsidR="005F7C89" w:rsidRPr="000C1E64">
              <w:rPr>
                <w:rFonts w:cs="Arial"/>
                <w:b w:val="0"/>
                <w:bCs/>
                <w:sz w:val="20"/>
                <w:szCs w:val="20"/>
              </w:rPr>
              <w:t>C</w:t>
            </w:r>
            <w:r w:rsidR="00FD72DD" w:rsidRPr="000C1E64">
              <w:rPr>
                <w:rFonts w:cs="Arial"/>
                <w:b w:val="0"/>
                <w:bCs/>
                <w:sz w:val="20"/>
                <w:szCs w:val="20"/>
              </w:rPr>
              <w:t xml:space="preserve">linical </w:t>
            </w:r>
            <w:r w:rsidR="005F7C89" w:rsidRPr="000C1E64">
              <w:rPr>
                <w:rFonts w:cs="Arial"/>
                <w:b w:val="0"/>
                <w:bCs/>
                <w:sz w:val="20"/>
                <w:szCs w:val="20"/>
              </w:rPr>
              <w:t>O</w:t>
            </w:r>
            <w:r w:rsidR="00FD72DD" w:rsidRPr="000C1E64">
              <w:rPr>
                <w:rFonts w:cs="Arial"/>
                <w:b w:val="0"/>
                <w:bCs/>
                <w:sz w:val="20"/>
                <w:szCs w:val="20"/>
              </w:rPr>
              <w:t xml:space="preserve">perating </w:t>
            </w:r>
            <w:r w:rsidR="005F7C89" w:rsidRPr="000C1E64">
              <w:rPr>
                <w:rFonts w:cs="Arial"/>
                <w:b w:val="0"/>
                <w:bCs/>
                <w:sz w:val="20"/>
                <w:szCs w:val="20"/>
              </w:rPr>
              <w:t>M</w:t>
            </w:r>
            <w:r w:rsidR="00FD72DD" w:rsidRPr="000C1E64">
              <w:rPr>
                <w:rFonts w:cs="Arial"/>
                <w:b w:val="0"/>
                <w:bCs/>
                <w:sz w:val="20"/>
                <w:szCs w:val="20"/>
              </w:rPr>
              <w:t>odel clear and robust action plan being implemented regionally</w:t>
            </w:r>
          </w:p>
        </w:tc>
      </w:tr>
      <w:tr w:rsidR="00504BCC" w:rsidRPr="00E244C5" w14:paraId="6403B077" w14:textId="77777777" w:rsidTr="000C1E64">
        <w:tc>
          <w:tcPr>
            <w:tcW w:w="1985" w:type="dxa"/>
            <w:vAlign w:val="center"/>
          </w:tcPr>
          <w:p w14:paraId="629264FA" w14:textId="77777777" w:rsidR="00504BCC" w:rsidRPr="000C1E64" w:rsidRDefault="00FD72DD" w:rsidP="00FD72DD">
            <w:pPr>
              <w:pStyle w:val="ListParagraph"/>
              <w:numPr>
                <w:ilvl w:val="0"/>
                <w:numId w:val="0"/>
              </w:numPr>
              <w:textAlignment w:val="baseline"/>
              <w:rPr>
                <w:rFonts w:cs="Arial"/>
                <w:sz w:val="20"/>
                <w:szCs w:val="20"/>
              </w:rPr>
            </w:pPr>
            <w:r w:rsidRPr="000C1E64">
              <w:rPr>
                <w:rFonts w:cs="Arial"/>
                <w:sz w:val="20"/>
                <w:szCs w:val="20"/>
              </w:rPr>
              <w:t>Forecast demand, activity and capacity</w:t>
            </w:r>
          </w:p>
        </w:tc>
        <w:tc>
          <w:tcPr>
            <w:tcW w:w="4533" w:type="dxa"/>
          </w:tcPr>
          <w:p w14:paraId="2538C448" w14:textId="77777777" w:rsidR="00E244C5" w:rsidRDefault="00FD72DD" w:rsidP="00E244C5">
            <w:pPr>
              <w:pStyle w:val="ListParagraph"/>
              <w:numPr>
                <w:ilvl w:val="0"/>
                <w:numId w:val="0"/>
              </w:numPr>
              <w:jc w:val="both"/>
              <w:textAlignment w:val="baseline"/>
              <w:rPr>
                <w:rFonts w:cs="Arial"/>
                <w:b w:val="0"/>
                <w:bCs/>
                <w:sz w:val="20"/>
                <w:szCs w:val="20"/>
              </w:rPr>
            </w:pPr>
            <w:r w:rsidRPr="000C1E64">
              <w:rPr>
                <w:rFonts w:cs="Arial"/>
                <w:b w:val="0"/>
                <w:bCs/>
                <w:sz w:val="20"/>
                <w:szCs w:val="20"/>
              </w:rPr>
              <w:t>The forecast planning assumptions have been assured with actual activity (up to 2019/2020 pre-covid).  This demonstrate</w:t>
            </w:r>
            <w:r w:rsidR="003B39B4" w:rsidRPr="000C1E64">
              <w:rPr>
                <w:rFonts w:cs="Arial"/>
                <w:b w:val="0"/>
                <w:bCs/>
                <w:sz w:val="20"/>
                <w:szCs w:val="20"/>
              </w:rPr>
              <w:t>s</w:t>
            </w:r>
            <w:r w:rsidRPr="000C1E64">
              <w:rPr>
                <w:rFonts w:cs="Arial"/>
                <w:b w:val="0"/>
                <w:bCs/>
                <w:sz w:val="20"/>
                <w:szCs w:val="20"/>
              </w:rPr>
              <w:t xml:space="preserve"> that the projections were robust.  Further work </w:t>
            </w:r>
            <w:r w:rsidRPr="000C1E64">
              <w:rPr>
                <w:rFonts w:cs="Arial"/>
                <w:b w:val="0"/>
                <w:bCs/>
                <w:sz w:val="20"/>
                <w:szCs w:val="20"/>
              </w:rPr>
              <w:lastRenderedPageBreak/>
              <w:t xml:space="preserve">undertaken on forecast activity for Day 1 2025 and up to 2032 which demonstrate sufficient capacity on Day 1 of opening and thereafter within the </w:t>
            </w:r>
            <w:r w:rsidR="003B39B4" w:rsidRPr="000C1E64">
              <w:rPr>
                <w:rFonts w:cs="Arial"/>
                <w:b w:val="0"/>
                <w:bCs/>
                <w:sz w:val="20"/>
                <w:szCs w:val="20"/>
              </w:rPr>
              <w:t>C</w:t>
            </w:r>
            <w:r w:rsidRPr="000C1E64">
              <w:rPr>
                <w:rFonts w:cs="Arial"/>
                <w:b w:val="0"/>
                <w:bCs/>
                <w:sz w:val="20"/>
                <w:szCs w:val="20"/>
              </w:rPr>
              <w:t xml:space="preserve">linical </w:t>
            </w:r>
            <w:r w:rsidR="003B39B4" w:rsidRPr="000C1E64">
              <w:rPr>
                <w:rFonts w:cs="Arial"/>
                <w:b w:val="0"/>
                <w:bCs/>
                <w:sz w:val="20"/>
                <w:szCs w:val="20"/>
              </w:rPr>
              <w:t>O</w:t>
            </w:r>
            <w:r w:rsidRPr="000C1E64">
              <w:rPr>
                <w:rFonts w:cs="Arial"/>
                <w:b w:val="0"/>
                <w:bCs/>
                <w:sz w:val="20"/>
                <w:szCs w:val="20"/>
              </w:rPr>
              <w:t xml:space="preserve">perating </w:t>
            </w:r>
            <w:r w:rsidR="003B39B4" w:rsidRPr="000C1E64">
              <w:rPr>
                <w:rFonts w:cs="Arial"/>
                <w:b w:val="0"/>
                <w:bCs/>
                <w:sz w:val="20"/>
                <w:szCs w:val="20"/>
              </w:rPr>
              <w:t>M</w:t>
            </w:r>
            <w:r w:rsidRPr="000C1E64">
              <w:rPr>
                <w:rFonts w:cs="Arial"/>
                <w:b w:val="0"/>
                <w:bCs/>
                <w:sz w:val="20"/>
                <w:szCs w:val="20"/>
              </w:rPr>
              <w:t>odel (</w:t>
            </w:r>
            <w:r w:rsidR="00EB0AF5" w:rsidRPr="000C1E64">
              <w:rPr>
                <w:rFonts w:cs="Arial"/>
                <w:b w:val="0"/>
                <w:bCs/>
                <w:sz w:val="20"/>
                <w:szCs w:val="20"/>
              </w:rPr>
              <w:t>e.g.,</w:t>
            </w:r>
            <w:r w:rsidRPr="000C1E64">
              <w:rPr>
                <w:rFonts w:cs="Arial"/>
                <w:b w:val="0"/>
                <w:bCs/>
                <w:sz w:val="20"/>
                <w:szCs w:val="20"/>
              </w:rPr>
              <w:t xml:space="preserve"> home; local; specialist).</w:t>
            </w:r>
            <w:r w:rsidR="00E244C5">
              <w:rPr>
                <w:rFonts w:cs="Arial"/>
                <w:b w:val="0"/>
                <w:bCs/>
                <w:sz w:val="20"/>
                <w:szCs w:val="20"/>
              </w:rPr>
              <w:t xml:space="preserve"> </w:t>
            </w:r>
          </w:p>
          <w:p w14:paraId="0DCEC27F" w14:textId="77777777" w:rsidR="00504BCC" w:rsidRPr="000C1E64" w:rsidRDefault="00FD72DD" w:rsidP="00E244C5">
            <w:pPr>
              <w:pStyle w:val="ListParagraph"/>
              <w:numPr>
                <w:ilvl w:val="0"/>
                <w:numId w:val="0"/>
              </w:numPr>
              <w:jc w:val="both"/>
              <w:textAlignment w:val="baseline"/>
              <w:rPr>
                <w:rFonts w:cs="Arial"/>
                <w:b w:val="0"/>
                <w:bCs/>
                <w:sz w:val="20"/>
                <w:szCs w:val="20"/>
              </w:rPr>
            </w:pPr>
            <w:r w:rsidRPr="000C1E64">
              <w:rPr>
                <w:rFonts w:cs="Arial"/>
                <w:b w:val="0"/>
                <w:bCs/>
                <w:sz w:val="20"/>
                <w:szCs w:val="20"/>
              </w:rPr>
              <w:t>The footprint/functional/capacity of the nVCC are sized appropriately</w:t>
            </w:r>
            <w:r w:rsidR="003B39B4" w:rsidRPr="000C1E64">
              <w:rPr>
                <w:rFonts w:cs="Arial"/>
                <w:b w:val="0"/>
                <w:bCs/>
                <w:sz w:val="20"/>
                <w:szCs w:val="20"/>
              </w:rPr>
              <w:t xml:space="preserve"> and elements of the design are flexible.</w:t>
            </w:r>
          </w:p>
        </w:tc>
        <w:tc>
          <w:tcPr>
            <w:tcW w:w="2271" w:type="dxa"/>
            <w:vAlign w:val="center"/>
          </w:tcPr>
          <w:p w14:paraId="5008286D" w14:textId="77777777" w:rsidR="00504BCC" w:rsidRPr="000C1E64" w:rsidRDefault="00504BCC" w:rsidP="00504BCC">
            <w:pPr>
              <w:pStyle w:val="ListParagraph"/>
              <w:numPr>
                <w:ilvl w:val="0"/>
                <w:numId w:val="0"/>
              </w:numPr>
              <w:jc w:val="center"/>
              <w:textAlignment w:val="baseline"/>
              <w:rPr>
                <w:rFonts w:cs="Arial"/>
                <w:b w:val="0"/>
                <w:bCs/>
                <w:sz w:val="20"/>
                <w:szCs w:val="20"/>
              </w:rPr>
            </w:pPr>
            <w:r w:rsidRPr="000C1E64">
              <w:rPr>
                <w:rFonts w:cs="Arial"/>
                <w:b w:val="0"/>
                <w:bCs/>
                <w:sz w:val="20"/>
                <w:szCs w:val="20"/>
              </w:rPr>
              <w:lastRenderedPageBreak/>
              <w:t>Yes</w:t>
            </w:r>
            <w:r w:rsidR="00FD72DD" w:rsidRPr="000C1E64">
              <w:rPr>
                <w:rFonts w:cs="Arial"/>
                <w:b w:val="0"/>
                <w:bCs/>
                <w:sz w:val="20"/>
                <w:szCs w:val="20"/>
              </w:rPr>
              <w:t xml:space="preserve">: </w:t>
            </w:r>
            <w:r w:rsidR="005F7C89" w:rsidRPr="000C1E64">
              <w:rPr>
                <w:rFonts w:cs="Arial"/>
                <w:b w:val="0"/>
                <w:bCs/>
                <w:sz w:val="20"/>
                <w:szCs w:val="20"/>
              </w:rPr>
              <w:t>I</w:t>
            </w:r>
            <w:r w:rsidR="00FD72DD" w:rsidRPr="000C1E64">
              <w:rPr>
                <w:rFonts w:cs="Arial"/>
                <w:b w:val="0"/>
                <w:bCs/>
                <w:sz w:val="20"/>
                <w:szCs w:val="20"/>
              </w:rPr>
              <w:t xml:space="preserve">nitial forecast </w:t>
            </w:r>
            <w:r w:rsidR="00B94CA6" w:rsidRPr="000C1E64">
              <w:rPr>
                <w:rFonts w:cs="Arial"/>
                <w:b w:val="0"/>
                <w:bCs/>
                <w:sz w:val="20"/>
                <w:szCs w:val="20"/>
              </w:rPr>
              <w:t>assumptions</w:t>
            </w:r>
            <w:r w:rsidR="00FD72DD" w:rsidRPr="000C1E64">
              <w:rPr>
                <w:rFonts w:cs="Arial"/>
                <w:b w:val="0"/>
                <w:bCs/>
                <w:sz w:val="20"/>
                <w:szCs w:val="20"/>
              </w:rPr>
              <w:t xml:space="preserve"> robust.  nVCC sized appropriately against </w:t>
            </w:r>
            <w:r w:rsidR="00FD72DD" w:rsidRPr="000C1E64">
              <w:rPr>
                <w:rFonts w:cs="Arial"/>
                <w:b w:val="0"/>
                <w:bCs/>
                <w:sz w:val="20"/>
                <w:szCs w:val="20"/>
              </w:rPr>
              <w:lastRenderedPageBreak/>
              <w:t xml:space="preserve">planning assumptions/actual activity and </w:t>
            </w:r>
            <w:r w:rsidR="005F7C89" w:rsidRPr="000C1E64">
              <w:rPr>
                <w:rFonts w:cs="Arial"/>
                <w:b w:val="0"/>
                <w:bCs/>
                <w:sz w:val="20"/>
                <w:szCs w:val="20"/>
              </w:rPr>
              <w:t>C</w:t>
            </w:r>
            <w:r w:rsidR="00FD72DD" w:rsidRPr="000C1E64">
              <w:rPr>
                <w:rFonts w:cs="Arial"/>
                <w:b w:val="0"/>
                <w:bCs/>
                <w:sz w:val="20"/>
                <w:szCs w:val="20"/>
              </w:rPr>
              <w:t xml:space="preserve">linical </w:t>
            </w:r>
            <w:r w:rsidR="005F7C89" w:rsidRPr="000C1E64">
              <w:rPr>
                <w:rFonts w:cs="Arial"/>
                <w:b w:val="0"/>
                <w:bCs/>
                <w:sz w:val="20"/>
                <w:szCs w:val="20"/>
              </w:rPr>
              <w:t>O</w:t>
            </w:r>
            <w:r w:rsidR="00FD72DD" w:rsidRPr="000C1E64">
              <w:rPr>
                <w:rFonts w:cs="Arial"/>
                <w:b w:val="0"/>
                <w:bCs/>
                <w:sz w:val="20"/>
                <w:szCs w:val="20"/>
              </w:rPr>
              <w:t xml:space="preserve">perating </w:t>
            </w:r>
            <w:r w:rsidR="005F7C89" w:rsidRPr="000C1E64">
              <w:rPr>
                <w:rFonts w:cs="Arial"/>
                <w:b w:val="0"/>
                <w:bCs/>
                <w:sz w:val="20"/>
                <w:szCs w:val="20"/>
              </w:rPr>
              <w:t>M</w:t>
            </w:r>
            <w:r w:rsidR="00FD72DD" w:rsidRPr="000C1E64">
              <w:rPr>
                <w:rFonts w:cs="Arial"/>
                <w:b w:val="0"/>
                <w:bCs/>
                <w:sz w:val="20"/>
                <w:szCs w:val="20"/>
              </w:rPr>
              <w:t>odel.</w:t>
            </w:r>
          </w:p>
        </w:tc>
      </w:tr>
      <w:tr w:rsidR="00504BCC" w:rsidRPr="00E244C5" w14:paraId="03BCE3D3" w14:textId="77777777" w:rsidTr="000C1E64">
        <w:tc>
          <w:tcPr>
            <w:tcW w:w="1985" w:type="dxa"/>
          </w:tcPr>
          <w:p w14:paraId="7C95C162" w14:textId="77777777" w:rsidR="00504BCC" w:rsidRPr="000C1E64" w:rsidRDefault="00504BCC" w:rsidP="00504BCC">
            <w:pPr>
              <w:pStyle w:val="ListParagraph"/>
              <w:numPr>
                <w:ilvl w:val="0"/>
                <w:numId w:val="0"/>
              </w:numPr>
              <w:jc w:val="both"/>
              <w:textAlignment w:val="baseline"/>
              <w:rPr>
                <w:rFonts w:cs="Arial"/>
                <w:sz w:val="20"/>
                <w:szCs w:val="20"/>
              </w:rPr>
            </w:pPr>
            <w:r w:rsidRPr="000C1E64">
              <w:rPr>
                <w:rFonts w:cs="Arial"/>
                <w:sz w:val="20"/>
                <w:szCs w:val="20"/>
              </w:rPr>
              <w:lastRenderedPageBreak/>
              <w:t>Equipment update</w:t>
            </w:r>
          </w:p>
        </w:tc>
        <w:tc>
          <w:tcPr>
            <w:tcW w:w="4533" w:type="dxa"/>
          </w:tcPr>
          <w:p w14:paraId="1828CBFB" w14:textId="77777777" w:rsidR="00504BCC" w:rsidRPr="000C1E64" w:rsidRDefault="00504BCC" w:rsidP="00504BCC">
            <w:pPr>
              <w:pStyle w:val="ListParagraph"/>
              <w:numPr>
                <w:ilvl w:val="0"/>
                <w:numId w:val="0"/>
              </w:numPr>
              <w:jc w:val="both"/>
              <w:textAlignment w:val="baseline"/>
              <w:rPr>
                <w:rFonts w:cs="Arial"/>
                <w:b w:val="0"/>
                <w:bCs/>
                <w:sz w:val="20"/>
                <w:szCs w:val="20"/>
              </w:rPr>
            </w:pPr>
            <w:r w:rsidRPr="000C1E64">
              <w:rPr>
                <w:rFonts w:cs="Arial"/>
                <w:b w:val="0"/>
                <w:bCs/>
                <w:sz w:val="20"/>
                <w:szCs w:val="20"/>
              </w:rPr>
              <w:t xml:space="preserve">The proposed </w:t>
            </w:r>
            <w:r w:rsidR="003B39B4" w:rsidRPr="000C1E64">
              <w:rPr>
                <w:rFonts w:cs="Arial"/>
                <w:b w:val="0"/>
                <w:bCs/>
                <w:sz w:val="20"/>
                <w:szCs w:val="20"/>
              </w:rPr>
              <w:t xml:space="preserve">major clinical </w:t>
            </w:r>
            <w:r w:rsidRPr="000C1E64">
              <w:rPr>
                <w:rFonts w:cs="Arial"/>
                <w:b w:val="0"/>
                <w:bCs/>
                <w:sz w:val="20"/>
                <w:szCs w:val="20"/>
              </w:rPr>
              <w:t>equipment in the nVCC has been updated</w:t>
            </w:r>
            <w:r w:rsidR="00FD72DD" w:rsidRPr="000C1E64">
              <w:rPr>
                <w:rFonts w:cs="Arial"/>
                <w:b w:val="0"/>
                <w:bCs/>
                <w:sz w:val="20"/>
                <w:szCs w:val="20"/>
              </w:rPr>
              <w:t xml:space="preserve"> </w:t>
            </w:r>
            <w:r w:rsidR="003B39B4" w:rsidRPr="000C1E64">
              <w:rPr>
                <w:rFonts w:cs="Arial"/>
                <w:b w:val="0"/>
                <w:bCs/>
                <w:sz w:val="20"/>
                <w:szCs w:val="20"/>
              </w:rPr>
              <w:t xml:space="preserve">for all equipment </w:t>
            </w:r>
            <w:r w:rsidR="00FD72DD" w:rsidRPr="000C1E64">
              <w:rPr>
                <w:rFonts w:cs="Arial"/>
                <w:b w:val="0"/>
                <w:bCs/>
                <w:sz w:val="20"/>
                <w:szCs w:val="20"/>
              </w:rPr>
              <w:t>and a procurement strategy and commissioning programme developed</w:t>
            </w:r>
          </w:p>
        </w:tc>
        <w:tc>
          <w:tcPr>
            <w:tcW w:w="2271" w:type="dxa"/>
            <w:vAlign w:val="center"/>
          </w:tcPr>
          <w:p w14:paraId="70262DEE" w14:textId="77777777" w:rsidR="00504BCC" w:rsidRPr="000C1E64" w:rsidRDefault="00504BCC" w:rsidP="00504BCC">
            <w:pPr>
              <w:pStyle w:val="ListParagraph"/>
              <w:numPr>
                <w:ilvl w:val="0"/>
                <w:numId w:val="0"/>
              </w:numPr>
              <w:jc w:val="center"/>
              <w:textAlignment w:val="baseline"/>
              <w:rPr>
                <w:rFonts w:cs="Arial"/>
                <w:b w:val="0"/>
                <w:bCs/>
                <w:sz w:val="20"/>
                <w:szCs w:val="20"/>
              </w:rPr>
            </w:pPr>
            <w:r w:rsidRPr="000C1E64">
              <w:rPr>
                <w:rFonts w:cs="Arial"/>
                <w:b w:val="0"/>
                <w:bCs/>
                <w:sz w:val="20"/>
                <w:szCs w:val="20"/>
              </w:rPr>
              <w:t>Yes</w:t>
            </w:r>
            <w:r w:rsidR="00FD72DD" w:rsidRPr="000C1E64">
              <w:rPr>
                <w:rFonts w:cs="Arial"/>
                <w:b w:val="0"/>
                <w:bCs/>
                <w:sz w:val="20"/>
                <w:szCs w:val="20"/>
              </w:rPr>
              <w:t>: equipment requirements are robust</w:t>
            </w:r>
          </w:p>
        </w:tc>
      </w:tr>
      <w:tr w:rsidR="00115193" w:rsidRPr="00E244C5" w14:paraId="79F0D288" w14:textId="77777777" w:rsidTr="000C1E64">
        <w:tc>
          <w:tcPr>
            <w:tcW w:w="1985" w:type="dxa"/>
            <w:vAlign w:val="center"/>
          </w:tcPr>
          <w:p w14:paraId="007CB98C" w14:textId="77777777" w:rsidR="00115193" w:rsidRPr="000C1E64" w:rsidRDefault="00664FD8" w:rsidP="00115193">
            <w:pPr>
              <w:pStyle w:val="ListParagraph"/>
              <w:numPr>
                <w:ilvl w:val="0"/>
                <w:numId w:val="0"/>
              </w:numPr>
              <w:jc w:val="both"/>
              <w:textAlignment w:val="baseline"/>
              <w:rPr>
                <w:rFonts w:cs="Arial"/>
                <w:sz w:val="20"/>
                <w:szCs w:val="20"/>
              </w:rPr>
            </w:pPr>
            <w:r w:rsidRPr="000C1E64">
              <w:rPr>
                <w:rFonts w:cs="Arial"/>
                <w:sz w:val="20"/>
                <w:szCs w:val="20"/>
              </w:rPr>
              <w:t>Environmental Sustainability</w:t>
            </w:r>
          </w:p>
        </w:tc>
        <w:tc>
          <w:tcPr>
            <w:tcW w:w="4533" w:type="dxa"/>
            <w:vAlign w:val="center"/>
          </w:tcPr>
          <w:p w14:paraId="4BE6E38F" w14:textId="77777777" w:rsidR="00115193" w:rsidRPr="000C1E64" w:rsidRDefault="00115193" w:rsidP="00115193">
            <w:pPr>
              <w:pStyle w:val="ListParagraph"/>
              <w:numPr>
                <w:ilvl w:val="0"/>
                <w:numId w:val="0"/>
              </w:numPr>
              <w:jc w:val="both"/>
              <w:textAlignment w:val="baseline"/>
              <w:rPr>
                <w:rFonts w:cs="Arial"/>
                <w:b w:val="0"/>
                <w:bCs/>
                <w:sz w:val="20"/>
                <w:szCs w:val="20"/>
              </w:rPr>
            </w:pPr>
            <w:r w:rsidRPr="000C1E64">
              <w:rPr>
                <w:rStyle w:val="ui-provider"/>
                <w:b w:val="0"/>
                <w:bCs/>
                <w:sz w:val="20"/>
                <w:szCs w:val="20"/>
              </w:rPr>
              <w:t>The ambition to deliver the Greenest Hospital in the UK has been developed and translated into the nVCC design; this includes options to remove embodied carbon and minimise the carbon once the nVCC becomes operational; and securing support/revenue funding from LHBs and Welsh Government to make the strategic shift from the current hybrid (gas/electric) solution to the electric solution.  </w:t>
            </w:r>
          </w:p>
        </w:tc>
        <w:tc>
          <w:tcPr>
            <w:tcW w:w="2271" w:type="dxa"/>
            <w:vAlign w:val="center"/>
          </w:tcPr>
          <w:p w14:paraId="73B4CB86" w14:textId="77777777" w:rsidR="00115193" w:rsidRPr="000C1E64" w:rsidRDefault="00115193" w:rsidP="00115193">
            <w:pPr>
              <w:pStyle w:val="ListParagraph"/>
              <w:numPr>
                <w:ilvl w:val="0"/>
                <w:numId w:val="0"/>
              </w:numPr>
              <w:jc w:val="center"/>
              <w:textAlignment w:val="baseline"/>
              <w:rPr>
                <w:rFonts w:cs="Arial"/>
                <w:b w:val="0"/>
                <w:bCs/>
                <w:sz w:val="20"/>
                <w:szCs w:val="20"/>
              </w:rPr>
            </w:pPr>
            <w:r w:rsidRPr="000C1E64">
              <w:rPr>
                <w:rStyle w:val="ui-provider"/>
                <w:b w:val="0"/>
                <w:bCs/>
                <w:sz w:val="20"/>
                <w:szCs w:val="20"/>
              </w:rPr>
              <w:t>Yes: design all electric and plans in place to support the reduction of embodied carbon.  Risks remain about ability to fully realise reduction in embodied carbon and funding of strategic shift to electric solution; will be picked up in further discussions with WG/LHBs</w:t>
            </w:r>
          </w:p>
        </w:tc>
      </w:tr>
    </w:tbl>
    <w:p w14:paraId="26C9992E" w14:textId="77777777" w:rsidR="008E4F02" w:rsidRDefault="008E4F02">
      <w:pPr>
        <w:rPr>
          <w:b/>
        </w:rPr>
      </w:pPr>
    </w:p>
    <w:p w14:paraId="1F06313C" w14:textId="77777777" w:rsidR="008E4F02" w:rsidRDefault="008E4F02">
      <w:pPr>
        <w:rPr>
          <w:b/>
        </w:rPr>
      </w:pPr>
    </w:p>
    <w:p w14:paraId="4B9B9520" w14:textId="77777777" w:rsidR="00641A7F" w:rsidRPr="00F452E1" w:rsidRDefault="00121129" w:rsidP="00641A7F">
      <w:pPr>
        <w:keepNext/>
        <w:spacing w:before="120" w:after="60"/>
        <w:ind w:left="720" w:hanging="720"/>
        <w:outlineLvl w:val="2"/>
        <w:rPr>
          <w:rFonts w:cs="Arial"/>
          <w:bCs/>
        </w:rPr>
      </w:pPr>
      <w:r w:rsidRPr="00121129">
        <w:rPr>
          <w:bCs/>
        </w:rPr>
        <w:t>2.1</w:t>
      </w:r>
      <w:r w:rsidR="00E244C5">
        <w:rPr>
          <w:bCs/>
        </w:rPr>
        <w:t>3</w:t>
      </w:r>
      <w:r w:rsidRPr="00121129">
        <w:t xml:space="preserve"> </w:t>
      </w:r>
      <w:r>
        <w:rPr>
          <w:color w:val="70AD47" w:themeColor="accent6"/>
        </w:rPr>
        <w:tab/>
      </w:r>
      <w:r w:rsidR="00641A7F" w:rsidRPr="00F452E1">
        <w:rPr>
          <w:rFonts w:cs="Arial"/>
          <w:bCs/>
        </w:rPr>
        <w:t xml:space="preserve">The clinical </w:t>
      </w:r>
      <w:r w:rsidR="00641A7F">
        <w:rPr>
          <w:rFonts w:cs="Arial"/>
          <w:bCs/>
        </w:rPr>
        <w:t xml:space="preserve">operating </w:t>
      </w:r>
      <w:r w:rsidR="00641A7F" w:rsidRPr="00F452E1">
        <w:rPr>
          <w:rFonts w:cs="Arial"/>
          <w:bCs/>
        </w:rPr>
        <w:t xml:space="preserve">model within the TCS PBC describes how services will be delivered in the future. The founding principles were as follows: </w:t>
      </w:r>
    </w:p>
    <w:p w14:paraId="2AB4CDA9" w14:textId="77777777" w:rsidR="00641A7F" w:rsidRPr="00F452E1" w:rsidRDefault="00641A7F" w:rsidP="00641A7F">
      <w:pPr>
        <w:keepNext/>
        <w:numPr>
          <w:ilvl w:val="1"/>
          <w:numId w:val="28"/>
        </w:numPr>
        <w:tabs>
          <w:tab w:val="clear" w:pos="851"/>
          <w:tab w:val="num" w:pos="1276"/>
          <w:tab w:val="num" w:pos="1701"/>
          <w:tab w:val="num" w:pos="2127"/>
        </w:tabs>
        <w:spacing w:before="120" w:after="60"/>
        <w:ind w:left="1701" w:hanging="425"/>
        <w:outlineLvl w:val="2"/>
        <w:rPr>
          <w:rFonts w:cs="Arial"/>
          <w:bCs/>
        </w:rPr>
      </w:pPr>
      <w:r w:rsidRPr="00F452E1">
        <w:rPr>
          <w:rFonts w:cs="Arial"/>
          <w:bCs/>
        </w:rPr>
        <w:t>The service model seeks to promote a new set of relationships which work in partnership to improve the way we collectively design and deliver tertiary non-surgical cancer services around patients' needs and to achieve these improvements in a truly sustainable way.</w:t>
      </w:r>
    </w:p>
    <w:p w14:paraId="7542887C" w14:textId="77777777" w:rsidR="00641A7F" w:rsidRPr="00F452E1" w:rsidRDefault="00641A7F" w:rsidP="00641A7F">
      <w:pPr>
        <w:keepNext/>
        <w:numPr>
          <w:ilvl w:val="1"/>
          <w:numId w:val="28"/>
        </w:numPr>
        <w:tabs>
          <w:tab w:val="clear" w:pos="851"/>
          <w:tab w:val="num" w:pos="1276"/>
          <w:tab w:val="num" w:pos="1701"/>
          <w:tab w:val="num" w:pos="2127"/>
        </w:tabs>
        <w:spacing w:before="120" w:after="60"/>
        <w:ind w:left="1701" w:hanging="425"/>
        <w:outlineLvl w:val="2"/>
        <w:rPr>
          <w:rFonts w:cs="Arial"/>
          <w:bCs/>
        </w:rPr>
      </w:pPr>
      <w:r w:rsidRPr="00F452E1">
        <w:rPr>
          <w:rFonts w:cs="Arial"/>
          <w:bCs/>
        </w:rPr>
        <w:t xml:space="preserve">Patients are central to our plans with an integrated network of services organised around them. The organising principle seeks to 'pull' high quality care towards the patient, </w:t>
      </w:r>
      <w:r w:rsidRPr="6D521464">
        <w:rPr>
          <w:rFonts w:cs="Arial"/>
        </w:rPr>
        <w:t xml:space="preserve">that </w:t>
      </w:r>
      <w:r w:rsidRPr="00F452E1">
        <w:rPr>
          <w:rFonts w:cs="Arial"/>
          <w:bCs/>
        </w:rPr>
        <w:t>is accessible in their preferred location and supports them achieving their personal goals during treatment and subsequently as they live with the impact of cancer.</w:t>
      </w:r>
    </w:p>
    <w:p w14:paraId="147AF0D0" w14:textId="77777777" w:rsidR="00641A7F" w:rsidRPr="00F452E1" w:rsidRDefault="00641A7F" w:rsidP="00641A7F">
      <w:pPr>
        <w:keepNext/>
        <w:numPr>
          <w:ilvl w:val="1"/>
          <w:numId w:val="28"/>
        </w:numPr>
        <w:tabs>
          <w:tab w:val="clear" w:pos="851"/>
          <w:tab w:val="num" w:pos="1276"/>
          <w:tab w:val="num" w:pos="1701"/>
          <w:tab w:val="num" w:pos="2127"/>
        </w:tabs>
        <w:spacing w:before="120" w:after="60"/>
        <w:ind w:left="1701" w:hanging="425"/>
        <w:outlineLvl w:val="2"/>
        <w:rPr>
          <w:rFonts w:cs="Arial"/>
          <w:bCs/>
        </w:rPr>
      </w:pPr>
      <w:r w:rsidRPr="00F452E1">
        <w:rPr>
          <w:rFonts w:cs="Arial"/>
          <w:bCs/>
        </w:rPr>
        <w:t>Patient safety is paramount, and the highest standards will always be met.</w:t>
      </w:r>
    </w:p>
    <w:p w14:paraId="4B752777" w14:textId="77777777" w:rsidR="00641A7F" w:rsidRPr="00F452E1" w:rsidRDefault="00641A7F" w:rsidP="00641A7F">
      <w:pPr>
        <w:keepNext/>
        <w:numPr>
          <w:ilvl w:val="1"/>
          <w:numId w:val="28"/>
        </w:numPr>
        <w:tabs>
          <w:tab w:val="clear" w:pos="851"/>
          <w:tab w:val="num" w:pos="1276"/>
          <w:tab w:val="num" w:pos="1701"/>
          <w:tab w:val="num" w:pos="2127"/>
        </w:tabs>
        <w:spacing w:before="120" w:after="60"/>
        <w:ind w:left="1701" w:hanging="425"/>
        <w:outlineLvl w:val="2"/>
        <w:rPr>
          <w:rFonts w:cs="Arial"/>
          <w:bCs/>
        </w:rPr>
      </w:pPr>
      <w:r w:rsidRPr="00F452E1">
        <w:rPr>
          <w:rFonts w:cs="Arial"/>
          <w:bCs/>
        </w:rPr>
        <w:t>The relationship between patients / families / carers and clinicians / professionals will be an equal and reciprocal one.</w:t>
      </w:r>
    </w:p>
    <w:p w14:paraId="6877DA24" w14:textId="77777777" w:rsidR="00641A7F" w:rsidRPr="00F452E1" w:rsidRDefault="00641A7F" w:rsidP="00641A7F">
      <w:pPr>
        <w:keepNext/>
        <w:numPr>
          <w:ilvl w:val="1"/>
          <w:numId w:val="28"/>
        </w:numPr>
        <w:tabs>
          <w:tab w:val="clear" w:pos="851"/>
          <w:tab w:val="num" w:pos="1276"/>
          <w:tab w:val="num" w:pos="1701"/>
          <w:tab w:val="num" w:pos="2127"/>
        </w:tabs>
        <w:spacing w:before="120" w:after="60"/>
        <w:ind w:left="1701" w:hanging="425"/>
        <w:outlineLvl w:val="2"/>
        <w:rPr>
          <w:rFonts w:cs="Arial"/>
          <w:bCs/>
        </w:rPr>
      </w:pPr>
      <w:r w:rsidRPr="00F452E1">
        <w:rPr>
          <w:rFonts w:cs="Arial"/>
          <w:bCs/>
        </w:rPr>
        <w:t>Patients will be provided with the support, information and skills to manage their own needs effectively at, or as close to, home as possible wherever appropriate.</w:t>
      </w:r>
    </w:p>
    <w:p w14:paraId="58F89615" w14:textId="77777777" w:rsidR="00641A7F" w:rsidRDefault="00641A7F" w:rsidP="00641A7F">
      <w:pPr>
        <w:keepNext/>
        <w:numPr>
          <w:ilvl w:val="1"/>
          <w:numId w:val="28"/>
        </w:numPr>
        <w:tabs>
          <w:tab w:val="clear" w:pos="851"/>
          <w:tab w:val="num" w:pos="1276"/>
          <w:tab w:val="num" w:pos="1701"/>
          <w:tab w:val="num" w:pos="2127"/>
        </w:tabs>
        <w:spacing w:before="120" w:after="60"/>
        <w:ind w:left="1701" w:hanging="425"/>
        <w:outlineLvl w:val="2"/>
        <w:rPr>
          <w:rFonts w:cs="Arial"/>
          <w:bCs/>
        </w:rPr>
      </w:pPr>
      <w:r w:rsidRPr="00F452E1">
        <w:rPr>
          <w:rFonts w:cs="Arial"/>
          <w:bCs/>
        </w:rPr>
        <w:t xml:space="preserve">Optimising information technology, quality improvement systems, patient involvement, education and embracing innovative approaches </w:t>
      </w:r>
      <w:r w:rsidRPr="00F452E1">
        <w:rPr>
          <w:rFonts w:cs="Arial"/>
          <w:bCs/>
        </w:rPr>
        <w:lastRenderedPageBreak/>
        <w:t>to healthcare will all be essential to achieve high levels of service quality in a sustainable way.</w:t>
      </w:r>
    </w:p>
    <w:p w14:paraId="53A278E5" w14:textId="77777777" w:rsidR="00641A7F" w:rsidRDefault="00641A7F" w:rsidP="00641A7F">
      <w:pPr>
        <w:keepNext/>
        <w:spacing w:before="120" w:after="60"/>
        <w:outlineLvl w:val="2"/>
        <w:rPr>
          <w:rFonts w:cs="Arial"/>
          <w:bCs/>
        </w:rPr>
      </w:pPr>
    </w:p>
    <w:p w14:paraId="1B04DE28" w14:textId="77777777" w:rsidR="00641A7F" w:rsidRDefault="00641A7F" w:rsidP="00641A7F">
      <w:pPr>
        <w:keepNext/>
        <w:spacing w:before="120" w:after="60"/>
        <w:ind w:left="709" w:hanging="709"/>
        <w:outlineLvl w:val="2"/>
        <w:rPr>
          <w:rFonts w:cs="Arial"/>
          <w:bCs/>
        </w:rPr>
      </w:pPr>
      <w:r>
        <w:rPr>
          <w:rFonts w:cs="Arial"/>
          <w:bCs/>
        </w:rPr>
        <w:t>2.14</w:t>
      </w:r>
      <w:r>
        <w:rPr>
          <w:rFonts w:cs="Arial"/>
          <w:bCs/>
        </w:rPr>
        <w:tab/>
      </w:r>
      <w:r w:rsidRPr="00F452E1">
        <w:rPr>
          <w:rFonts w:cs="Arial"/>
          <w:bCs/>
        </w:rPr>
        <w:t xml:space="preserve">The </w:t>
      </w:r>
      <w:r>
        <w:rPr>
          <w:rFonts w:cs="Arial"/>
          <w:bCs/>
        </w:rPr>
        <w:t>C</w:t>
      </w:r>
      <w:r w:rsidRPr="00F452E1">
        <w:rPr>
          <w:rFonts w:cs="Arial"/>
          <w:bCs/>
        </w:rPr>
        <w:t xml:space="preserve">linical </w:t>
      </w:r>
      <w:r>
        <w:rPr>
          <w:rFonts w:cs="Arial"/>
          <w:bCs/>
        </w:rPr>
        <w:t>Operating M</w:t>
      </w:r>
      <w:r w:rsidRPr="00F452E1">
        <w:rPr>
          <w:rFonts w:cs="Arial"/>
          <w:bCs/>
        </w:rPr>
        <w:t xml:space="preserve">odel will see more care delivered within patients’ homes; and locally through the development of a number of Velindre@ facilities on Local Health Board sites across South-East Wales, providing chemotherapy, outpatient, and support services; a </w:t>
      </w:r>
      <w:r>
        <w:rPr>
          <w:rFonts w:cs="Arial"/>
          <w:bCs/>
        </w:rPr>
        <w:t>R</w:t>
      </w:r>
      <w:r w:rsidRPr="00F452E1">
        <w:rPr>
          <w:rFonts w:cs="Arial"/>
          <w:bCs/>
        </w:rPr>
        <w:t xml:space="preserve">adiotherapy </w:t>
      </w:r>
      <w:r>
        <w:rPr>
          <w:rFonts w:cs="Arial"/>
          <w:bCs/>
        </w:rPr>
        <w:t>S</w:t>
      </w:r>
      <w:r w:rsidRPr="00F452E1">
        <w:rPr>
          <w:rFonts w:cs="Arial"/>
          <w:bCs/>
        </w:rPr>
        <w:t xml:space="preserve">atellite </w:t>
      </w:r>
      <w:r>
        <w:rPr>
          <w:rFonts w:cs="Arial"/>
          <w:bCs/>
        </w:rPr>
        <w:t>C</w:t>
      </w:r>
      <w:r w:rsidRPr="00F452E1">
        <w:rPr>
          <w:rFonts w:cs="Arial"/>
          <w:bCs/>
        </w:rPr>
        <w:t>entre</w:t>
      </w:r>
      <w:r>
        <w:rPr>
          <w:rFonts w:cs="Arial"/>
          <w:bCs/>
        </w:rPr>
        <w:t xml:space="preserve"> (RSC)</w:t>
      </w:r>
      <w:r w:rsidRPr="00F452E1">
        <w:rPr>
          <w:rFonts w:cs="Arial"/>
          <w:bCs/>
        </w:rPr>
        <w:t xml:space="preserve"> in Nevill Hall Hospital, Abergavenny; and the redevelopment of the Velindre Cancer Centre on a new site in Whitchurch, Cardiff. </w:t>
      </w:r>
    </w:p>
    <w:p w14:paraId="24CB6CC4" w14:textId="77777777" w:rsidR="00641A7F" w:rsidRDefault="00641A7F" w:rsidP="00121129">
      <w:pPr>
        <w:ind w:left="709" w:hanging="709"/>
        <w:rPr>
          <w:color w:val="70AD47" w:themeColor="accent6"/>
        </w:rPr>
      </w:pPr>
    </w:p>
    <w:p w14:paraId="2B185294" w14:textId="7210F9D7" w:rsidR="00814E51" w:rsidRPr="008D1A07" w:rsidRDefault="00641A7F" w:rsidP="00121129">
      <w:pPr>
        <w:ind w:left="709" w:hanging="709"/>
        <w:rPr>
          <w:color w:val="70AD47" w:themeColor="accent6"/>
        </w:rPr>
      </w:pPr>
      <w:r>
        <w:t>2.15</w:t>
      </w:r>
      <w:r>
        <w:tab/>
      </w:r>
      <w:r>
        <w:tab/>
      </w:r>
      <w:r w:rsidR="00121129" w:rsidRPr="00121129">
        <w:t>It</w:t>
      </w:r>
      <w:r w:rsidR="008E4F02" w:rsidRPr="00121129">
        <w:t xml:space="preserve"> is </w:t>
      </w:r>
      <w:r w:rsidR="00814E51" w:rsidRPr="00121129">
        <w:t>important</w:t>
      </w:r>
      <w:r w:rsidR="008E4F02" w:rsidRPr="00121129">
        <w:t xml:space="preserve"> to note that the Strategic Case has taken account of the Nuffield Trust Independent Advice Report December 2020</w:t>
      </w:r>
      <w:r w:rsidR="00121129" w:rsidRPr="00121129">
        <w:t>,</w:t>
      </w:r>
      <w:r w:rsidR="008E4F02" w:rsidRPr="00121129">
        <w:t xml:space="preserve"> which the recommendations of were accepted by Local Health Boards, Velindre University NHS Trust and the South</w:t>
      </w:r>
      <w:r w:rsidR="00C745C2">
        <w:t>-</w:t>
      </w:r>
      <w:r w:rsidR="008E4F02" w:rsidRPr="00121129">
        <w:t xml:space="preserve">East Wales </w:t>
      </w:r>
      <w:r w:rsidR="00814E51" w:rsidRPr="00121129">
        <w:t>Cancer Collaborative Leadership Group.</w:t>
      </w:r>
      <w:r w:rsidR="00121129">
        <w:t xml:space="preserve"> </w:t>
      </w:r>
      <w:r w:rsidR="00814E51" w:rsidRPr="00121129">
        <w:t>Given the dynamic nature of cancer care and the evolving regional clinical operating model of cancer, it is important to highlight a number</w:t>
      </w:r>
      <w:r w:rsidR="00121129" w:rsidRPr="00121129">
        <w:t xml:space="preserve"> of</w:t>
      </w:r>
      <w:r w:rsidR="00814E51" w:rsidRPr="00121129">
        <w:t xml:space="preserve"> important areas which have strategic importance for the region and its health partners. There were a number of recommendations which point to the need for the nVCC to support future strategic developments (see Table </w:t>
      </w:r>
      <w:r w:rsidR="00121129">
        <w:t>2</w:t>
      </w:r>
      <w:r w:rsidR="00814E51" w:rsidRPr="00121129">
        <w:t>)</w:t>
      </w:r>
      <w:r w:rsidR="00121129">
        <w:t>.</w:t>
      </w:r>
    </w:p>
    <w:p w14:paraId="5F24B428" w14:textId="77777777" w:rsidR="008E4F02" w:rsidRPr="008D1A07" w:rsidRDefault="008E4F02">
      <w:pPr>
        <w:rPr>
          <w:color w:val="70AD47" w:themeColor="accent6"/>
        </w:rPr>
      </w:pPr>
    </w:p>
    <w:p w14:paraId="1E204BCF" w14:textId="77777777" w:rsidR="008E4F02" w:rsidRPr="006D7A49" w:rsidRDefault="00121129" w:rsidP="006D7A49">
      <w:pPr>
        <w:pStyle w:val="Caption"/>
        <w:keepNext/>
        <w:ind w:left="0" w:firstLine="720"/>
        <w:rPr>
          <w:iCs w:val="0"/>
          <w:color w:val="2F5496"/>
          <w:sz w:val="20"/>
          <w:szCs w:val="20"/>
        </w:rPr>
      </w:pPr>
      <w:r w:rsidRPr="006D7A49">
        <w:rPr>
          <w:iCs w:val="0"/>
          <w:color w:val="2F5496"/>
          <w:sz w:val="20"/>
          <w:szCs w:val="20"/>
        </w:rPr>
        <w:t>Table 2 – Nuffield Trust Independent Advice</w:t>
      </w:r>
    </w:p>
    <w:tbl>
      <w:tblPr>
        <w:tblStyle w:val="TableGrid"/>
        <w:tblW w:w="8363" w:type="dxa"/>
        <w:tblInd w:w="704" w:type="dxa"/>
        <w:tblLayout w:type="fixed"/>
        <w:tblLook w:val="04A0" w:firstRow="1" w:lastRow="0" w:firstColumn="1" w:lastColumn="0" w:noHBand="0" w:noVBand="1"/>
      </w:tblPr>
      <w:tblGrid>
        <w:gridCol w:w="2126"/>
        <w:gridCol w:w="6237"/>
      </w:tblGrid>
      <w:tr w:rsidR="00AF289B" w:rsidRPr="008D1A07" w14:paraId="79AE2B39" w14:textId="77777777" w:rsidTr="000C1E64">
        <w:tc>
          <w:tcPr>
            <w:tcW w:w="2126" w:type="dxa"/>
            <w:shd w:val="clear" w:color="auto" w:fill="D9D9D9" w:themeFill="background1" w:themeFillShade="D9"/>
            <w:vAlign w:val="center"/>
          </w:tcPr>
          <w:p w14:paraId="5808FF8B" w14:textId="77777777" w:rsidR="00AF289B" w:rsidRPr="000C1E64" w:rsidRDefault="00E244C5" w:rsidP="00E244C5">
            <w:pPr>
              <w:jc w:val="center"/>
              <w:rPr>
                <w:rFonts w:cs="Arial"/>
                <w:b/>
                <w:bCs/>
                <w:sz w:val="20"/>
                <w:szCs w:val="20"/>
              </w:rPr>
            </w:pPr>
            <w:r>
              <w:rPr>
                <w:rFonts w:cs="Arial"/>
                <w:b/>
                <w:bCs/>
                <w:sz w:val="20"/>
                <w:szCs w:val="20"/>
              </w:rPr>
              <w:t xml:space="preserve">Nuffield Trust Independent Advice </w:t>
            </w:r>
            <w:r w:rsidR="00AF289B" w:rsidRPr="000C1E64">
              <w:rPr>
                <w:rFonts w:cs="Arial"/>
                <w:b/>
                <w:bCs/>
                <w:sz w:val="20"/>
                <w:szCs w:val="20"/>
              </w:rPr>
              <w:t>Recommendation Number</w:t>
            </w:r>
          </w:p>
        </w:tc>
        <w:tc>
          <w:tcPr>
            <w:tcW w:w="6237" w:type="dxa"/>
            <w:shd w:val="clear" w:color="auto" w:fill="D9D9D9" w:themeFill="background1" w:themeFillShade="D9"/>
            <w:vAlign w:val="center"/>
          </w:tcPr>
          <w:p w14:paraId="6C404BF0" w14:textId="77777777" w:rsidR="00AF289B" w:rsidRPr="000C1E64" w:rsidRDefault="00AF289B" w:rsidP="000C1E64">
            <w:pPr>
              <w:autoSpaceDE w:val="0"/>
              <w:autoSpaceDN w:val="0"/>
              <w:adjustRightInd w:val="0"/>
              <w:jc w:val="center"/>
              <w:rPr>
                <w:rFonts w:cs="Arial"/>
                <w:b/>
                <w:bCs/>
                <w:sz w:val="20"/>
                <w:szCs w:val="20"/>
              </w:rPr>
            </w:pPr>
            <w:r w:rsidRPr="000C1E64">
              <w:rPr>
                <w:rFonts w:cs="Arial"/>
                <w:b/>
                <w:bCs/>
                <w:sz w:val="20"/>
                <w:szCs w:val="20"/>
              </w:rPr>
              <w:t>Recommendation</w:t>
            </w:r>
          </w:p>
        </w:tc>
      </w:tr>
      <w:tr w:rsidR="00814E51" w:rsidRPr="008D1A07" w14:paraId="0732A2A8" w14:textId="77777777" w:rsidTr="000C1E64">
        <w:tc>
          <w:tcPr>
            <w:tcW w:w="2126" w:type="dxa"/>
          </w:tcPr>
          <w:p w14:paraId="29BD1F6C" w14:textId="77777777" w:rsidR="00814E51" w:rsidRPr="000C1E64" w:rsidRDefault="00814E51" w:rsidP="00814E51">
            <w:pPr>
              <w:jc w:val="center"/>
              <w:rPr>
                <w:rFonts w:cs="Arial"/>
                <w:sz w:val="20"/>
                <w:szCs w:val="20"/>
              </w:rPr>
            </w:pPr>
            <w:r w:rsidRPr="000C1E64">
              <w:rPr>
                <w:rFonts w:cs="Arial"/>
                <w:sz w:val="20"/>
                <w:szCs w:val="20"/>
              </w:rPr>
              <w:t>6</w:t>
            </w:r>
          </w:p>
        </w:tc>
        <w:tc>
          <w:tcPr>
            <w:tcW w:w="6237" w:type="dxa"/>
          </w:tcPr>
          <w:p w14:paraId="576B337F" w14:textId="0A78157E" w:rsidR="00814E51" w:rsidRPr="000C1E64" w:rsidRDefault="00814E51" w:rsidP="00814E51">
            <w:pPr>
              <w:autoSpaceDE w:val="0"/>
              <w:autoSpaceDN w:val="0"/>
              <w:adjustRightInd w:val="0"/>
              <w:rPr>
                <w:rFonts w:cs="Arial"/>
                <w:sz w:val="20"/>
                <w:szCs w:val="20"/>
              </w:rPr>
            </w:pPr>
            <w:r w:rsidRPr="000C1E64">
              <w:rPr>
                <w:rFonts w:cs="Arial"/>
                <w:sz w:val="20"/>
                <w:szCs w:val="20"/>
              </w:rPr>
              <w:t>The ambulatory care offer at the VCC should be expanded to include SACT and other ambulatory services for haemato-oncology patients and more multidisciplinary joint clinics. Consideration should be given to expanding a range of other diagnostics, including endoscopy, to create a major diagnostic resource for South</w:t>
            </w:r>
            <w:r w:rsidR="00C745C2">
              <w:rPr>
                <w:rFonts w:cs="Arial"/>
                <w:sz w:val="20"/>
                <w:szCs w:val="20"/>
              </w:rPr>
              <w:t>-</w:t>
            </w:r>
            <w:r w:rsidRPr="000C1E64">
              <w:rPr>
                <w:rFonts w:cs="Arial"/>
                <w:sz w:val="20"/>
                <w:szCs w:val="20"/>
              </w:rPr>
              <w:t xml:space="preserve">East Wales that will be able to operate without the risk of services being disrupted by emergencies and which would also protect these services in the case of further pandemics. </w:t>
            </w:r>
          </w:p>
          <w:p w14:paraId="46A370FE" w14:textId="77777777" w:rsidR="00814E51" w:rsidRPr="000C1E64" w:rsidRDefault="00814E51" w:rsidP="00814E51">
            <w:pPr>
              <w:pStyle w:val="Default"/>
              <w:rPr>
                <w:rFonts w:ascii="Arial" w:hAnsi="Arial" w:cs="Arial"/>
                <w:color w:val="auto"/>
                <w:sz w:val="20"/>
                <w:szCs w:val="20"/>
              </w:rPr>
            </w:pPr>
          </w:p>
        </w:tc>
      </w:tr>
      <w:tr w:rsidR="00814E51" w:rsidRPr="008D1A07" w14:paraId="5A65B370" w14:textId="77777777" w:rsidTr="000C1E64">
        <w:tc>
          <w:tcPr>
            <w:tcW w:w="2126" w:type="dxa"/>
          </w:tcPr>
          <w:p w14:paraId="3C96CD77" w14:textId="77777777" w:rsidR="00814E51" w:rsidRPr="000C1E64" w:rsidRDefault="00814E51" w:rsidP="00814E51">
            <w:pPr>
              <w:jc w:val="center"/>
              <w:rPr>
                <w:rFonts w:cs="Arial"/>
                <w:sz w:val="20"/>
                <w:szCs w:val="20"/>
              </w:rPr>
            </w:pPr>
            <w:r w:rsidRPr="000C1E64">
              <w:rPr>
                <w:rFonts w:cs="Arial"/>
                <w:sz w:val="20"/>
                <w:szCs w:val="20"/>
              </w:rPr>
              <w:t>10</w:t>
            </w:r>
          </w:p>
        </w:tc>
        <w:tc>
          <w:tcPr>
            <w:tcW w:w="6237" w:type="dxa"/>
          </w:tcPr>
          <w:p w14:paraId="00551E2F" w14:textId="77777777" w:rsidR="00814E51" w:rsidRPr="000C1E64" w:rsidRDefault="00814E51" w:rsidP="00814E51">
            <w:pPr>
              <w:pStyle w:val="Default"/>
              <w:rPr>
                <w:rFonts w:ascii="Arial" w:hAnsi="Arial" w:cs="Arial"/>
                <w:color w:val="auto"/>
                <w:sz w:val="20"/>
                <w:szCs w:val="20"/>
              </w:rPr>
            </w:pPr>
            <w:r w:rsidRPr="000C1E64">
              <w:rPr>
                <w:rFonts w:ascii="Arial" w:hAnsi="Arial" w:cs="Arial"/>
                <w:color w:val="auto"/>
                <w:sz w:val="20"/>
                <w:szCs w:val="20"/>
              </w:rPr>
              <w:t xml:space="preserve">Flexibility in design is going to be important both for the new VCC and for whatever is developed at the new UHW due to the rapid change in the nature of treatment and research. </w:t>
            </w:r>
          </w:p>
          <w:p w14:paraId="5C739D48" w14:textId="77777777" w:rsidR="00814E51" w:rsidRPr="000C1E64" w:rsidRDefault="00814E51" w:rsidP="00814E51">
            <w:pPr>
              <w:pStyle w:val="Default"/>
              <w:rPr>
                <w:rFonts w:ascii="Arial" w:hAnsi="Arial" w:cs="Arial"/>
                <w:color w:val="auto"/>
                <w:sz w:val="20"/>
                <w:szCs w:val="20"/>
              </w:rPr>
            </w:pPr>
          </w:p>
        </w:tc>
      </w:tr>
      <w:tr w:rsidR="00814E51" w:rsidRPr="008D1A07" w14:paraId="1095A4B3" w14:textId="77777777" w:rsidTr="000C1E64">
        <w:tc>
          <w:tcPr>
            <w:tcW w:w="2126" w:type="dxa"/>
          </w:tcPr>
          <w:p w14:paraId="0AA1C794" w14:textId="77777777" w:rsidR="00814E51" w:rsidRPr="000C1E64" w:rsidRDefault="00814E51" w:rsidP="00814E51">
            <w:pPr>
              <w:jc w:val="center"/>
              <w:rPr>
                <w:rFonts w:cs="Arial"/>
                <w:sz w:val="20"/>
                <w:szCs w:val="20"/>
              </w:rPr>
            </w:pPr>
            <w:r w:rsidRPr="000C1E64">
              <w:rPr>
                <w:rFonts w:cs="Arial"/>
                <w:sz w:val="20"/>
                <w:szCs w:val="20"/>
              </w:rPr>
              <w:t>11</w:t>
            </w:r>
          </w:p>
        </w:tc>
        <w:tc>
          <w:tcPr>
            <w:tcW w:w="6237" w:type="dxa"/>
          </w:tcPr>
          <w:p w14:paraId="7B721DDA" w14:textId="77777777" w:rsidR="00814E51" w:rsidRPr="000C1E64" w:rsidRDefault="00814E51" w:rsidP="00814E51">
            <w:pPr>
              <w:pStyle w:val="Default"/>
              <w:rPr>
                <w:rFonts w:ascii="Arial" w:hAnsi="Arial" w:cs="Arial"/>
                <w:color w:val="auto"/>
                <w:sz w:val="20"/>
                <w:szCs w:val="20"/>
              </w:rPr>
            </w:pPr>
            <w:r w:rsidRPr="000C1E64">
              <w:rPr>
                <w:rFonts w:ascii="Arial" w:hAnsi="Arial" w:cs="Arial"/>
                <w:color w:val="auto"/>
                <w:sz w:val="20"/>
                <w:szCs w:val="20"/>
              </w:rPr>
              <w:t xml:space="preserve">There are future strategic development opportunities provided by the development of a new VCC and a proposed UHW2. Working together over the 15- to 20-year window, the health system should look to exploit these development opportunities in light of future service needs. </w:t>
            </w:r>
          </w:p>
          <w:p w14:paraId="63F03106" w14:textId="77777777" w:rsidR="00814E51" w:rsidRPr="000C1E64" w:rsidRDefault="00814E51" w:rsidP="00814E51">
            <w:pPr>
              <w:pStyle w:val="Default"/>
              <w:rPr>
                <w:rFonts w:ascii="Arial" w:hAnsi="Arial" w:cs="Arial"/>
                <w:color w:val="auto"/>
                <w:sz w:val="20"/>
                <w:szCs w:val="20"/>
              </w:rPr>
            </w:pPr>
          </w:p>
        </w:tc>
      </w:tr>
    </w:tbl>
    <w:p w14:paraId="57DC219F" w14:textId="77777777" w:rsidR="00814E51" w:rsidRPr="008D1A07" w:rsidRDefault="00814E51">
      <w:pPr>
        <w:rPr>
          <w:b/>
          <w:color w:val="70AD47" w:themeColor="accent6"/>
        </w:rPr>
      </w:pPr>
    </w:p>
    <w:p w14:paraId="3302AC40" w14:textId="57E148DC" w:rsidR="0081661F" w:rsidRPr="000C1E64" w:rsidRDefault="00121129" w:rsidP="000C1E64">
      <w:pPr>
        <w:ind w:left="567" w:hanging="567"/>
      </w:pPr>
      <w:r w:rsidRPr="000C1E64">
        <w:t>2.1</w:t>
      </w:r>
      <w:r w:rsidR="004928F5">
        <w:t>6</w:t>
      </w:r>
      <w:r w:rsidRPr="000C1E64">
        <w:tab/>
      </w:r>
      <w:r w:rsidR="00814E51" w:rsidRPr="000C1E64">
        <w:t xml:space="preserve">These recommendations </w:t>
      </w:r>
      <w:r w:rsidR="0081661F" w:rsidRPr="000C1E64">
        <w:t>are important as they are intended to ensure that the nVCC can support the current and future clinical operating models across South</w:t>
      </w:r>
      <w:r w:rsidR="00994D9F">
        <w:t>-</w:t>
      </w:r>
      <w:r w:rsidR="0081661F" w:rsidRPr="000C1E64">
        <w:t>East Wales over its planned life-span (40 – 60 years).  Each of these recommendations has been considered in both the design of the clinical operating model and the design of the nVCC as set out below-</w:t>
      </w:r>
    </w:p>
    <w:p w14:paraId="0896E4C7" w14:textId="77777777" w:rsidR="009E3FBA" w:rsidRPr="000C1E64" w:rsidRDefault="0081661F" w:rsidP="000C1E64">
      <w:pPr>
        <w:pStyle w:val="ListParagraph"/>
        <w:numPr>
          <w:ilvl w:val="0"/>
          <w:numId w:val="0"/>
        </w:numPr>
        <w:ind w:left="1134" w:hanging="567"/>
        <w:jc w:val="both"/>
        <w:rPr>
          <w:i/>
          <w:iCs/>
        </w:rPr>
      </w:pPr>
      <w:r w:rsidRPr="000C1E64">
        <w:rPr>
          <w:i/>
          <w:iCs/>
        </w:rPr>
        <w:t>Utilisation of nVCC as a regional asse</w:t>
      </w:r>
      <w:r w:rsidR="009E3FBA" w:rsidRPr="000C1E64">
        <w:rPr>
          <w:i/>
          <w:iCs/>
        </w:rPr>
        <w:t>t</w:t>
      </w:r>
    </w:p>
    <w:p w14:paraId="1FD34B63" w14:textId="77777777" w:rsidR="00121129" w:rsidRPr="00F253D5" w:rsidRDefault="009E3FBA" w:rsidP="000C1E64">
      <w:pPr>
        <w:pStyle w:val="ListParagraph"/>
        <w:numPr>
          <w:ilvl w:val="0"/>
          <w:numId w:val="0"/>
        </w:numPr>
        <w:ind w:left="567"/>
        <w:jc w:val="both"/>
        <w:rPr>
          <w:bCs/>
        </w:rPr>
      </w:pPr>
      <w:r>
        <w:rPr>
          <w:b w:val="0"/>
          <w:bCs/>
        </w:rPr>
        <w:t>I</w:t>
      </w:r>
      <w:r w:rsidR="0081661F" w:rsidRPr="00F253D5">
        <w:rPr>
          <w:b w:val="0"/>
          <w:bCs/>
        </w:rPr>
        <w:t xml:space="preserve">t is imperative that the nVCC is considered and utilised as a regional asset which is part of a range of service/infrastructure that delivers improved quality of care </w:t>
      </w:r>
      <w:r w:rsidR="0081661F" w:rsidRPr="00F253D5">
        <w:rPr>
          <w:b w:val="0"/>
          <w:bCs/>
        </w:rPr>
        <w:lastRenderedPageBreak/>
        <w:t>and better population outcomes. The nVCC design supports this in a number of ways:</w:t>
      </w:r>
    </w:p>
    <w:p w14:paraId="07FFC513" w14:textId="77777777" w:rsidR="00121129" w:rsidRPr="000C1E64" w:rsidRDefault="0081661F" w:rsidP="000C1E64">
      <w:pPr>
        <w:pStyle w:val="ListParagraph"/>
        <w:numPr>
          <w:ilvl w:val="2"/>
          <w:numId w:val="16"/>
        </w:numPr>
        <w:jc w:val="both"/>
        <w:rPr>
          <w:b w:val="0"/>
        </w:rPr>
      </w:pPr>
      <w:r w:rsidRPr="00A917A9">
        <w:t>immediate: provision of non-surgical tertiary cancer services as required by LHB commissioners</w:t>
      </w:r>
      <w:r w:rsidR="00121129" w:rsidRPr="00E244C5">
        <w:rPr>
          <w:b w:val="0"/>
        </w:rPr>
        <w:t>;</w:t>
      </w:r>
    </w:p>
    <w:p w14:paraId="7A380E8A" w14:textId="77777777" w:rsidR="00121129" w:rsidRPr="000C1E64" w:rsidRDefault="0081661F" w:rsidP="000C1E64">
      <w:pPr>
        <w:pStyle w:val="ListParagraph"/>
        <w:numPr>
          <w:ilvl w:val="2"/>
          <w:numId w:val="16"/>
        </w:numPr>
        <w:jc w:val="both"/>
        <w:rPr>
          <w:bCs/>
        </w:rPr>
      </w:pPr>
      <w:r w:rsidRPr="000C1E64">
        <w:rPr>
          <w:b w:val="0"/>
        </w:rPr>
        <w:t xml:space="preserve">development of a regional clinical operating model which supports the regional clinical needs. This is illustrated in the provision of enhanced assessment/ambulatory care services and additional capacity at nVCC which seeks to reduce the number of patients who </w:t>
      </w:r>
      <w:r w:rsidR="005459DF" w:rsidRPr="000C1E64">
        <w:rPr>
          <w:b w:val="0"/>
        </w:rPr>
        <w:t>unnecessarily</w:t>
      </w:r>
      <w:r w:rsidRPr="000C1E64">
        <w:rPr>
          <w:b w:val="0"/>
        </w:rPr>
        <w:t xml:space="preserve"> attend </w:t>
      </w:r>
      <w:r w:rsidR="005459DF" w:rsidRPr="000C1E64">
        <w:rPr>
          <w:b w:val="0"/>
        </w:rPr>
        <w:t>unscheduled</w:t>
      </w:r>
      <w:r w:rsidRPr="000C1E64">
        <w:rPr>
          <w:b w:val="0"/>
        </w:rPr>
        <w:t xml:space="preserve"> care/emergency services at LHBs</w:t>
      </w:r>
      <w:r w:rsidR="00121129" w:rsidRPr="00A917A9">
        <w:t>;</w:t>
      </w:r>
    </w:p>
    <w:p w14:paraId="5392BD84" w14:textId="77777777" w:rsidR="00121129" w:rsidRPr="00F253D5" w:rsidRDefault="0081661F" w:rsidP="000C1E64">
      <w:pPr>
        <w:pStyle w:val="ListParagraph"/>
        <w:numPr>
          <w:ilvl w:val="2"/>
          <w:numId w:val="16"/>
        </w:numPr>
        <w:jc w:val="both"/>
        <w:rPr>
          <w:bCs/>
        </w:rPr>
      </w:pPr>
      <w:r w:rsidRPr="00F253D5">
        <w:rPr>
          <w:b w:val="0"/>
          <w:bCs/>
        </w:rPr>
        <w:t xml:space="preserve">the possibility of using the capacity regionally rather than organisationally.  Initial work has identified that clinical pathways can be remodelled which would see a planned shift in patient flows / what care is provided where. An example of this is haematology </w:t>
      </w:r>
      <w:r w:rsidR="005459DF" w:rsidRPr="00F253D5">
        <w:rPr>
          <w:b w:val="0"/>
          <w:bCs/>
        </w:rPr>
        <w:t xml:space="preserve">where there is likely to be range of </w:t>
      </w:r>
      <w:r w:rsidRPr="00F253D5">
        <w:rPr>
          <w:b w:val="0"/>
          <w:bCs/>
        </w:rPr>
        <w:t xml:space="preserve">patients </w:t>
      </w:r>
      <w:r w:rsidR="005459DF" w:rsidRPr="00F253D5">
        <w:rPr>
          <w:b w:val="0"/>
          <w:bCs/>
        </w:rPr>
        <w:t xml:space="preserve">who currently receive treatments in LHB settings who could be treated at nVCC.  The V@LHB model therefore can also be seen as </w:t>
      </w:r>
      <w:proofErr w:type="spellStart"/>
      <w:r w:rsidR="005459DF" w:rsidRPr="00F253D5">
        <w:rPr>
          <w:b w:val="0"/>
          <w:bCs/>
        </w:rPr>
        <w:t>Cardiff@nVCC</w:t>
      </w:r>
      <w:proofErr w:type="spellEnd"/>
      <w:r w:rsidR="005459DF" w:rsidRPr="00F253D5">
        <w:rPr>
          <w:b w:val="0"/>
          <w:bCs/>
        </w:rPr>
        <w:t xml:space="preserve">; </w:t>
      </w:r>
      <w:r w:rsidR="00FD1996" w:rsidRPr="00F253D5">
        <w:rPr>
          <w:b w:val="0"/>
          <w:bCs/>
        </w:rPr>
        <w:t>Aneurin</w:t>
      </w:r>
      <w:r w:rsidR="005459DF" w:rsidRPr="00F253D5">
        <w:rPr>
          <w:b w:val="0"/>
          <w:bCs/>
        </w:rPr>
        <w:t xml:space="preserve"> </w:t>
      </w:r>
      <w:proofErr w:type="spellStart"/>
      <w:r w:rsidR="005459DF" w:rsidRPr="00F253D5">
        <w:rPr>
          <w:b w:val="0"/>
          <w:bCs/>
        </w:rPr>
        <w:t>Bevan@nVCC</w:t>
      </w:r>
      <w:proofErr w:type="spellEnd"/>
      <w:r w:rsidR="005459DF" w:rsidRPr="00F253D5">
        <w:rPr>
          <w:b w:val="0"/>
          <w:bCs/>
        </w:rPr>
        <w:t xml:space="preserve">; </w:t>
      </w:r>
      <w:proofErr w:type="spellStart"/>
      <w:r w:rsidR="005459DF" w:rsidRPr="00F253D5">
        <w:rPr>
          <w:b w:val="0"/>
          <w:bCs/>
        </w:rPr>
        <w:t>CTM@nVCC</w:t>
      </w:r>
      <w:proofErr w:type="spellEnd"/>
      <w:r w:rsidR="005459DF" w:rsidRPr="00F253D5">
        <w:rPr>
          <w:b w:val="0"/>
          <w:bCs/>
        </w:rPr>
        <w:t xml:space="preserve">. </w:t>
      </w:r>
      <w:r w:rsidR="005459DF" w:rsidRPr="00664FD8">
        <w:rPr>
          <w:b w:val="0"/>
          <w:bCs/>
        </w:rPr>
        <w:t>Initial work has been undertaken to explore this and could be accelerated as the overall demand/capacity and clinical model is developed</w:t>
      </w:r>
      <w:r w:rsidR="00121129" w:rsidRPr="000C1E64">
        <w:rPr>
          <w:b w:val="0"/>
          <w:bCs/>
        </w:rPr>
        <w:t>;</w:t>
      </w:r>
    </w:p>
    <w:p w14:paraId="3F7D54AF" w14:textId="56454CD1" w:rsidR="005459DF" w:rsidRPr="00F253D5" w:rsidRDefault="005459DF" w:rsidP="000C1E64">
      <w:pPr>
        <w:pStyle w:val="ListParagraph"/>
        <w:numPr>
          <w:ilvl w:val="2"/>
          <w:numId w:val="16"/>
        </w:numPr>
        <w:jc w:val="both"/>
        <w:rPr>
          <w:bCs/>
        </w:rPr>
      </w:pPr>
      <w:r w:rsidRPr="000C1E64">
        <w:rPr>
          <w:b w:val="0"/>
          <w:bCs/>
        </w:rPr>
        <w:t xml:space="preserve">diagnostics: the development of the nVCC has taken account of the potential strategic </w:t>
      </w:r>
      <w:r w:rsidR="00FD1996" w:rsidRPr="000C1E64">
        <w:rPr>
          <w:b w:val="0"/>
          <w:bCs/>
        </w:rPr>
        <w:t>oppo</w:t>
      </w:r>
      <w:r w:rsidR="00FD1996">
        <w:rPr>
          <w:b w:val="0"/>
          <w:bCs/>
        </w:rPr>
        <w:t>r</w:t>
      </w:r>
      <w:r w:rsidR="00FD1996" w:rsidRPr="000C1E64">
        <w:rPr>
          <w:b w:val="0"/>
          <w:bCs/>
        </w:rPr>
        <w:t>tunity</w:t>
      </w:r>
      <w:r w:rsidRPr="000C1E64">
        <w:rPr>
          <w:b w:val="0"/>
          <w:bCs/>
        </w:rPr>
        <w:t xml:space="preserve"> with regard to diagnostics across South</w:t>
      </w:r>
      <w:r w:rsidR="00994D9F">
        <w:rPr>
          <w:b w:val="0"/>
          <w:bCs/>
        </w:rPr>
        <w:t>-</w:t>
      </w:r>
      <w:r w:rsidRPr="000C1E64">
        <w:rPr>
          <w:b w:val="0"/>
          <w:bCs/>
        </w:rPr>
        <w:t>East Wales.  The nVCC has designed in capacity to address immediate to medium terms needs (CT; MRI etc</w:t>
      </w:r>
      <w:r w:rsidR="00664FD8">
        <w:rPr>
          <w:b w:val="0"/>
          <w:bCs/>
        </w:rPr>
        <w:t>.</w:t>
      </w:r>
      <w:r w:rsidRPr="000C1E64">
        <w:rPr>
          <w:b w:val="0"/>
          <w:bCs/>
        </w:rPr>
        <w:t>) and also flexibility to successfully support potential strategic developments e.g. provision of PET-CT; provision of significant step up in diagnostics services</w:t>
      </w:r>
    </w:p>
    <w:p w14:paraId="46268E59" w14:textId="77777777" w:rsidR="005459DF" w:rsidRDefault="005459DF" w:rsidP="005459DF">
      <w:pPr>
        <w:rPr>
          <w:color w:val="70AD47" w:themeColor="accent6"/>
        </w:rPr>
      </w:pPr>
    </w:p>
    <w:p w14:paraId="502FBED4" w14:textId="77777777" w:rsidR="005459DF" w:rsidRPr="00F253D5" w:rsidRDefault="004928F5" w:rsidP="000C1E64">
      <w:pPr>
        <w:pStyle w:val="ListParagraph"/>
        <w:numPr>
          <w:ilvl w:val="0"/>
          <w:numId w:val="0"/>
        </w:numPr>
        <w:ind w:left="720"/>
        <w:rPr>
          <w:bCs/>
        </w:rPr>
      </w:pPr>
      <w:r>
        <w:rPr>
          <w:i/>
          <w:iCs/>
        </w:rPr>
        <w:t>F</w:t>
      </w:r>
      <w:r w:rsidR="006A3800" w:rsidRPr="000C1E64">
        <w:rPr>
          <w:i/>
          <w:iCs/>
        </w:rPr>
        <w:t>lexible</w:t>
      </w:r>
      <w:r w:rsidR="005459DF" w:rsidRPr="000C1E64">
        <w:rPr>
          <w:i/>
          <w:iCs/>
        </w:rPr>
        <w:t xml:space="preserve"> Design</w:t>
      </w:r>
    </w:p>
    <w:p w14:paraId="52B8A454" w14:textId="77777777" w:rsidR="006A3800" w:rsidRPr="00F253D5" w:rsidRDefault="005459DF" w:rsidP="000C1E64">
      <w:pPr>
        <w:pStyle w:val="ListParagraph"/>
        <w:numPr>
          <w:ilvl w:val="0"/>
          <w:numId w:val="0"/>
        </w:numPr>
        <w:ind w:left="720"/>
        <w:jc w:val="both"/>
        <w:rPr>
          <w:bCs/>
        </w:rPr>
      </w:pPr>
      <w:r w:rsidRPr="000C1E64">
        <w:rPr>
          <w:b w:val="0"/>
          <w:bCs/>
        </w:rPr>
        <w:t>The nVCC ha</w:t>
      </w:r>
      <w:r w:rsidR="006A3800" w:rsidRPr="000C1E64">
        <w:rPr>
          <w:b w:val="0"/>
          <w:bCs/>
        </w:rPr>
        <w:t>s been designed to provide maximum flexibility to cope with the changing nature of cancer care and regional strategic developments.</w:t>
      </w:r>
      <w:r w:rsidR="00E244C5">
        <w:rPr>
          <w:b w:val="0"/>
          <w:bCs/>
        </w:rPr>
        <w:t xml:space="preserve"> </w:t>
      </w:r>
      <w:r w:rsidR="006A3800" w:rsidRPr="000C1E64">
        <w:rPr>
          <w:b w:val="0"/>
          <w:bCs/>
        </w:rPr>
        <w:t>The design has a number of aspects which provide future flexibility:</w:t>
      </w:r>
    </w:p>
    <w:p w14:paraId="10851824" w14:textId="77777777" w:rsidR="006A3800" w:rsidRPr="000C1E64" w:rsidRDefault="006A3800" w:rsidP="000C1E64">
      <w:pPr>
        <w:pStyle w:val="ListParagraph"/>
        <w:numPr>
          <w:ilvl w:val="0"/>
          <w:numId w:val="18"/>
        </w:numPr>
        <w:jc w:val="both"/>
        <w:rPr>
          <w:b w:val="0"/>
        </w:rPr>
      </w:pPr>
      <w:r w:rsidRPr="000C1E64">
        <w:rPr>
          <w:b w:val="0"/>
        </w:rPr>
        <w:t xml:space="preserve">Template design </w:t>
      </w:r>
      <w:r w:rsidR="009E3FBA">
        <w:rPr>
          <w:b w:val="0"/>
        </w:rPr>
        <w:t>allows for design development and any required changes due to service developments.</w:t>
      </w:r>
    </w:p>
    <w:p w14:paraId="5CFBC696" w14:textId="77777777" w:rsidR="006A3800" w:rsidRPr="000C1E64" w:rsidRDefault="006A3800" w:rsidP="000C1E64">
      <w:pPr>
        <w:pStyle w:val="ListParagraph"/>
        <w:numPr>
          <w:ilvl w:val="0"/>
          <w:numId w:val="18"/>
        </w:numPr>
        <w:jc w:val="both"/>
        <w:rPr>
          <w:b w:val="0"/>
        </w:rPr>
      </w:pPr>
      <w:r w:rsidRPr="000C1E64">
        <w:rPr>
          <w:b w:val="0"/>
        </w:rPr>
        <w:t xml:space="preserve">Orientation of the building: the nVCC has been designed to allow maximum flexibility which is </w:t>
      </w:r>
      <w:r w:rsidR="009E3FBA" w:rsidRPr="009E3FBA">
        <w:rPr>
          <w:b w:val="0"/>
        </w:rPr>
        <w:t>achievable</w:t>
      </w:r>
      <w:r w:rsidRPr="000C1E64">
        <w:rPr>
          <w:b w:val="0"/>
        </w:rPr>
        <w:t xml:space="preserve"> with the </w:t>
      </w:r>
      <w:r w:rsidR="009E3FBA" w:rsidRPr="009E3FBA">
        <w:rPr>
          <w:b w:val="0"/>
        </w:rPr>
        <w:t>minimum</w:t>
      </w:r>
      <w:r w:rsidRPr="000C1E64">
        <w:rPr>
          <w:b w:val="0"/>
        </w:rPr>
        <w:t xml:space="preserve"> of disruption/cost.</w:t>
      </w:r>
      <w:r w:rsidR="00E244C5">
        <w:rPr>
          <w:b w:val="0"/>
        </w:rPr>
        <w:t xml:space="preserve"> </w:t>
      </w:r>
      <w:r w:rsidRPr="000C1E64">
        <w:rPr>
          <w:b w:val="0"/>
        </w:rPr>
        <w:t xml:space="preserve">The design consists of two areas of service contained in separate </w:t>
      </w:r>
      <w:r w:rsidR="009E3FBA" w:rsidRPr="009E3FBA">
        <w:rPr>
          <w:b w:val="0"/>
        </w:rPr>
        <w:t>elements</w:t>
      </w:r>
      <w:r w:rsidRPr="000C1E64">
        <w:rPr>
          <w:b w:val="0"/>
        </w:rPr>
        <w:t xml:space="preserve"> of the building</w:t>
      </w:r>
      <w:r w:rsidR="009E3FBA">
        <w:rPr>
          <w:b w:val="0"/>
        </w:rPr>
        <w:t>.</w:t>
      </w:r>
    </w:p>
    <w:p w14:paraId="41FE5A75" w14:textId="77777777" w:rsidR="00AE5AFF" w:rsidRPr="000C1E64" w:rsidRDefault="00E244C5" w:rsidP="000C1E64">
      <w:pPr>
        <w:pStyle w:val="ListParagraph"/>
        <w:numPr>
          <w:ilvl w:val="1"/>
          <w:numId w:val="18"/>
        </w:numPr>
        <w:jc w:val="both"/>
        <w:rPr>
          <w:b w:val="0"/>
        </w:rPr>
      </w:pPr>
      <w:r>
        <w:rPr>
          <w:b w:val="0"/>
        </w:rPr>
        <w:t>Service Area 1:</w:t>
      </w:r>
    </w:p>
    <w:p w14:paraId="55E11EE8" w14:textId="77777777" w:rsidR="00AE5AFF" w:rsidRPr="000C1E64" w:rsidRDefault="00AE5AFF" w:rsidP="000C1E64">
      <w:pPr>
        <w:pStyle w:val="ListParagraph"/>
        <w:numPr>
          <w:ilvl w:val="2"/>
          <w:numId w:val="18"/>
        </w:numPr>
        <w:jc w:val="both"/>
        <w:rPr>
          <w:b w:val="0"/>
        </w:rPr>
      </w:pPr>
      <w:r w:rsidRPr="000C1E64">
        <w:rPr>
          <w:b w:val="0"/>
        </w:rPr>
        <w:t xml:space="preserve">Radiotherapy: the radiotherapy area has been built to future proof future flexibility.  The bunkers have been designed to allow different types of manufacturer/machines to be installed as technology advances and the potential for </w:t>
      </w:r>
      <w:r w:rsidR="009E3FBA">
        <w:rPr>
          <w:b w:val="0"/>
        </w:rPr>
        <w:t>service development</w:t>
      </w:r>
      <w:r w:rsidR="000C1E64">
        <w:rPr>
          <w:b w:val="0"/>
        </w:rPr>
        <w:t>;</w:t>
      </w:r>
    </w:p>
    <w:p w14:paraId="386B9368" w14:textId="77777777" w:rsidR="006A3800" w:rsidRPr="000C1E64" w:rsidRDefault="00E244C5" w:rsidP="000C1E64">
      <w:pPr>
        <w:pStyle w:val="ListParagraph"/>
        <w:numPr>
          <w:ilvl w:val="2"/>
          <w:numId w:val="18"/>
        </w:numPr>
        <w:jc w:val="both"/>
        <w:rPr>
          <w:b w:val="0"/>
        </w:rPr>
      </w:pPr>
      <w:r>
        <w:rPr>
          <w:b w:val="0"/>
        </w:rPr>
        <w:lastRenderedPageBreak/>
        <w:t>I</w:t>
      </w:r>
      <w:r w:rsidR="006A3800" w:rsidRPr="000C1E64">
        <w:rPr>
          <w:b w:val="0"/>
        </w:rPr>
        <w:t>maging/diagnostics block: the major diagnostics and imaging kit is here with additional capacity and development control plans in place to support any strategic requirements to increase capacity/provision</w:t>
      </w:r>
      <w:r w:rsidR="009E3FBA">
        <w:rPr>
          <w:b w:val="0"/>
        </w:rPr>
        <w:t>;</w:t>
      </w:r>
      <w:r w:rsidR="00AE5AFF" w:rsidRPr="000C1E64">
        <w:rPr>
          <w:b w:val="0"/>
        </w:rPr>
        <w:t xml:space="preserve">  </w:t>
      </w:r>
    </w:p>
    <w:p w14:paraId="1202D08E" w14:textId="77777777" w:rsidR="00E244C5" w:rsidRDefault="00E244C5">
      <w:pPr>
        <w:pStyle w:val="ListParagraph"/>
        <w:numPr>
          <w:ilvl w:val="1"/>
          <w:numId w:val="18"/>
        </w:numPr>
        <w:jc w:val="both"/>
        <w:rPr>
          <w:b w:val="0"/>
        </w:rPr>
      </w:pPr>
      <w:r>
        <w:rPr>
          <w:b w:val="0"/>
        </w:rPr>
        <w:t>Service Area 2:</w:t>
      </w:r>
    </w:p>
    <w:p w14:paraId="11078DEA" w14:textId="77777777" w:rsidR="006A3800" w:rsidRPr="000C1E64" w:rsidRDefault="006A3800" w:rsidP="000C1E64">
      <w:pPr>
        <w:pStyle w:val="ListParagraph"/>
        <w:numPr>
          <w:ilvl w:val="2"/>
          <w:numId w:val="18"/>
        </w:numPr>
        <w:jc w:val="both"/>
        <w:rPr>
          <w:b w:val="0"/>
        </w:rPr>
      </w:pPr>
      <w:r w:rsidRPr="000C1E64">
        <w:rPr>
          <w:b w:val="0"/>
        </w:rPr>
        <w:t>Assessment/ambulatory/inpatient block: this area of the nVCC provides optimum adjacencies for current service provision together with a template approach to the design.</w:t>
      </w:r>
      <w:r w:rsidR="009E3FBA">
        <w:rPr>
          <w:b w:val="0"/>
        </w:rPr>
        <w:t xml:space="preserve"> </w:t>
      </w:r>
      <w:r w:rsidRPr="000C1E64">
        <w:rPr>
          <w:b w:val="0"/>
        </w:rPr>
        <w:t>This allows the split of assessment/ambulatory/inpatient capacity to be changed very easily with no building works required for the majority of changes required</w:t>
      </w:r>
      <w:r w:rsidR="009E3FBA">
        <w:rPr>
          <w:b w:val="0"/>
        </w:rPr>
        <w:t>;</w:t>
      </w:r>
    </w:p>
    <w:p w14:paraId="69DBF191" w14:textId="77777777" w:rsidR="006A3800" w:rsidRPr="000C1E64" w:rsidRDefault="007F2879" w:rsidP="000C1E64">
      <w:pPr>
        <w:pStyle w:val="ListParagraph"/>
        <w:numPr>
          <w:ilvl w:val="0"/>
          <w:numId w:val="18"/>
        </w:numPr>
        <w:jc w:val="both"/>
        <w:rPr>
          <w:b w:val="0"/>
        </w:rPr>
      </w:pPr>
      <w:r w:rsidRPr="000C1E64">
        <w:rPr>
          <w:b w:val="0"/>
        </w:rPr>
        <w:t xml:space="preserve">Future strategic developments: the nVCC project will also include a strategic service continuity plan which will set out 10 – 15 likely regional cancer system service and non-surgical tertiary </w:t>
      </w:r>
      <w:r w:rsidR="00AE5AFF" w:rsidRPr="000C1E64">
        <w:rPr>
          <w:b w:val="0"/>
        </w:rPr>
        <w:t>service developments</w:t>
      </w:r>
      <w:r w:rsidRPr="000C1E64">
        <w:rPr>
          <w:b w:val="0"/>
        </w:rPr>
        <w:t xml:space="preserve"> that Acorn will be required to develop plans for which will set out how the nVCC building will be able to adapt/be reconfigured/support any additional construction to implement it.</w:t>
      </w:r>
    </w:p>
    <w:p w14:paraId="35CF4448" w14:textId="77777777" w:rsidR="00115193" w:rsidRDefault="00115193">
      <w:pPr>
        <w:rPr>
          <w:b/>
        </w:rPr>
      </w:pPr>
    </w:p>
    <w:p w14:paraId="6B7B5A9E" w14:textId="77777777" w:rsidR="004928F5" w:rsidRDefault="004928F5" w:rsidP="004928F5">
      <w:pPr>
        <w:ind w:left="709" w:hanging="709"/>
      </w:pPr>
      <w:r>
        <w:t>2.17</w:t>
      </w:r>
      <w:r>
        <w:tab/>
        <w:t>The benefits of the nVCC are set out below:</w:t>
      </w:r>
    </w:p>
    <w:p w14:paraId="76503EC7" w14:textId="77777777" w:rsidR="004928F5" w:rsidRPr="00EB49C3" w:rsidRDefault="004928F5" w:rsidP="004928F5">
      <w:pPr>
        <w:pStyle w:val="Bullet"/>
        <w:numPr>
          <w:ilvl w:val="0"/>
          <w:numId w:val="29"/>
        </w:numPr>
        <w:tabs>
          <w:tab w:val="left" w:pos="1843"/>
        </w:tabs>
        <w:spacing w:after="0" w:line="276" w:lineRule="auto"/>
        <w:ind w:left="1418" w:hanging="567"/>
        <w:rPr>
          <w:bCs/>
          <w:szCs w:val="24"/>
        </w:rPr>
      </w:pPr>
      <w:r w:rsidRPr="00EB49C3">
        <w:rPr>
          <w:bCs/>
          <w:szCs w:val="24"/>
        </w:rPr>
        <w:t xml:space="preserve">The patient environment at the </w:t>
      </w:r>
      <w:r>
        <w:rPr>
          <w:bCs/>
          <w:szCs w:val="24"/>
        </w:rPr>
        <w:t xml:space="preserve">nVCC will be </w:t>
      </w:r>
      <w:r w:rsidRPr="00EB49C3">
        <w:rPr>
          <w:bCs/>
          <w:szCs w:val="24"/>
        </w:rPr>
        <w:t>optimal and promote</w:t>
      </w:r>
      <w:r>
        <w:rPr>
          <w:bCs/>
          <w:szCs w:val="24"/>
        </w:rPr>
        <w:t>s</w:t>
      </w:r>
      <w:r w:rsidRPr="00EB49C3">
        <w:rPr>
          <w:bCs/>
          <w:szCs w:val="24"/>
        </w:rPr>
        <w:t xml:space="preserve"> patient </w:t>
      </w:r>
      <w:r>
        <w:rPr>
          <w:bCs/>
          <w:szCs w:val="24"/>
        </w:rPr>
        <w:t xml:space="preserve">dignity, </w:t>
      </w:r>
      <w:r w:rsidRPr="00EB49C3">
        <w:rPr>
          <w:bCs/>
          <w:szCs w:val="24"/>
        </w:rPr>
        <w:t>recovery and well-being;</w:t>
      </w:r>
    </w:p>
    <w:p w14:paraId="7F856155" w14:textId="77777777" w:rsidR="004928F5" w:rsidRPr="00EB49C3" w:rsidRDefault="004928F5" w:rsidP="004928F5">
      <w:pPr>
        <w:pStyle w:val="Bullet"/>
        <w:numPr>
          <w:ilvl w:val="0"/>
          <w:numId w:val="29"/>
        </w:numPr>
        <w:tabs>
          <w:tab w:val="left" w:pos="1843"/>
        </w:tabs>
        <w:spacing w:after="0" w:line="276" w:lineRule="auto"/>
        <w:ind w:left="1418" w:hanging="567"/>
        <w:rPr>
          <w:bCs/>
          <w:szCs w:val="24"/>
        </w:rPr>
      </w:pPr>
      <w:r w:rsidRPr="00EB49C3">
        <w:rPr>
          <w:bCs/>
          <w:szCs w:val="24"/>
        </w:rPr>
        <w:t>The</w:t>
      </w:r>
      <w:r>
        <w:rPr>
          <w:bCs/>
          <w:szCs w:val="24"/>
        </w:rPr>
        <w:t xml:space="preserve"> nVCC will have </w:t>
      </w:r>
      <w:r w:rsidRPr="00EB49C3">
        <w:rPr>
          <w:bCs/>
          <w:szCs w:val="24"/>
        </w:rPr>
        <w:t>sufficient patient and family car parking</w:t>
      </w:r>
      <w:r>
        <w:rPr>
          <w:bCs/>
          <w:szCs w:val="24"/>
        </w:rPr>
        <w:t>;</w:t>
      </w:r>
      <w:r w:rsidRPr="00EB49C3">
        <w:rPr>
          <w:bCs/>
          <w:szCs w:val="24"/>
        </w:rPr>
        <w:t xml:space="preserve"> </w:t>
      </w:r>
    </w:p>
    <w:p w14:paraId="3AF402A0" w14:textId="77777777" w:rsidR="004928F5" w:rsidRPr="00EB49C3" w:rsidRDefault="004928F5" w:rsidP="004928F5">
      <w:pPr>
        <w:pStyle w:val="Bullet"/>
        <w:numPr>
          <w:ilvl w:val="0"/>
          <w:numId w:val="29"/>
        </w:numPr>
        <w:tabs>
          <w:tab w:val="left" w:pos="1843"/>
        </w:tabs>
        <w:spacing w:after="0" w:line="276" w:lineRule="auto"/>
        <w:ind w:left="1418" w:hanging="567"/>
        <w:rPr>
          <w:bCs/>
          <w:szCs w:val="24"/>
        </w:rPr>
      </w:pPr>
      <w:r>
        <w:rPr>
          <w:bCs/>
          <w:szCs w:val="24"/>
        </w:rPr>
        <w:t xml:space="preserve">The nVCC </w:t>
      </w:r>
      <w:r w:rsidRPr="00EB49C3">
        <w:rPr>
          <w:bCs/>
          <w:szCs w:val="24"/>
        </w:rPr>
        <w:t xml:space="preserve">accommodation </w:t>
      </w:r>
      <w:r>
        <w:rPr>
          <w:bCs/>
          <w:szCs w:val="24"/>
        </w:rPr>
        <w:t xml:space="preserve">will be </w:t>
      </w:r>
      <w:r w:rsidRPr="00EB49C3">
        <w:rPr>
          <w:bCs/>
          <w:szCs w:val="24"/>
        </w:rPr>
        <w:t xml:space="preserve">compliant with statutory requirements and </w:t>
      </w:r>
      <w:r>
        <w:rPr>
          <w:bCs/>
          <w:szCs w:val="24"/>
        </w:rPr>
        <w:t>that will enable</w:t>
      </w:r>
      <w:r w:rsidRPr="00EB49C3">
        <w:rPr>
          <w:bCs/>
          <w:szCs w:val="24"/>
        </w:rPr>
        <w:t xml:space="preserve"> high levels of patient safety</w:t>
      </w:r>
      <w:r>
        <w:rPr>
          <w:bCs/>
          <w:szCs w:val="24"/>
        </w:rPr>
        <w:t xml:space="preserve"> to be met</w:t>
      </w:r>
      <w:r w:rsidRPr="00EB49C3">
        <w:rPr>
          <w:bCs/>
          <w:szCs w:val="24"/>
        </w:rPr>
        <w:t>;</w:t>
      </w:r>
      <w:r>
        <w:rPr>
          <w:bCs/>
          <w:szCs w:val="24"/>
        </w:rPr>
        <w:t xml:space="preserve"> and,</w:t>
      </w:r>
    </w:p>
    <w:p w14:paraId="3E157AA2" w14:textId="77777777" w:rsidR="004928F5" w:rsidRPr="00EB49C3" w:rsidRDefault="004928F5" w:rsidP="004928F5">
      <w:pPr>
        <w:pStyle w:val="Bullet"/>
        <w:numPr>
          <w:ilvl w:val="0"/>
          <w:numId w:val="29"/>
        </w:numPr>
        <w:tabs>
          <w:tab w:val="left" w:pos="1843"/>
        </w:tabs>
        <w:spacing w:after="0" w:line="276" w:lineRule="auto"/>
        <w:ind w:left="1418" w:hanging="567"/>
        <w:rPr>
          <w:bCs/>
          <w:szCs w:val="24"/>
        </w:rPr>
      </w:pPr>
      <w:r w:rsidRPr="00EB49C3">
        <w:rPr>
          <w:bCs/>
          <w:szCs w:val="24"/>
        </w:rPr>
        <w:t>The</w:t>
      </w:r>
      <w:r>
        <w:rPr>
          <w:bCs/>
          <w:szCs w:val="24"/>
        </w:rPr>
        <w:t xml:space="preserve"> nVCC will have </w:t>
      </w:r>
      <w:r w:rsidRPr="00EB49C3">
        <w:rPr>
          <w:bCs/>
          <w:szCs w:val="24"/>
        </w:rPr>
        <w:t xml:space="preserve">expansion space </w:t>
      </w:r>
      <w:r>
        <w:rPr>
          <w:bCs/>
          <w:szCs w:val="24"/>
        </w:rPr>
        <w:t xml:space="preserve">that will enable </w:t>
      </w:r>
      <w:r w:rsidRPr="00EB49C3">
        <w:rPr>
          <w:bCs/>
          <w:szCs w:val="24"/>
        </w:rPr>
        <w:t>the Trust’s to expand its</w:t>
      </w:r>
      <w:r>
        <w:rPr>
          <w:bCs/>
          <w:szCs w:val="24"/>
        </w:rPr>
        <w:t xml:space="preserve"> footprint to meet the </w:t>
      </w:r>
      <w:r w:rsidRPr="00EB49C3">
        <w:rPr>
          <w:bCs/>
          <w:szCs w:val="24"/>
        </w:rPr>
        <w:t>increasing demand for</w:t>
      </w:r>
      <w:r>
        <w:rPr>
          <w:bCs/>
          <w:szCs w:val="24"/>
        </w:rPr>
        <w:t xml:space="preserve"> its</w:t>
      </w:r>
      <w:r w:rsidRPr="00EB49C3">
        <w:rPr>
          <w:bCs/>
          <w:szCs w:val="24"/>
        </w:rPr>
        <w:t xml:space="preserve"> clinical services</w:t>
      </w:r>
      <w:r>
        <w:rPr>
          <w:bCs/>
          <w:szCs w:val="24"/>
        </w:rPr>
        <w:t xml:space="preserve"> across a range of specialities / departments</w:t>
      </w:r>
      <w:r w:rsidRPr="00EB49C3">
        <w:rPr>
          <w:bCs/>
          <w:szCs w:val="24"/>
        </w:rPr>
        <w:t>.</w:t>
      </w:r>
    </w:p>
    <w:p w14:paraId="590E6FC4" w14:textId="77777777" w:rsidR="004928F5" w:rsidRDefault="004928F5" w:rsidP="004928F5">
      <w:pPr>
        <w:ind w:left="709" w:hanging="709"/>
      </w:pPr>
    </w:p>
    <w:p w14:paraId="19E2A705" w14:textId="217003A3" w:rsidR="004928F5" w:rsidRDefault="004928F5" w:rsidP="004928F5">
      <w:pPr>
        <w:ind w:left="720" w:hanging="720"/>
      </w:pPr>
      <w:r>
        <w:t>2.18</w:t>
      </w:r>
      <w:r>
        <w:tab/>
        <w:t>It is noted that the TCS Programme, that includes Health Boards and the Trust, have achieved significant investment in cancer services for South</w:t>
      </w:r>
      <w:r w:rsidR="00994D9F">
        <w:t>-</w:t>
      </w:r>
      <w:r>
        <w:t>East Wales. This relates to the following:</w:t>
      </w:r>
    </w:p>
    <w:p w14:paraId="272E251D" w14:textId="77777777" w:rsidR="004928F5" w:rsidRPr="004928F5" w:rsidRDefault="004928F5" w:rsidP="004928F5">
      <w:pPr>
        <w:widowControl w:val="0"/>
        <w:numPr>
          <w:ilvl w:val="1"/>
          <w:numId w:val="30"/>
        </w:numPr>
        <w:tabs>
          <w:tab w:val="clear" w:pos="851"/>
        </w:tabs>
        <w:spacing w:before="120" w:after="60"/>
        <w:ind w:left="1276" w:hanging="425"/>
        <w:outlineLvl w:val="2"/>
        <w:rPr>
          <w:rFonts w:eastAsia="SimSun" w:cs="Arial"/>
          <w:bCs/>
          <w:lang w:val="en-AU" w:eastAsia="zh-CN"/>
        </w:rPr>
      </w:pPr>
      <w:r w:rsidRPr="004928F5">
        <w:rPr>
          <w:rFonts w:eastAsia="SimSun" w:cs="Arial"/>
          <w:b/>
          <w:lang w:val="en-AU" w:eastAsia="zh-CN"/>
        </w:rPr>
        <w:t xml:space="preserve">Integrated Radiotherapy Solution: </w:t>
      </w:r>
      <w:r w:rsidRPr="004928F5">
        <w:rPr>
          <w:rFonts w:eastAsia="SimSun" w:cs="Arial"/>
          <w:bCs/>
          <w:lang w:val="en-AU" w:eastAsia="zh-CN"/>
        </w:rPr>
        <w:t xml:space="preserve">some of the key benefits are reduced risk of service failure due to more up to date machines; reduced risk of obsolescence with improved functionality due to more up to date machines; increased flexibility with better continuity due to the flexibility provided by matched machines; better patient outcomes and safety due to the improved functionality and better compliance with good practice; benefits of increased automation and use of integrated systems resulting in reduced clinical time required for patient scheduling and reduced appointment times; improved patient and carer experience with improved resilience will reduce risk of cancelled appointment resulting in a better experience for patients and carers; improved staff experience due to more up to date machines; </w:t>
      </w:r>
      <w:r>
        <w:rPr>
          <w:rFonts w:eastAsia="SimSun" w:cs="Arial"/>
          <w:bCs/>
          <w:lang w:val="en-AU" w:eastAsia="zh-CN"/>
        </w:rPr>
        <w:t>i</w:t>
      </w:r>
      <w:r w:rsidRPr="004928F5">
        <w:rPr>
          <w:rFonts w:eastAsia="SimSun" w:cs="Arial"/>
          <w:bCs/>
          <w:lang w:val="en-AU" w:eastAsia="zh-CN"/>
        </w:rPr>
        <w:t>ncreased R&amp;D opportunities</w:t>
      </w:r>
      <w:r>
        <w:rPr>
          <w:rFonts w:eastAsia="SimSun" w:cs="Arial"/>
          <w:bCs/>
          <w:lang w:val="en-AU" w:eastAsia="zh-CN"/>
        </w:rPr>
        <w:t xml:space="preserve"> </w:t>
      </w:r>
      <w:r w:rsidRPr="004928F5">
        <w:rPr>
          <w:rFonts w:eastAsia="SimSun" w:cs="Arial"/>
          <w:bCs/>
          <w:lang w:val="en-AU" w:eastAsia="zh-CN"/>
        </w:rPr>
        <w:t>as a result of newer equipment and collaboration with a single vendor</w:t>
      </w:r>
      <w:r>
        <w:rPr>
          <w:rFonts w:eastAsia="SimSun" w:cs="Arial"/>
          <w:bCs/>
          <w:lang w:val="en-AU" w:eastAsia="zh-CN"/>
        </w:rPr>
        <w:t>.</w:t>
      </w:r>
    </w:p>
    <w:p w14:paraId="30528927" w14:textId="77777777" w:rsidR="004928F5" w:rsidRDefault="004928F5" w:rsidP="004928F5">
      <w:pPr>
        <w:widowControl w:val="0"/>
        <w:numPr>
          <w:ilvl w:val="1"/>
          <w:numId w:val="30"/>
        </w:numPr>
        <w:spacing w:before="120" w:after="60"/>
        <w:ind w:left="1276" w:hanging="425"/>
        <w:outlineLvl w:val="2"/>
        <w:rPr>
          <w:rFonts w:eastAsia="SimSun" w:cs="Arial"/>
          <w:bCs/>
          <w:lang w:val="en-AU" w:eastAsia="zh-CN"/>
        </w:rPr>
      </w:pPr>
      <w:r w:rsidRPr="004928F5">
        <w:rPr>
          <w:rFonts w:eastAsia="SimSun" w:cs="Arial"/>
          <w:b/>
          <w:lang w:val="en-AU" w:eastAsia="zh-CN"/>
        </w:rPr>
        <w:t xml:space="preserve">Velindre Radiotherapy Satellite Centre: </w:t>
      </w:r>
      <w:r w:rsidRPr="004928F5">
        <w:rPr>
          <w:rFonts w:eastAsia="SimSun" w:cs="Arial"/>
          <w:bCs/>
          <w:lang w:val="en-AU" w:eastAsia="zh-CN"/>
        </w:rPr>
        <w:t xml:space="preserve">The Radiotherapy Satellite Centre (RSC) at Nevill Hall has recently had its Full Business Case approved. The centre once implemented will provide radiotherapy treatment for approximately 20% of our patients (provided by two new </w:t>
      </w:r>
      <w:r w:rsidRPr="004928F5">
        <w:rPr>
          <w:rFonts w:eastAsia="SimSun" w:cs="Arial"/>
          <w:bCs/>
          <w:lang w:val="en-AU" w:eastAsia="zh-CN"/>
        </w:rPr>
        <w:lastRenderedPageBreak/>
        <w:t xml:space="preserve">Radiotherapy treatment machines and one CT Simulator). The benefits of the RSC investment include better access and reduced travel for patients and less use of transport services. This will mean that fewer patients need to travel to the VCC for their radiotherapy. </w:t>
      </w:r>
    </w:p>
    <w:p w14:paraId="696458CF" w14:textId="77777777" w:rsidR="004928F5" w:rsidRPr="004928F5" w:rsidRDefault="004928F5" w:rsidP="004928F5">
      <w:pPr>
        <w:widowControl w:val="0"/>
        <w:numPr>
          <w:ilvl w:val="1"/>
          <w:numId w:val="30"/>
        </w:numPr>
        <w:spacing w:before="120" w:after="60"/>
        <w:ind w:left="1276" w:hanging="425"/>
        <w:outlineLvl w:val="2"/>
        <w:rPr>
          <w:rFonts w:eastAsia="SimSun" w:cs="Arial"/>
          <w:bCs/>
          <w:lang w:val="en-AU" w:eastAsia="zh-CN"/>
        </w:rPr>
      </w:pPr>
      <w:r>
        <w:rPr>
          <w:rFonts w:eastAsia="SimSun" w:cs="Arial"/>
          <w:b/>
          <w:lang w:val="en-AU" w:eastAsia="zh-CN"/>
        </w:rPr>
        <w:t>nVCC Enabling Works:</w:t>
      </w:r>
      <w:r>
        <w:rPr>
          <w:rFonts w:eastAsia="SimSun" w:cs="Arial"/>
          <w:bCs/>
          <w:lang w:val="en-AU" w:eastAsia="zh-CN"/>
        </w:rPr>
        <w:t xml:space="preserve"> The FBC approved all</w:t>
      </w:r>
      <w:r w:rsidRPr="00C6294A">
        <w:rPr>
          <w:rFonts w:cs="Arial"/>
        </w:rPr>
        <w:t xml:space="preserve"> </w:t>
      </w:r>
      <w:r>
        <w:rPr>
          <w:rFonts w:cs="Arial"/>
        </w:rPr>
        <w:t>e</w:t>
      </w:r>
      <w:r w:rsidRPr="00C6294A">
        <w:rPr>
          <w:rFonts w:cs="Arial"/>
        </w:rPr>
        <w:t xml:space="preserve">nabling works needed to provide </w:t>
      </w:r>
      <w:r>
        <w:rPr>
          <w:rFonts w:cs="Arial"/>
        </w:rPr>
        <w:t>p</w:t>
      </w:r>
      <w:r w:rsidRPr="00C6294A">
        <w:rPr>
          <w:rFonts w:cs="Arial"/>
        </w:rPr>
        <w:t>rimary and secondary access to the new Velindre Cancer Centre Site (includ</w:t>
      </w:r>
      <w:r>
        <w:rPr>
          <w:rFonts w:cs="Arial"/>
        </w:rPr>
        <w:t>ing</w:t>
      </w:r>
      <w:r w:rsidRPr="00C6294A">
        <w:rPr>
          <w:rFonts w:cs="Arial"/>
        </w:rPr>
        <w:t xml:space="preserve"> the provision of utilities).</w:t>
      </w:r>
    </w:p>
    <w:p w14:paraId="49AFED84" w14:textId="77777777" w:rsidR="004928F5" w:rsidRPr="000C1E64" w:rsidRDefault="004928F5">
      <w:pPr>
        <w:rPr>
          <w:b/>
        </w:rPr>
      </w:pPr>
    </w:p>
    <w:p w14:paraId="7D37C581" w14:textId="77777777" w:rsidR="00F40F21" w:rsidRPr="00132E87" w:rsidRDefault="00F40F21" w:rsidP="003F5D32">
      <w:pPr>
        <w:pStyle w:val="ListParagraph"/>
        <w:numPr>
          <w:ilvl w:val="0"/>
          <w:numId w:val="5"/>
        </w:numPr>
        <w:ind w:left="851" w:hanging="851"/>
        <w:textAlignment w:val="baseline"/>
        <w:rPr>
          <w:rFonts w:cs="Arial"/>
          <w:u w:val="single"/>
        </w:rPr>
      </w:pPr>
      <w:r w:rsidRPr="00132E87">
        <w:rPr>
          <w:rFonts w:cs="Arial"/>
          <w:u w:val="single"/>
        </w:rPr>
        <w:t>Economic Case</w:t>
      </w:r>
    </w:p>
    <w:p w14:paraId="5FA0DCEC" w14:textId="77777777" w:rsidR="00BC668E" w:rsidRDefault="00BC668E" w:rsidP="002B2EFD">
      <w:pPr>
        <w:ind w:left="720" w:hanging="720"/>
        <w:textAlignment w:val="baseline"/>
        <w:rPr>
          <w:rFonts w:cs="Arial"/>
          <w:bCs/>
        </w:rPr>
      </w:pPr>
    </w:p>
    <w:p w14:paraId="39483BB3" w14:textId="77777777" w:rsidR="00F40F21" w:rsidRPr="00B94CA6" w:rsidRDefault="00705612" w:rsidP="00705612">
      <w:pPr>
        <w:ind w:left="851" w:hanging="851"/>
        <w:textAlignment w:val="baseline"/>
        <w:rPr>
          <w:rFonts w:cs="Arial"/>
          <w:bCs/>
        </w:rPr>
      </w:pPr>
      <w:r>
        <w:rPr>
          <w:rFonts w:cs="Arial"/>
          <w:bCs/>
        </w:rPr>
        <w:t>2.1</w:t>
      </w:r>
      <w:r w:rsidR="004928F5">
        <w:rPr>
          <w:rFonts w:cs="Arial"/>
          <w:bCs/>
        </w:rPr>
        <w:t>9</w:t>
      </w:r>
      <w:r w:rsidR="00B94CA6">
        <w:rPr>
          <w:rFonts w:cs="Arial"/>
          <w:bCs/>
        </w:rPr>
        <w:tab/>
      </w:r>
      <w:r w:rsidR="00F40F21" w:rsidRPr="00B94CA6">
        <w:rPr>
          <w:rFonts w:cs="Arial"/>
          <w:bCs/>
        </w:rPr>
        <w:t xml:space="preserve">The purpose of the Economic Case at FBC is confirm </w:t>
      </w:r>
      <w:r w:rsidR="00B94CA6">
        <w:rPr>
          <w:rFonts w:cs="Arial"/>
          <w:bCs/>
        </w:rPr>
        <w:t xml:space="preserve">the </w:t>
      </w:r>
      <w:r w:rsidR="00F40F21" w:rsidRPr="00B94CA6">
        <w:rPr>
          <w:rFonts w:cs="Arial"/>
          <w:bCs/>
        </w:rPr>
        <w:t xml:space="preserve">preferred option from the OBC is still </w:t>
      </w:r>
      <w:r w:rsidR="00C47426">
        <w:rPr>
          <w:rFonts w:cs="Arial"/>
          <w:bCs/>
        </w:rPr>
        <w:t>valid</w:t>
      </w:r>
      <w:r w:rsidR="00F40F21" w:rsidRPr="00B94CA6">
        <w:rPr>
          <w:rFonts w:cs="Arial"/>
          <w:bCs/>
        </w:rPr>
        <w:t xml:space="preserve"> and to </w:t>
      </w:r>
      <w:r w:rsidR="00C47426">
        <w:rPr>
          <w:rFonts w:cs="Arial"/>
          <w:bCs/>
        </w:rPr>
        <w:t>reappraise</w:t>
      </w:r>
      <w:r w:rsidR="00F40F21" w:rsidRPr="00B94CA6">
        <w:rPr>
          <w:rFonts w:cs="Arial"/>
          <w:bCs/>
        </w:rPr>
        <w:t xml:space="preserve"> the costs, benefits and risks associated with the proposed investment. The Economic Case does not include VAT, or inflation as it aims to compare the options at today’s prices to determine the most economically advantageous option. </w:t>
      </w:r>
      <w:r w:rsidR="002B2EFD">
        <w:rPr>
          <w:rFonts w:cs="Arial"/>
          <w:bCs/>
        </w:rPr>
        <w:t>T</w:t>
      </w:r>
      <w:r w:rsidR="002B2EFD" w:rsidRPr="00504BCC">
        <w:rPr>
          <w:rFonts w:cs="Arial"/>
          <w:bCs/>
        </w:rPr>
        <w:t>h</w:t>
      </w:r>
      <w:r w:rsidR="002B2EFD">
        <w:rPr>
          <w:rFonts w:cs="Arial"/>
          <w:bCs/>
        </w:rPr>
        <w:t>e Economic Case</w:t>
      </w:r>
      <w:r w:rsidR="0065546C">
        <w:rPr>
          <w:rFonts w:cs="Arial"/>
          <w:bCs/>
        </w:rPr>
        <w:t xml:space="preserve"> has</w:t>
      </w:r>
      <w:r w:rsidR="002B2EFD">
        <w:rPr>
          <w:rFonts w:cs="Arial"/>
          <w:bCs/>
        </w:rPr>
        <w:t xml:space="preserve"> </w:t>
      </w:r>
      <w:r w:rsidR="002B2EFD" w:rsidRPr="00504BCC">
        <w:rPr>
          <w:rFonts w:cs="Arial"/>
          <w:bCs/>
        </w:rPr>
        <w:t xml:space="preserve">been </w:t>
      </w:r>
      <w:r w:rsidR="002B2EFD">
        <w:rPr>
          <w:rFonts w:cs="Arial"/>
          <w:bCs/>
        </w:rPr>
        <w:t xml:space="preserve">reviewed and </w:t>
      </w:r>
      <w:r w:rsidR="002B2EFD" w:rsidRPr="00504BCC">
        <w:rPr>
          <w:rFonts w:cs="Arial"/>
          <w:bCs/>
        </w:rPr>
        <w:t xml:space="preserve">updated </w:t>
      </w:r>
      <w:r w:rsidR="002B2EFD">
        <w:rPr>
          <w:rFonts w:cs="Arial"/>
          <w:bCs/>
        </w:rPr>
        <w:t xml:space="preserve">from the </w:t>
      </w:r>
      <w:r w:rsidR="002B2EFD" w:rsidRPr="00504BCC">
        <w:rPr>
          <w:rFonts w:cs="Arial"/>
          <w:bCs/>
        </w:rPr>
        <w:t xml:space="preserve">Outline Business Case </w:t>
      </w:r>
      <w:r w:rsidR="002B2EFD">
        <w:rPr>
          <w:rFonts w:cs="Arial"/>
          <w:bCs/>
        </w:rPr>
        <w:t xml:space="preserve">approval in </w:t>
      </w:r>
      <w:r w:rsidR="00E244C5">
        <w:rPr>
          <w:rFonts w:cs="Arial"/>
          <w:bCs/>
        </w:rPr>
        <w:t>October 2018</w:t>
      </w:r>
      <w:r w:rsidR="002B2EFD">
        <w:rPr>
          <w:rFonts w:cs="Arial"/>
          <w:bCs/>
        </w:rPr>
        <w:t xml:space="preserve">. The key issues and levels of assurance are set out </w:t>
      </w:r>
      <w:r w:rsidR="00115193">
        <w:rPr>
          <w:rFonts w:cs="Arial"/>
          <w:bCs/>
        </w:rPr>
        <w:t xml:space="preserve">below </w:t>
      </w:r>
      <w:r w:rsidR="002B2EFD">
        <w:rPr>
          <w:rFonts w:cs="Arial"/>
          <w:bCs/>
        </w:rPr>
        <w:t xml:space="preserve">in Table </w:t>
      </w:r>
      <w:r w:rsidR="004419A4">
        <w:rPr>
          <w:rFonts w:cs="Arial"/>
          <w:bCs/>
        </w:rPr>
        <w:t>3</w:t>
      </w:r>
      <w:r w:rsidR="003B39B4">
        <w:rPr>
          <w:rFonts w:cs="Arial"/>
          <w:bCs/>
        </w:rPr>
        <w:t>:</w:t>
      </w:r>
    </w:p>
    <w:p w14:paraId="2327266F" w14:textId="77777777" w:rsidR="00115193" w:rsidRDefault="00115193">
      <w:pPr>
        <w:spacing w:after="160" w:line="259" w:lineRule="auto"/>
        <w:jc w:val="left"/>
        <w:rPr>
          <w:rFonts w:cs="Arial"/>
          <w:bCs/>
        </w:rPr>
      </w:pPr>
    </w:p>
    <w:p w14:paraId="2FFA3316" w14:textId="77777777" w:rsidR="0081088F" w:rsidRPr="006D7A49" w:rsidRDefault="00B94CA6" w:rsidP="006D7A49">
      <w:pPr>
        <w:pStyle w:val="Caption"/>
        <w:keepNext/>
        <w:ind w:left="131" w:firstLine="720"/>
        <w:rPr>
          <w:iCs w:val="0"/>
          <w:color w:val="2F5496"/>
          <w:sz w:val="20"/>
          <w:szCs w:val="20"/>
        </w:rPr>
      </w:pPr>
      <w:r w:rsidRPr="006D7A49">
        <w:rPr>
          <w:iCs w:val="0"/>
          <w:color w:val="2F5496"/>
          <w:sz w:val="20"/>
          <w:szCs w:val="20"/>
        </w:rPr>
        <w:t xml:space="preserve">Table </w:t>
      </w:r>
      <w:r w:rsidR="004419A4" w:rsidRPr="006D7A49">
        <w:rPr>
          <w:iCs w:val="0"/>
          <w:color w:val="2F5496"/>
          <w:sz w:val="20"/>
          <w:szCs w:val="20"/>
        </w:rPr>
        <w:t>3</w:t>
      </w:r>
      <w:r w:rsidR="0081088F" w:rsidRPr="006D7A49">
        <w:rPr>
          <w:iCs w:val="0"/>
          <w:color w:val="2F5496"/>
          <w:sz w:val="20"/>
          <w:szCs w:val="20"/>
        </w:rPr>
        <w:t xml:space="preserve"> – Economic Case Updates / Assurance</w:t>
      </w:r>
    </w:p>
    <w:tbl>
      <w:tblPr>
        <w:tblStyle w:val="TableGrid"/>
        <w:tblW w:w="8454" w:type="dxa"/>
        <w:tblInd w:w="846" w:type="dxa"/>
        <w:tblLook w:val="04A0" w:firstRow="1" w:lastRow="0" w:firstColumn="1" w:lastColumn="0" w:noHBand="0" w:noVBand="1"/>
      </w:tblPr>
      <w:tblGrid>
        <w:gridCol w:w="2240"/>
        <w:gridCol w:w="4677"/>
        <w:gridCol w:w="1537"/>
      </w:tblGrid>
      <w:tr w:rsidR="00F40F21" w:rsidRPr="00E01D28" w14:paraId="0E0CF6C8" w14:textId="77777777" w:rsidTr="000C1E64">
        <w:tc>
          <w:tcPr>
            <w:tcW w:w="2240" w:type="dxa"/>
            <w:shd w:val="clear" w:color="auto" w:fill="D9D9D9" w:themeFill="background1" w:themeFillShade="D9"/>
          </w:tcPr>
          <w:p w14:paraId="2C86A6C3" w14:textId="77777777" w:rsidR="00F40F21" w:rsidRPr="000C1E64" w:rsidRDefault="00F40F21" w:rsidP="00F40F21">
            <w:pPr>
              <w:pStyle w:val="ListParagraph"/>
              <w:numPr>
                <w:ilvl w:val="0"/>
                <w:numId w:val="0"/>
              </w:numPr>
              <w:jc w:val="both"/>
              <w:textAlignment w:val="baseline"/>
              <w:rPr>
                <w:rFonts w:cs="Arial"/>
                <w:sz w:val="20"/>
                <w:szCs w:val="20"/>
              </w:rPr>
            </w:pPr>
            <w:r w:rsidRPr="000C1E64">
              <w:rPr>
                <w:rFonts w:cs="Arial"/>
                <w:sz w:val="20"/>
                <w:szCs w:val="20"/>
              </w:rPr>
              <w:t>Update</w:t>
            </w:r>
          </w:p>
        </w:tc>
        <w:tc>
          <w:tcPr>
            <w:tcW w:w="4677" w:type="dxa"/>
            <w:shd w:val="clear" w:color="auto" w:fill="D9D9D9" w:themeFill="background1" w:themeFillShade="D9"/>
          </w:tcPr>
          <w:p w14:paraId="44B86387" w14:textId="77777777" w:rsidR="00F40F21" w:rsidRPr="000C1E64" w:rsidRDefault="00F40F21" w:rsidP="00F40F21">
            <w:pPr>
              <w:pStyle w:val="ListParagraph"/>
              <w:numPr>
                <w:ilvl w:val="0"/>
                <w:numId w:val="0"/>
              </w:numPr>
              <w:jc w:val="center"/>
              <w:textAlignment w:val="baseline"/>
              <w:rPr>
                <w:rFonts w:cs="Arial"/>
                <w:sz w:val="20"/>
                <w:szCs w:val="20"/>
              </w:rPr>
            </w:pPr>
            <w:r w:rsidRPr="000C1E64">
              <w:rPr>
                <w:rFonts w:cs="Arial"/>
                <w:sz w:val="20"/>
                <w:szCs w:val="20"/>
              </w:rPr>
              <w:t>Activity</w:t>
            </w:r>
          </w:p>
        </w:tc>
        <w:tc>
          <w:tcPr>
            <w:tcW w:w="1537" w:type="dxa"/>
            <w:shd w:val="clear" w:color="auto" w:fill="D9D9D9" w:themeFill="background1" w:themeFillShade="D9"/>
          </w:tcPr>
          <w:p w14:paraId="70CEFFF7" w14:textId="77777777" w:rsidR="00F40F21" w:rsidRPr="000C1E64" w:rsidRDefault="00F40F21" w:rsidP="00F40F21">
            <w:pPr>
              <w:pStyle w:val="ListParagraph"/>
              <w:numPr>
                <w:ilvl w:val="0"/>
                <w:numId w:val="0"/>
              </w:numPr>
              <w:jc w:val="center"/>
              <w:textAlignment w:val="baseline"/>
              <w:rPr>
                <w:rFonts w:cs="Arial"/>
                <w:sz w:val="20"/>
                <w:szCs w:val="20"/>
              </w:rPr>
            </w:pPr>
            <w:r w:rsidRPr="000C1E64">
              <w:rPr>
                <w:rFonts w:cs="Arial"/>
                <w:sz w:val="20"/>
                <w:szCs w:val="20"/>
              </w:rPr>
              <w:t>Achieved</w:t>
            </w:r>
          </w:p>
          <w:p w14:paraId="503EA356" w14:textId="77777777" w:rsidR="00F40F21" w:rsidRPr="000C1E64" w:rsidRDefault="00F40F21" w:rsidP="00F40F21">
            <w:pPr>
              <w:pStyle w:val="ListParagraph"/>
              <w:numPr>
                <w:ilvl w:val="0"/>
                <w:numId w:val="0"/>
              </w:numPr>
              <w:jc w:val="center"/>
              <w:textAlignment w:val="baseline"/>
              <w:rPr>
                <w:rFonts w:cs="Arial"/>
                <w:sz w:val="20"/>
                <w:szCs w:val="20"/>
              </w:rPr>
            </w:pPr>
            <w:r w:rsidRPr="000C1E64">
              <w:rPr>
                <w:rFonts w:cs="Arial"/>
                <w:sz w:val="20"/>
                <w:szCs w:val="20"/>
              </w:rPr>
              <w:t>Yes / No</w:t>
            </w:r>
          </w:p>
        </w:tc>
      </w:tr>
      <w:tr w:rsidR="00F40F21" w:rsidRPr="00E01D28" w14:paraId="4C40C114" w14:textId="77777777" w:rsidTr="000C1E64">
        <w:tc>
          <w:tcPr>
            <w:tcW w:w="2240" w:type="dxa"/>
            <w:vAlign w:val="center"/>
          </w:tcPr>
          <w:p w14:paraId="226416A6" w14:textId="77777777" w:rsidR="00F40F21" w:rsidRPr="000C1E64" w:rsidRDefault="00F40F21" w:rsidP="00F40F21">
            <w:pPr>
              <w:pStyle w:val="ListParagraph"/>
              <w:numPr>
                <w:ilvl w:val="0"/>
                <w:numId w:val="0"/>
              </w:numPr>
              <w:textAlignment w:val="baseline"/>
              <w:rPr>
                <w:rFonts w:cs="Arial"/>
                <w:sz w:val="20"/>
                <w:szCs w:val="20"/>
              </w:rPr>
            </w:pPr>
            <w:r w:rsidRPr="000C1E64">
              <w:rPr>
                <w:rFonts w:cs="Arial"/>
                <w:sz w:val="20"/>
                <w:szCs w:val="20"/>
              </w:rPr>
              <w:t>Comprehensive Investment Assessment (CIA)</w:t>
            </w:r>
            <w:r w:rsidR="00B94CA6" w:rsidRPr="000C1E64">
              <w:rPr>
                <w:rFonts w:cs="Arial"/>
                <w:sz w:val="20"/>
                <w:szCs w:val="20"/>
              </w:rPr>
              <w:t>: was the process robust and in accordance with Treasury Green Book requirements</w:t>
            </w:r>
          </w:p>
        </w:tc>
        <w:tc>
          <w:tcPr>
            <w:tcW w:w="4677" w:type="dxa"/>
            <w:vAlign w:val="center"/>
          </w:tcPr>
          <w:p w14:paraId="74C5966C" w14:textId="77777777" w:rsidR="00F40F21" w:rsidRPr="000C1E64" w:rsidRDefault="00F40F21" w:rsidP="000F5FDD">
            <w:pPr>
              <w:pStyle w:val="ListParagraph"/>
              <w:numPr>
                <w:ilvl w:val="0"/>
                <w:numId w:val="0"/>
              </w:numPr>
              <w:textAlignment w:val="baseline"/>
              <w:rPr>
                <w:rFonts w:cs="Arial"/>
                <w:b w:val="0"/>
                <w:bCs/>
                <w:sz w:val="20"/>
                <w:szCs w:val="20"/>
              </w:rPr>
            </w:pPr>
            <w:r w:rsidRPr="000C1E64">
              <w:rPr>
                <w:rFonts w:cs="Arial"/>
                <w:b w:val="0"/>
                <w:bCs/>
                <w:sz w:val="20"/>
                <w:szCs w:val="20"/>
              </w:rPr>
              <w:t>An external advisor has supported the Trust in developing the CIA. This has required a range of financial inputs that have been modelled.</w:t>
            </w:r>
          </w:p>
          <w:p w14:paraId="5B28AF4F" w14:textId="77777777" w:rsidR="00F40F21" w:rsidRPr="000C1E64" w:rsidRDefault="00F40F21" w:rsidP="000F5FDD">
            <w:pPr>
              <w:pStyle w:val="ListParagraph"/>
              <w:numPr>
                <w:ilvl w:val="0"/>
                <w:numId w:val="0"/>
              </w:numPr>
              <w:textAlignment w:val="baseline"/>
              <w:rPr>
                <w:rFonts w:cs="Arial"/>
                <w:b w:val="0"/>
                <w:bCs/>
                <w:sz w:val="20"/>
                <w:szCs w:val="20"/>
              </w:rPr>
            </w:pPr>
            <w:r w:rsidRPr="000C1E64">
              <w:rPr>
                <w:rFonts w:cs="Arial"/>
                <w:b w:val="0"/>
                <w:bCs/>
                <w:sz w:val="20"/>
                <w:szCs w:val="20"/>
              </w:rPr>
              <w:t>These inputs have been signed off by respective leads and the Assistant Project Director</w:t>
            </w:r>
          </w:p>
        </w:tc>
        <w:tc>
          <w:tcPr>
            <w:tcW w:w="1537" w:type="dxa"/>
            <w:vAlign w:val="center"/>
          </w:tcPr>
          <w:p w14:paraId="42DA5020" w14:textId="77777777" w:rsidR="00F40F21" w:rsidRPr="000C1E64" w:rsidRDefault="00F40F21" w:rsidP="00F40F21">
            <w:pPr>
              <w:pStyle w:val="ListParagraph"/>
              <w:numPr>
                <w:ilvl w:val="0"/>
                <w:numId w:val="0"/>
              </w:numPr>
              <w:jc w:val="center"/>
              <w:textAlignment w:val="baseline"/>
              <w:rPr>
                <w:rFonts w:cs="Arial"/>
                <w:b w:val="0"/>
                <w:bCs/>
                <w:sz w:val="20"/>
                <w:szCs w:val="20"/>
              </w:rPr>
            </w:pPr>
            <w:r w:rsidRPr="000C1E64">
              <w:rPr>
                <w:rFonts w:cs="Arial"/>
                <w:b w:val="0"/>
                <w:bCs/>
                <w:sz w:val="20"/>
                <w:szCs w:val="20"/>
              </w:rPr>
              <w:t>Yes</w:t>
            </w:r>
            <w:r w:rsidR="00B94CA6" w:rsidRPr="000C1E64">
              <w:rPr>
                <w:rFonts w:cs="Arial"/>
                <w:b w:val="0"/>
                <w:bCs/>
                <w:sz w:val="20"/>
                <w:szCs w:val="20"/>
              </w:rPr>
              <w:t>: professional external advice and all requirements followed</w:t>
            </w:r>
          </w:p>
        </w:tc>
      </w:tr>
      <w:tr w:rsidR="00F40F21" w:rsidRPr="00E01D28" w14:paraId="7FEDBC1E" w14:textId="77777777" w:rsidTr="000C1E64">
        <w:tc>
          <w:tcPr>
            <w:tcW w:w="2240" w:type="dxa"/>
            <w:vAlign w:val="center"/>
          </w:tcPr>
          <w:p w14:paraId="6B3BF3DB" w14:textId="77777777" w:rsidR="00F40F21" w:rsidRPr="000C1E64" w:rsidRDefault="00F40F21" w:rsidP="00F40F21">
            <w:pPr>
              <w:pStyle w:val="ListParagraph"/>
              <w:numPr>
                <w:ilvl w:val="0"/>
                <w:numId w:val="0"/>
              </w:numPr>
              <w:textAlignment w:val="baseline"/>
              <w:rPr>
                <w:rFonts w:cs="Arial"/>
                <w:sz w:val="20"/>
                <w:szCs w:val="20"/>
              </w:rPr>
            </w:pPr>
            <w:r w:rsidRPr="000C1E64">
              <w:rPr>
                <w:rFonts w:cs="Arial"/>
                <w:sz w:val="20"/>
                <w:szCs w:val="20"/>
              </w:rPr>
              <w:t>Delivery of a Preferred Option</w:t>
            </w:r>
            <w:r w:rsidR="00B94CA6" w:rsidRPr="000C1E64">
              <w:rPr>
                <w:rFonts w:cs="Arial"/>
                <w:sz w:val="20"/>
                <w:szCs w:val="20"/>
              </w:rPr>
              <w:t>: does the preferred option at OBC still offer the best value at FBC</w:t>
            </w:r>
          </w:p>
        </w:tc>
        <w:tc>
          <w:tcPr>
            <w:tcW w:w="4677" w:type="dxa"/>
          </w:tcPr>
          <w:p w14:paraId="7606FF5B" w14:textId="77777777" w:rsidR="00F40F21" w:rsidRPr="000C1E64" w:rsidRDefault="00F40F21" w:rsidP="00F40F21">
            <w:pPr>
              <w:pStyle w:val="ListParagraph"/>
              <w:numPr>
                <w:ilvl w:val="0"/>
                <w:numId w:val="0"/>
              </w:numPr>
              <w:jc w:val="both"/>
              <w:textAlignment w:val="baseline"/>
              <w:rPr>
                <w:rFonts w:cs="Arial"/>
                <w:b w:val="0"/>
                <w:bCs/>
                <w:sz w:val="20"/>
                <w:szCs w:val="20"/>
              </w:rPr>
            </w:pPr>
            <w:r w:rsidRPr="000C1E64">
              <w:rPr>
                <w:rFonts w:cs="Arial"/>
                <w:b w:val="0"/>
                <w:bCs/>
                <w:sz w:val="20"/>
                <w:szCs w:val="20"/>
              </w:rPr>
              <w:t>The CIA (based on current prices) has evaluated the options in the FBC and concluded that the preferred option is the implementation of a new Velindre Cancer Centre, this is aligned to the preceding Outline Business Case</w:t>
            </w:r>
            <w:r w:rsidR="003B39B4" w:rsidRPr="000C1E64">
              <w:rPr>
                <w:rFonts w:cs="Arial"/>
                <w:b w:val="0"/>
                <w:bCs/>
                <w:sz w:val="20"/>
                <w:szCs w:val="20"/>
              </w:rPr>
              <w:t xml:space="preserve"> (OBC).</w:t>
            </w:r>
          </w:p>
        </w:tc>
        <w:tc>
          <w:tcPr>
            <w:tcW w:w="1537" w:type="dxa"/>
            <w:vAlign w:val="center"/>
          </w:tcPr>
          <w:p w14:paraId="057F4E5B" w14:textId="77777777" w:rsidR="00F40F21" w:rsidRPr="000C1E64" w:rsidRDefault="00F40F21" w:rsidP="00F40F21">
            <w:pPr>
              <w:pStyle w:val="ListParagraph"/>
              <w:numPr>
                <w:ilvl w:val="0"/>
                <w:numId w:val="0"/>
              </w:numPr>
              <w:jc w:val="center"/>
              <w:textAlignment w:val="baseline"/>
              <w:rPr>
                <w:rFonts w:cs="Arial"/>
                <w:b w:val="0"/>
                <w:bCs/>
                <w:sz w:val="20"/>
                <w:szCs w:val="20"/>
              </w:rPr>
            </w:pPr>
            <w:r w:rsidRPr="000C1E64">
              <w:rPr>
                <w:rFonts w:cs="Arial"/>
                <w:b w:val="0"/>
                <w:bCs/>
                <w:sz w:val="20"/>
                <w:szCs w:val="20"/>
              </w:rPr>
              <w:t>Yes</w:t>
            </w:r>
            <w:r w:rsidR="00B94CA6" w:rsidRPr="000C1E64">
              <w:rPr>
                <w:rFonts w:cs="Arial"/>
                <w:b w:val="0"/>
                <w:bCs/>
                <w:sz w:val="20"/>
                <w:szCs w:val="20"/>
              </w:rPr>
              <w:t>: the do minimum</w:t>
            </w:r>
            <w:r w:rsidR="00E244C5">
              <w:rPr>
                <w:rFonts w:cs="Arial"/>
                <w:b w:val="0"/>
                <w:bCs/>
                <w:sz w:val="20"/>
                <w:szCs w:val="20"/>
              </w:rPr>
              <w:t xml:space="preserve"> plus</w:t>
            </w:r>
            <w:r w:rsidR="00B94CA6" w:rsidRPr="000C1E64">
              <w:rPr>
                <w:rFonts w:cs="Arial"/>
                <w:b w:val="0"/>
                <w:bCs/>
                <w:sz w:val="20"/>
                <w:szCs w:val="20"/>
              </w:rPr>
              <w:t xml:space="preserve"> option</w:t>
            </w:r>
            <w:r w:rsidR="00E244C5">
              <w:rPr>
                <w:rFonts w:cs="Arial"/>
                <w:b w:val="0"/>
                <w:bCs/>
                <w:sz w:val="20"/>
                <w:szCs w:val="20"/>
              </w:rPr>
              <w:t xml:space="preserve"> </w:t>
            </w:r>
            <w:r w:rsidR="00B94CA6" w:rsidRPr="000C1E64">
              <w:rPr>
                <w:rFonts w:cs="Arial"/>
                <w:b w:val="0"/>
                <w:bCs/>
                <w:sz w:val="20"/>
                <w:szCs w:val="20"/>
              </w:rPr>
              <w:t>still re</w:t>
            </w:r>
            <w:r w:rsidR="00842EBE" w:rsidRPr="000C1E64">
              <w:rPr>
                <w:rFonts w:cs="Arial"/>
                <w:b w:val="0"/>
                <w:bCs/>
                <w:sz w:val="20"/>
                <w:szCs w:val="20"/>
              </w:rPr>
              <w:t>mains the Preferred option</w:t>
            </w:r>
            <w:r w:rsidR="003B39B4" w:rsidRPr="000C1E64">
              <w:rPr>
                <w:rFonts w:cs="Arial"/>
                <w:b w:val="0"/>
                <w:bCs/>
                <w:sz w:val="20"/>
                <w:szCs w:val="20"/>
              </w:rPr>
              <w:t xml:space="preserve"> as per OBC.</w:t>
            </w:r>
          </w:p>
        </w:tc>
      </w:tr>
    </w:tbl>
    <w:p w14:paraId="5E56BA8A" w14:textId="77777777" w:rsidR="00842EBE" w:rsidRDefault="00842EBE" w:rsidP="002B2EFD">
      <w:pPr>
        <w:ind w:left="360" w:hanging="360"/>
        <w:textAlignment w:val="baseline"/>
        <w:rPr>
          <w:rFonts w:cs="Arial"/>
          <w:bCs/>
          <w:u w:val="single"/>
        </w:rPr>
      </w:pPr>
    </w:p>
    <w:p w14:paraId="403F32D9" w14:textId="77777777" w:rsidR="000E10B1" w:rsidRDefault="00705612" w:rsidP="7189422C">
      <w:pPr>
        <w:ind w:left="851" w:hanging="851"/>
        <w:textAlignment w:val="baseline"/>
        <w:rPr>
          <w:rFonts w:cs="Arial"/>
        </w:rPr>
      </w:pPr>
      <w:r w:rsidRPr="7189422C">
        <w:rPr>
          <w:rFonts w:cs="Arial"/>
        </w:rPr>
        <w:t>2.</w:t>
      </w:r>
      <w:r w:rsidR="004928F5">
        <w:rPr>
          <w:rFonts w:cs="Arial"/>
        </w:rPr>
        <w:t>20</w:t>
      </w:r>
      <w:r>
        <w:tab/>
      </w:r>
      <w:r w:rsidR="002B2EFD" w:rsidRPr="7189422C">
        <w:rPr>
          <w:rFonts w:cs="Arial"/>
        </w:rPr>
        <w:t xml:space="preserve">The </w:t>
      </w:r>
      <w:r w:rsidR="00FD0E19" w:rsidRPr="7189422C">
        <w:rPr>
          <w:rFonts w:cs="Arial"/>
        </w:rPr>
        <w:t xml:space="preserve">nVCC project is utilising the Welsh </w:t>
      </w:r>
      <w:r w:rsidR="002B2EFD" w:rsidRPr="7189422C">
        <w:rPr>
          <w:rFonts w:cs="Arial"/>
        </w:rPr>
        <w:t xml:space="preserve">MIM </w:t>
      </w:r>
      <w:r w:rsidR="002917ED" w:rsidRPr="7189422C">
        <w:rPr>
          <w:rFonts w:cs="Arial"/>
        </w:rPr>
        <w:t>Policy,</w:t>
      </w:r>
      <w:r w:rsidR="000E10B1" w:rsidRPr="7189422C">
        <w:rPr>
          <w:rFonts w:cs="Arial"/>
        </w:rPr>
        <w:t xml:space="preserve"> which is a P</w:t>
      </w:r>
      <w:r w:rsidR="002B2EFD" w:rsidRPr="7189422C">
        <w:rPr>
          <w:rFonts w:cs="Arial"/>
        </w:rPr>
        <w:t>ublic Pri</w:t>
      </w:r>
      <w:r w:rsidR="000E10B1" w:rsidRPr="7189422C">
        <w:rPr>
          <w:rFonts w:cs="Arial"/>
        </w:rPr>
        <w:t xml:space="preserve">vate Partnership (PPP) approach. The </w:t>
      </w:r>
      <w:r w:rsidR="003B39B4" w:rsidRPr="7189422C">
        <w:rPr>
          <w:rFonts w:cs="Arial"/>
        </w:rPr>
        <w:t>OBC</w:t>
      </w:r>
      <w:r w:rsidR="000E10B1" w:rsidRPr="7189422C">
        <w:rPr>
          <w:rFonts w:cs="Arial"/>
        </w:rPr>
        <w:t xml:space="preserve"> undertook a Public Sector Comparator (PSC) which compares the public sector (traditional capital scheme) with the PPP scheme to determine which offers the best value-for-money.  The MIM scheme offered the best value-for-money at OBC stage and the MIM procurement route was chosen. </w:t>
      </w:r>
    </w:p>
    <w:p w14:paraId="538E8C31" w14:textId="77777777" w:rsidR="000E10B1" w:rsidRDefault="000E10B1" w:rsidP="000E10B1">
      <w:pPr>
        <w:ind w:left="720" w:hanging="720"/>
        <w:textAlignment w:val="baseline"/>
        <w:rPr>
          <w:rFonts w:cs="Arial"/>
          <w:bCs/>
        </w:rPr>
      </w:pPr>
    </w:p>
    <w:p w14:paraId="1EA51A15" w14:textId="77777777" w:rsidR="004928F5" w:rsidRDefault="004928F5" w:rsidP="000E10B1">
      <w:pPr>
        <w:ind w:left="720" w:hanging="720"/>
        <w:textAlignment w:val="baseline"/>
        <w:rPr>
          <w:rFonts w:cs="Arial"/>
          <w:bCs/>
        </w:rPr>
      </w:pPr>
    </w:p>
    <w:p w14:paraId="3EE648C8" w14:textId="77777777" w:rsidR="00F40F21" w:rsidRPr="00132E87" w:rsidRDefault="00F40F21" w:rsidP="003F5D32">
      <w:pPr>
        <w:pStyle w:val="ListParagraph"/>
        <w:numPr>
          <w:ilvl w:val="0"/>
          <w:numId w:val="5"/>
        </w:numPr>
        <w:ind w:left="851" w:hanging="851"/>
        <w:textAlignment w:val="baseline"/>
        <w:rPr>
          <w:rFonts w:cs="Arial"/>
          <w:u w:val="single"/>
        </w:rPr>
      </w:pPr>
      <w:r w:rsidRPr="00132E87">
        <w:rPr>
          <w:rFonts w:cs="Arial"/>
          <w:u w:val="single"/>
        </w:rPr>
        <w:lastRenderedPageBreak/>
        <w:t>Management Case</w:t>
      </w:r>
    </w:p>
    <w:p w14:paraId="2383007E" w14:textId="77777777" w:rsidR="004A6E44" w:rsidRDefault="004A6E44" w:rsidP="00705612">
      <w:pPr>
        <w:ind w:left="851" w:hanging="851"/>
        <w:textAlignment w:val="baseline"/>
        <w:rPr>
          <w:rFonts w:cs="Arial"/>
          <w:bCs/>
        </w:rPr>
      </w:pPr>
    </w:p>
    <w:p w14:paraId="73B6A176" w14:textId="77777777" w:rsidR="00035191" w:rsidRDefault="00705612" w:rsidP="00705612">
      <w:pPr>
        <w:ind w:left="851" w:hanging="851"/>
        <w:textAlignment w:val="baseline"/>
        <w:rPr>
          <w:rFonts w:cs="Arial"/>
          <w:bCs/>
        </w:rPr>
      </w:pPr>
      <w:r>
        <w:rPr>
          <w:rFonts w:cs="Arial"/>
          <w:bCs/>
        </w:rPr>
        <w:t>2.</w:t>
      </w:r>
      <w:r w:rsidR="004928F5">
        <w:rPr>
          <w:rFonts w:cs="Arial"/>
          <w:bCs/>
        </w:rPr>
        <w:t>21</w:t>
      </w:r>
      <w:r w:rsidR="002B2EFD">
        <w:rPr>
          <w:rFonts w:cs="Arial"/>
          <w:bCs/>
        </w:rPr>
        <w:tab/>
      </w:r>
      <w:r w:rsidR="00F40F21" w:rsidRPr="002B2EFD">
        <w:rPr>
          <w:rFonts w:cs="Arial"/>
          <w:bCs/>
        </w:rPr>
        <w:t xml:space="preserve">The </w:t>
      </w:r>
      <w:r w:rsidR="00C47426">
        <w:rPr>
          <w:rFonts w:cs="Arial"/>
          <w:bCs/>
        </w:rPr>
        <w:t>M</w:t>
      </w:r>
      <w:r w:rsidR="00F40F21" w:rsidRPr="002B2EFD">
        <w:rPr>
          <w:rFonts w:cs="Arial"/>
          <w:bCs/>
        </w:rPr>
        <w:t xml:space="preserve">anagement </w:t>
      </w:r>
      <w:r w:rsidR="00C47426">
        <w:rPr>
          <w:rFonts w:cs="Arial"/>
          <w:bCs/>
        </w:rPr>
        <w:t>C</w:t>
      </w:r>
      <w:r w:rsidR="00F40F21" w:rsidRPr="002B2EFD">
        <w:rPr>
          <w:rFonts w:cs="Arial"/>
          <w:bCs/>
        </w:rPr>
        <w:t>ase sets out how the Trust will manage the implementation of the nVCC through its construction and in life phases</w:t>
      </w:r>
      <w:r w:rsidR="00BC668E">
        <w:rPr>
          <w:rFonts w:cs="Arial"/>
          <w:bCs/>
        </w:rPr>
        <w:t xml:space="preserve">.  It also sets out the expected benefits to be realised; the </w:t>
      </w:r>
      <w:r w:rsidR="00F40F21" w:rsidRPr="002B2EFD">
        <w:rPr>
          <w:rFonts w:cs="Arial"/>
          <w:bCs/>
        </w:rPr>
        <w:t>risks</w:t>
      </w:r>
      <w:r w:rsidR="00BC668E">
        <w:rPr>
          <w:rFonts w:cs="Arial"/>
          <w:bCs/>
        </w:rPr>
        <w:t xml:space="preserve"> to successful delivery and how they will be managed. </w:t>
      </w:r>
      <w:r w:rsidR="002B2EFD" w:rsidRPr="00504BCC">
        <w:rPr>
          <w:rFonts w:cs="Arial"/>
          <w:bCs/>
        </w:rPr>
        <w:t>Th</w:t>
      </w:r>
      <w:r w:rsidR="002B2EFD">
        <w:rPr>
          <w:rFonts w:cs="Arial"/>
          <w:bCs/>
        </w:rPr>
        <w:t xml:space="preserve">e Management Case </w:t>
      </w:r>
      <w:r w:rsidR="0065546C">
        <w:rPr>
          <w:rFonts w:cs="Arial"/>
          <w:bCs/>
        </w:rPr>
        <w:t xml:space="preserve">has </w:t>
      </w:r>
      <w:r w:rsidR="002B2EFD" w:rsidRPr="00504BCC">
        <w:rPr>
          <w:rFonts w:cs="Arial"/>
          <w:bCs/>
        </w:rPr>
        <w:t xml:space="preserve">been </w:t>
      </w:r>
      <w:r w:rsidR="002B2EFD">
        <w:rPr>
          <w:rFonts w:cs="Arial"/>
          <w:bCs/>
        </w:rPr>
        <w:t xml:space="preserve">reviewed and </w:t>
      </w:r>
      <w:r w:rsidR="002B2EFD" w:rsidRPr="00504BCC">
        <w:rPr>
          <w:rFonts w:cs="Arial"/>
          <w:bCs/>
        </w:rPr>
        <w:t xml:space="preserve">updated </w:t>
      </w:r>
      <w:r w:rsidR="002B2EFD">
        <w:rPr>
          <w:rFonts w:cs="Arial"/>
          <w:bCs/>
        </w:rPr>
        <w:t xml:space="preserve">from the </w:t>
      </w:r>
      <w:r w:rsidR="002B2EFD" w:rsidRPr="00504BCC">
        <w:rPr>
          <w:rFonts w:cs="Arial"/>
          <w:bCs/>
        </w:rPr>
        <w:t xml:space="preserve">Outline Business Case </w:t>
      </w:r>
      <w:r w:rsidR="002B2EFD">
        <w:rPr>
          <w:rFonts w:cs="Arial"/>
          <w:bCs/>
        </w:rPr>
        <w:t xml:space="preserve">approval in </w:t>
      </w:r>
      <w:r w:rsidR="00E244C5">
        <w:rPr>
          <w:rFonts w:cs="Arial"/>
          <w:bCs/>
        </w:rPr>
        <w:t>October 2018</w:t>
      </w:r>
      <w:r w:rsidR="002B2EFD">
        <w:rPr>
          <w:rFonts w:cs="Arial"/>
          <w:bCs/>
        </w:rPr>
        <w:t>.  The key issues and levels of assurance are set out</w:t>
      </w:r>
      <w:r w:rsidR="00035191">
        <w:rPr>
          <w:rFonts w:cs="Arial"/>
          <w:bCs/>
        </w:rPr>
        <w:t xml:space="preserve"> </w:t>
      </w:r>
      <w:r w:rsidR="00115193">
        <w:rPr>
          <w:rFonts w:cs="Arial"/>
          <w:bCs/>
        </w:rPr>
        <w:t xml:space="preserve">below </w:t>
      </w:r>
      <w:r w:rsidR="002B2EFD">
        <w:rPr>
          <w:rFonts w:cs="Arial"/>
          <w:bCs/>
        </w:rPr>
        <w:t xml:space="preserve">in Table </w:t>
      </w:r>
      <w:r w:rsidR="004419A4">
        <w:rPr>
          <w:rFonts w:cs="Arial"/>
          <w:bCs/>
        </w:rPr>
        <w:t>4</w:t>
      </w:r>
      <w:r w:rsidR="00115193">
        <w:rPr>
          <w:rFonts w:cs="Arial"/>
          <w:bCs/>
        </w:rPr>
        <w:t>:</w:t>
      </w:r>
    </w:p>
    <w:p w14:paraId="405D14D8" w14:textId="77777777" w:rsidR="00BB42E4" w:rsidRDefault="00BB42E4" w:rsidP="000C1E64">
      <w:pPr>
        <w:spacing w:after="160" w:line="259" w:lineRule="auto"/>
        <w:ind w:firstLine="720"/>
        <w:jc w:val="left"/>
        <w:rPr>
          <w:bCs/>
          <w:i/>
          <w:color w:val="2F5496"/>
          <w:sz w:val="20"/>
          <w:szCs w:val="20"/>
        </w:rPr>
      </w:pPr>
    </w:p>
    <w:p w14:paraId="4DF56860" w14:textId="77777777" w:rsidR="00F40F21" w:rsidRPr="006D7A49" w:rsidRDefault="00842EBE" w:rsidP="006D7A49">
      <w:pPr>
        <w:pStyle w:val="Caption"/>
        <w:keepNext/>
        <w:ind w:left="131" w:firstLine="720"/>
        <w:rPr>
          <w:iCs w:val="0"/>
          <w:color w:val="2F5496"/>
          <w:sz w:val="20"/>
          <w:szCs w:val="20"/>
        </w:rPr>
      </w:pPr>
      <w:r w:rsidRPr="006D7A49">
        <w:rPr>
          <w:iCs w:val="0"/>
          <w:color w:val="2F5496"/>
          <w:sz w:val="20"/>
          <w:szCs w:val="20"/>
        </w:rPr>
        <w:t xml:space="preserve">Table </w:t>
      </w:r>
      <w:r w:rsidR="004419A4" w:rsidRPr="006D7A49">
        <w:rPr>
          <w:iCs w:val="0"/>
          <w:color w:val="2F5496"/>
          <w:sz w:val="20"/>
          <w:szCs w:val="20"/>
        </w:rPr>
        <w:t xml:space="preserve">4 </w:t>
      </w:r>
      <w:r w:rsidR="0081088F" w:rsidRPr="006D7A49">
        <w:rPr>
          <w:iCs w:val="0"/>
          <w:color w:val="2F5496"/>
          <w:sz w:val="20"/>
          <w:szCs w:val="20"/>
        </w:rPr>
        <w:t>– Management Case Updates / Assurance</w:t>
      </w:r>
    </w:p>
    <w:tbl>
      <w:tblPr>
        <w:tblStyle w:val="TableGrid"/>
        <w:tblW w:w="8476" w:type="dxa"/>
        <w:tblInd w:w="846" w:type="dxa"/>
        <w:tblLook w:val="04A0" w:firstRow="1" w:lastRow="0" w:firstColumn="1" w:lastColumn="0" w:noHBand="0" w:noVBand="1"/>
      </w:tblPr>
      <w:tblGrid>
        <w:gridCol w:w="1814"/>
        <w:gridCol w:w="4678"/>
        <w:gridCol w:w="1984"/>
      </w:tblGrid>
      <w:tr w:rsidR="00F40F21" w:rsidRPr="00E01D28" w14:paraId="236048C6" w14:textId="77777777" w:rsidTr="000C1E64">
        <w:tc>
          <w:tcPr>
            <w:tcW w:w="1814" w:type="dxa"/>
            <w:shd w:val="clear" w:color="auto" w:fill="BFBFBF" w:themeFill="background1" w:themeFillShade="BF"/>
          </w:tcPr>
          <w:p w14:paraId="5AB216C5" w14:textId="77777777" w:rsidR="00F40F21" w:rsidRPr="000C1E64" w:rsidRDefault="00F40F21" w:rsidP="00F40F21">
            <w:pPr>
              <w:pStyle w:val="ListParagraph"/>
              <w:numPr>
                <w:ilvl w:val="0"/>
                <w:numId w:val="0"/>
              </w:numPr>
              <w:jc w:val="both"/>
              <w:textAlignment w:val="baseline"/>
              <w:rPr>
                <w:rFonts w:cs="Arial"/>
                <w:sz w:val="20"/>
                <w:szCs w:val="20"/>
              </w:rPr>
            </w:pPr>
            <w:r w:rsidRPr="000C1E64">
              <w:rPr>
                <w:rFonts w:cs="Arial"/>
                <w:sz w:val="20"/>
                <w:szCs w:val="20"/>
              </w:rPr>
              <w:t>Update</w:t>
            </w:r>
          </w:p>
        </w:tc>
        <w:tc>
          <w:tcPr>
            <w:tcW w:w="4678" w:type="dxa"/>
            <w:shd w:val="clear" w:color="auto" w:fill="BFBFBF" w:themeFill="background1" w:themeFillShade="BF"/>
          </w:tcPr>
          <w:p w14:paraId="7D2072FB" w14:textId="77777777" w:rsidR="00F40F21" w:rsidRPr="000C1E64" w:rsidRDefault="00F40F21" w:rsidP="00F40F21">
            <w:pPr>
              <w:pStyle w:val="ListParagraph"/>
              <w:numPr>
                <w:ilvl w:val="0"/>
                <w:numId w:val="0"/>
              </w:numPr>
              <w:jc w:val="center"/>
              <w:textAlignment w:val="baseline"/>
              <w:rPr>
                <w:rFonts w:cs="Arial"/>
                <w:sz w:val="20"/>
                <w:szCs w:val="20"/>
              </w:rPr>
            </w:pPr>
            <w:r w:rsidRPr="000C1E64">
              <w:rPr>
                <w:rFonts w:cs="Arial"/>
                <w:sz w:val="20"/>
                <w:szCs w:val="20"/>
              </w:rPr>
              <w:t>Activity</w:t>
            </w:r>
          </w:p>
        </w:tc>
        <w:tc>
          <w:tcPr>
            <w:tcW w:w="1984" w:type="dxa"/>
            <w:shd w:val="clear" w:color="auto" w:fill="BFBFBF" w:themeFill="background1" w:themeFillShade="BF"/>
          </w:tcPr>
          <w:p w14:paraId="60E80B35" w14:textId="77777777" w:rsidR="00F40F21" w:rsidRPr="000C1E64" w:rsidRDefault="00F40F21" w:rsidP="00F40F21">
            <w:pPr>
              <w:pStyle w:val="ListParagraph"/>
              <w:numPr>
                <w:ilvl w:val="0"/>
                <w:numId w:val="0"/>
              </w:numPr>
              <w:jc w:val="center"/>
              <w:textAlignment w:val="baseline"/>
              <w:rPr>
                <w:rFonts w:cs="Arial"/>
                <w:sz w:val="20"/>
                <w:szCs w:val="20"/>
              </w:rPr>
            </w:pPr>
            <w:r w:rsidRPr="000C1E64">
              <w:rPr>
                <w:rFonts w:cs="Arial"/>
                <w:sz w:val="20"/>
                <w:szCs w:val="20"/>
              </w:rPr>
              <w:t>Achieved</w:t>
            </w:r>
          </w:p>
          <w:p w14:paraId="4102CC31" w14:textId="77777777" w:rsidR="00F40F21" w:rsidRPr="000C1E64" w:rsidRDefault="00F40F21" w:rsidP="00F40F21">
            <w:pPr>
              <w:pStyle w:val="ListParagraph"/>
              <w:numPr>
                <w:ilvl w:val="0"/>
                <w:numId w:val="0"/>
              </w:numPr>
              <w:jc w:val="center"/>
              <w:textAlignment w:val="baseline"/>
              <w:rPr>
                <w:rFonts w:cs="Arial"/>
                <w:sz w:val="20"/>
                <w:szCs w:val="20"/>
              </w:rPr>
            </w:pPr>
            <w:r w:rsidRPr="000C1E64">
              <w:rPr>
                <w:rFonts w:cs="Arial"/>
                <w:sz w:val="20"/>
                <w:szCs w:val="20"/>
              </w:rPr>
              <w:t>Yes / No</w:t>
            </w:r>
          </w:p>
        </w:tc>
      </w:tr>
      <w:tr w:rsidR="00F40F21" w:rsidRPr="00E01D28" w14:paraId="78D9FE9A" w14:textId="77777777" w:rsidTr="000C1E64">
        <w:tc>
          <w:tcPr>
            <w:tcW w:w="1814" w:type="dxa"/>
            <w:vAlign w:val="center"/>
          </w:tcPr>
          <w:p w14:paraId="3FD486A8" w14:textId="77777777" w:rsidR="00F40F21" w:rsidRPr="000C1E64" w:rsidRDefault="00F40F21" w:rsidP="00842EBE">
            <w:pPr>
              <w:pStyle w:val="ListParagraph"/>
              <w:numPr>
                <w:ilvl w:val="0"/>
                <w:numId w:val="0"/>
              </w:numPr>
              <w:textAlignment w:val="baseline"/>
              <w:rPr>
                <w:rFonts w:cs="Arial"/>
                <w:sz w:val="20"/>
                <w:szCs w:val="20"/>
              </w:rPr>
            </w:pPr>
            <w:r w:rsidRPr="000C1E64">
              <w:rPr>
                <w:rFonts w:cs="Arial"/>
                <w:sz w:val="20"/>
                <w:szCs w:val="20"/>
              </w:rPr>
              <w:t xml:space="preserve">Governance </w:t>
            </w:r>
            <w:r w:rsidR="00842EBE" w:rsidRPr="000C1E64">
              <w:rPr>
                <w:rFonts w:cs="Arial"/>
                <w:sz w:val="20"/>
                <w:szCs w:val="20"/>
              </w:rPr>
              <w:t xml:space="preserve">Arrangements: </w:t>
            </w:r>
          </w:p>
        </w:tc>
        <w:tc>
          <w:tcPr>
            <w:tcW w:w="4678" w:type="dxa"/>
          </w:tcPr>
          <w:p w14:paraId="573EB3BF" w14:textId="77777777" w:rsidR="00F40F21" w:rsidRPr="000C1E64" w:rsidRDefault="00F40F21" w:rsidP="00842EBE">
            <w:pPr>
              <w:pStyle w:val="ListParagraph"/>
              <w:numPr>
                <w:ilvl w:val="0"/>
                <w:numId w:val="0"/>
              </w:numPr>
              <w:jc w:val="both"/>
              <w:textAlignment w:val="baseline"/>
              <w:rPr>
                <w:rFonts w:cs="Arial"/>
                <w:b w:val="0"/>
                <w:bCs/>
                <w:sz w:val="20"/>
                <w:szCs w:val="20"/>
              </w:rPr>
            </w:pPr>
            <w:r w:rsidRPr="000C1E64">
              <w:rPr>
                <w:rFonts w:cs="Arial"/>
                <w:b w:val="0"/>
                <w:bCs/>
                <w:sz w:val="20"/>
                <w:szCs w:val="20"/>
              </w:rPr>
              <w:t>The Governance Structure has been review</w:t>
            </w:r>
            <w:r w:rsidR="00842EBE" w:rsidRPr="000C1E64">
              <w:rPr>
                <w:rFonts w:cs="Arial"/>
                <w:b w:val="0"/>
                <w:bCs/>
                <w:sz w:val="20"/>
                <w:szCs w:val="20"/>
              </w:rPr>
              <w:t>ed</w:t>
            </w:r>
            <w:r w:rsidRPr="000C1E64">
              <w:rPr>
                <w:rFonts w:cs="Arial"/>
                <w:b w:val="0"/>
                <w:bCs/>
                <w:sz w:val="20"/>
                <w:szCs w:val="20"/>
              </w:rPr>
              <w:t xml:space="preserve"> and reflects the Trusts new arrangement</w:t>
            </w:r>
          </w:p>
        </w:tc>
        <w:tc>
          <w:tcPr>
            <w:tcW w:w="1984" w:type="dxa"/>
            <w:vAlign w:val="center"/>
          </w:tcPr>
          <w:p w14:paraId="1B8282A0" w14:textId="77777777" w:rsidR="00F40F21" w:rsidRPr="000C1E64" w:rsidRDefault="00F40F21" w:rsidP="00F40F21">
            <w:pPr>
              <w:pStyle w:val="ListParagraph"/>
              <w:numPr>
                <w:ilvl w:val="0"/>
                <w:numId w:val="0"/>
              </w:numPr>
              <w:jc w:val="center"/>
              <w:textAlignment w:val="baseline"/>
              <w:rPr>
                <w:rFonts w:cs="Arial"/>
                <w:b w:val="0"/>
                <w:bCs/>
                <w:sz w:val="20"/>
                <w:szCs w:val="20"/>
              </w:rPr>
            </w:pPr>
            <w:r w:rsidRPr="000C1E64">
              <w:rPr>
                <w:rFonts w:cs="Arial"/>
                <w:b w:val="0"/>
                <w:bCs/>
                <w:sz w:val="20"/>
                <w:szCs w:val="20"/>
              </w:rPr>
              <w:t>Yes</w:t>
            </w:r>
          </w:p>
        </w:tc>
      </w:tr>
      <w:tr w:rsidR="00F40F21" w:rsidRPr="00E01D28" w14:paraId="07D2099A" w14:textId="77777777" w:rsidTr="000C1E64">
        <w:tc>
          <w:tcPr>
            <w:tcW w:w="1814" w:type="dxa"/>
          </w:tcPr>
          <w:p w14:paraId="5E0948EA" w14:textId="77777777" w:rsidR="00F40F21" w:rsidRPr="000C1E64" w:rsidRDefault="00842EBE" w:rsidP="00F40F21">
            <w:pPr>
              <w:pStyle w:val="ListParagraph"/>
              <w:numPr>
                <w:ilvl w:val="0"/>
                <w:numId w:val="0"/>
              </w:numPr>
              <w:textAlignment w:val="baseline"/>
              <w:rPr>
                <w:rFonts w:cs="Arial"/>
                <w:sz w:val="20"/>
                <w:szCs w:val="20"/>
              </w:rPr>
            </w:pPr>
            <w:r w:rsidRPr="000C1E64">
              <w:rPr>
                <w:rFonts w:cs="Arial"/>
                <w:sz w:val="20"/>
                <w:szCs w:val="20"/>
              </w:rPr>
              <w:t xml:space="preserve">Leadership: </w:t>
            </w:r>
            <w:r w:rsidR="00F40F21" w:rsidRPr="000C1E64">
              <w:rPr>
                <w:rFonts w:cs="Arial"/>
                <w:sz w:val="20"/>
                <w:szCs w:val="20"/>
              </w:rPr>
              <w:t xml:space="preserve">Roles and Responsibilities </w:t>
            </w:r>
          </w:p>
        </w:tc>
        <w:tc>
          <w:tcPr>
            <w:tcW w:w="4678" w:type="dxa"/>
          </w:tcPr>
          <w:p w14:paraId="253F134C" w14:textId="77777777" w:rsidR="00F40F21" w:rsidRPr="000C1E64" w:rsidRDefault="00F40F21" w:rsidP="00F40F21">
            <w:pPr>
              <w:pStyle w:val="ListParagraph"/>
              <w:numPr>
                <w:ilvl w:val="0"/>
                <w:numId w:val="0"/>
              </w:numPr>
              <w:jc w:val="both"/>
              <w:textAlignment w:val="baseline"/>
              <w:rPr>
                <w:rFonts w:cs="Arial"/>
                <w:b w:val="0"/>
                <w:bCs/>
                <w:sz w:val="20"/>
                <w:szCs w:val="20"/>
              </w:rPr>
            </w:pPr>
            <w:r w:rsidRPr="000C1E64">
              <w:rPr>
                <w:rFonts w:cs="Arial"/>
                <w:b w:val="0"/>
                <w:bCs/>
                <w:sz w:val="20"/>
                <w:szCs w:val="20"/>
              </w:rPr>
              <w:t>Roles and responsibilities have been updated from those submitted in the OBC</w:t>
            </w:r>
          </w:p>
        </w:tc>
        <w:tc>
          <w:tcPr>
            <w:tcW w:w="1984" w:type="dxa"/>
            <w:vAlign w:val="center"/>
          </w:tcPr>
          <w:p w14:paraId="7FD41FB9" w14:textId="77777777" w:rsidR="00F40F21" w:rsidRPr="000C1E64" w:rsidRDefault="00F40F21" w:rsidP="00F40F21">
            <w:pPr>
              <w:pStyle w:val="ListParagraph"/>
              <w:numPr>
                <w:ilvl w:val="0"/>
                <w:numId w:val="0"/>
              </w:numPr>
              <w:jc w:val="center"/>
              <w:textAlignment w:val="baseline"/>
              <w:rPr>
                <w:rFonts w:cs="Arial"/>
                <w:b w:val="0"/>
                <w:bCs/>
                <w:sz w:val="20"/>
                <w:szCs w:val="20"/>
              </w:rPr>
            </w:pPr>
            <w:r w:rsidRPr="000C1E64">
              <w:rPr>
                <w:rFonts w:cs="Arial"/>
                <w:b w:val="0"/>
                <w:bCs/>
                <w:sz w:val="20"/>
                <w:szCs w:val="20"/>
              </w:rPr>
              <w:t>Yes</w:t>
            </w:r>
          </w:p>
        </w:tc>
      </w:tr>
      <w:tr w:rsidR="00F40F21" w:rsidRPr="00E01D28" w14:paraId="2AD20091" w14:textId="77777777" w:rsidTr="000C1E64">
        <w:tc>
          <w:tcPr>
            <w:tcW w:w="1814" w:type="dxa"/>
            <w:vAlign w:val="center"/>
          </w:tcPr>
          <w:p w14:paraId="1FC70322" w14:textId="77777777" w:rsidR="00F40F21" w:rsidRPr="000C1E64" w:rsidRDefault="00F40F21" w:rsidP="00F40F21">
            <w:pPr>
              <w:pStyle w:val="ListParagraph"/>
              <w:numPr>
                <w:ilvl w:val="0"/>
                <w:numId w:val="0"/>
              </w:numPr>
              <w:textAlignment w:val="baseline"/>
              <w:rPr>
                <w:rFonts w:cs="Arial"/>
                <w:sz w:val="20"/>
                <w:szCs w:val="20"/>
              </w:rPr>
            </w:pPr>
            <w:r w:rsidRPr="000C1E64">
              <w:rPr>
                <w:rFonts w:cs="Arial"/>
                <w:sz w:val="20"/>
                <w:szCs w:val="20"/>
              </w:rPr>
              <w:t>Benefits Register</w:t>
            </w:r>
            <w:r w:rsidR="00842EBE" w:rsidRPr="000C1E64">
              <w:rPr>
                <w:rFonts w:cs="Arial"/>
                <w:sz w:val="20"/>
                <w:szCs w:val="20"/>
              </w:rPr>
              <w:t>: are all of the benefits captured</w:t>
            </w:r>
          </w:p>
        </w:tc>
        <w:tc>
          <w:tcPr>
            <w:tcW w:w="4678" w:type="dxa"/>
          </w:tcPr>
          <w:p w14:paraId="30CFECF2" w14:textId="77777777" w:rsidR="00F40F21" w:rsidRPr="000C1E64" w:rsidRDefault="00F40F21" w:rsidP="00F40F21">
            <w:pPr>
              <w:pStyle w:val="ListParagraph"/>
              <w:numPr>
                <w:ilvl w:val="0"/>
                <w:numId w:val="0"/>
              </w:numPr>
              <w:jc w:val="both"/>
              <w:textAlignment w:val="baseline"/>
              <w:rPr>
                <w:rFonts w:cs="Arial"/>
                <w:b w:val="0"/>
                <w:bCs/>
                <w:sz w:val="20"/>
                <w:szCs w:val="20"/>
              </w:rPr>
            </w:pPr>
            <w:r w:rsidRPr="000C1E64">
              <w:rPr>
                <w:rFonts w:cs="Arial"/>
                <w:b w:val="0"/>
                <w:bCs/>
                <w:sz w:val="20"/>
                <w:szCs w:val="20"/>
              </w:rPr>
              <w:t>The benefits register has been updated to reflect the CIA</w:t>
            </w:r>
          </w:p>
        </w:tc>
        <w:tc>
          <w:tcPr>
            <w:tcW w:w="1984" w:type="dxa"/>
            <w:vAlign w:val="center"/>
          </w:tcPr>
          <w:p w14:paraId="33C1BF3B" w14:textId="77777777" w:rsidR="00F40F21" w:rsidRPr="000C1E64" w:rsidRDefault="00F40F21" w:rsidP="00F40F21">
            <w:pPr>
              <w:pStyle w:val="ListParagraph"/>
              <w:numPr>
                <w:ilvl w:val="0"/>
                <w:numId w:val="0"/>
              </w:numPr>
              <w:jc w:val="center"/>
              <w:textAlignment w:val="baseline"/>
              <w:rPr>
                <w:rFonts w:cs="Arial"/>
                <w:b w:val="0"/>
                <w:bCs/>
                <w:sz w:val="20"/>
                <w:szCs w:val="20"/>
              </w:rPr>
            </w:pPr>
            <w:r w:rsidRPr="000C1E64">
              <w:rPr>
                <w:rFonts w:cs="Arial"/>
                <w:b w:val="0"/>
                <w:bCs/>
                <w:sz w:val="20"/>
                <w:szCs w:val="20"/>
              </w:rPr>
              <w:t>Yes</w:t>
            </w:r>
          </w:p>
        </w:tc>
      </w:tr>
    </w:tbl>
    <w:p w14:paraId="556C951D" w14:textId="77777777" w:rsidR="00F40F21" w:rsidRPr="00BC668E" w:rsidRDefault="00F40F21" w:rsidP="000C1E64">
      <w:pPr>
        <w:textAlignment w:val="baseline"/>
        <w:rPr>
          <w:rFonts w:cs="Arial"/>
          <w:bCs/>
        </w:rPr>
      </w:pPr>
    </w:p>
    <w:p w14:paraId="41A15C97" w14:textId="77777777" w:rsidR="005511BA" w:rsidRPr="008D1A07" w:rsidRDefault="00AE5599" w:rsidP="000C1E64">
      <w:pPr>
        <w:ind w:left="851" w:hanging="851"/>
        <w:textAlignment w:val="baseline"/>
        <w:rPr>
          <w:rFonts w:cs="Arial"/>
          <w:bCs/>
          <w:color w:val="70AD47" w:themeColor="accent6"/>
        </w:rPr>
      </w:pPr>
      <w:r>
        <w:rPr>
          <w:rFonts w:cs="Arial"/>
          <w:bCs/>
        </w:rPr>
        <w:t>2.</w:t>
      </w:r>
      <w:r w:rsidR="004928F5">
        <w:rPr>
          <w:rFonts w:cs="Arial"/>
          <w:bCs/>
        </w:rPr>
        <w:t>22</w:t>
      </w:r>
      <w:r>
        <w:rPr>
          <w:rFonts w:cs="Arial"/>
          <w:bCs/>
        </w:rPr>
        <w:tab/>
      </w:r>
      <w:r w:rsidR="005511BA" w:rsidRPr="000C1E64">
        <w:rPr>
          <w:rFonts w:cs="Arial"/>
          <w:bCs/>
        </w:rPr>
        <w:t xml:space="preserve">The Transforming Cancer Services Programme </w:t>
      </w:r>
      <w:r w:rsidR="00093721" w:rsidRPr="000C1E64">
        <w:rPr>
          <w:rFonts w:cs="Arial"/>
          <w:bCs/>
        </w:rPr>
        <w:t xml:space="preserve">sets out the scope, aim and spending objectives for the programme and consists of </w:t>
      </w:r>
      <w:r w:rsidR="005511BA" w:rsidRPr="000C1E64">
        <w:rPr>
          <w:rFonts w:cs="Arial"/>
          <w:bCs/>
        </w:rPr>
        <w:t>7 projects as set out in Fig. 1</w:t>
      </w:r>
      <w:r w:rsidR="00093721" w:rsidRPr="000C1E64">
        <w:rPr>
          <w:rFonts w:cs="Arial"/>
          <w:bCs/>
        </w:rPr>
        <w:t xml:space="preserve">. </w:t>
      </w:r>
    </w:p>
    <w:p w14:paraId="6669EBA3" w14:textId="77777777" w:rsidR="00BB42E4" w:rsidRDefault="00BB42E4" w:rsidP="000C1E64">
      <w:pPr>
        <w:spacing w:after="160" w:line="259" w:lineRule="auto"/>
        <w:ind w:left="720" w:firstLine="131"/>
        <w:jc w:val="left"/>
        <w:rPr>
          <w:bCs/>
          <w:i/>
          <w:color w:val="2F5496"/>
          <w:sz w:val="20"/>
          <w:szCs w:val="20"/>
        </w:rPr>
      </w:pPr>
    </w:p>
    <w:p w14:paraId="0881C3CE" w14:textId="77777777" w:rsidR="005511BA" w:rsidRPr="008D1A07" w:rsidRDefault="00AE5599" w:rsidP="000C1E64">
      <w:pPr>
        <w:spacing w:after="160" w:line="259" w:lineRule="auto"/>
        <w:ind w:left="720" w:firstLine="131"/>
        <w:jc w:val="left"/>
        <w:rPr>
          <w:rFonts w:cs="Arial"/>
          <w:bCs/>
          <w:color w:val="70AD47" w:themeColor="accent6"/>
        </w:rPr>
      </w:pPr>
      <w:r>
        <w:rPr>
          <w:bCs/>
          <w:i/>
          <w:color w:val="2F5496"/>
          <w:sz w:val="20"/>
          <w:szCs w:val="20"/>
        </w:rPr>
        <w:t>Fig 1</w:t>
      </w:r>
      <w:r w:rsidRPr="005278D6">
        <w:rPr>
          <w:bCs/>
          <w:i/>
          <w:color w:val="2F5496"/>
          <w:sz w:val="20"/>
          <w:szCs w:val="20"/>
        </w:rPr>
        <w:t xml:space="preserve"> – </w:t>
      </w:r>
      <w:r>
        <w:rPr>
          <w:bCs/>
          <w:i/>
          <w:color w:val="2F5496"/>
          <w:sz w:val="20"/>
          <w:szCs w:val="20"/>
        </w:rPr>
        <w:t>TCS Programme Projects</w:t>
      </w:r>
      <w:r w:rsidR="005511BA" w:rsidRPr="008D1A07">
        <w:rPr>
          <w:noProof/>
          <w:color w:val="70AD47" w:themeColor="accent6"/>
        </w:rPr>
        <w:drawing>
          <wp:inline distT="0" distB="0" distL="0" distR="0" wp14:anchorId="46996A3C" wp14:editId="068D4D20">
            <wp:extent cx="4733333" cy="2104762"/>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4733333" cy="2104762"/>
                    </a:xfrm>
                    <a:prstGeom prst="rect">
                      <a:avLst/>
                    </a:prstGeom>
                  </pic:spPr>
                </pic:pic>
              </a:graphicData>
            </a:graphic>
          </wp:inline>
        </w:drawing>
      </w:r>
    </w:p>
    <w:p w14:paraId="7541656A" w14:textId="77777777" w:rsidR="005511BA" w:rsidRPr="000C1E64" w:rsidRDefault="00AE5599" w:rsidP="00F40F21">
      <w:pPr>
        <w:textAlignment w:val="baseline"/>
        <w:rPr>
          <w:rFonts w:cs="Arial"/>
          <w:bCs/>
        </w:rPr>
      </w:pPr>
      <w:r>
        <w:rPr>
          <w:rFonts w:cs="Arial"/>
          <w:bCs/>
        </w:rPr>
        <w:tab/>
        <w:t xml:space="preserve">The description of the Projects are outlined in </w:t>
      </w:r>
      <w:r w:rsidR="00520751">
        <w:rPr>
          <w:rFonts w:cs="Arial"/>
          <w:bCs/>
        </w:rPr>
        <w:t>Table 5</w:t>
      </w:r>
      <w:r>
        <w:rPr>
          <w:rFonts w:cs="Arial"/>
          <w:bCs/>
        </w:rPr>
        <w:t>.</w:t>
      </w:r>
    </w:p>
    <w:p w14:paraId="68DC7A75" w14:textId="77777777" w:rsidR="00E244C5" w:rsidRDefault="00E244C5">
      <w:pPr>
        <w:ind w:firstLine="720"/>
        <w:textAlignment w:val="baseline"/>
        <w:rPr>
          <w:bCs/>
          <w:i/>
          <w:color w:val="2F5496"/>
          <w:sz w:val="20"/>
          <w:szCs w:val="20"/>
        </w:rPr>
      </w:pPr>
    </w:p>
    <w:p w14:paraId="6D52CA85" w14:textId="77777777" w:rsidR="00AE5599" w:rsidRPr="006D7A49" w:rsidRDefault="00520751" w:rsidP="006D7A49">
      <w:pPr>
        <w:pStyle w:val="Caption"/>
        <w:keepNext/>
        <w:ind w:left="720" w:firstLine="131"/>
        <w:rPr>
          <w:iCs w:val="0"/>
          <w:color w:val="2F5496"/>
          <w:sz w:val="20"/>
          <w:szCs w:val="20"/>
        </w:rPr>
      </w:pPr>
      <w:r w:rsidRPr="006D7A49">
        <w:rPr>
          <w:iCs w:val="0"/>
          <w:color w:val="2F5496"/>
          <w:sz w:val="20"/>
          <w:szCs w:val="20"/>
        </w:rPr>
        <w:t>Table 5</w:t>
      </w:r>
      <w:r w:rsidR="00AE5599" w:rsidRPr="006D7A49">
        <w:rPr>
          <w:iCs w:val="0"/>
          <w:color w:val="2F5496"/>
          <w:sz w:val="20"/>
          <w:szCs w:val="20"/>
        </w:rPr>
        <w:t xml:space="preserve"> – TCS Programme Projects Descriptions</w:t>
      </w:r>
    </w:p>
    <w:tbl>
      <w:tblPr>
        <w:tblStyle w:val="TableGrid"/>
        <w:tblW w:w="8505" w:type="dxa"/>
        <w:tblInd w:w="846" w:type="dxa"/>
        <w:tblLook w:val="04A0" w:firstRow="1" w:lastRow="0" w:firstColumn="1" w:lastColumn="0" w:noHBand="0" w:noVBand="1"/>
      </w:tblPr>
      <w:tblGrid>
        <w:gridCol w:w="567"/>
        <w:gridCol w:w="2410"/>
        <w:gridCol w:w="5528"/>
      </w:tblGrid>
      <w:tr w:rsidR="008D1A07" w:rsidRPr="008D1A07" w14:paraId="2A79FD15" w14:textId="77777777" w:rsidTr="000C1E64">
        <w:trPr>
          <w:trHeight w:val="401"/>
        </w:trPr>
        <w:tc>
          <w:tcPr>
            <w:tcW w:w="2977" w:type="dxa"/>
            <w:gridSpan w:val="2"/>
            <w:shd w:val="clear" w:color="auto" w:fill="1F4E79"/>
          </w:tcPr>
          <w:p w14:paraId="1C303F5D" w14:textId="77777777" w:rsidR="005511BA" w:rsidRPr="000C1E64" w:rsidRDefault="005511BA" w:rsidP="00BB1691">
            <w:pPr>
              <w:jc w:val="center"/>
              <w:rPr>
                <w:rFonts w:cs="Arial"/>
                <w:b/>
                <w:color w:val="FFFFFF" w:themeColor="background1"/>
                <w:sz w:val="20"/>
                <w:szCs w:val="20"/>
              </w:rPr>
            </w:pPr>
            <w:r w:rsidRPr="000C1E64">
              <w:rPr>
                <w:rFonts w:cs="Arial"/>
                <w:b/>
                <w:color w:val="FFFFFF" w:themeColor="background1"/>
                <w:sz w:val="20"/>
                <w:szCs w:val="20"/>
              </w:rPr>
              <w:t>Project Number / Name</w:t>
            </w:r>
          </w:p>
        </w:tc>
        <w:tc>
          <w:tcPr>
            <w:tcW w:w="5528" w:type="dxa"/>
            <w:shd w:val="clear" w:color="auto" w:fill="1F4E79"/>
          </w:tcPr>
          <w:p w14:paraId="01FB8DC2" w14:textId="77777777" w:rsidR="005511BA" w:rsidRPr="000C1E64" w:rsidRDefault="005511BA" w:rsidP="00BB1691">
            <w:pPr>
              <w:jc w:val="center"/>
              <w:rPr>
                <w:rFonts w:cs="Arial"/>
                <w:b/>
                <w:color w:val="FFFFFF" w:themeColor="background1"/>
                <w:sz w:val="20"/>
                <w:szCs w:val="20"/>
              </w:rPr>
            </w:pPr>
            <w:r w:rsidRPr="000C1E64">
              <w:rPr>
                <w:rFonts w:cs="Arial"/>
                <w:b/>
                <w:color w:val="FFFFFF" w:themeColor="background1"/>
                <w:sz w:val="20"/>
                <w:szCs w:val="20"/>
              </w:rPr>
              <w:t>Description</w:t>
            </w:r>
          </w:p>
        </w:tc>
      </w:tr>
      <w:tr w:rsidR="008D1A07" w:rsidRPr="008D1A07" w14:paraId="34BD9443" w14:textId="77777777" w:rsidTr="000C1E64">
        <w:tc>
          <w:tcPr>
            <w:tcW w:w="567" w:type="dxa"/>
            <w:shd w:val="clear" w:color="auto" w:fill="5B9BD5"/>
            <w:vAlign w:val="center"/>
          </w:tcPr>
          <w:p w14:paraId="24EECB8D" w14:textId="77777777" w:rsidR="005511BA" w:rsidRPr="000C1E64" w:rsidRDefault="005511BA" w:rsidP="00BB1691">
            <w:pPr>
              <w:pStyle w:val="ListParagraph"/>
              <w:ind w:left="29"/>
              <w:rPr>
                <w:rFonts w:cs="Arial"/>
                <w:b w:val="0"/>
                <w:sz w:val="20"/>
                <w:szCs w:val="20"/>
                <w:lang w:val="en-GB"/>
              </w:rPr>
            </w:pPr>
            <w:r w:rsidRPr="000C1E64">
              <w:rPr>
                <w:rFonts w:cs="Arial"/>
                <w:sz w:val="20"/>
                <w:szCs w:val="20"/>
                <w:lang w:val="en-GB"/>
              </w:rPr>
              <w:t>1</w:t>
            </w:r>
          </w:p>
        </w:tc>
        <w:tc>
          <w:tcPr>
            <w:tcW w:w="2410" w:type="dxa"/>
            <w:shd w:val="clear" w:color="auto" w:fill="5B9BD5"/>
            <w:vAlign w:val="center"/>
          </w:tcPr>
          <w:p w14:paraId="78039E2F" w14:textId="77777777" w:rsidR="005511BA" w:rsidRPr="000C1E64" w:rsidRDefault="005511BA" w:rsidP="005511BA">
            <w:pPr>
              <w:pStyle w:val="ListParagraph"/>
              <w:numPr>
                <w:ilvl w:val="0"/>
                <w:numId w:val="15"/>
              </w:numPr>
              <w:spacing w:before="0" w:after="0"/>
              <w:ind w:left="0"/>
              <w:rPr>
                <w:rFonts w:cs="Arial"/>
                <w:b w:val="0"/>
                <w:sz w:val="20"/>
                <w:szCs w:val="20"/>
                <w:lang w:val="en-GB"/>
              </w:rPr>
            </w:pPr>
            <w:r w:rsidRPr="000C1E64">
              <w:rPr>
                <w:rFonts w:cs="Arial"/>
                <w:sz w:val="20"/>
                <w:szCs w:val="20"/>
                <w:lang w:val="en-GB"/>
              </w:rPr>
              <w:t>Enabling Works</w:t>
            </w:r>
          </w:p>
        </w:tc>
        <w:tc>
          <w:tcPr>
            <w:tcW w:w="5528" w:type="dxa"/>
            <w:vAlign w:val="center"/>
          </w:tcPr>
          <w:p w14:paraId="3DD87998" w14:textId="77777777" w:rsidR="005511BA" w:rsidRPr="000C1E64" w:rsidRDefault="005511BA" w:rsidP="00BB1691">
            <w:pPr>
              <w:jc w:val="left"/>
              <w:rPr>
                <w:rFonts w:cs="Arial"/>
                <w:sz w:val="20"/>
                <w:szCs w:val="20"/>
              </w:rPr>
            </w:pPr>
            <w:r w:rsidRPr="000C1E64">
              <w:rPr>
                <w:rFonts w:cs="Arial"/>
                <w:sz w:val="20"/>
                <w:szCs w:val="20"/>
              </w:rPr>
              <w:t>All Enabling works needed to provide Primary and secondary access to the new Velindre Cancer Centre Site (includes the provision of utilities).</w:t>
            </w:r>
          </w:p>
        </w:tc>
      </w:tr>
      <w:tr w:rsidR="008D1A07" w:rsidRPr="008D1A07" w14:paraId="08C7A917" w14:textId="77777777" w:rsidTr="000C1E64">
        <w:trPr>
          <w:trHeight w:val="451"/>
        </w:trPr>
        <w:tc>
          <w:tcPr>
            <w:tcW w:w="567" w:type="dxa"/>
            <w:shd w:val="clear" w:color="auto" w:fill="5B9BD5"/>
            <w:vAlign w:val="center"/>
          </w:tcPr>
          <w:p w14:paraId="67ED9239" w14:textId="77777777" w:rsidR="005511BA" w:rsidRPr="000C1E64" w:rsidRDefault="005511BA" w:rsidP="00BB1691">
            <w:pPr>
              <w:pStyle w:val="ListParagraph"/>
              <w:ind w:left="29"/>
              <w:rPr>
                <w:rFonts w:cs="Arial"/>
                <w:b w:val="0"/>
                <w:sz w:val="20"/>
                <w:szCs w:val="20"/>
                <w:lang w:val="en-GB"/>
              </w:rPr>
            </w:pPr>
            <w:r w:rsidRPr="000C1E64">
              <w:rPr>
                <w:rFonts w:cs="Arial"/>
                <w:sz w:val="20"/>
                <w:szCs w:val="20"/>
                <w:lang w:val="en-GB"/>
              </w:rPr>
              <w:lastRenderedPageBreak/>
              <w:t>2</w:t>
            </w:r>
          </w:p>
        </w:tc>
        <w:tc>
          <w:tcPr>
            <w:tcW w:w="2410" w:type="dxa"/>
            <w:shd w:val="clear" w:color="auto" w:fill="5B9BD5"/>
            <w:vAlign w:val="center"/>
          </w:tcPr>
          <w:p w14:paraId="200F8447" w14:textId="77777777" w:rsidR="005511BA" w:rsidRPr="000C1E64" w:rsidRDefault="005511BA" w:rsidP="005511BA">
            <w:pPr>
              <w:pStyle w:val="ListParagraph"/>
              <w:numPr>
                <w:ilvl w:val="0"/>
                <w:numId w:val="15"/>
              </w:numPr>
              <w:spacing w:before="0" w:after="0"/>
              <w:ind w:left="0"/>
              <w:rPr>
                <w:rFonts w:cs="Arial"/>
                <w:b w:val="0"/>
                <w:sz w:val="20"/>
                <w:szCs w:val="20"/>
                <w:lang w:val="en-GB"/>
              </w:rPr>
            </w:pPr>
            <w:r w:rsidRPr="000C1E64">
              <w:rPr>
                <w:rFonts w:cs="Arial"/>
                <w:sz w:val="20"/>
                <w:szCs w:val="20"/>
                <w:lang w:val="en-GB"/>
              </w:rPr>
              <w:t>New Velindre Cancer Centre</w:t>
            </w:r>
          </w:p>
        </w:tc>
        <w:tc>
          <w:tcPr>
            <w:tcW w:w="5528" w:type="dxa"/>
            <w:vAlign w:val="center"/>
          </w:tcPr>
          <w:p w14:paraId="0E525D08" w14:textId="77777777" w:rsidR="005511BA" w:rsidRPr="000C1E64" w:rsidRDefault="005511BA" w:rsidP="00BB1691">
            <w:pPr>
              <w:jc w:val="left"/>
              <w:rPr>
                <w:rFonts w:cs="Arial"/>
                <w:sz w:val="20"/>
                <w:szCs w:val="20"/>
              </w:rPr>
            </w:pPr>
            <w:r w:rsidRPr="000C1E64">
              <w:rPr>
                <w:rFonts w:cs="Arial"/>
                <w:sz w:val="20"/>
                <w:szCs w:val="20"/>
              </w:rPr>
              <w:t>The re-provisioning of a new Velindre Cancer Centre in the Whitchurch area of Cardiff.</w:t>
            </w:r>
          </w:p>
        </w:tc>
      </w:tr>
      <w:tr w:rsidR="008D1A07" w:rsidRPr="008D1A07" w14:paraId="43672095" w14:textId="77777777" w:rsidTr="000C1E64">
        <w:tc>
          <w:tcPr>
            <w:tcW w:w="567" w:type="dxa"/>
            <w:shd w:val="clear" w:color="auto" w:fill="5B9BD5"/>
            <w:vAlign w:val="center"/>
          </w:tcPr>
          <w:p w14:paraId="6EAE9F22" w14:textId="77777777" w:rsidR="005511BA" w:rsidRPr="000C1E64" w:rsidRDefault="005511BA" w:rsidP="00BB1691">
            <w:pPr>
              <w:ind w:left="29" w:hanging="29"/>
              <w:jc w:val="left"/>
              <w:rPr>
                <w:rFonts w:cs="Arial"/>
                <w:b/>
                <w:sz w:val="20"/>
                <w:szCs w:val="20"/>
              </w:rPr>
            </w:pPr>
            <w:r w:rsidRPr="000C1E64">
              <w:rPr>
                <w:rFonts w:cs="Arial"/>
                <w:b/>
                <w:sz w:val="20"/>
                <w:szCs w:val="20"/>
              </w:rPr>
              <w:t>3</w:t>
            </w:r>
          </w:p>
        </w:tc>
        <w:tc>
          <w:tcPr>
            <w:tcW w:w="2410" w:type="dxa"/>
            <w:shd w:val="clear" w:color="auto" w:fill="5B9BD5"/>
            <w:vAlign w:val="center"/>
          </w:tcPr>
          <w:p w14:paraId="3C1BDC01" w14:textId="77777777" w:rsidR="005511BA" w:rsidRPr="000C1E64" w:rsidRDefault="005511BA" w:rsidP="005511BA">
            <w:pPr>
              <w:pStyle w:val="ListParagraph"/>
              <w:numPr>
                <w:ilvl w:val="0"/>
                <w:numId w:val="15"/>
              </w:numPr>
              <w:spacing w:before="0" w:after="0"/>
              <w:ind w:left="0"/>
              <w:rPr>
                <w:rFonts w:cs="Arial"/>
                <w:b w:val="0"/>
                <w:sz w:val="20"/>
                <w:szCs w:val="20"/>
                <w:lang w:val="en-GB"/>
              </w:rPr>
            </w:pPr>
            <w:r w:rsidRPr="000C1E64">
              <w:rPr>
                <w:rFonts w:cs="Arial"/>
                <w:sz w:val="20"/>
                <w:szCs w:val="20"/>
                <w:lang w:val="en-GB"/>
              </w:rPr>
              <w:t>Digital and Equipment</w:t>
            </w:r>
          </w:p>
        </w:tc>
        <w:tc>
          <w:tcPr>
            <w:tcW w:w="5528" w:type="dxa"/>
            <w:vAlign w:val="center"/>
          </w:tcPr>
          <w:p w14:paraId="13D3E78F" w14:textId="77777777" w:rsidR="005511BA" w:rsidRPr="000C1E64" w:rsidRDefault="005511BA" w:rsidP="00BB1691">
            <w:pPr>
              <w:jc w:val="left"/>
              <w:rPr>
                <w:rFonts w:cs="Arial"/>
                <w:sz w:val="20"/>
                <w:szCs w:val="20"/>
              </w:rPr>
            </w:pPr>
            <w:r w:rsidRPr="000C1E64">
              <w:rPr>
                <w:rFonts w:cs="Arial"/>
                <w:sz w:val="20"/>
                <w:szCs w:val="20"/>
              </w:rPr>
              <w:t>The provision of integrated Digital Information and Equipment Services across the TCS Programme. This Project oversees the IRS Project.</w:t>
            </w:r>
          </w:p>
        </w:tc>
      </w:tr>
      <w:tr w:rsidR="008D1A07" w:rsidRPr="008D1A07" w14:paraId="10979CF3" w14:textId="77777777" w:rsidTr="000C1E64">
        <w:tc>
          <w:tcPr>
            <w:tcW w:w="567" w:type="dxa"/>
            <w:shd w:val="clear" w:color="auto" w:fill="5B9BD5"/>
            <w:vAlign w:val="center"/>
          </w:tcPr>
          <w:p w14:paraId="6659C07B" w14:textId="77777777" w:rsidR="005511BA" w:rsidRPr="000C1E64" w:rsidRDefault="005511BA" w:rsidP="00BB1691">
            <w:pPr>
              <w:pStyle w:val="ListParagraph"/>
              <w:ind w:left="29"/>
              <w:rPr>
                <w:rFonts w:cs="Arial"/>
                <w:b w:val="0"/>
                <w:sz w:val="20"/>
                <w:szCs w:val="20"/>
                <w:lang w:val="en-GB"/>
              </w:rPr>
            </w:pPr>
            <w:r w:rsidRPr="000C1E64">
              <w:rPr>
                <w:rFonts w:cs="Arial"/>
                <w:sz w:val="20"/>
                <w:szCs w:val="20"/>
                <w:lang w:val="en-GB"/>
              </w:rPr>
              <w:t>4</w:t>
            </w:r>
          </w:p>
        </w:tc>
        <w:tc>
          <w:tcPr>
            <w:tcW w:w="2410" w:type="dxa"/>
            <w:shd w:val="clear" w:color="auto" w:fill="5B9BD5"/>
            <w:vAlign w:val="center"/>
          </w:tcPr>
          <w:p w14:paraId="1C3A0C0C" w14:textId="77777777" w:rsidR="005511BA" w:rsidRPr="000C1E64" w:rsidRDefault="005511BA" w:rsidP="005511BA">
            <w:pPr>
              <w:pStyle w:val="ListParagraph"/>
              <w:numPr>
                <w:ilvl w:val="0"/>
                <w:numId w:val="15"/>
              </w:numPr>
              <w:spacing w:before="0" w:after="0"/>
              <w:ind w:left="0"/>
              <w:rPr>
                <w:rFonts w:cs="Arial"/>
                <w:b w:val="0"/>
                <w:sz w:val="20"/>
                <w:szCs w:val="20"/>
                <w:lang w:val="en-GB"/>
              </w:rPr>
            </w:pPr>
            <w:r w:rsidRPr="000C1E64">
              <w:rPr>
                <w:rFonts w:cs="Arial"/>
                <w:sz w:val="20"/>
                <w:szCs w:val="20"/>
                <w:lang w:val="en-GB"/>
              </w:rPr>
              <w:t>Radiotherapy Satellite Centre</w:t>
            </w:r>
          </w:p>
        </w:tc>
        <w:tc>
          <w:tcPr>
            <w:tcW w:w="5528" w:type="dxa"/>
            <w:vAlign w:val="center"/>
          </w:tcPr>
          <w:p w14:paraId="79ECE845" w14:textId="77777777" w:rsidR="005511BA" w:rsidRPr="000C1E64" w:rsidRDefault="005511BA" w:rsidP="00BB1691">
            <w:pPr>
              <w:jc w:val="left"/>
              <w:rPr>
                <w:rFonts w:cs="Arial"/>
                <w:sz w:val="20"/>
                <w:szCs w:val="20"/>
              </w:rPr>
            </w:pPr>
            <w:r w:rsidRPr="000C1E64">
              <w:rPr>
                <w:rFonts w:cs="Arial"/>
                <w:sz w:val="20"/>
                <w:szCs w:val="20"/>
              </w:rPr>
              <w:t>Provision of a Radiotherapy Satellite Centre at Nevill Hall Hospital.</w:t>
            </w:r>
          </w:p>
        </w:tc>
      </w:tr>
      <w:tr w:rsidR="008D1A07" w:rsidRPr="008D1A07" w14:paraId="62D80497" w14:textId="77777777" w:rsidTr="000C1E64">
        <w:tc>
          <w:tcPr>
            <w:tcW w:w="567" w:type="dxa"/>
            <w:shd w:val="clear" w:color="auto" w:fill="5B9BD5"/>
            <w:vAlign w:val="center"/>
          </w:tcPr>
          <w:p w14:paraId="236CCFC0" w14:textId="77777777" w:rsidR="005511BA" w:rsidRPr="000C1E64" w:rsidRDefault="005511BA" w:rsidP="00BB1691">
            <w:pPr>
              <w:pStyle w:val="ListParagraph"/>
              <w:ind w:left="29"/>
              <w:rPr>
                <w:rFonts w:cs="Arial"/>
                <w:b w:val="0"/>
                <w:sz w:val="20"/>
                <w:szCs w:val="20"/>
                <w:lang w:val="en-GB"/>
              </w:rPr>
            </w:pPr>
            <w:r w:rsidRPr="000C1E64">
              <w:rPr>
                <w:rFonts w:cs="Arial"/>
                <w:sz w:val="20"/>
                <w:szCs w:val="20"/>
                <w:lang w:val="en-GB"/>
              </w:rPr>
              <w:t>5</w:t>
            </w:r>
          </w:p>
        </w:tc>
        <w:tc>
          <w:tcPr>
            <w:tcW w:w="2410" w:type="dxa"/>
            <w:shd w:val="clear" w:color="auto" w:fill="5B9BD5"/>
            <w:vAlign w:val="center"/>
          </w:tcPr>
          <w:p w14:paraId="206AB871" w14:textId="77777777" w:rsidR="005511BA" w:rsidRPr="000C1E64" w:rsidRDefault="005511BA" w:rsidP="005511BA">
            <w:pPr>
              <w:pStyle w:val="ListParagraph"/>
              <w:numPr>
                <w:ilvl w:val="0"/>
                <w:numId w:val="15"/>
              </w:numPr>
              <w:spacing w:before="0" w:after="0"/>
              <w:ind w:left="0"/>
              <w:rPr>
                <w:rFonts w:cs="Arial"/>
                <w:b w:val="0"/>
                <w:sz w:val="20"/>
                <w:szCs w:val="20"/>
                <w:lang w:val="en-GB"/>
              </w:rPr>
            </w:pPr>
            <w:r w:rsidRPr="000C1E64">
              <w:rPr>
                <w:rFonts w:cs="Arial"/>
                <w:sz w:val="20"/>
                <w:szCs w:val="20"/>
                <w:lang w:val="en-GB"/>
              </w:rPr>
              <w:t>SACT and Outreach</w:t>
            </w:r>
          </w:p>
        </w:tc>
        <w:tc>
          <w:tcPr>
            <w:tcW w:w="5528" w:type="dxa"/>
            <w:vAlign w:val="center"/>
          </w:tcPr>
          <w:p w14:paraId="393289AA" w14:textId="77777777" w:rsidR="005511BA" w:rsidRPr="000C1E64" w:rsidRDefault="005511BA" w:rsidP="00BB1691">
            <w:pPr>
              <w:jc w:val="left"/>
              <w:rPr>
                <w:rFonts w:cs="Arial"/>
                <w:sz w:val="20"/>
                <w:szCs w:val="20"/>
              </w:rPr>
            </w:pPr>
            <w:r w:rsidRPr="000C1E64">
              <w:rPr>
                <w:rFonts w:cs="Arial"/>
                <w:sz w:val="20"/>
                <w:szCs w:val="20"/>
              </w:rPr>
              <w:t xml:space="preserve">The Provision of SACT and Outpatient services embedded in Local Health Boards. </w:t>
            </w:r>
          </w:p>
        </w:tc>
      </w:tr>
      <w:tr w:rsidR="008D1A07" w:rsidRPr="008D1A07" w14:paraId="12855317" w14:textId="77777777" w:rsidTr="000C1E64">
        <w:tc>
          <w:tcPr>
            <w:tcW w:w="567" w:type="dxa"/>
            <w:shd w:val="clear" w:color="auto" w:fill="5B9BD5"/>
            <w:vAlign w:val="center"/>
          </w:tcPr>
          <w:p w14:paraId="1434F9C9" w14:textId="77777777" w:rsidR="005511BA" w:rsidRPr="000C1E64" w:rsidRDefault="005511BA" w:rsidP="00BB1691">
            <w:pPr>
              <w:pStyle w:val="ListParagraph"/>
              <w:ind w:left="29"/>
              <w:rPr>
                <w:rFonts w:cs="Arial"/>
                <w:b w:val="0"/>
                <w:sz w:val="20"/>
                <w:szCs w:val="20"/>
                <w:lang w:val="en-GB"/>
              </w:rPr>
            </w:pPr>
            <w:r w:rsidRPr="000C1E64">
              <w:rPr>
                <w:rFonts w:cs="Arial"/>
                <w:sz w:val="20"/>
                <w:szCs w:val="20"/>
                <w:lang w:val="en-GB"/>
              </w:rPr>
              <w:t>6</w:t>
            </w:r>
          </w:p>
        </w:tc>
        <w:tc>
          <w:tcPr>
            <w:tcW w:w="2410" w:type="dxa"/>
            <w:shd w:val="clear" w:color="auto" w:fill="5B9BD5"/>
            <w:vAlign w:val="center"/>
          </w:tcPr>
          <w:p w14:paraId="4F5F6132" w14:textId="77777777" w:rsidR="005511BA" w:rsidRPr="000C1E64" w:rsidRDefault="005511BA" w:rsidP="005511BA">
            <w:pPr>
              <w:pStyle w:val="ListParagraph"/>
              <w:numPr>
                <w:ilvl w:val="0"/>
                <w:numId w:val="15"/>
              </w:numPr>
              <w:spacing w:before="0" w:after="0"/>
              <w:ind w:left="0"/>
              <w:rPr>
                <w:rFonts w:cs="Arial"/>
                <w:b w:val="0"/>
                <w:sz w:val="20"/>
                <w:szCs w:val="20"/>
                <w:lang w:val="en-GB"/>
              </w:rPr>
            </w:pPr>
            <w:r w:rsidRPr="000C1E64">
              <w:rPr>
                <w:rFonts w:cs="Arial"/>
                <w:sz w:val="20"/>
                <w:szCs w:val="20"/>
                <w:lang w:val="en-GB"/>
              </w:rPr>
              <w:t>Service Delivery Transition and Transformation</w:t>
            </w:r>
          </w:p>
        </w:tc>
        <w:tc>
          <w:tcPr>
            <w:tcW w:w="5528" w:type="dxa"/>
            <w:vAlign w:val="center"/>
          </w:tcPr>
          <w:p w14:paraId="19209874" w14:textId="77777777" w:rsidR="005511BA" w:rsidRPr="000C1E64" w:rsidRDefault="005511BA" w:rsidP="00BB1691">
            <w:pPr>
              <w:jc w:val="left"/>
              <w:rPr>
                <w:rFonts w:cs="Arial"/>
                <w:sz w:val="20"/>
                <w:szCs w:val="20"/>
              </w:rPr>
            </w:pPr>
            <w:r w:rsidRPr="000C1E64">
              <w:rPr>
                <w:rFonts w:cs="Arial"/>
                <w:sz w:val="20"/>
                <w:szCs w:val="20"/>
              </w:rPr>
              <w:t>This project is responsible for establishing and transforming all service delivery functions across the clinical model. It is also responsible for planning and implementing the transition between the old and new cancer centre.</w:t>
            </w:r>
          </w:p>
        </w:tc>
      </w:tr>
      <w:tr w:rsidR="008D1A07" w:rsidRPr="008D1A07" w14:paraId="1800A8A1" w14:textId="77777777" w:rsidTr="000C1E64">
        <w:tc>
          <w:tcPr>
            <w:tcW w:w="567" w:type="dxa"/>
            <w:shd w:val="clear" w:color="auto" w:fill="5B9BD5"/>
            <w:vAlign w:val="center"/>
          </w:tcPr>
          <w:p w14:paraId="1FD14EA2" w14:textId="77777777" w:rsidR="005511BA" w:rsidRPr="000C1E64" w:rsidRDefault="005511BA" w:rsidP="00BB1691">
            <w:pPr>
              <w:pStyle w:val="ListParagraph"/>
              <w:ind w:left="29"/>
              <w:rPr>
                <w:rFonts w:cs="Arial"/>
                <w:b w:val="0"/>
                <w:sz w:val="20"/>
                <w:szCs w:val="20"/>
                <w:lang w:val="en-GB"/>
              </w:rPr>
            </w:pPr>
            <w:r w:rsidRPr="000C1E64">
              <w:rPr>
                <w:rFonts w:cs="Arial"/>
                <w:sz w:val="20"/>
                <w:szCs w:val="20"/>
                <w:lang w:val="en-GB"/>
              </w:rPr>
              <w:t>7</w:t>
            </w:r>
          </w:p>
        </w:tc>
        <w:tc>
          <w:tcPr>
            <w:tcW w:w="2410" w:type="dxa"/>
            <w:shd w:val="clear" w:color="auto" w:fill="5B9BD5"/>
            <w:vAlign w:val="center"/>
          </w:tcPr>
          <w:p w14:paraId="3BC255F3" w14:textId="77777777" w:rsidR="005511BA" w:rsidRPr="000C1E64" w:rsidRDefault="005511BA" w:rsidP="005511BA">
            <w:pPr>
              <w:pStyle w:val="ListParagraph"/>
              <w:numPr>
                <w:ilvl w:val="0"/>
                <w:numId w:val="15"/>
              </w:numPr>
              <w:spacing w:before="0" w:after="0"/>
              <w:ind w:left="0"/>
              <w:rPr>
                <w:rFonts w:cs="Arial"/>
                <w:b w:val="0"/>
                <w:sz w:val="20"/>
                <w:szCs w:val="20"/>
                <w:lang w:val="en-GB"/>
              </w:rPr>
            </w:pPr>
            <w:r w:rsidRPr="000C1E64">
              <w:rPr>
                <w:rFonts w:cs="Arial"/>
                <w:sz w:val="20"/>
                <w:szCs w:val="20"/>
                <w:lang w:val="en-GB"/>
              </w:rPr>
              <w:t>Site Decommissioning</w:t>
            </w:r>
          </w:p>
        </w:tc>
        <w:tc>
          <w:tcPr>
            <w:tcW w:w="5528" w:type="dxa"/>
            <w:vAlign w:val="center"/>
          </w:tcPr>
          <w:p w14:paraId="29680E7D" w14:textId="77777777" w:rsidR="005511BA" w:rsidRPr="000C1E64" w:rsidRDefault="005511BA" w:rsidP="00BB1691">
            <w:pPr>
              <w:jc w:val="left"/>
              <w:rPr>
                <w:rFonts w:cs="Arial"/>
                <w:sz w:val="20"/>
                <w:szCs w:val="20"/>
              </w:rPr>
            </w:pPr>
            <w:r w:rsidRPr="000C1E64">
              <w:rPr>
                <w:rFonts w:cs="Arial"/>
                <w:sz w:val="20"/>
                <w:szCs w:val="20"/>
              </w:rPr>
              <w:t>The decommissioning of the old Velindre Cancer Centre brownfield Site.</w:t>
            </w:r>
          </w:p>
        </w:tc>
      </w:tr>
    </w:tbl>
    <w:p w14:paraId="6C51EC72" w14:textId="77777777" w:rsidR="00AE5AFF" w:rsidRPr="008D1A07" w:rsidRDefault="00AE5AFF" w:rsidP="00F40F21">
      <w:pPr>
        <w:textAlignment w:val="baseline"/>
        <w:rPr>
          <w:rFonts w:cs="Arial"/>
          <w:bCs/>
          <w:color w:val="70AD47" w:themeColor="accent6"/>
          <w:u w:val="single"/>
        </w:rPr>
      </w:pPr>
    </w:p>
    <w:p w14:paraId="1DE8C7F4" w14:textId="77777777" w:rsidR="00093721" w:rsidRPr="000C1E64" w:rsidRDefault="00AE5599" w:rsidP="000C1E64">
      <w:pPr>
        <w:ind w:left="720" w:hanging="720"/>
        <w:textAlignment w:val="baseline"/>
        <w:rPr>
          <w:rFonts w:cs="Arial"/>
          <w:bCs/>
        </w:rPr>
      </w:pPr>
      <w:r w:rsidRPr="000C1E64">
        <w:rPr>
          <w:rFonts w:cs="Arial"/>
          <w:bCs/>
        </w:rPr>
        <w:t>2.</w:t>
      </w:r>
      <w:r w:rsidR="004928F5">
        <w:rPr>
          <w:rFonts w:cs="Arial"/>
          <w:bCs/>
        </w:rPr>
        <w:t>23</w:t>
      </w:r>
      <w:r w:rsidRPr="000C1E64">
        <w:rPr>
          <w:rFonts w:cs="Arial"/>
          <w:bCs/>
        </w:rPr>
        <w:tab/>
      </w:r>
      <w:r w:rsidR="00E244C5" w:rsidRPr="000C1E64">
        <w:rPr>
          <w:rFonts w:cs="Arial"/>
          <w:bCs/>
        </w:rPr>
        <w:t xml:space="preserve">With regards to benefits, the Programme and Project benefits are outlined in the FBC. </w:t>
      </w:r>
      <w:r w:rsidR="00093721" w:rsidRPr="000C1E64">
        <w:rPr>
          <w:rFonts w:cs="Arial"/>
          <w:bCs/>
        </w:rPr>
        <w:t>The Programme Business Case sets out the range of benefits that are expected to be realised through the delivery of the programme; who is the expected beneficiary; when it is expected to be realised.</w:t>
      </w:r>
      <w:r w:rsidRPr="000C1E64">
        <w:rPr>
          <w:rFonts w:cs="Arial"/>
          <w:bCs/>
        </w:rPr>
        <w:t xml:space="preserve"> </w:t>
      </w:r>
      <w:r w:rsidR="00093721" w:rsidRPr="000C1E64">
        <w:rPr>
          <w:rFonts w:cs="Arial"/>
          <w:bCs/>
        </w:rPr>
        <w:t>The 7 projects within the programme are the primary vehicle to deliver the programme benefits and are subject to business cases (OBC/FBC); each of which set out the benefits that are expected to be realised from the specific project.  It is important to note each project must clearly scope benefits that can be realised but the project; can only claim the benefit set out within its scope</w:t>
      </w:r>
      <w:r w:rsidR="00525BB8" w:rsidRPr="000C1E64">
        <w:rPr>
          <w:rFonts w:cs="Arial"/>
          <w:bCs/>
        </w:rPr>
        <w:t xml:space="preserve"> </w:t>
      </w:r>
      <w:r w:rsidR="00093721" w:rsidRPr="000C1E64">
        <w:rPr>
          <w:rFonts w:cs="Arial"/>
          <w:bCs/>
        </w:rPr>
        <w:t xml:space="preserve">and can only </w:t>
      </w:r>
      <w:r w:rsidR="00525BB8" w:rsidRPr="000C1E64">
        <w:rPr>
          <w:rFonts w:cs="Arial"/>
          <w:bCs/>
        </w:rPr>
        <w:t xml:space="preserve">realise a benefit once. This is vital in ensuring the programme/project economic cases are robust and some </w:t>
      </w:r>
      <w:r w:rsidR="00093721" w:rsidRPr="000C1E64">
        <w:rPr>
          <w:rFonts w:cs="Arial"/>
          <w:bCs/>
        </w:rPr>
        <w:t>avoids over-emphasising the benefits and the potential for double counting.</w:t>
      </w:r>
    </w:p>
    <w:p w14:paraId="064B9CE8" w14:textId="77777777" w:rsidR="00093721" w:rsidRPr="008D1A07" w:rsidRDefault="00093721" w:rsidP="00F40F21">
      <w:pPr>
        <w:textAlignment w:val="baseline"/>
        <w:rPr>
          <w:rFonts w:cs="Arial"/>
          <w:bCs/>
          <w:color w:val="70AD47" w:themeColor="accent6"/>
        </w:rPr>
      </w:pPr>
    </w:p>
    <w:p w14:paraId="1DCF2BC7" w14:textId="77777777" w:rsidR="00525BB8" w:rsidRPr="000C1E64" w:rsidRDefault="00AE5599" w:rsidP="000C1E64">
      <w:pPr>
        <w:ind w:left="720" w:hanging="720"/>
        <w:textAlignment w:val="baseline"/>
        <w:rPr>
          <w:rFonts w:cs="Arial"/>
          <w:bCs/>
        </w:rPr>
      </w:pPr>
      <w:r>
        <w:rPr>
          <w:rFonts w:cs="Arial"/>
          <w:bCs/>
        </w:rPr>
        <w:t>2.2</w:t>
      </w:r>
      <w:r w:rsidR="004928F5">
        <w:rPr>
          <w:rFonts w:cs="Arial"/>
          <w:bCs/>
        </w:rPr>
        <w:t>4</w:t>
      </w:r>
      <w:r>
        <w:rPr>
          <w:rFonts w:cs="Arial"/>
          <w:bCs/>
        </w:rPr>
        <w:tab/>
      </w:r>
      <w:r w:rsidR="00525BB8" w:rsidRPr="000C1E64">
        <w:rPr>
          <w:rFonts w:cs="Arial"/>
          <w:bCs/>
        </w:rPr>
        <w:t>Within the TCS Programme the following FBC business cases have been approved</w:t>
      </w:r>
      <w:r w:rsidR="00520751">
        <w:rPr>
          <w:rFonts w:cs="Arial"/>
          <w:bCs/>
        </w:rPr>
        <w:t xml:space="preserve"> and these are set out below in Table 6</w:t>
      </w:r>
      <w:r w:rsidR="00525BB8" w:rsidRPr="000C1E64">
        <w:rPr>
          <w:rFonts w:cs="Arial"/>
          <w:bCs/>
        </w:rPr>
        <w:t>:</w:t>
      </w:r>
    </w:p>
    <w:p w14:paraId="2FCF2D50" w14:textId="77777777" w:rsidR="00520751" w:rsidRDefault="00520751" w:rsidP="00F40F21">
      <w:pPr>
        <w:textAlignment w:val="baseline"/>
        <w:rPr>
          <w:rFonts w:cs="Arial"/>
          <w:bCs/>
        </w:rPr>
      </w:pPr>
    </w:p>
    <w:p w14:paraId="3A0A1C7F" w14:textId="77777777" w:rsidR="00520751" w:rsidRPr="006D7A49" w:rsidRDefault="00520751" w:rsidP="006D7A49">
      <w:pPr>
        <w:pStyle w:val="Caption"/>
        <w:keepNext/>
        <w:ind w:left="720" w:hanging="11"/>
        <w:rPr>
          <w:iCs w:val="0"/>
          <w:color w:val="2F5496"/>
          <w:sz w:val="20"/>
          <w:szCs w:val="20"/>
        </w:rPr>
      </w:pPr>
      <w:r w:rsidRPr="006D7A49">
        <w:rPr>
          <w:iCs w:val="0"/>
          <w:color w:val="2F5496"/>
          <w:sz w:val="20"/>
          <w:szCs w:val="20"/>
        </w:rPr>
        <w:t>Table 6 – TCS Programme Projects Benefits</w:t>
      </w:r>
    </w:p>
    <w:tbl>
      <w:tblPr>
        <w:tblStyle w:val="TableGrid"/>
        <w:tblW w:w="0" w:type="auto"/>
        <w:tblInd w:w="704" w:type="dxa"/>
        <w:tblLook w:val="04A0" w:firstRow="1" w:lastRow="0" w:firstColumn="1" w:lastColumn="0" w:noHBand="0" w:noVBand="1"/>
      </w:tblPr>
      <w:tblGrid>
        <w:gridCol w:w="962"/>
        <w:gridCol w:w="2582"/>
        <w:gridCol w:w="4768"/>
      </w:tblGrid>
      <w:tr w:rsidR="00AE5599" w:rsidRPr="00AE5599" w14:paraId="7F9176B7" w14:textId="77777777" w:rsidTr="000C1E64">
        <w:trPr>
          <w:trHeight w:val="451"/>
        </w:trPr>
        <w:tc>
          <w:tcPr>
            <w:tcW w:w="962" w:type="dxa"/>
            <w:shd w:val="clear" w:color="auto" w:fill="1F3864" w:themeFill="accent1" w:themeFillShade="80"/>
          </w:tcPr>
          <w:p w14:paraId="30F40416" w14:textId="77777777" w:rsidR="00525BB8" w:rsidRPr="000C1E64" w:rsidRDefault="00525BB8" w:rsidP="00F40F21">
            <w:pPr>
              <w:textAlignment w:val="baseline"/>
              <w:rPr>
                <w:rFonts w:cs="Arial"/>
                <w:b/>
                <w:sz w:val="20"/>
                <w:szCs w:val="20"/>
              </w:rPr>
            </w:pPr>
            <w:r w:rsidRPr="000C1E64">
              <w:rPr>
                <w:rFonts w:cs="Arial"/>
                <w:b/>
                <w:sz w:val="20"/>
                <w:szCs w:val="20"/>
              </w:rPr>
              <w:t>Project</w:t>
            </w:r>
          </w:p>
        </w:tc>
        <w:tc>
          <w:tcPr>
            <w:tcW w:w="2582" w:type="dxa"/>
            <w:shd w:val="clear" w:color="auto" w:fill="1F3864" w:themeFill="accent1" w:themeFillShade="80"/>
          </w:tcPr>
          <w:p w14:paraId="1C4D9291" w14:textId="77777777" w:rsidR="00525BB8" w:rsidRPr="000C1E64" w:rsidRDefault="00525BB8" w:rsidP="00F40F21">
            <w:pPr>
              <w:textAlignment w:val="baseline"/>
              <w:rPr>
                <w:rFonts w:cs="Arial"/>
                <w:b/>
                <w:sz w:val="20"/>
                <w:szCs w:val="20"/>
              </w:rPr>
            </w:pPr>
            <w:r w:rsidRPr="000C1E64">
              <w:rPr>
                <w:rFonts w:cs="Arial"/>
                <w:b/>
                <w:sz w:val="20"/>
                <w:szCs w:val="20"/>
              </w:rPr>
              <w:t>Title</w:t>
            </w:r>
          </w:p>
        </w:tc>
        <w:tc>
          <w:tcPr>
            <w:tcW w:w="4768" w:type="dxa"/>
            <w:shd w:val="clear" w:color="auto" w:fill="1F3864" w:themeFill="accent1" w:themeFillShade="80"/>
          </w:tcPr>
          <w:p w14:paraId="66FC7E98" w14:textId="77777777" w:rsidR="00525BB8" w:rsidRPr="000C1E64" w:rsidRDefault="00525BB8" w:rsidP="00F40F21">
            <w:pPr>
              <w:textAlignment w:val="baseline"/>
              <w:rPr>
                <w:rFonts w:cs="Arial"/>
                <w:b/>
                <w:sz w:val="20"/>
                <w:szCs w:val="20"/>
              </w:rPr>
            </w:pPr>
            <w:r w:rsidRPr="000C1E64">
              <w:rPr>
                <w:rFonts w:cs="Arial"/>
                <w:b/>
                <w:sz w:val="20"/>
                <w:szCs w:val="20"/>
              </w:rPr>
              <w:t>Benefits include</w:t>
            </w:r>
          </w:p>
        </w:tc>
      </w:tr>
      <w:tr w:rsidR="00AE5599" w:rsidRPr="00AE5599" w14:paraId="38A2518A" w14:textId="77777777" w:rsidTr="000C1E64">
        <w:tc>
          <w:tcPr>
            <w:tcW w:w="962" w:type="dxa"/>
            <w:shd w:val="clear" w:color="auto" w:fill="8EAADB" w:themeFill="accent1" w:themeFillTint="99"/>
          </w:tcPr>
          <w:p w14:paraId="0A844118" w14:textId="77777777" w:rsidR="00525BB8" w:rsidRPr="000C1E64" w:rsidRDefault="00525BB8" w:rsidP="00F40F21">
            <w:pPr>
              <w:textAlignment w:val="baseline"/>
              <w:rPr>
                <w:rFonts w:cs="Arial"/>
                <w:b/>
                <w:sz w:val="20"/>
                <w:szCs w:val="20"/>
              </w:rPr>
            </w:pPr>
            <w:r w:rsidRPr="000C1E64">
              <w:rPr>
                <w:rFonts w:cs="Arial"/>
                <w:b/>
                <w:sz w:val="20"/>
                <w:szCs w:val="20"/>
              </w:rPr>
              <w:t>1</w:t>
            </w:r>
          </w:p>
        </w:tc>
        <w:tc>
          <w:tcPr>
            <w:tcW w:w="2582" w:type="dxa"/>
            <w:shd w:val="clear" w:color="auto" w:fill="8EAADB" w:themeFill="accent1" w:themeFillTint="99"/>
          </w:tcPr>
          <w:p w14:paraId="0EC1FDE1" w14:textId="77777777" w:rsidR="00525BB8" w:rsidRPr="000C1E64" w:rsidRDefault="00525BB8" w:rsidP="00F40F21">
            <w:pPr>
              <w:textAlignment w:val="baseline"/>
              <w:rPr>
                <w:rFonts w:cs="Arial"/>
                <w:b/>
                <w:sz w:val="20"/>
                <w:szCs w:val="20"/>
              </w:rPr>
            </w:pPr>
            <w:r w:rsidRPr="000C1E64">
              <w:rPr>
                <w:rFonts w:cs="Arial"/>
                <w:b/>
                <w:sz w:val="20"/>
                <w:szCs w:val="20"/>
              </w:rPr>
              <w:t xml:space="preserve">Enabling works: </w:t>
            </w:r>
            <w:r w:rsidR="00AE5599" w:rsidRPr="000C1E64">
              <w:rPr>
                <w:rFonts w:cs="Arial"/>
                <w:b/>
                <w:sz w:val="20"/>
                <w:szCs w:val="20"/>
              </w:rPr>
              <w:t>infrastructure</w:t>
            </w:r>
            <w:r w:rsidRPr="000C1E64">
              <w:rPr>
                <w:rFonts w:cs="Arial"/>
                <w:b/>
                <w:sz w:val="20"/>
                <w:szCs w:val="20"/>
              </w:rPr>
              <w:t xml:space="preserve"> to access nVCC</w:t>
            </w:r>
          </w:p>
        </w:tc>
        <w:tc>
          <w:tcPr>
            <w:tcW w:w="4768" w:type="dxa"/>
          </w:tcPr>
          <w:p w14:paraId="43355124" w14:textId="77777777" w:rsidR="00525BB8" w:rsidRPr="000C1E64" w:rsidRDefault="00525BB8" w:rsidP="00CF0D6C">
            <w:pPr>
              <w:pStyle w:val="ListParagraph"/>
              <w:numPr>
                <w:ilvl w:val="0"/>
                <w:numId w:val="19"/>
              </w:numPr>
              <w:spacing w:before="100" w:beforeAutospacing="1" w:after="100" w:afterAutospacing="1"/>
              <w:ind w:left="357" w:hanging="357"/>
              <w:textAlignment w:val="baseline"/>
              <w:rPr>
                <w:rFonts w:cs="Arial"/>
                <w:b w:val="0"/>
                <w:sz w:val="20"/>
                <w:szCs w:val="20"/>
              </w:rPr>
            </w:pPr>
            <w:r w:rsidRPr="000C1E64">
              <w:rPr>
                <w:rFonts w:cs="Arial"/>
                <w:b w:val="0"/>
                <w:sz w:val="20"/>
                <w:szCs w:val="20"/>
              </w:rPr>
              <w:t>Reduced travel times for patients/families/staff</w:t>
            </w:r>
          </w:p>
          <w:p w14:paraId="6F76B8F4" w14:textId="77777777" w:rsidR="00525BB8" w:rsidRPr="000C1E64" w:rsidRDefault="00525BB8" w:rsidP="00CF0D6C">
            <w:pPr>
              <w:pStyle w:val="ListParagraph"/>
              <w:numPr>
                <w:ilvl w:val="0"/>
                <w:numId w:val="19"/>
              </w:numPr>
              <w:spacing w:before="100" w:beforeAutospacing="1" w:after="100" w:afterAutospacing="1"/>
              <w:ind w:left="357" w:hanging="357"/>
              <w:textAlignment w:val="baseline"/>
              <w:rPr>
                <w:rFonts w:cs="Arial"/>
                <w:bCs/>
                <w:sz w:val="20"/>
                <w:szCs w:val="20"/>
              </w:rPr>
            </w:pPr>
            <w:r w:rsidRPr="000C1E64">
              <w:rPr>
                <w:rFonts w:cs="Arial"/>
                <w:b w:val="0"/>
                <w:sz w:val="20"/>
                <w:szCs w:val="20"/>
              </w:rPr>
              <w:t>Reduced carbon emissions</w:t>
            </w:r>
          </w:p>
        </w:tc>
      </w:tr>
      <w:tr w:rsidR="00AE5599" w:rsidRPr="00AE5599" w14:paraId="374A5D12" w14:textId="77777777" w:rsidTr="00CF0D6C">
        <w:trPr>
          <w:trHeight w:val="856"/>
        </w:trPr>
        <w:tc>
          <w:tcPr>
            <w:tcW w:w="962" w:type="dxa"/>
            <w:shd w:val="clear" w:color="auto" w:fill="8EAADB" w:themeFill="accent1" w:themeFillTint="99"/>
          </w:tcPr>
          <w:p w14:paraId="461F005C" w14:textId="77777777" w:rsidR="00525BB8" w:rsidRPr="000C1E64" w:rsidRDefault="00525BB8" w:rsidP="00F40F21">
            <w:pPr>
              <w:textAlignment w:val="baseline"/>
              <w:rPr>
                <w:rFonts w:cs="Arial"/>
                <w:b/>
                <w:sz w:val="20"/>
                <w:szCs w:val="20"/>
              </w:rPr>
            </w:pPr>
            <w:r w:rsidRPr="000C1E64">
              <w:rPr>
                <w:rFonts w:cs="Arial"/>
                <w:b/>
                <w:sz w:val="20"/>
                <w:szCs w:val="20"/>
              </w:rPr>
              <w:t>3</w:t>
            </w:r>
          </w:p>
        </w:tc>
        <w:tc>
          <w:tcPr>
            <w:tcW w:w="2582" w:type="dxa"/>
            <w:shd w:val="clear" w:color="auto" w:fill="8EAADB" w:themeFill="accent1" w:themeFillTint="99"/>
          </w:tcPr>
          <w:p w14:paraId="2E5DB279" w14:textId="77777777" w:rsidR="00525BB8" w:rsidRPr="000C1E64" w:rsidRDefault="00525BB8" w:rsidP="00F40F21">
            <w:pPr>
              <w:textAlignment w:val="baseline"/>
              <w:rPr>
                <w:rFonts w:cs="Arial"/>
                <w:b/>
                <w:sz w:val="20"/>
                <w:szCs w:val="20"/>
              </w:rPr>
            </w:pPr>
            <w:r w:rsidRPr="000C1E64">
              <w:rPr>
                <w:rFonts w:cs="Arial"/>
                <w:b/>
                <w:sz w:val="20"/>
                <w:szCs w:val="20"/>
              </w:rPr>
              <w:t>Integrated Radiotherapy Solution</w:t>
            </w:r>
          </w:p>
        </w:tc>
        <w:tc>
          <w:tcPr>
            <w:tcW w:w="4768" w:type="dxa"/>
          </w:tcPr>
          <w:p w14:paraId="5B9498C2" w14:textId="77777777" w:rsidR="00525BB8" w:rsidRPr="000C1E64" w:rsidRDefault="00525BB8" w:rsidP="00CF0D6C">
            <w:pPr>
              <w:pStyle w:val="ListParagraph"/>
              <w:numPr>
                <w:ilvl w:val="0"/>
                <w:numId w:val="20"/>
              </w:numPr>
              <w:spacing w:before="100" w:beforeAutospacing="1" w:after="100" w:afterAutospacing="1"/>
              <w:ind w:left="357" w:hanging="357"/>
              <w:textAlignment w:val="baseline"/>
              <w:rPr>
                <w:rFonts w:cs="Arial"/>
                <w:b w:val="0"/>
                <w:sz w:val="20"/>
                <w:szCs w:val="20"/>
              </w:rPr>
            </w:pPr>
            <w:r w:rsidRPr="000C1E64">
              <w:rPr>
                <w:rFonts w:cs="Arial"/>
                <w:b w:val="0"/>
                <w:sz w:val="20"/>
                <w:szCs w:val="20"/>
              </w:rPr>
              <w:t>Improved clinical care and treatment for patients</w:t>
            </w:r>
          </w:p>
          <w:p w14:paraId="6EB52B48" w14:textId="77777777" w:rsidR="00525BB8" w:rsidRPr="00CF0D6C" w:rsidRDefault="00525BB8" w:rsidP="00CF0D6C">
            <w:pPr>
              <w:pStyle w:val="ListParagraph"/>
              <w:numPr>
                <w:ilvl w:val="0"/>
                <w:numId w:val="20"/>
              </w:numPr>
              <w:spacing w:before="100" w:beforeAutospacing="1" w:after="100" w:afterAutospacing="1"/>
              <w:ind w:left="357" w:hanging="357"/>
              <w:textAlignment w:val="baseline"/>
              <w:rPr>
                <w:rFonts w:cs="Arial"/>
                <w:b w:val="0"/>
                <w:sz w:val="20"/>
                <w:szCs w:val="20"/>
              </w:rPr>
            </w:pPr>
            <w:r w:rsidRPr="000C1E64">
              <w:rPr>
                <w:rFonts w:cs="Arial"/>
                <w:b w:val="0"/>
                <w:sz w:val="20"/>
                <w:szCs w:val="20"/>
              </w:rPr>
              <w:t>Increased levels of efficiency and producti</w:t>
            </w:r>
            <w:r w:rsidR="00520751" w:rsidRPr="000C1E64">
              <w:rPr>
                <w:rFonts w:cs="Arial"/>
                <w:b w:val="0"/>
                <w:sz w:val="20"/>
                <w:szCs w:val="20"/>
              </w:rPr>
              <w:t>vi</w:t>
            </w:r>
            <w:r w:rsidRPr="000C1E64">
              <w:rPr>
                <w:rFonts w:cs="Arial"/>
                <w:b w:val="0"/>
                <w:sz w:val="20"/>
                <w:szCs w:val="20"/>
              </w:rPr>
              <w:t>t</w:t>
            </w:r>
            <w:r w:rsidR="00CF0D6C">
              <w:rPr>
                <w:rFonts w:cs="Arial"/>
                <w:b w:val="0"/>
                <w:sz w:val="20"/>
                <w:szCs w:val="20"/>
              </w:rPr>
              <w:t>y</w:t>
            </w:r>
          </w:p>
        </w:tc>
      </w:tr>
      <w:tr w:rsidR="00AE5599" w:rsidRPr="00AE5599" w14:paraId="2BE47EEC" w14:textId="77777777" w:rsidTr="000C1E64">
        <w:tc>
          <w:tcPr>
            <w:tcW w:w="962" w:type="dxa"/>
            <w:shd w:val="clear" w:color="auto" w:fill="8EAADB" w:themeFill="accent1" w:themeFillTint="99"/>
          </w:tcPr>
          <w:p w14:paraId="3AE15561" w14:textId="77777777" w:rsidR="00525BB8" w:rsidRPr="000C1E64" w:rsidRDefault="00525BB8" w:rsidP="00F40F21">
            <w:pPr>
              <w:textAlignment w:val="baseline"/>
              <w:rPr>
                <w:rFonts w:cs="Arial"/>
                <w:b/>
                <w:sz w:val="20"/>
                <w:szCs w:val="20"/>
              </w:rPr>
            </w:pPr>
            <w:r w:rsidRPr="000C1E64">
              <w:rPr>
                <w:rFonts w:cs="Arial"/>
                <w:b/>
                <w:sz w:val="20"/>
                <w:szCs w:val="20"/>
              </w:rPr>
              <w:t>4</w:t>
            </w:r>
          </w:p>
        </w:tc>
        <w:tc>
          <w:tcPr>
            <w:tcW w:w="2582" w:type="dxa"/>
            <w:shd w:val="clear" w:color="auto" w:fill="8EAADB" w:themeFill="accent1" w:themeFillTint="99"/>
          </w:tcPr>
          <w:p w14:paraId="71953BE8" w14:textId="77777777" w:rsidR="00525BB8" w:rsidRPr="000C1E64" w:rsidRDefault="00525BB8" w:rsidP="00F40F21">
            <w:pPr>
              <w:textAlignment w:val="baseline"/>
              <w:rPr>
                <w:rFonts w:cs="Arial"/>
                <w:b/>
                <w:sz w:val="20"/>
                <w:szCs w:val="20"/>
              </w:rPr>
            </w:pPr>
            <w:r w:rsidRPr="000C1E64">
              <w:rPr>
                <w:rFonts w:cs="Arial"/>
                <w:b/>
                <w:sz w:val="20"/>
                <w:szCs w:val="20"/>
              </w:rPr>
              <w:t>Radiotherapy satellite centre: Nevill Hall</w:t>
            </w:r>
          </w:p>
        </w:tc>
        <w:tc>
          <w:tcPr>
            <w:tcW w:w="4768" w:type="dxa"/>
          </w:tcPr>
          <w:p w14:paraId="0528330A" w14:textId="77777777" w:rsidR="00525BB8" w:rsidRPr="000C1E64" w:rsidRDefault="00525BB8" w:rsidP="00CF0D6C">
            <w:pPr>
              <w:pStyle w:val="ListParagraph"/>
              <w:numPr>
                <w:ilvl w:val="0"/>
                <w:numId w:val="21"/>
              </w:numPr>
              <w:spacing w:before="100" w:beforeAutospacing="1" w:after="100" w:afterAutospacing="1"/>
              <w:ind w:left="357" w:hanging="357"/>
              <w:textAlignment w:val="baseline"/>
              <w:rPr>
                <w:rFonts w:cs="Arial"/>
                <w:b w:val="0"/>
                <w:sz w:val="20"/>
                <w:szCs w:val="20"/>
              </w:rPr>
            </w:pPr>
            <w:r w:rsidRPr="000C1E64">
              <w:rPr>
                <w:rFonts w:cs="Arial"/>
                <w:b w:val="0"/>
                <w:sz w:val="20"/>
                <w:szCs w:val="20"/>
              </w:rPr>
              <w:t>Increased access to radiotherapy</w:t>
            </w:r>
          </w:p>
          <w:p w14:paraId="723AAE91" w14:textId="77777777" w:rsidR="00525BB8" w:rsidRPr="000C1E64" w:rsidRDefault="00525BB8" w:rsidP="00CF0D6C">
            <w:pPr>
              <w:pStyle w:val="ListParagraph"/>
              <w:numPr>
                <w:ilvl w:val="0"/>
                <w:numId w:val="21"/>
              </w:numPr>
              <w:spacing w:before="100" w:beforeAutospacing="1" w:after="100" w:afterAutospacing="1"/>
              <w:ind w:left="357" w:hanging="357"/>
              <w:textAlignment w:val="baseline"/>
              <w:rPr>
                <w:rFonts w:cs="Arial"/>
                <w:b w:val="0"/>
                <w:sz w:val="20"/>
                <w:szCs w:val="20"/>
              </w:rPr>
            </w:pPr>
            <w:r w:rsidRPr="000C1E64">
              <w:rPr>
                <w:rFonts w:cs="Arial"/>
                <w:b w:val="0"/>
                <w:sz w:val="20"/>
                <w:szCs w:val="20"/>
              </w:rPr>
              <w:t>Care close to home for patients</w:t>
            </w:r>
          </w:p>
          <w:p w14:paraId="5047E9C2" w14:textId="77777777" w:rsidR="00525BB8" w:rsidRPr="000C1E64" w:rsidRDefault="00525BB8" w:rsidP="00CF0D6C">
            <w:pPr>
              <w:pStyle w:val="ListParagraph"/>
              <w:numPr>
                <w:ilvl w:val="0"/>
                <w:numId w:val="21"/>
              </w:numPr>
              <w:spacing w:before="100" w:beforeAutospacing="1" w:after="100" w:afterAutospacing="1"/>
              <w:ind w:left="357" w:hanging="357"/>
              <w:textAlignment w:val="baseline"/>
              <w:rPr>
                <w:rFonts w:cs="Arial"/>
                <w:b w:val="0"/>
                <w:sz w:val="20"/>
                <w:szCs w:val="20"/>
              </w:rPr>
            </w:pPr>
            <w:r w:rsidRPr="000C1E64">
              <w:rPr>
                <w:rFonts w:cs="Arial"/>
                <w:b w:val="0"/>
                <w:sz w:val="20"/>
                <w:szCs w:val="20"/>
              </w:rPr>
              <w:t>Reduced travel times for patients and families</w:t>
            </w:r>
          </w:p>
          <w:p w14:paraId="71DFA5B2" w14:textId="77777777" w:rsidR="00525BB8" w:rsidRPr="000C1E64" w:rsidRDefault="00525BB8" w:rsidP="00CF0D6C">
            <w:pPr>
              <w:pStyle w:val="ListParagraph"/>
              <w:numPr>
                <w:ilvl w:val="0"/>
                <w:numId w:val="21"/>
              </w:numPr>
              <w:spacing w:before="100" w:beforeAutospacing="1" w:after="100" w:afterAutospacing="1"/>
              <w:ind w:left="357" w:hanging="357"/>
              <w:textAlignment w:val="baseline"/>
              <w:rPr>
                <w:rFonts w:cs="Arial"/>
                <w:bCs/>
                <w:sz w:val="20"/>
                <w:szCs w:val="20"/>
              </w:rPr>
            </w:pPr>
            <w:r w:rsidRPr="000C1E64">
              <w:rPr>
                <w:rFonts w:cs="Arial"/>
                <w:b w:val="0"/>
                <w:sz w:val="20"/>
                <w:szCs w:val="20"/>
              </w:rPr>
              <w:t>Improved integration of cancer care</w:t>
            </w:r>
          </w:p>
        </w:tc>
      </w:tr>
    </w:tbl>
    <w:p w14:paraId="77E5F4E1" w14:textId="77777777" w:rsidR="00520751" w:rsidRDefault="00520751" w:rsidP="00F40F21">
      <w:pPr>
        <w:textAlignment w:val="baseline"/>
        <w:rPr>
          <w:rFonts w:cs="Arial"/>
          <w:bCs/>
          <w:color w:val="70AD47" w:themeColor="accent6"/>
        </w:rPr>
      </w:pPr>
    </w:p>
    <w:p w14:paraId="4BF05113" w14:textId="2D0B7644" w:rsidR="00104497" w:rsidRPr="000C1E64" w:rsidRDefault="00520751" w:rsidP="000C1E64">
      <w:pPr>
        <w:ind w:left="720" w:hanging="720"/>
        <w:textAlignment w:val="baseline"/>
        <w:rPr>
          <w:rFonts w:cs="Arial"/>
          <w:bCs/>
        </w:rPr>
      </w:pPr>
      <w:r>
        <w:rPr>
          <w:rFonts w:cs="Arial"/>
          <w:bCs/>
        </w:rPr>
        <w:t>2.2</w:t>
      </w:r>
      <w:r w:rsidR="004928F5">
        <w:rPr>
          <w:rFonts w:cs="Arial"/>
          <w:bCs/>
        </w:rPr>
        <w:t>5</w:t>
      </w:r>
      <w:r>
        <w:rPr>
          <w:rFonts w:cs="Arial"/>
          <w:bCs/>
        </w:rPr>
        <w:tab/>
      </w:r>
      <w:r w:rsidR="00525BB8" w:rsidRPr="000C1E64">
        <w:rPr>
          <w:rFonts w:cs="Arial"/>
          <w:bCs/>
        </w:rPr>
        <w:t>With regard to the nVCC FBC</w:t>
      </w:r>
      <w:r w:rsidR="00C47426">
        <w:rPr>
          <w:rFonts w:cs="Arial"/>
          <w:bCs/>
        </w:rPr>
        <w:t>,</w:t>
      </w:r>
      <w:r w:rsidR="00525BB8" w:rsidRPr="000C1E64">
        <w:rPr>
          <w:rFonts w:cs="Arial"/>
          <w:bCs/>
        </w:rPr>
        <w:t xml:space="preserve"> it is important to note that the primary need to for investment is the need to replace the </w:t>
      </w:r>
      <w:r w:rsidRPr="00520751">
        <w:rPr>
          <w:rFonts w:cs="Arial"/>
          <w:bCs/>
        </w:rPr>
        <w:t>existing</w:t>
      </w:r>
      <w:r w:rsidR="00525BB8" w:rsidRPr="000C1E64">
        <w:rPr>
          <w:rFonts w:cs="Arial"/>
          <w:bCs/>
        </w:rPr>
        <w:t xml:space="preserve"> Velindre Cancer Centre as it is the only building that provides specialist non-surgical tertiary oncology services in South</w:t>
      </w:r>
      <w:r w:rsidR="00994D9F">
        <w:rPr>
          <w:rFonts w:cs="Arial"/>
          <w:bCs/>
        </w:rPr>
        <w:t>-</w:t>
      </w:r>
      <w:r w:rsidR="00525BB8" w:rsidRPr="000C1E64">
        <w:rPr>
          <w:rFonts w:cs="Arial"/>
          <w:bCs/>
        </w:rPr>
        <w:t xml:space="preserve">East Wales. The building is nearly 70 years old and not considered to be fit-for-purpose now or sustainable in the future (as set out in the Business Needs section of the Strategic Case). Whilst the provision of the </w:t>
      </w:r>
      <w:r w:rsidR="00525BB8" w:rsidRPr="000C1E64">
        <w:rPr>
          <w:rFonts w:cs="Arial"/>
          <w:bCs/>
        </w:rPr>
        <w:lastRenderedPageBreak/>
        <w:t xml:space="preserve">nVCC has a clear strategic importance in the regional clinical model (now and in future years), at its simplest form </w:t>
      </w:r>
      <w:r w:rsidR="00104497" w:rsidRPr="000C1E64">
        <w:rPr>
          <w:rFonts w:cs="Arial"/>
          <w:bCs/>
        </w:rPr>
        <w:t xml:space="preserve">the FBC sets out the need for investment to replace an old building with a new building.  </w:t>
      </w:r>
    </w:p>
    <w:p w14:paraId="5D633120" w14:textId="77777777" w:rsidR="00104497" w:rsidRPr="000C1E64" w:rsidRDefault="00104497" w:rsidP="00F40F21">
      <w:pPr>
        <w:textAlignment w:val="baseline"/>
        <w:rPr>
          <w:rFonts w:cs="Arial"/>
          <w:bCs/>
        </w:rPr>
      </w:pPr>
    </w:p>
    <w:p w14:paraId="41606FB1" w14:textId="77777777" w:rsidR="00104497" w:rsidRPr="000C1E64" w:rsidRDefault="00520751" w:rsidP="000C1E64">
      <w:pPr>
        <w:ind w:left="720" w:hanging="720"/>
        <w:textAlignment w:val="baseline"/>
        <w:rPr>
          <w:rFonts w:cs="Arial"/>
          <w:bCs/>
        </w:rPr>
      </w:pPr>
      <w:r>
        <w:rPr>
          <w:rFonts w:cs="Arial"/>
          <w:bCs/>
        </w:rPr>
        <w:t>2.2</w:t>
      </w:r>
      <w:r w:rsidR="004928F5">
        <w:rPr>
          <w:rFonts w:cs="Arial"/>
          <w:bCs/>
        </w:rPr>
        <w:t>6</w:t>
      </w:r>
      <w:r>
        <w:rPr>
          <w:rFonts w:cs="Arial"/>
          <w:bCs/>
        </w:rPr>
        <w:tab/>
      </w:r>
      <w:r w:rsidR="00104497" w:rsidRPr="000C1E64">
        <w:rPr>
          <w:rFonts w:cs="Arial"/>
          <w:bCs/>
        </w:rPr>
        <w:t>Consequently, the FBC nVCC only sets out benefits that are within scope of the business case and does not seek to claim benefits which can only be realised by changes/actions elsewhere in the cancer system. For example, the provision of an nVCC will not directly improve detection of cancer in primary care; or directly assist in moving staging of cancers from 4 to 3 to 2; or improve 1 and 5 year survival rates of itself; these can only be achieved by actions across the whole system</w:t>
      </w:r>
    </w:p>
    <w:p w14:paraId="2BA9B5B0" w14:textId="77777777" w:rsidR="00104497" w:rsidRPr="000C1E64" w:rsidRDefault="00104497" w:rsidP="00F40F21">
      <w:pPr>
        <w:textAlignment w:val="baseline"/>
        <w:rPr>
          <w:rFonts w:cs="Arial"/>
          <w:bCs/>
        </w:rPr>
      </w:pPr>
    </w:p>
    <w:p w14:paraId="28ABF95B" w14:textId="77777777" w:rsidR="008D1A07" w:rsidRPr="000C1E64" w:rsidRDefault="00520751" w:rsidP="000C1E64">
      <w:pPr>
        <w:ind w:left="720" w:hanging="720"/>
        <w:textAlignment w:val="baseline"/>
        <w:rPr>
          <w:rFonts w:cs="Arial"/>
          <w:bCs/>
        </w:rPr>
      </w:pPr>
      <w:r>
        <w:rPr>
          <w:rFonts w:cs="Arial"/>
          <w:bCs/>
        </w:rPr>
        <w:t>2.2</w:t>
      </w:r>
      <w:r w:rsidR="004928F5">
        <w:rPr>
          <w:rFonts w:cs="Arial"/>
          <w:bCs/>
        </w:rPr>
        <w:t>7</w:t>
      </w:r>
      <w:r>
        <w:rPr>
          <w:rFonts w:cs="Arial"/>
          <w:bCs/>
        </w:rPr>
        <w:tab/>
      </w:r>
      <w:r w:rsidR="00104497" w:rsidRPr="000C1E64">
        <w:rPr>
          <w:rFonts w:cs="Arial"/>
          <w:bCs/>
        </w:rPr>
        <w:t xml:space="preserve">However, the nVCC will directly contribute to the quality, safety, experience and sustainability of cancer care across SE Wales and 1 and 5 year survival through the </w:t>
      </w:r>
      <w:r w:rsidR="008D1A07" w:rsidRPr="000C1E64">
        <w:rPr>
          <w:rFonts w:cs="Arial"/>
          <w:bCs/>
        </w:rPr>
        <w:t>tertiary</w:t>
      </w:r>
      <w:r w:rsidR="00104497" w:rsidRPr="000C1E64">
        <w:rPr>
          <w:rFonts w:cs="Arial"/>
          <w:bCs/>
        </w:rPr>
        <w:t xml:space="preserve"> services it </w:t>
      </w:r>
      <w:r w:rsidR="008D1A07" w:rsidRPr="000C1E64">
        <w:rPr>
          <w:rFonts w:cs="Arial"/>
          <w:bCs/>
        </w:rPr>
        <w:t>provides</w:t>
      </w:r>
      <w:r w:rsidR="00104497" w:rsidRPr="000C1E64">
        <w:rPr>
          <w:rFonts w:cs="Arial"/>
          <w:bCs/>
        </w:rPr>
        <w:t xml:space="preserve"> as part of the pathway of care.</w:t>
      </w:r>
      <w:r w:rsidR="008D1A07" w:rsidRPr="000C1E64">
        <w:rPr>
          <w:rFonts w:cs="Arial"/>
          <w:bCs/>
        </w:rPr>
        <w:t xml:space="preserve"> There will also be a direct dis-benefit if the nVCC is not built i.e. the ability to meet required demand and quality of care will reduce and this is likely to result in reduced quality of care and 1 and 5 year survival rates.  </w:t>
      </w:r>
    </w:p>
    <w:p w14:paraId="6889D86B" w14:textId="77777777" w:rsidR="008D1A07" w:rsidRPr="000C1E64" w:rsidRDefault="008D1A07" w:rsidP="00F40F21">
      <w:pPr>
        <w:textAlignment w:val="baseline"/>
        <w:rPr>
          <w:rFonts w:cs="Arial"/>
          <w:bCs/>
        </w:rPr>
      </w:pPr>
    </w:p>
    <w:p w14:paraId="0B408233" w14:textId="77777777" w:rsidR="008D1A07" w:rsidRPr="000C1E64" w:rsidRDefault="00520751" w:rsidP="000C1E64">
      <w:pPr>
        <w:ind w:left="720" w:hanging="720"/>
        <w:textAlignment w:val="baseline"/>
        <w:rPr>
          <w:rFonts w:cs="Arial"/>
          <w:bCs/>
        </w:rPr>
      </w:pPr>
      <w:r>
        <w:rPr>
          <w:rFonts w:cs="Arial"/>
          <w:bCs/>
        </w:rPr>
        <w:t>2.2</w:t>
      </w:r>
      <w:r w:rsidR="004928F5">
        <w:rPr>
          <w:rFonts w:cs="Arial"/>
          <w:bCs/>
        </w:rPr>
        <w:t>8</w:t>
      </w:r>
      <w:r>
        <w:rPr>
          <w:rFonts w:cs="Arial"/>
          <w:bCs/>
        </w:rPr>
        <w:tab/>
      </w:r>
      <w:r w:rsidR="008D1A07" w:rsidRPr="000C1E64">
        <w:rPr>
          <w:rFonts w:cs="Arial"/>
          <w:bCs/>
        </w:rPr>
        <w:t xml:space="preserve">The nVCC will also indirectly contribute to </w:t>
      </w:r>
      <w:r w:rsidR="00104497" w:rsidRPr="000C1E64">
        <w:rPr>
          <w:rFonts w:cs="Arial"/>
          <w:bCs/>
        </w:rPr>
        <w:t>the overall improvement of cancer care (e.g. diagnosis; staging; pathway transformation etc</w:t>
      </w:r>
      <w:r w:rsidR="00C47426">
        <w:rPr>
          <w:rFonts w:cs="Arial"/>
          <w:bCs/>
        </w:rPr>
        <w:t>.</w:t>
      </w:r>
      <w:r w:rsidR="00104497" w:rsidRPr="000C1E64">
        <w:rPr>
          <w:rFonts w:cs="Arial"/>
          <w:bCs/>
        </w:rPr>
        <w:t xml:space="preserve">) through </w:t>
      </w:r>
      <w:r w:rsidR="008D1A07" w:rsidRPr="000C1E64">
        <w:rPr>
          <w:rFonts w:cs="Arial"/>
          <w:bCs/>
        </w:rPr>
        <w:t>collaborative</w:t>
      </w:r>
      <w:r w:rsidR="00104497" w:rsidRPr="000C1E64">
        <w:rPr>
          <w:rFonts w:cs="Arial"/>
          <w:bCs/>
        </w:rPr>
        <w:t xml:space="preserve"> working; the provision of data/insights etc</w:t>
      </w:r>
      <w:r w:rsidR="00C47426">
        <w:rPr>
          <w:rFonts w:cs="Arial"/>
          <w:bCs/>
        </w:rPr>
        <w:t>.</w:t>
      </w:r>
      <w:r w:rsidR="00104497" w:rsidRPr="000C1E64">
        <w:rPr>
          <w:rFonts w:cs="Arial"/>
          <w:bCs/>
        </w:rPr>
        <w:t xml:space="preserve"> and multi-disciplinary working.  </w:t>
      </w:r>
    </w:p>
    <w:p w14:paraId="44CFA5A2" w14:textId="77777777" w:rsidR="008D1A07" w:rsidRPr="000C1E64" w:rsidRDefault="008D1A07" w:rsidP="00F40F21">
      <w:pPr>
        <w:textAlignment w:val="baseline"/>
        <w:rPr>
          <w:rFonts w:cs="Arial"/>
          <w:bCs/>
        </w:rPr>
      </w:pPr>
    </w:p>
    <w:p w14:paraId="6D122026" w14:textId="77777777" w:rsidR="00104497" w:rsidRDefault="00520751" w:rsidP="00F40F21">
      <w:pPr>
        <w:textAlignment w:val="baseline"/>
        <w:rPr>
          <w:rFonts w:cs="Arial"/>
          <w:bCs/>
        </w:rPr>
      </w:pPr>
      <w:r>
        <w:rPr>
          <w:rFonts w:cs="Arial"/>
          <w:bCs/>
        </w:rPr>
        <w:t>2.2</w:t>
      </w:r>
      <w:r w:rsidR="004928F5">
        <w:rPr>
          <w:rFonts w:cs="Arial"/>
          <w:bCs/>
        </w:rPr>
        <w:t>9</w:t>
      </w:r>
      <w:r>
        <w:rPr>
          <w:rFonts w:cs="Arial"/>
          <w:bCs/>
        </w:rPr>
        <w:tab/>
      </w:r>
      <w:r w:rsidR="00104497" w:rsidRPr="000C1E64">
        <w:rPr>
          <w:rFonts w:cs="Arial"/>
          <w:bCs/>
        </w:rPr>
        <w:t xml:space="preserve">The nVCC FBC benefits are set out in Table </w:t>
      </w:r>
      <w:r>
        <w:rPr>
          <w:rFonts w:cs="Arial"/>
          <w:bCs/>
        </w:rPr>
        <w:t>7.</w:t>
      </w:r>
    </w:p>
    <w:p w14:paraId="6B684C03" w14:textId="77777777" w:rsidR="00520751" w:rsidRDefault="00520751" w:rsidP="00520751">
      <w:pPr>
        <w:textAlignment w:val="baseline"/>
        <w:rPr>
          <w:rFonts w:cs="Arial"/>
          <w:bCs/>
        </w:rPr>
      </w:pPr>
    </w:p>
    <w:p w14:paraId="1B38F2D2" w14:textId="77777777" w:rsidR="00520751" w:rsidRPr="006D7A49" w:rsidRDefault="00520751" w:rsidP="006D7A49">
      <w:pPr>
        <w:pStyle w:val="Caption"/>
        <w:keepNext/>
        <w:ind w:left="720" w:hanging="11"/>
        <w:rPr>
          <w:iCs w:val="0"/>
          <w:color w:val="2F5496"/>
          <w:sz w:val="20"/>
          <w:szCs w:val="20"/>
        </w:rPr>
      </w:pPr>
      <w:r w:rsidRPr="006D7A49">
        <w:rPr>
          <w:iCs w:val="0"/>
          <w:color w:val="2F5496"/>
          <w:sz w:val="20"/>
          <w:szCs w:val="20"/>
        </w:rPr>
        <w:t>Table 7 – TCS Programme Projects Benefits</w:t>
      </w:r>
    </w:p>
    <w:tbl>
      <w:tblPr>
        <w:tblStyle w:val="TableGrid"/>
        <w:tblW w:w="0" w:type="auto"/>
        <w:tblInd w:w="704" w:type="dxa"/>
        <w:tblLook w:val="04A0" w:firstRow="1" w:lastRow="0" w:firstColumn="1" w:lastColumn="0" w:noHBand="0" w:noVBand="1"/>
      </w:tblPr>
      <w:tblGrid>
        <w:gridCol w:w="962"/>
        <w:gridCol w:w="1873"/>
        <w:gridCol w:w="1906"/>
        <w:gridCol w:w="3571"/>
      </w:tblGrid>
      <w:tr w:rsidR="00520751" w:rsidRPr="005278D6" w14:paraId="128357A8" w14:textId="77777777" w:rsidTr="00BB1691">
        <w:tc>
          <w:tcPr>
            <w:tcW w:w="962" w:type="dxa"/>
            <w:shd w:val="clear" w:color="auto" w:fill="1F3864" w:themeFill="accent1" w:themeFillShade="80"/>
          </w:tcPr>
          <w:p w14:paraId="72C83322" w14:textId="77777777" w:rsidR="00520751" w:rsidRPr="000C1E64" w:rsidRDefault="00520751" w:rsidP="00BB1691">
            <w:pPr>
              <w:textAlignment w:val="baseline"/>
              <w:rPr>
                <w:rFonts w:cs="Arial"/>
                <w:b/>
                <w:sz w:val="20"/>
                <w:szCs w:val="20"/>
              </w:rPr>
            </w:pPr>
            <w:r w:rsidRPr="000C1E64">
              <w:rPr>
                <w:rFonts w:cs="Arial"/>
                <w:b/>
                <w:sz w:val="20"/>
                <w:szCs w:val="20"/>
              </w:rPr>
              <w:t>Project</w:t>
            </w:r>
          </w:p>
        </w:tc>
        <w:tc>
          <w:tcPr>
            <w:tcW w:w="3779" w:type="dxa"/>
            <w:gridSpan w:val="2"/>
            <w:shd w:val="clear" w:color="auto" w:fill="1F3864" w:themeFill="accent1" w:themeFillShade="80"/>
          </w:tcPr>
          <w:p w14:paraId="055E9F2F" w14:textId="77777777" w:rsidR="00520751" w:rsidRPr="000C1E64" w:rsidRDefault="00520751" w:rsidP="00BB1691">
            <w:pPr>
              <w:textAlignment w:val="baseline"/>
              <w:rPr>
                <w:rFonts w:cs="Arial"/>
                <w:b/>
                <w:sz w:val="20"/>
                <w:szCs w:val="20"/>
              </w:rPr>
            </w:pPr>
            <w:r w:rsidRPr="000C1E64">
              <w:rPr>
                <w:rFonts w:cs="Arial"/>
                <w:b/>
                <w:sz w:val="20"/>
                <w:szCs w:val="20"/>
              </w:rPr>
              <w:t>Title</w:t>
            </w:r>
          </w:p>
        </w:tc>
        <w:tc>
          <w:tcPr>
            <w:tcW w:w="3571" w:type="dxa"/>
            <w:shd w:val="clear" w:color="auto" w:fill="1F3864" w:themeFill="accent1" w:themeFillShade="80"/>
          </w:tcPr>
          <w:p w14:paraId="1A0D7D0F" w14:textId="77777777" w:rsidR="00520751" w:rsidRPr="000C1E64" w:rsidRDefault="00520751" w:rsidP="00BB1691">
            <w:pPr>
              <w:textAlignment w:val="baseline"/>
              <w:rPr>
                <w:rFonts w:cs="Arial"/>
                <w:bCs/>
                <w:sz w:val="20"/>
                <w:szCs w:val="20"/>
              </w:rPr>
            </w:pPr>
            <w:r w:rsidRPr="000C1E64">
              <w:rPr>
                <w:rFonts w:cs="Arial"/>
                <w:bCs/>
                <w:sz w:val="20"/>
                <w:szCs w:val="20"/>
              </w:rPr>
              <w:t>Benefits include</w:t>
            </w:r>
          </w:p>
        </w:tc>
      </w:tr>
      <w:tr w:rsidR="00520751" w:rsidRPr="005278D6" w14:paraId="61CAFE3F" w14:textId="77777777" w:rsidTr="000C1E64">
        <w:tc>
          <w:tcPr>
            <w:tcW w:w="962" w:type="dxa"/>
            <w:shd w:val="clear" w:color="auto" w:fill="8EAADB" w:themeFill="accent1" w:themeFillTint="99"/>
          </w:tcPr>
          <w:p w14:paraId="53C68C24" w14:textId="77777777" w:rsidR="00520751" w:rsidRPr="000C1E64" w:rsidRDefault="00520751" w:rsidP="00BB1691">
            <w:pPr>
              <w:textAlignment w:val="baseline"/>
              <w:rPr>
                <w:rFonts w:cs="Arial"/>
                <w:b/>
                <w:sz w:val="20"/>
                <w:szCs w:val="20"/>
              </w:rPr>
            </w:pPr>
            <w:r w:rsidRPr="000C1E64">
              <w:rPr>
                <w:rFonts w:cs="Arial"/>
                <w:b/>
                <w:sz w:val="20"/>
                <w:szCs w:val="20"/>
              </w:rPr>
              <w:t>1</w:t>
            </w:r>
          </w:p>
        </w:tc>
        <w:tc>
          <w:tcPr>
            <w:tcW w:w="1873" w:type="dxa"/>
            <w:shd w:val="clear" w:color="auto" w:fill="8EAADB" w:themeFill="accent1" w:themeFillTint="99"/>
          </w:tcPr>
          <w:p w14:paraId="02FB1F31" w14:textId="77777777" w:rsidR="00520751" w:rsidRPr="000C1E64" w:rsidRDefault="00520751" w:rsidP="00BB1691">
            <w:pPr>
              <w:textAlignment w:val="baseline"/>
              <w:rPr>
                <w:rFonts w:cs="Arial"/>
                <w:b/>
                <w:sz w:val="20"/>
                <w:szCs w:val="20"/>
              </w:rPr>
            </w:pPr>
            <w:r w:rsidRPr="000C1E64">
              <w:rPr>
                <w:rFonts w:cs="Arial"/>
                <w:b/>
                <w:sz w:val="20"/>
                <w:szCs w:val="20"/>
              </w:rPr>
              <w:t>New Velindre Cancer Centre</w:t>
            </w:r>
          </w:p>
        </w:tc>
        <w:tc>
          <w:tcPr>
            <w:tcW w:w="5477" w:type="dxa"/>
            <w:gridSpan w:val="2"/>
          </w:tcPr>
          <w:p w14:paraId="76E853AB" w14:textId="77777777" w:rsidR="00F55FAB" w:rsidRPr="000C1E64" w:rsidRDefault="00F55FAB" w:rsidP="00F55FAB">
            <w:pPr>
              <w:pStyle w:val="ListParagraph"/>
              <w:numPr>
                <w:ilvl w:val="0"/>
                <w:numId w:val="19"/>
              </w:numPr>
              <w:textAlignment w:val="baseline"/>
              <w:rPr>
                <w:rFonts w:cs="Arial"/>
                <w:b w:val="0"/>
                <w:sz w:val="20"/>
                <w:szCs w:val="20"/>
              </w:rPr>
            </w:pPr>
            <w:r w:rsidRPr="000C1E64">
              <w:rPr>
                <w:rFonts w:cs="Arial"/>
                <w:bCs/>
                <w:sz w:val="20"/>
                <w:szCs w:val="20"/>
              </w:rPr>
              <w:t>Improved productivity</w:t>
            </w:r>
            <w:r w:rsidRPr="000C1E64">
              <w:rPr>
                <w:rFonts w:cs="Arial"/>
                <w:b w:val="0"/>
                <w:sz w:val="20"/>
                <w:szCs w:val="20"/>
              </w:rPr>
              <w:t>, with improved adjacencies; more flexible facilities and greater ability to comply with standards</w:t>
            </w:r>
          </w:p>
          <w:p w14:paraId="49DEC228" w14:textId="77777777" w:rsidR="00F55FAB" w:rsidRPr="000C1E64" w:rsidRDefault="00F55FAB" w:rsidP="00F55FAB">
            <w:pPr>
              <w:pStyle w:val="ListParagraph"/>
              <w:numPr>
                <w:ilvl w:val="0"/>
                <w:numId w:val="19"/>
              </w:numPr>
              <w:rPr>
                <w:rFonts w:cs="Arial"/>
                <w:bCs/>
                <w:sz w:val="20"/>
                <w:szCs w:val="20"/>
              </w:rPr>
            </w:pPr>
            <w:r w:rsidRPr="000C1E64">
              <w:rPr>
                <w:rFonts w:cs="Arial"/>
                <w:bCs/>
                <w:sz w:val="20"/>
                <w:szCs w:val="20"/>
              </w:rPr>
              <w:t>Improved recruitment and retention</w:t>
            </w:r>
            <w:r w:rsidRPr="000C1E64">
              <w:rPr>
                <w:rFonts w:cs="Arial"/>
                <w:b w:val="0"/>
                <w:sz w:val="20"/>
                <w:szCs w:val="20"/>
              </w:rPr>
              <w:t>, with improved staff recruitment and retention resulting in reduced reliance on overtime, bank and agency</w:t>
            </w:r>
          </w:p>
          <w:p w14:paraId="01CB4CD4" w14:textId="77777777" w:rsidR="00F55FAB" w:rsidRPr="000C1E64" w:rsidRDefault="00F55FAB" w:rsidP="00F55FAB">
            <w:pPr>
              <w:pStyle w:val="ListParagraph"/>
              <w:numPr>
                <w:ilvl w:val="0"/>
                <w:numId w:val="19"/>
              </w:numPr>
              <w:rPr>
                <w:rFonts w:cs="Arial"/>
                <w:bCs/>
                <w:sz w:val="20"/>
                <w:szCs w:val="20"/>
              </w:rPr>
            </w:pPr>
            <w:r w:rsidRPr="000C1E64">
              <w:rPr>
                <w:rFonts w:cs="Arial"/>
                <w:bCs/>
                <w:sz w:val="20"/>
                <w:szCs w:val="20"/>
              </w:rPr>
              <w:t>Centre for Learning and Innovation</w:t>
            </w:r>
            <w:r w:rsidRPr="000C1E64">
              <w:rPr>
                <w:rFonts w:cs="Arial"/>
                <w:b w:val="0"/>
                <w:sz w:val="20"/>
                <w:szCs w:val="20"/>
              </w:rPr>
              <w:t>, with additional income from Centre for Learning and Innovation</w:t>
            </w:r>
          </w:p>
          <w:p w14:paraId="6F4F21C0" w14:textId="77777777" w:rsidR="00520751" w:rsidRPr="000C1E64" w:rsidRDefault="00F55FAB" w:rsidP="00F55FAB">
            <w:pPr>
              <w:pStyle w:val="ListParagraph"/>
              <w:numPr>
                <w:ilvl w:val="0"/>
                <w:numId w:val="19"/>
              </w:numPr>
              <w:textAlignment w:val="baseline"/>
              <w:rPr>
                <w:rFonts w:cs="Arial"/>
                <w:bCs/>
                <w:sz w:val="20"/>
                <w:szCs w:val="20"/>
              </w:rPr>
            </w:pPr>
            <w:r w:rsidRPr="000C1E64">
              <w:rPr>
                <w:rFonts w:cs="Arial"/>
                <w:bCs/>
                <w:sz w:val="20"/>
                <w:szCs w:val="20"/>
              </w:rPr>
              <w:t>Direct benefits of the new clinical model</w:t>
            </w:r>
            <w:r w:rsidRPr="000C1E64">
              <w:rPr>
                <w:rFonts w:cs="Arial"/>
                <w:b w:val="0"/>
                <w:sz w:val="20"/>
                <w:szCs w:val="20"/>
              </w:rPr>
              <w:t>, with reduced length of stay</w:t>
            </w:r>
            <w:r w:rsidRPr="000C1E64">
              <w:rPr>
                <w:rFonts w:cs="Arial"/>
                <w:sz w:val="20"/>
                <w:szCs w:val="20"/>
              </w:rPr>
              <w:t xml:space="preserve">; </w:t>
            </w:r>
            <w:r w:rsidRPr="000C1E64">
              <w:rPr>
                <w:rFonts w:cs="Arial"/>
                <w:b w:val="0"/>
                <w:sz w:val="20"/>
                <w:szCs w:val="20"/>
              </w:rPr>
              <w:t>reduced admissions; improved utilisation; less value of reinvestment in capacity to meet demand</w:t>
            </w:r>
          </w:p>
          <w:p w14:paraId="49CEC08F" w14:textId="77777777" w:rsidR="00F55FAB" w:rsidRPr="000C1E64" w:rsidRDefault="00F55FAB" w:rsidP="00F55FAB">
            <w:pPr>
              <w:pStyle w:val="ListParagraph"/>
              <w:numPr>
                <w:ilvl w:val="0"/>
                <w:numId w:val="19"/>
              </w:numPr>
              <w:textAlignment w:val="baseline"/>
              <w:rPr>
                <w:rFonts w:cs="Arial"/>
                <w:b w:val="0"/>
                <w:sz w:val="20"/>
                <w:szCs w:val="20"/>
              </w:rPr>
            </w:pPr>
            <w:r w:rsidRPr="000C1E64">
              <w:rPr>
                <w:rFonts w:cs="Arial"/>
                <w:bCs/>
                <w:sz w:val="20"/>
                <w:szCs w:val="20"/>
              </w:rPr>
              <w:t>Improved survival rates</w:t>
            </w:r>
            <w:r w:rsidRPr="000C1E64">
              <w:rPr>
                <w:rFonts w:cs="Arial"/>
                <w:b w:val="0"/>
                <w:sz w:val="20"/>
                <w:szCs w:val="20"/>
              </w:rPr>
              <w:t>, with economic benefit of survivors re-entering employment; economic benefit of survivors providing childcare</w:t>
            </w:r>
          </w:p>
          <w:p w14:paraId="1BBDF775" w14:textId="77777777" w:rsidR="00F55FAB" w:rsidRPr="00CF0D6C" w:rsidRDefault="00F55FAB" w:rsidP="00CF0D6C">
            <w:pPr>
              <w:pStyle w:val="ListParagraph"/>
              <w:numPr>
                <w:ilvl w:val="0"/>
                <w:numId w:val="19"/>
              </w:numPr>
              <w:textAlignment w:val="baseline"/>
              <w:rPr>
                <w:rFonts w:cs="Arial"/>
                <w:b w:val="0"/>
                <w:sz w:val="20"/>
                <w:szCs w:val="20"/>
              </w:rPr>
            </w:pPr>
            <w:r w:rsidRPr="000C1E64">
              <w:rPr>
                <w:rFonts w:cs="Arial"/>
                <w:bCs/>
                <w:sz w:val="20"/>
                <w:szCs w:val="20"/>
              </w:rPr>
              <w:t>Improved energy efficiency</w:t>
            </w:r>
            <w:r w:rsidRPr="000C1E64">
              <w:rPr>
                <w:rFonts w:cs="Arial"/>
                <w:b w:val="0"/>
                <w:bCs/>
                <w:sz w:val="20"/>
                <w:szCs w:val="20"/>
              </w:rPr>
              <w:t xml:space="preserve">, </w:t>
            </w:r>
            <w:r w:rsidRPr="000C1E64">
              <w:rPr>
                <w:rFonts w:cs="Arial"/>
                <w:b w:val="0"/>
                <w:sz w:val="20"/>
                <w:szCs w:val="20"/>
              </w:rPr>
              <w:t>resulting in changes to carbon emissions and air quality</w:t>
            </w:r>
          </w:p>
        </w:tc>
      </w:tr>
    </w:tbl>
    <w:p w14:paraId="4388A050" w14:textId="24DADABD" w:rsidR="00104497" w:rsidRDefault="008D1A07" w:rsidP="00F40F21">
      <w:pPr>
        <w:textAlignment w:val="baseline"/>
        <w:rPr>
          <w:rFonts w:cs="Arial"/>
          <w:bCs/>
          <w:color w:val="70AD47" w:themeColor="accent6"/>
        </w:rPr>
      </w:pPr>
      <w:r w:rsidRPr="008D1A07">
        <w:rPr>
          <w:rFonts w:cs="Arial"/>
          <w:bCs/>
          <w:color w:val="70AD47" w:themeColor="accent6"/>
        </w:rPr>
        <w:tab/>
      </w:r>
    </w:p>
    <w:p w14:paraId="7B063CC7" w14:textId="3956A05F" w:rsidR="006D7A49" w:rsidRDefault="006D7A49" w:rsidP="00F40F21">
      <w:pPr>
        <w:textAlignment w:val="baseline"/>
        <w:rPr>
          <w:rFonts w:cs="Arial"/>
          <w:bCs/>
          <w:color w:val="70AD47" w:themeColor="accent6"/>
        </w:rPr>
      </w:pPr>
    </w:p>
    <w:p w14:paraId="4B531C93" w14:textId="77777777" w:rsidR="006D7A49" w:rsidRDefault="006D7A49" w:rsidP="00F40F21">
      <w:pPr>
        <w:textAlignment w:val="baseline"/>
        <w:rPr>
          <w:rFonts w:cs="Arial"/>
          <w:bCs/>
          <w:color w:val="70AD47" w:themeColor="accent6"/>
        </w:rPr>
      </w:pPr>
    </w:p>
    <w:p w14:paraId="6B7AE657" w14:textId="77777777" w:rsidR="00842EBE" w:rsidRPr="00132E87" w:rsidRDefault="00F55FAB" w:rsidP="003F5D32">
      <w:pPr>
        <w:pStyle w:val="ListParagraph"/>
        <w:numPr>
          <w:ilvl w:val="0"/>
          <w:numId w:val="5"/>
        </w:numPr>
        <w:ind w:left="851" w:hanging="851"/>
        <w:textAlignment w:val="baseline"/>
        <w:rPr>
          <w:rFonts w:cs="Arial"/>
          <w:u w:val="single"/>
        </w:rPr>
      </w:pPr>
      <w:r>
        <w:rPr>
          <w:rFonts w:cs="Arial"/>
          <w:u w:val="single"/>
        </w:rPr>
        <w:lastRenderedPageBreak/>
        <w:t>Fi</w:t>
      </w:r>
      <w:r w:rsidR="00842EBE" w:rsidRPr="00132E87">
        <w:rPr>
          <w:rFonts w:cs="Arial"/>
          <w:u w:val="single"/>
        </w:rPr>
        <w:t>nancial Case</w:t>
      </w:r>
    </w:p>
    <w:p w14:paraId="64E38A2B" w14:textId="77777777" w:rsidR="002B2EFD" w:rsidRDefault="002B2EFD" w:rsidP="002B2EFD">
      <w:pPr>
        <w:ind w:left="360" w:hanging="360"/>
        <w:textAlignment w:val="baseline"/>
        <w:rPr>
          <w:rFonts w:cs="Arial"/>
          <w:bCs/>
        </w:rPr>
      </w:pPr>
    </w:p>
    <w:p w14:paraId="0838897D" w14:textId="77777777" w:rsidR="00035191" w:rsidRDefault="00705612" w:rsidP="00705612">
      <w:pPr>
        <w:ind w:left="851" w:hanging="851"/>
        <w:textAlignment w:val="baseline"/>
        <w:rPr>
          <w:rFonts w:cs="Arial"/>
          <w:bCs/>
        </w:rPr>
      </w:pPr>
      <w:r>
        <w:rPr>
          <w:rFonts w:cs="Arial"/>
          <w:bCs/>
        </w:rPr>
        <w:t>2.</w:t>
      </w:r>
      <w:r w:rsidR="004928F5">
        <w:rPr>
          <w:rFonts w:cs="Arial"/>
          <w:bCs/>
        </w:rPr>
        <w:t>30</w:t>
      </w:r>
      <w:r w:rsidR="002B2EFD">
        <w:rPr>
          <w:rFonts w:cs="Arial"/>
          <w:bCs/>
        </w:rPr>
        <w:tab/>
      </w:r>
      <w:r w:rsidR="00842EBE" w:rsidRPr="002B2EFD">
        <w:rPr>
          <w:rFonts w:cs="Arial"/>
          <w:bCs/>
        </w:rPr>
        <w:t xml:space="preserve">The Financial Case sets out the costs relating to the preferred option and </w:t>
      </w:r>
      <w:proofErr w:type="gramStart"/>
      <w:r w:rsidR="00842EBE" w:rsidRPr="002B2EFD">
        <w:rPr>
          <w:rFonts w:cs="Arial"/>
          <w:bCs/>
        </w:rPr>
        <w:t>takes into account</w:t>
      </w:r>
      <w:proofErr w:type="gramEnd"/>
      <w:r w:rsidR="00842EBE" w:rsidRPr="002B2EFD">
        <w:rPr>
          <w:rFonts w:cs="Arial"/>
          <w:bCs/>
        </w:rPr>
        <w:t xml:space="preserve"> many different financial inputs. These include capital</w:t>
      </w:r>
      <w:r w:rsidR="00C47426">
        <w:rPr>
          <w:rFonts w:cs="Arial"/>
          <w:bCs/>
        </w:rPr>
        <w:t xml:space="preserve"> and</w:t>
      </w:r>
      <w:r w:rsidR="00842EBE" w:rsidRPr="002B2EFD">
        <w:rPr>
          <w:rFonts w:cs="Arial"/>
          <w:bCs/>
        </w:rPr>
        <w:t xml:space="preserve"> revenue (recurring and non-recurring)</w:t>
      </w:r>
      <w:r w:rsidR="00C47426">
        <w:rPr>
          <w:rFonts w:cs="Arial"/>
          <w:bCs/>
        </w:rPr>
        <w:t xml:space="preserve"> costs.</w:t>
      </w:r>
      <w:r w:rsidR="00BB42E4">
        <w:rPr>
          <w:rFonts w:cs="Arial"/>
          <w:bCs/>
        </w:rPr>
        <w:t xml:space="preserve"> </w:t>
      </w:r>
      <w:r w:rsidR="00842EBE" w:rsidRPr="002B2EFD">
        <w:rPr>
          <w:rFonts w:cs="Arial"/>
          <w:bCs/>
        </w:rPr>
        <w:t>As funding is coming from various sources</w:t>
      </w:r>
      <w:r w:rsidR="00042B87">
        <w:rPr>
          <w:rFonts w:cs="Arial"/>
          <w:bCs/>
        </w:rPr>
        <w:t>, t</w:t>
      </w:r>
      <w:r w:rsidR="00C47426">
        <w:rPr>
          <w:rFonts w:cs="Arial"/>
          <w:bCs/>
        </w:rPr>
        <w:t>he Financial Case</w:t>
      </w:r>
      <w:r w:rsidR="00842EBE" w:rsidRPr="002B2EFD">
        <w:rPr>
          <w:rFonts w:cs="Arial"/>
          <w:bCs/>
        </w:rPr>
        <w:t xml:space="preserve"> sets out the funding requirement from WG and the Trusts Commissioners.</w:t>
      </w:r>
      <w:r w:rsidR="00042B87">
        <w:rPr>
          <w:rFonts w:cs="Arial"/>
          <w:bCs/>
        </w:rPr>
        <w:t xml:space="preserve"> </w:t>
      </w:r>
      <w:r w:rsidR="00842EBE" w:rsidRPr="002B2EFD">
        <w:rPr>
          <w:rFonts w:cs="Arial"/>
          <w:bCs/>
        </w:rPr>
        <w:t>It also states a range of financial treatments relating to VAT, CPI and Statistical Treatments.</w:t>
      </w:r>
      <w:r w:rsidR="002B2EFD">
        <w:rPr>
          <w:rFonts w:cs="Arial"/>
          <w:bCs/>
        </w:rPr>
        <w:t xml:space="preserve"> </w:t>
      </w:r>
      <w:r w:rsidR="002B2EFD" w:rsidRPr="00504BCC">
        <w:rPr>
          <w:rFonts w:cs="Arial"/>
          <w:bCs/>
        </w:rPr>
        <w:t>Th</w:t>
      </w:r>
      <w:r w:rsidR="002B2EFD">
        <w:rPr>
          <w:rFonts w:cs="Arial"/>
          <w:bCs/>
        </w:rPr>
        <w:t xml:space="preserve">e Financial Case has </w:t>
      </w:r>
      <w:r w:rsidR="002B2EFD" w:rsidRPr="00504BCC">
        <w:rPr>
          <w:rFonts w:cs="Arial"/>
          <w:bCs/>
        </w:rPr>
        <w:t xml:space="preserve">been </w:t>
      </w:r>
      <w:r w:rsidR="002B2EFD">
        <w:rPr>
          <w:rFonts w:cs="Arial"/>
          <w:bCs/>
        </w:rPr>
        <w:t xml:space="preserve">reviewed and </w:t>
      </w:r>
      <w:r w:rsidR="002B2EFD" w:rsidRPr="00504BCC">
        <w:rPr>
          <w:rFonts w:cs="Arial"/>
          <w:bCs/>
        </w:rPr>
        <w:t xml:space="preserve">updated </w:t>
      </w:r>
      <w:r w:rsidR="002B2EFD">
        <w:rPr>
          <w:rFonts w:cs="Arial"/>
          <w:bCs/>
        </w:rPr>
        <w:t xml:space="preserve">from the </w:t>
      </w:r>
      <w:r w:rsidR="002B2EFD" w:rsidRPr="00504BCC">
        <w:rPr>
          <w:rFonts w:cs="Arial"/>
          <w:bCs/>
        </w:rPr>
        <w:t xml:space="preserve">Outline Business Case </w:t>
      </w:r>
      <w:r w:rsidR="002B2EFD">
        <w:rPr>
          <w:rFonts w:cs="Arial"/>
          <w:bCs/>
        </w:rPr>
        <w:t xml:space="preserve">approval in </w:t>
      </w:r>
      <w:r w:rsidR="00042B87">
        <w:rPr>
          <w:rFonts w:cs="Arial"/>
          <w:bCs/>
        </w:rPr>
        <w:t>October 2018</w:t>
      </w:r>
      <w:r w:rsidR="002B2EFD">
        <w:rPr>
          <w:rFonts w:cs="Arial"/>
          <w:bCs/>
        </w:rPr>
        <w:t xml:space="preserve">. The key issues and levels of assurance are set out </w:t>
      </w:r>
      <w:r w:rsidR="00115193">
        <w:rPr>
          <w:rFonts w:cs="Arial"/>
          <w:bCs/>
        </w:rPr>
        <w:t xml:space="preserve">below </w:t>
      </w:r>
      <w:r w:rsidR="002B2EFD">
        <w:rPr>
          <w:rFonts w:cs="Arial"/>
          <w:bCs/>
        </w:rPr>
        <w:t xml:space="preserve">in Table </w:t>
      </w:r>
      <w:r w:rsidR="00F55FAB">
        <w:rPr>
          <w:rFonts w:cs="Arial"/>
          <w:bCs/>
        </w:rPr>
        <w:t>8</w:t>
      </w:r>
      <w:r w:rsidR="00115193">
        <w:rPr>
          <w:rFonts w:cs="Arial"/>
          <w:bCs/>
        </w:rPr>
        <w:t>:</w:t>
      </w:r>
    </w:p>
    <w:p w14:paraId="7BFF292B" w14:textId="77777777" w:rsidR="00042B87" w:rsidRDefault="00042B87">
      <w:pPr>
        <w:spacing w:after="160" w:line="259" w:lineRule="auto"/>
        <w:ind w:firstLine="720"/>
        <w:jc w:val="left"/>
        <w:rPr>
          <w:color w:val="2F5496"/>
          <w:sz w:val="20"/>
          <w:szCs w:val="20"/>
        </w:rPr>
      </w:pPr>
    </w:p>
    <w:p w14:paraId="06DB4FA2" w14:textId="77777777" w:rsidR="00842EBE" w:rsidRPr="006D7A49" w:rsidRDefault="002B2EFD" w:rsidP="006D7A49">
      <w:pPr>
        <w:pStyle w:val="Caption"/>
        <w:keepNext/>
        <w:ind w:left="720" w:firstLine="131"/>
        <w:rPr>
          <w:iCs w:val="0"/>
          <w:color w:val="2F5496"/>
          <w:sz w:val="20"/>
          <w:szCs w:val="20"/>
        </w:rPr>
      </w:pPr>
      <w:r w:rsidRPr="006D7A49">
        <w:rPr>
          <w:iCs w:val="0"/>
          <w:color w:val="2F5496"/>
          <w:sz w:val="20"/>
          <w:szCs w:val="20"/>
        </w:rPr>
        <w:t xml:space="preserve">Table </w:t>
      </w:r>
      <w:r w:rsidR="00F55FAB" w:rsidRPr="006D7A49">
        <w:rPr>
          <w:iCs w:val="0"/>
          <w:color w:val="2F5496"/>
          <w:sz w:val="20"/>
          <w:szCs w:val="20"/>
        </w:rPr>
        <w:t>8</w:t>
      </w:r>
      <w:r w:rsidR="0081088F" w:rsidRPr="006D7A49">
        <w:rPr>
          <w:iCs w:val="0"/>
          <w:color w:val="2F5496"/>
          <w:sz w:val="20"/>
          <w:szCs w:val="20"/>
        </w:rPr>
        <w:t xml:space="preserve"> – Finance Case Updates / Assurance</w:t>
      </w:r>
    </w:p>
    <w:tbl>
      <w:tblPr>
        <w:tblStyle w:val="TableGrid"/>
        <w:tblW w:w="8625" w:type="dxa"/>
        <w:tblInd w:w="846" w:type="dxa"/>
        <w:tblLook w:val="04A0" w:firstRow="1" w:lastRow="0" w:firstColumn="1" w:lastColumn="0" w:noHBand="0" w:noVBand="1"/>
      </w:tblPr>
      <w:tblGrid>
        <w:gridCol w:w="2142"/>
        <w:gridCol w:w="4665"/>
        <w:gridCol w:w="1818"/>
      </w:tblGrid>
      <w:tr w:rsidR="00842EBE" w14:paraId="40E00AB2" w14:textId="77777777" w:rsidTr="000C1E64">
        <w:tc>
          <w:tcPr>
            <w:tcW w:w="2142" w:type="dxa"/>
            <w:shd w:val="clear" w:color="auto" w:fill="D9D9D9" w:themeFill="background1" w:themeFillShade="D9"/>
          </w:tcPr>
          <w:p w14:paraId="268ABAD1" w14:textId="77777777" w:rsidR="00842EBE" w:rsidRPr="000C1E64" w:rsidRDefault="00842EBE" w:rsidP="000E3FFC">
            <w:pPr>
              <w:pStyle w:val="ListParagraph"/>
              <w:numPr>
                <w:ilvl w:val="0"/>
                <w:numId w:val="0"/>
              </w:numPr>
              <w:jc w:val="both"/>
              <w:textAlignment w:val="baseline"/>
              <w:rPr>
                <w:rFonts w:cs="Arial"/>
                <w:sz w:val="20"/>
                <w:szCs w:val="20"/>
              </w:rPr>
            </w:pPr>
            <w:r w:rsidRPr="000C1E64">
              <w:rPr>
                <w:rFonts w:cs="Arial"/>
                <w:sz w:val="20"/>
                <w:szCs w:val="20"/>
              </w:rPr>
              <w:t>Update</w:t>
            </w:r>
          </w:p>
        </w:tc>
        <w:tc>
          <w:tcPr>
            <w:tcW w:w="4665" w:type="dxa"/>
            <w:shd w:val="clear" w:color="auto" w:fill="D9D9D9" w:themeFill="background1" w:themeFillShade="D9"/>
          </w:tcPr>
          <w:p w14:paraId="332DA9E9" w14:textId="77777777" w:rsidR="00842EBE" w:rsidRPr="000C1E64" w:rsidRDefault="00842EBE" w:rsidP="000E3FFC">
            <w:pPr>
              <w:pStyle w:val="ListParagraph"/>
              <w:numPr>
                <w:ilvl w:val="0"/>
                <w:numId w:val="0"/>
              </w:numPr>
              <w:jc w:val="center"/>
              <w:textAlignment w:val="baseline"/>
              <w:rPr>
                <w:rFonts w:cs="Arial"/>
                <w:sz w:val="20"/>
                <w:szCs w:val="20"/>
              </w:rPr>
            </w:pPr>
            <w:r w:rsidRPr="000C1E64">
              <w:rPr>
                <w:rFonts w:cs="Arial"/>
                <w:sz w:val="20"/>
                <w:szCs w:val="20"/>
              </w:rPr>
              <w:t>Activity</w:t>
            </w:r>
          </w:p>
        </w:tc>
        <w:tc>
          <w:tcPr>
            <w:tcW w:w="1818" w:type="dxa"/>
            <w:shd w:val="clear" w:color="auto" w:fill="D9D9D9" w:themeFill="background1" w:themeFillShade="D9"/>
          </w:tcPr>
          <w:p w14:paraId="79DC1C25" w14:textId="77777777" w:rsidR="00842EBE" w:rsidRPr="000C1E64" w:rsidRDefault="00842EBE" w:rsidP="000E3FFC">
            <w:pPr>
              <w:pStyle w:val="ListParagraph"/>
              <w:numPr>
                <w:ilvl w:val="0"/>
                <w:numId w:val="0"/>
              </w:numPr>
              <w:jc w:val="center"/>
              <w:textAlignment w:val="baseline"/>
              <w:rPr>
                <w:rFonts w:cs="Arial"/>
                <w:sz w:val="20"/>
                <w:szCs w:val="20"/>
              </w:rPr>
            </w:pPr>
            <w:r w:rsidRPr="000C1E64">
              <w:rPr>
                <w:rFonts w:cs="Arial"/>
                <w:sz w:val="20"/>
                <w:szCs w:val="20"/>
              </w:rPr>
              <w:t>Achieved</w:t>
            </w:r>
          </w:p>
          <w:p w14:paraId="0C30A2BE" w14:textId="77777777" w:rsidR="00842EBE" w:rsidRPr="000C1E64" w:rsidRDefault="00842EBE" w:rsidP="000E3FFC">
            <w:pPr>
              <w:pStyle w:val="ListParagraph"/>
              <w:numPr>
                <w:ilvl w:val="0"/>
                <w:numId w:val="0"/>
              </w:numPr>
              <w:jc w:val="center"/>
              <w:textAlignment w:val="baseline"/>
              <w:rPr>
                <w:rFonts w:cs="Arial"/>
                <w:sz w:val="20"/>
                <w:szCs w:val="20"/>
              </w:rPr>
            </w:pPr>
            <w:r w:rsidRPr="000C1E64">
              <w:rPr>
                <w:rFonts w:cs="Arial"/>
                <w:sz w:val="20"/>
                <w:szCs w:val="20"/>
              </w:rPr>
              <w:t>Yes / No</w:t>
            </w:r>
          </w:p>
        </w:tc>
      </w:tr>
      <w:tr w:rsidR="00842EBE" w14:paraId="0060E0F9" w14:textId="77777777" w:rsidTr="000C1E64">
        <w:tc>
          <w:tcPr>
            <w:tcW w:w="2142" w:type="dxa"/>
            <w:vAlign w:val="center"/>
          </w:tcPr>
          <w:p w14:paraId="6E0726ED" w14:textId="77777777" w:rsidR="00842EBE" w:rsidRPr="000C1E64" w:rsidRDefault="00842EBE" w:rsidP="00842EBE">
            <w:pPr>
              <w:pStyle w:val="ListParagraph"/>
              <w:numPr>
                <w:ilvl w:val="0"/>
                <w:numId w:val="0"/>
              </w:numPr>
              <w:textAlignment w:val="baseline"/>
              <w:rPr>
                <w:rFonts w:cs="Arial"/>
                <w:sz w:val="20"/>
                <w:szCs w:val="20"/>
              </w:rPr>
            </w:pPr>
            <w:r w:rsidRPr="000C1E64">
              <w:rPr>
                <w:rFonts w:cs="Arial"/>
                <w:sz w:val="20"/>
                <w:szCs w:val="20"/>
              </w:rPr>
              <w:t>Update of Costs</w:t>
            </w:r>
          </w:p>
        </w:tc>
        <w:tc>
          <w:tcPr>
            <w:tcW w:w="4665" w:type="dxa"/>
          </w:tcPr>
          <w:p w14:paraId="236D5141" w14:textId="77777777" w:rsidR="00842EBE" w:rsidRPr="000C1E64" w:rsidRDefault="00842EBE" w:rsidP="00842EBE">
            <w:pPr>
              <w:pStyle w:val="ListParagraph"/>
              <w:numPr>
                <w:ilvl w:val="0"/>
                <w:numId w:val="0"/>
              </w:numPr>
              <w:jc w:val="both"/>
              <w:textAlignment w:val="baseline"/>
              <w:rPr>
                <w:rFonts w:cs="Arial"/>
                <w:b w:val="0"/>
                <w:bCs/>
                <w:sz w:val="20"/>
                <w:szCs w:val="20"/>
              </w:rPr>
            </w:pPr>
            <w:r w:rsidRPr="000C1E64">
              <w:rPr>
                <w:rFonts w:cs="Arial"/>
                <w:b w:val="0"/>
                <w:bCs/>
                <w:sz w:val="20"/>
                <w:szCs w:val="20"/>
              </w:rPr>
              <w:t xml:space="preserve">All costs have been revisited, revised and input into the Comprehensive </w:t>
            </w:r>
            <w:r w:rsidR="002E1903" w:rsidRPr="000C1E64">
              <w:rPr>
                <w:rFonts w:cs="Arial"/>
                <w:b w:val="0"/>
                <w:bCs/>
                <w:sz w:val="20"/>
                <w:szCs w:val="20"/>
              </w:rPr>
              <w:t xml:space="preserve">Investment </w:t>
            </w:r>
            <w:r w:rsidRPr="000C1E64">
              <w:rPr>
                <w:rFonts w:cs="Arial"/>
                <w:b w:val="0"/>
                <w:bCs/>
                <w:sz w:val="20"/>
                <w:szCs w:val="20"/>
              </w:rPr>
              <w:t>Appraisal.</w:t>
            </w:r>
          </w:p>
          <w:p w14:paraId="33D2E788" w14:textId="77777777" w:rsidR="00842EBE" w:rsidRPr="000C1E64" w:rsidRDefault="00842EBE" w:rsidP="00842EBE">
            <w:pPr>
              <w:pStyle w:val="ListParagraph"/>
              <w:numPr>
                <w:ilvl w:val="0"/>
                <w:numId w:val="0"/>
              </w:numPr>
              <w:jc w:val="both"/>
              <w:textAlignment w:val="baseline"/>
              <w:rPr>
                <w:rFonts w:cs="Arial"/>
                <w:b w:val="0"/>
                <w:bCs/>
                <w:sz w:val="20"/>
                <w:szCs w:val="20"/>
              </w:rPr>
            </w:pPr>
            <w:r w:rsidRPr="000C1E64">
              <w:rPr>
                <w:rFonts w:cs="Arial"/>
                <w:b w:val="0"/>
                <w:bCs/>
                <w:sz w:val="20"/>
                <w:szCs w:val="20"/>
              </w:rPr>
              <w:t>A comparative exercise of costs to identify/understand/</w:t>
            </w:r>
            <w:r w:rsidR="0081088F" w:rsidRPr="000C1E64">
              <w:rPr>
                <w:rFonts w:cs="Arial"/>
                <w:b w:val="0"/>
                <w:bCs/>
                <w:sz w:val="20"/>
                <w:szCs w:val="20"/>
              </w:rPr>
              <w:t>analyse any</w:t>
            </w:r>
            <w:r w:rsidRPr="000C1E64">
              <w:rPr>
                <w:rFonts w:cs="Arial"/>
                <w:b w:val="0"/>
                <w:bCs/>
                <w:sz w:val="20"/>
                <w:szCs w:val="20"/>
              </w:rPr>
              <w:t xml:space="preserve"> </w:t>
            </w:r>
            <w:r w:rsidR="002E1903" w:rsidRPr="000C1E64">
              <w:rPr>
                <w:rFonts w:cs="Arial"/>
                <w:b w:val="0"/>
                <w:bCs/>
                <w:sz w:val="20"/>
                <w:szCs w:val="20"/>
              </w:rPr>
              <w:t xml:space="preserve">material </w:t>
            </w:r>
            <w:r w:rsidRPr="000C1E64">
              <w:rPr>
                <w:rFonts w:cs="Arial"/>
                <w:b w:val="0"/>
                <w:bCs/>
                <w:sz w:val="20"/>
                <w:szCs w:val="20"/>
              </w:rPr>
              <w:t xml:space="preserve">changes in costs from OBC to FBC has been undertaken, validated and documented.  </w:t>
            </w:r>
          </w:p>
          <w:p w14:paraId="3D0919BC" w14:textId="77777777" w:rsidR="00842EBE" w:rsidRPr="000C1E64" w:rsidRDefault="00842EBE" w:rsidP="00842EBE">
            <w:pPr>
              <w:pStyle w:val="ListParagraph"/>
              <w:numPr>
                <w:ilvl w:val="0"/>
                <w:numId w:val="0"/>
              </w:numPr>
              <w:jc w:val="both"/>
              <w:textAlignment w:val="baseline"/>
              <w:rPr>
                <w:rFonts w:cs="Arial"/>
                <w:b w:val="0"/>
                <w:bCs/>
                <w:sz w:val="20"/>
                <w:szCs w:val="20"/>
              </w:rPr>
            </w:pPr>
          </w:p>
          <w:p w14:paraId="212D0628" w14:textId="77777777" w:rsidR="00842EBE" w:rsidRPr="000C1E64" w:rsidRDefault="00842EBE" w:rsidP="00842EBE">
            <w:pPr>
              <w:pStyle w:val="ListParagraph"/>
              <w:numPr>
                <w:ilvl w:val="0"/>
                <w:numId w:val="0"/>
              </w:numPr>
              <w:jc w:val="both"/>
              <w:textAlignment w:val="baseline"/>
              <w:rPr>
                <w:rFonts w:cs="Arial"/>
                <w:b w:val="0"/>
                <w:bCs/>
                <w:sz w:val="20"/>
                <w:szCs w:val="20"/>
              </w:rPr>
            </w:pPr>
          </w:p>
        </w:tc>
        <w:tc>
          <w:tcPr>
            <w:tcW w:w="1818" w:type="dxa"/>
            <w:vAlign w:val="center"/>
          </w:tcPr>
          <w:p w14:paraId="57520399" w14:textId="77777777" w:rsidR="00842EBE" w:rsidRPr="000C1E64" w:rsidRDefault="00842EBE" w:rsidP="00842EBE">
            <w:pPr>
              <w:pStyle w:val="ListParagraph"/>
              <w:numPr>
                <w:ilvl w:val="0"/>
                <w:numId w:val="0"/>
              </w:numPr>
              <w:jc w:val="center"/>
              <w:textAlignment w:val="baseline"/>
              <w:rPr>
                <w:rFonts w:cs="Arial"/>
                <w:b w:val="0"/>
                <w:bCs/>
                <w:sz w:val="20"/>
                <w:szCs w:val="20"/>
              </w:rPr>
            </w:pPr>
            <w:r w:rsidRPr="000C1E64">
              <w:rPr>
                <w:rFonts w:cs="Arial"/>
                <w:b w:val="0"/>
                <w:bCs/>
                <w:sz w:val="20"/>
                <w:szCs w:val="20"/>
              </w:rPr>
              <w:t xml:space="preserve">Yes: all costs </w:t>
            </w:r>
            <w:r w:rsidR="00BD438A" w:rsidRPr="000C1E64">
              <w:rPr>
                <w:rFonts w:cs="Arial"/>
                <w:b w:val="0"/>
                <w:bCs/>
                <w:sz w:val="20"/>
                <w:szCs w:val="20"/>
              </w:rPr>
              <w:t>updated,</w:t>
            </w:r>
            <w:r w:rsidRPr="000C1E64">
              <w:rPr>
                <w:rFonts w:cs="Arial"/>
                <w:b w:val="0"/>
                <w:bCs/>
                <w:sz w:val="20"/>
                <w:szCs w:val="20"/>
              </w:rPr>
              <w:t xml:space="preserve"> and changes understood and justified.  Support/advice provided by professional advisors</w:t>
            </w:r>
          </w:p>
        </w:tc>
      </w:tr>
      <w:tr w:rsidR="00842EBE" w14:paraId="6FEBDA95" w14:textId="77777777" w:rsidTr="000C1E64">
        <w:tc>
          <w:tcPr>
            <w:tcW w:w="2142" w:type="dxa"/>
            <w:vAlign w:val="center"/>
          </w:tcPr>
          <w:p w14:paraId="1FA36283" w14:textId="77777777" w:rsidR="00842EBE" w:rsidRPr="000C1E64" w:rsidRDefault="00842EBE" w:rsidP="005A51BF">
            <w:pPr>
              <w:pStyle w:val="ListParagraph"/>
              <w:numPr>
                <w:ilvl w:val="0"/>
                <w:numId w:val="0"/>
              </w:numPr>
              <w:textAlignment w:val="baseline"/>
              <w:rPr>
                <w:rFonts w:cs="Arial"/>
                <w:sz w:val="20"/>
                <w:szCs w:val="20"/>
              </w:rPr>
            </w:pPr>
            <w:r w:rsidRPr="000C1E64">
              <w:rPr>
                <w:rFonts w:cs="Arial"/>
                <w:sz w:val="20"/>
                <w:szCs w:val="20"/>
              </w:rPr>
              <w:t>Financial Assumptions</w:t>
            </w:r>
          </w:p>
        </w:tc>
        <w:tc>
          <w:tcPr>
            <w:tcW w:w="4665" w:type="dxa"/>
          </w:tcPr>
          <w:p w14:paraId="5A06FBF4" w14:textId="77777777" w:rsidR="00842EBE" w:rsidRPr="000C1E64" w:rsidRDefault="00842EBE" w:rsidP="00842EBE">
            <w:pPr>
              <w:pStyle w:val="ListParagraph"/>
              <w:numPr>
                <w:ilvl w:val="0"/>
                <w:numId w:val="0"/>
              </w:numPr>
              <w:jc w:val="both"/>
              <w:textAlignment w:val="baseline"/>
              <w:rPr>
                <w:rFonts w:cs="Arial"/>
                <w:b w:val="0"/>
                <w:bCs/>
                <w:sz w:val="20"/>
                <w:szCs w:val="20"/>
              </w:rPr>
            </w:pPr>
            <w:r w:rsidRPr="000C1E64">
              <w:rPr>
                <w:rFonts w:cs="Arial"/>
                <w:b w:val="0"/>
                <w:bCs/>
                <w:sz w:val="20"/>
                <w:szCs w:val="20"/>
              </w:rPr>
              <w:t>Financial assumptions relating to statistical treatment, VAT, Inflation have been reviewed and remain extant from those considered at OBC.</w:t>
            </w:r>
          </w:p>
        </w:tc>
        <w:tc>
          <w:tcPr>
            <w:tcW w:w="1818" w:type="dxa"/>
            <w:vAlign w:val="center"/>
          </w:tcPr>
          <w:p w14:paraId="58FCA8FD" w14:textId="77777777" w:rsidR="00842EBE" w:rsidRPr="000C1E64" w:rsidRDefault="00842EBE" w:rsidP="00842EBE">
            <w:pPr>
              <w:pStyle w:val="ListParagraph"/>
              <w:numPr>
                <w:ilvl w:val="0"/>
                <w:numId w:val="0"/>
              </w:numPr>
              <w:jc w:val="center"/>
              <w:textAlignment w:val="baseline"/>
              <w:rPr>
                <w:rFonts w:cs="Arial"/>
                <w:b w:val="0"/>
                <w:bCs/>
                <w:sz w:val="20"/>
                <w:szCs w:val="20"/>
              </w:rPr>
            </w:pPr>
            <w:r w:rsidRPr="000C1E64">
              <w:rPr>
                <w:rFonts w:cs="Arial"/>
                <w:b w:val="0"/>
                <w:bCs/>
                <w:sz w:val="20"/>
                <w:szCs w:val="20"/>
              </w:rPr>
              <w:t>Yes: all assumptions updated with support of professional advisors</w:t>
            </w:r>
          </w:p>
        </w:tc>
      </w:tr>
      <w:tr w:rsidR="00842EBE" w14:paraId="5FE0553A" w14:textId="77777777" w:rsidTr="000C1E64">
        <w:tc>
          <w:tcPr>
            <w:tcW w:w="2142" w:type="dxa"/>
            <w:vAlign w:val="center"/>
          </w:tcPr>
          <w:p w14:paraId="462D7CD1" w14:textId="77777777" w:rsidR="00842EBE" w:rsidRPr="000C1E64" w:rsidRDefault="00842EBE" w:rsidP="005A51BF">
            <w:pPr>
              <w:pStyle w:val="ListParagraph"/>
              <w:numPr>
                <w:ilvl w:val="0"/>
                <w:numId w:val="0"/>
              </w:numPr>
              <w:textAlignment w:val="baseline"/>
              <w:rPr>
                <w:rFonts w:cs="Arial"/>
                <w:sz w:val="20"/>
                <w:szCs w:val="20"/>
              </w:rPr>
            </w:pPr>
            <w:r w:rsidRPr="000C1E64">
              <w:rPr>
                <w:rFonts w:cs="Arial"/>
                <w:sz w:val="20"/>
                <w:szCs w:val="20"/>
              </w:rPr>
              <w:t>Affordability</w:t>
            </w:r>
          </w:p>
        </w:tc>
        <w:tc>
          <w:tcPr>
            <w:tcW w:w="4665" w:type="dxa"/>
          </w:tcPr>
          <w:p w14:paraId="5A1A2CF9" w14:textId="77777777" w:rsidR="00842EBE" w:rsidRPr="000C1E64" w:rsidRDefault="00842EBE" w:rsidP="00842EBE">
            <w:pPr>
              <w:pStyle w:val="ListParagraph"/>
              <w:numPr>
                <w:ilvl w:val="0"/>
                <w:numId w:val="0"/>
              </w:numPr>
              <w:jc w:val="both"/>
              <w:textAlignment w:val="baseline"/>
              <w:rPr>
                <w:rFonts w:cs="Arial"/>
                <w:b w:val="0"/>
                <w:bCs/>
                <w:sz w:val="20"/>
                <w:szCs w:val="20"/>
              </w:rPr>
            </w:pPr>
            <w:r w:rsidRPr="000C1E64">
              <w:rPr>
                <w:rFonts w:cs="Arial"/>
                <w:b w:val="0"/>
                <w:bCs/>
                <w:sz w:val="20"/>
                <w:szCs w:val="20"/>
              </w:rPr>
              <w:t>The ASP remains within the agreed Welsh Government OBC approval (at this juncture)</w:t>
            </w:r>
          </w:p>
          <w:p w14:paraId="393C3E80" w14:textId="77777777" w:rsidR="00842EBE" w:rsidRPr="000C1E64" w:rsidRDefault="00842EBE" w:rsidP="00842EBE">
            <w:pPr>
              <w:pStyle w:val="ListParagraph"/>
              <w:numPr>
                <w:ilvl w:val="0"/>
                <w:numId w:val="0"/>
              </w:numPr>
              <w:jc w:val="both"/>
              <w:textAlignment w:val="baseline"/>
              <w:rPr>
                <w:rFonts w:cs="Arial"/>
                <w:b w:val="0"/>
                <w:bCs/>
                <w:sz w:val="20"/>
                <w:szCs w:val="20"/>
              </w:rPr>
            </w:pPr>
            <w:r w:rsidRPr="000C1E64">
              <w:rPr>
                <w:rFonts w:cs="Arial"/>
                <w:b w:val="0"/>
                <w:bCs/>
                <w:sz w:val="20"/>
                <w:szCs w:val="20"/>
              </w:rPr>
              <w:t xml:space="preserve">Revenue affordability: discussions within the Trust and with Local Health Boards have identified </w:t>
            </w:r>
            <w:r w:rsidR="00C47426" w:rsidRPr="000C1E64">
              <w:rPr>
                <w:rFonts w:cs="Arial"/>
                <w:b w:val="0"/>
                <w:bCs/>
                <w:sz w:val="20"/>
                <w:szCs w:val="20"/>
              </w:rPr>
              <w:t xml:space="preserve">a </w:t>
            </w:r>
            <w:r w:rsidRPr="000C1E64">
              <w:rPr>
                <w:rFonts w:cs="Arial"/>
                <w:b w:val="0"/>
                <w:bCs/>
                <w:sz w:val="20"/>
                <w:szCs w:val="20"/>
              </w:rPr>
              <w:t>revenue funding position</w:t>
            </w:r>
            <w:r w:rsidR="00C47426" w:rsidRPr="000C1E64">
              <w:rPr>
                <w:rFonts w:cs="Arial"/>
                <w:b w:val="0"/>
                <w:bCs/>
                <w:sz w:val="20"/>
                <w:szCs w:val="20"/>
              </w:rPr>
              <w:t>.</w:t>
            </w:r>
          </w:p>
        </w:tc>
        <w:tc>
          <w:tcPr>
            <w:tcW w:w="1818" w:type="dxa"/>
            <w:vAlign w:val="center"/>
          </w:tcPr>
          <w:p w14:paraId="57367982" w14:textId="77777777" w:rsidR="00842EBE" w:rsidRPr="000C1E64" w:rsidRDefault="00842EBE" w:rsidP="00842EBE">
            <w:pPr>
              <w:pStyle w:val="ListParagraph"/>
              <w:numPr>
                <w:ilvl w:val="0"/>
                <w:numId w:val="0"/>
              </w:numPr>
              <w:jc w:val="center"/>
              <w:textAlignment w:val="baseline"/>
              <w:rPr>
                <w:rFonts w:cs="Arial"/>
                <w:b w:val="0"/>
                <w:bCs/>
                <w:sz w:val="20"/>
                <w:szCs w:val="20"/>
              </w:rPr>
            </w:pPr>
            <w:r w:rsidRPr="000C1E64">
              <w:rPr>
                <w:rFonts w:cs="Arial"/>
                <w:b w:val="0"/>
                <w:bCs/>
                <w:sz w:val="20"/>
                <w:szCs w:val="20"/>
              </w:rPr>
              <w:t>Yes: at this juncture</w:t>
            </w:r>
          </w:p>
        </w:tc>
      </w:tr>
    </w:tbl>
    <w:p w14:paraId="3C328C94" w14:textId="77777777" w:rsidR="00842EBE" w:rsidRDefault="00842EBE" w:rsidP="00F40F21">
      <w:pPr>
        <w:textAlignment w:val="baseline"/>
        <w:rPr>
          <w:rFonts w:cs="Arial"/>
          <w:bCs/>
          <w:u w:val="single"/>
        </w:rPr>
      </w:pPr>
    </w:p>
    <w:p w14:paraId="7A47E2ED" w14:textId="77777777" w:rsidR="00BC668E" w:rsidRDefault="00BC668E" w:rsidP="008C5EBD">
      <w:pPr>
        <w:pStyle w:val="ListParagraph"/>
        <w:numPr>
          <w:ilvl w:val="0"/>
          <w:numId w:val="0"/>
        </w:numPr>
        <w:ind w:left="851"/>
        <w:jc w:val="both"/>
        <w:textAlignment w:val="baseline"/>
        <w:rPr>
          <w:bCs/>
          <w:iCs/>
          <w:noProof/>
        </w:rPr>
      </w:pPr>
      <w:r>
        <w:rPr>
          <w:bCs/>
          <w:iCs/>
          <w:noProof/>
        </w:rPr>
        <w:t>Affordability</w:t>
      </w:r>
      <w:r w:rsidR="006E5EBC">
        <w:rPr>
          <w:bCs/>
          <w:iCs/>
          <w:noProof/>
        </w:rPr>
        <w:t xml:space="preserve"> and Funding</w:t>
      </w:r>
    </w:p>
    <w:p w14:paraId="32D9A425" w14:textId="77777777" w:rsidR="00BD61B9" w:rsidRDefault="00705612" w:rsidP="005A51BF">
      <w:pPr>
        <w:ind w:left="851" w:hanging="851"/>
        <w:textAlignment w:val="baseline"/>
        <w:rPr>
          <w:rFonts w:cs="Arial"/>
          <w:bCs/>
        </w:rPr>
      </w:pPr>
      <w:r>
        <w:rPr>
          <w:bCs/>
          <w:iCs/>
          <w:noProof/>
        </w:rPr>
        <w:t>2.</w:t>
      </w:r>
      <w:r w:rsidR="004928F5">
        <w:rPr>
          <w:bCs/>
          <w:iCs/>
          <w:noProof/>
        </w:rPr>
        <w:t>31</w:t>
      </w:r>
      <w:r w:rsidR="005A51BF">
        <w:rPr>
          <w:bCs/>
          <w:iCs/>
          <w:noProof/>
        </w:rPr>
        <w:tab/>
      </w:r>
      <w:r w:rsidR="006E5EBC" w:rsidRPr="0081088F">
        <w:rPr>
          <w:rFonts w:cs="Arial"/>
          <w:bCs/>
        </w:rPr>
        <w:t>The funding requirements for the Trust, Local Health Boards and Welsh Government are set out below.</w:t>
      </w:r>
    </w:p>
    <w:p w14:paraId="627AF7A1" w14:textId="77777777" w:rsidR="00BD61B9" w:rsidRDefault="00BD61B9">
      <w:pPr>
        <w:spacing w:after="160" w:line="259" w:lineRule="auto"/>
        <w:jc w:val="left"/>
        <w:rPr>
          <w:rFonts w:cs="Arial"/>
          <w:bCs/>
        </w:rPr>
      </w:pPr>
    </w:p>
    <w:p w14:paraId="227AD3AD" w14:textId="77777777" w:rsidR="006E5EBC" w:rsidRDefault="000E3FFC" w:rsidP="008C5EBD">
      <w:pPr>
        <w:pStyle w:val="ListParagraph"/>
        <w:numPr>
          <w:ilvl w:val="0"/>
          <w:numId w:val="0"/>
        </w:numPr>
        <w:ind w:left="851"/>
        <w:jc w:val="both"/>
        <w:textAlignment w:val="baseline"/>
        <w:rPr>
          <w:bCs/>
          <w:iCs/>
          <w:noProof/>
        </w:rPr>
      </w:pPr>
      <w:r>
        <w:rPr>
          <w:bCs/>
          <w:iCs/>
          <w:noProof/>
        </w:rPr>
        <w:t>Costs and Funding</w:t>
      </w:r>
    </w:p>
    <w:p w14:paraId="5D1754CF" w14:textId="77777777" w:rsidR="00BD61B9" w:rsidRDefault="00BD61B9" w:rsidP="00705612">
      <w:pPr>
        <w:ind w:left="851" w:hanging="851"/>
        <w:textAlignment w:val="baseline"/>
        <w:rPr>
          <w:bCs/>
          <w:iCs/>
          <w:noProof/>
        </w:rPr>
      </w:pPr>
    </w:p>
    <w:p w14:paraId="631D758B" w14:textId="77777777" w:rsidR="000E3FFC" w:rsidRPr="000E3FFC" w:rsidRDefault="00705612" w:rsidP="000E3FFC">
      <w:pPr>
        <w:ind w:left="360" w:hanging="360"/>
        <w:textAlignment w:val="baseline"/>
        <w:rPr>
          <w:b/>
          <w:bCs/>
          <w:iCs/>
          <w:noProof/>
        </w:rPr>
      </w:pPr>
      <w:r>
        <w:rPr>
          <w:bCs/>
          <w:iCs/>
          <w:noProof/>
        </w:rPr>
        <w:t>2.</w:t>
      </w:r>
      <w:r w:rsidR="004928F5">
        <w:rPr>
          <w:bCs/>
          <w:iCs/>
          <w:noProof/>
        </w:rPr>
        <w:t>32</w:t>
      </w:r>
      <w:r w:rsidR="00F548E8">
        <w:rPr>
          <w:bCs/>
          <w:iCs/>
          <w:noProof/>
        </w:rPr>
        <w:tab/>
      </w:r>
      <w:r w:rsidR="00FB56E4">
        <w:rPr>
          <w:bCs/>
          <w:iCs/>
          <w:noProof/>
        </w:rPr>
        <w:t xml:space="preserve">  </w:t>
      </w:r>
      <w:r w:rsidR="000E3FFC" w:rsidRPr="000E3FFC">
        <w:rPr>
          <w:b/>
          <w:bCs/>
          <w:iCs/>
          <w:noProof/>
        </w:rPr>
        <w:t>Capital Costs</w:t>
      </w:r>
    </w:p>
    <w:p w14:paraId="7C33485C" w14:textId="77777777" w:rsidR="000E3FFC" w:rsidRDefault="000E3FFC" w:rsidP="000E3FFC">
      <w:pPr>
        <w:ind w:left="360" w:hanging="360"/>
        <w:textAlignment w:val="baseline"/>
        <w:rPr>
          <w:bCs/>
          <w:iCs/>
          <w:noProof/>
        </w:rPr>
      </w:pPr>
    </w:p>
    <w:p w14:paraId="566BDCB8" w14:textId="77777777" w:rsidR="00BB42E4" w:rsidRDefault="000E3FFC" w:rsidP="00BB42E4">
      <w:pPr>
        <w:ind w:left="360" w:hanging="360"/>
        <w:textAlignment w:val="baseline"/>
        <w:rPr>
          <w:bCs/>
          <w:iCs/>
          <w:noProof/>
        </w:rPr>
      </w:pPr>
      <w:r>
        <w:rPr>
          <w:bCs/>
          <w:iCs/>
          <w:noProof/>
        </w:rPr>
        <w:lastRenderedPageBreak/>
        <w:tab/>
      </w:r>
      <w:r>
        <w:rPr>
          <w:bCs/>
          <w:iCs/>
          <w:noProof/>
        </w:rPr>
        <w:tab/>
      </w:r>
      <w:r w:rsidR="00FB56E4">
        <w:rPr>
          <w:bCs/>
          <w:iCs/>
          <w:noProof/>
        </w:rPr>
        <w:t xml:space="preserve">  </w:t>
      </w:r>
      <w:r>
        <w:rPr>
          <w:bCs/>
          <w:iCs/>
          <w:noProof/>
        </w:rPr>
        <w:t xml:space="preserve">The capital costs </w:t>
      </w:r>
      <w:r w:rsidR="002A717D">
        <w:rPr>
          <w:bCs/>
          <w:iCs/>
          <w:noProof/>
        </w:rPr>
        <w:t xml:space="preserve">are </w:t>
      </w:r>
      <w:r w:rsidR="002A717D">
        <w:rPr>
          <w:b/>
          <w:iCs/>
          <w:noProof/>
        </w:rPr>
        <w:t xml:space="preserve">c£52.6m </w:t>
      </w:r>
      <w:r w:rsidR="002A717D">
        <w:rPr>
          <w:bCs/>
          <w:iCs/>
          <w:noProof/>
        </w:rPr>
        <w:t xml:space="preserve">and </w:t>
      </w:r>
      <w:r>
        <w:rPr>
          <w:bCs/>
          <w:iCs/>
          <w:noProof/>
        </w:rPr>
        <w:t xml:space="preserve">are set out </w:t>
      </w:r>
      <w:r w:rsidR="002A717D">
        <w:rPr>
          <w:bCs/>
          <w:iCs/>
          <w:noProof/>
        </w:rPr>
        <w:t xml:space="preserve">below </w:t>
      </w:r>
      <w:r>
        <w:rPr>
          <w:bCs/>
          <w:iCs/>
          <w:noProof/>
        </w:rPr>
        <w:t xml:space="preserve">in Table </w:t>
      </w:r>
      <w:r w:rsidR="00F55FAB">
        <w:rPr>
          <w:bCs/>
          <w:iCs/>
          <w:noProof/>
        </w:rPr>
        <w:t>9</w:t>
      </w:r>
      <w:r w:rsidR="002A717D">
        <w:rPr>
          <w:bCs/>
          <w:iCs/>
          <w:noProof/>
        </w:rPr>
        <w:t>:</w:t>
      </w:r>
    </w:p>
    <w:p w14:paraId="02FF5CE2" w14:textId="77777777" w:rsidR="00BB42E4" w:rsidRDefault="00BB42E4" w:rsidP="00BB42E4">
      <w:pPr>
        <w:ind w:left="360" w:hanging="360"/>
        <w:textAlignment w:val="baseline"/>
        <w:rPr>
          <w:bCs/>
          <w:iCs/>
          <w:noProof/>
        </w:rPr>
      </w:pPr>
    </w:p>
    <w:p w14:paraId="199AFC02" w14:textId="77777777" w:rsidR="00BB42E4" w:rsidRPr="006D7A49" w:rsidRDefault="00BB42E4" w:rsidP="006D7A49">
      <w:pPr>
        <w:pStyle w:val="Caption"/>
        <w:keepNext/>
        <w:ind w:left="720" w:firstLine="131"/>
        <w:rPr>
          <w:iCs w:val="0"/>
          <w:color w:val="2F5496"/>
          <w:sz w:val="20"/>
          <w:szCs w:val="20"/>
        </w:rPr>
      </w:pPr>
      <w:r w:rsidRPr="006D7A49">
        <w:rPr>
          <w:iCs w:val="0"/>
          <w:color w:val="2F5496"/>
          <w:sz w:val="20"/>
          <w:szCs w:val="20"/>
        </w:rPr>
        <w:t>Ta</w:t>
      </w:r>
      <w:r w:rsidR="002E1903" w:rsidRPr="006D7A49">
        <w:rPr>
          <w:iCs w:val="0"/>
          <w:color w:val="2F5496"/>
          <w:sz w:val="20"/>
          <w:szCs w:val="20"/>
        </w:rPr>
        <w:t xml:space="preserve">ble </w:t>
      </w:r>
      <w:r w:rsidR="00F55FAB" w:rsidRPr="006D7A49">
        <w:rPr>
          <w:iCs w:val="0"/>
          <w:color w:val="2F5496"/>
          <w:sz w:val="20"/>
          <w:szCs w:val="20"/>
        </w:rPr>
        <w:t>9</w:t>
      </w:r>
      <w:r w:rsidR="005E4262" w:rsidRPr="006D7A49">
        <w:rPr>
          <w:iCs w:val="0"/>
          <w:color w:val="2F5496"/>
          <w:sz w:val="20"/>
          <w:szCs w:val="20"/>
        </w:rPr>
        <w:t xml:space="preserve"> – Capital Project Delivery Costs</w:t>
      </w:r>
    </w:p>
    <w:p w14:paraId="69C28B27" w14:textId="77777777" w:rsidR="009A0C3F" w:rsidRDefault="00BB42E4" w:rsidP="00BB42E4">
      <w:pPr>
        <w:ind w:left="491" w:firstLine="360"/>
        <w:textAlignment w:val="baseline"/>
        <w:rPr>
          <w:bCs/>
          <w:i/>
          <w:color w:val="2F5496"/>
          <w:sz w:val="20"/>
          <w:szCs w:val="20"/>
        </w:rPr>
      </w:pPr>
      <w:r w:rsidRPr="0065546C">
        <w:rPr>
          <w:rFonts w:eastAsia="SimSun"/>
          <w:noProof/>
        </w:rPr>
        <w:drawing>
          <wp:inline distT="0" distB="0" distL="0" distR="0" wp14:anchorId="75D4897B" wp14:editId="75AB311C">
            <wp:extent cx="4209524" cy="1695238"/>
            <wp:effectExtent l="0" t="0" r="635" b="63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4209524" cy="1695238"/>
                    </a:xfrm>
                    <a:prstGeom prst="rect">
                      <a:avLst/>
                    </a:prstGeom>
                  </pic:spPr>
                </pic:pic>
              </a:graphicData>
            </a:graphic>
          </wp:inline>
        </w:drawing>
      </w:r>
    </w:p>
    <w:p w14:paraId="67615160" w14:textId="77777777" w:rsidR="0025077A" w:rsidRPr="00C23F61" w:rsidRDefault="0025077A" w:rsidP="0025077A">
      <w:pPr>
        <w:ind w:left="851"/>
        <w:rPr>
          <w:rFonts w:cs="Arial"/>
          <w:i/>
          <w:sz w:val="18"/>
          <w:szCs w:val="18"/>
        </w:rPr>
      </w:pPr>
      <w:r>
        <w:rPr>
          <w:rFonts w:cs="Arial"/>
          <w:i/>
          <w:sz w:val="18"/>
          <w:szCs w:val="18"/>
        </w:rPr>
        <w:t>Note: All costs are at 2022-23 prices</w:t>
      </w:r>
    </w:p>
    <w:p w14:paraId="1B7BB388" w14:textId="77777777" w:rsidR="000E3FFC" w:rsidRPr="006F4418" w:rsidRDefault="00042B87" w:rsidP="00BD61B9">
      <w:pPr>
        <w:pStyle w:val="ListParagraph"/>
        <w:numPr>
          <w:ilvl w:val="0"/>
          <w:numId w:val="0"/>
        </w:numPr>
        <w:ind w:left="851"/>
        <w:jc w:val="both"/>
        <w:textAlignment w:val="baseline"/>
        <w:rPr>
          <w:bCs/>
          <w:iCs/>
          <w:noProof/>
        </w:rPr>
      </w:pPr>
      <w:r w:rsidRPr="000C1E64">
        <w:rPr>
          <w:bCs/>
          <w:iCs/>
          <w:noProof/>
        </w:rPr>
        <w:t xml:space="preserve">Recurring </w:t>
      </w:r>
      <w:r w:rsidR="000E3FFC" w:rsidRPr="00042B87">
        <w:rPr>
          <w:bCs/>
          <w:iCs/>
          <w:noProof/>
        </w:rPr>
        <w:t xml:space="preserve">Revenue </w:t>
      </w:r>
      <w:r>
        <w:rPr>
          <w:bCs/>
          <w:iCs/>
          <w:noProof/>
        </w:rPr>
        <w:t>Costs</w:t>
      </w:r>
    </w:p>
    <w:p w14:paraId="73A33235" w14:textId="77777777" w:rsidR="00042B87" w:rsidRDefault="00705612" w:rsidP="00BD61B9">
      <w:pPr>
        <w:ind w:left="851" w:hanging="709"/>
        <w:rPr>
          <w:rFonts w:cs="Arial"/>
        </w:rPr>
      </w:pPr>
      <w:r>
        <w:rPr>
          <w:rFonts w:cs="Arial"/>
        </w:rPr>
        <w:t>2.</w:t>
      </w:r>
      <w:r w:rsidR="004928F5">
        <w:rPr>
          <w:rFonts w:cs="Arial"/>
        </w:rPr>
        <w:t>33</w:t>
      </w:r>
      <w:r w:rsidR="000E3FFC">
        <w:rPr>
          <w:rFonts w:cs="Arial"/>
        </w:rPr>
        <w:tab/>
      </w:r>
      <w:r w:rsidR="00042B87">
        <w:rPr>
          <w:rFonts w:cs="Arial"/>
        </w:rPr>
        <w:t xml:space="preserve">In October 2018, the Commissioners (LHBs) approved the OBC that set out the funding requirements of </w:t>
      </w:r>
      <w:r w:rsidR="00042B87">
        <w:rPr>
          <w:rFonts w:cs="Arial"/>
          <w:b/>
          <w:bCs/>
        </w:rPr>
        <w:t xml:space="preserve">c£7.5m </w:t>
      </w:r>
      <w:r w:rsidR="000C1E64">
        <w:rPr>
          <w:rFonts w:cs="Arial"/>
        </w:rPr>
        <w:t xml:space="preserve">(at 2016-17 prices) </w:t>
      </w:r>
      <w:r w:rsidR="00042B87">
        <w:rPr>
          <w:rFonts w:cs="Arial"/>
        </w:rPr>
        <w:t>in Table 10.</w:t>
      </w:r>
    </w:p>
    <w:p w14:paraId="56CA183C" w14:textId="77777777" w:rsidR="00042B87" w:rsidRDefault="00042B87" w:rsidP="00BD61B9">
      <w:pPr>
        <w:ind w:left="851" w:hanging="709"/>
        <w:rPr>
          <w:rFonts w:cs="Arial"/>
        </w:rPr>
      </w:pPr>
    </w:p>
    <w:p w14:paraId="22108EBD" w14:textId="77777777" w:rsidR="00042B87" w:rsidRPr="006D7A49" w:rsidRDefault="00042B87" w:rsidP="006D7A49">
      <w:pPr>
        <w:pStyle w:val="Caption"/>
        <w:keepNext/>
        <w:ind w:left="720" w:firstLine="131"/>
        <w:rPr>
          <w:iCs w:val="0"/>
          <w:color w:val="2F5496"/>
          <w:sz w:val="20"/>
          <w:szCs w:val="20"/>
        </w:rPr>
      </w:pPr>
      <w:r w:rsidRPr="006D7A49">
        <w:rPr>
          <w:iCs w:val="0"/>
          <w:color w:val="2F5496"/>
          <w:sz w:val="20"/>
          <w:szCs w:val="20"/>
        </w:rPr>
        <w:t>Table 10 – OBC Recurring Revenue Costs</w:t>
      </w:r>
    </w:p>
    <w:tbl>
      <w:tblPr>
        <w:tblpPr w:leftFromText="180" w:rightFromText="180" w:vertAnchor="text" w:horzAnchor="margin" w:tblpXSpec="right" w:tblpY="75"/>
        <w:tblW w:w="8031" w:type="dxa"/>
        <w:tblBorders>
          <w:top w:val="single" w:sz="8" w:space="0" w:color="2F5496" w:themeColor="accent1" w:themeShade="BF"/>
          <w:left w:val="single" w:sz="8" w:space="0" w:color="2F5496" w:themeColor="accent1" w:themeShade="BF"/>
          <w:bottom w:val="single" w:sz="8" w:space="0" w:color="2F5496" w:themeColor="accent1" w:themeShade="BF"/>
          <w:right w:val="single" w:sz="8" w:space="0" w:color="2F5496" w:themeColor="accent1" w:themeShade="BF"/>
          <w:insideH w:val="single" w:sz="8" w:space="0" w:color="2F5496" w:themeColor="accent1" w:themeShade="BF"/>
          <w:insideV w:val="single" w:sz="8" w:space="0" w:color="2F5496" w:themeColor="accent1" w:themeShade="BF"/>
        </w:tblBorders>
        <w:tblLayout w:type="fixed"/>
        <w:tblLook w:val="04A0" w:firstRow="1" w:lastRow="0" w:firstColumn="1" w:lastColumn="0" w:noHBand="0" w:noVBand="1"/>
      </w:tblPr>
      <w:tblGrid>
        <w:gridCol w:w="2361"/>
        <w:gridCol w:w="1346"/>
        <w:gridCol w:w="1347"/>
        <w:gridCol w:w="2977"/>
      </w:tblGrid>
      <w:tr w:rsidR="0085010C" w:rsidRPr="000140C2" w14:paraId="2AFDF6A4" w14:textId="77777777" w:rsidTr="0085010C">
        <w:tc>
          <w:tcPr>
            <w:tcW w:w="2361" w:type="dxa"/>
            <w:shd w:val="clear" w:color="auto" w:fill="1F3864" w:themeFill="accent1" w:themeFillShade="80"/>
            <w:vAlign w:val="center"/>
          </w:tcPr>
          <w:p w14:paraId="7040B370" w14:textId="77777777" w:rsidR="0085010C" w:rsidRPr="004E6AE5" w:rsidRDefault="0085010C" w:rsidP="0085010C">
            <w:pPr>
              <w:spacing w:beforeLines="20" w:before="48" w:afterLines="20" w:after="48"/>
              <w:jc w:val="left"/>
              <w:rPr>
                <w:rFonts w:cs="Arial"/>
                <w:b/>
                <w:bCs/>
                <w:color w:val="FFFFFF" w:themeColor="background1"/>
                <w:sz w:val="20"/>
                <w:szCs w:val="20"/>
              </w:rPr>
            </w:pPr>
            <w:r w:rsidRPr="004E6AE5">
              <w:rPr>
                <w:rFonts w:cs="Arial"/>
                <w:b/>
                <w:bCs/>
                <w:color w:val="FFFFFF" w:themeColor="background1"/>
                <w:sz w:val="20"/>
                <w:szCs w:val="20"/>
              </w:rPr>
              <w:t>Cost category</w:t>
            </w:r>
          </w:p>
        </w:tc>
        <w:tc>
          <w:tcPr>
            <w:tcW w:w="1346" w:type="dxa"/>
            <w:shd w:val="clear" w:color="auto" w:fill="1F3864" w:themeFill="accent1" w:themeFillShade="80"/>
            <w:tcMar>
              <w:left w:w="43" w:type="dxa"/>
              <w:right w:w="43" w:type="dxa"/>
            </w:tcMar>
          </w:tcPr>
          <w:p w14:paraId="7D30B42A" w14:textId="77777777" w:rsidR="0085010C" w:rsidRDefault="000C1E64" w:rsidP="0085010C">
            <w:pPr>
              <w:spacing w:beforeLines="20" w:before="48" w:afterLines="20" w:after="48"/>
              <w:jc w:val="center"/>
              <w:rPr>
                <w:rFonts w:cs="Arial"/>
                <w:b/>
                <w:color w:val="FFFFFF" w:themeColor="background1"/>
                <w:sz w:val="20"/>
                <w:szCs w:val="20"/>
              </w:rPr>
            </w:pPr>
            <w:r>
              <w:rPr>
                <w:rFonts w:cs="Arial"/>
                <w:b/>
                <w:color w:val="FFFFFF" w:themeColor="background1"/>
                <w:sz w:val="20"/>
                <w:szCs w:val="20"/>
              </w:rPr>
              <w:t>VCC Baseline</w:t>
            </w:r>
            <w:r w:rsidR="0085010C" w:rsidRPr="004E6AE5">
              <w:rPr>
                <w:rFonts w:cs="Arial"/>
                <w:b/>
                <w:color w:val="FFFFFF" w:themeColor="background1"/>
                <w:sz w:val="20"/>
                <w:szCs w:val="20"/>
              </w:rPr>
              <w:t xml:space="preserve"> </w:t>
            </w:r>
          </w:p>
          <w:p w14:paraId="507C9F6D" w14:textId="77777777" w:rsidR="000C1E64" w:rsidRPr="004E6AE5" w:rsidRDefault="000C1E64" w:rsidP="0085010C">
            <w:pPr>
              <w:spacing w:beforeLines="20" w:before="48" w:afterLines="20" w:after="48"/>
              <w:jc w:val="center"/>
              <w:rPr>
                <w:rFonts w:cs="Arial"/>
                <w:b/>
                <w:bCs/>
                <w:color w:val="FFFFFF" w:themeColor="background1"/>
                <w:sz w:val="20"/>
                <w:szCs w:val="20"/>
              </w:rPr>
            </w:pPr>
            <w:r>
              <w:rPr>
                <w:rFonts w:cs="Arial"/>
                <w:b/>
                <w:color w:val="FFFFFF" w:themeColor="background1"/>
                <w:sz w:val="20"/>
                <w:szCs w:val="20"/>
              </w:rPr>
              <w:t>£000</w:t>
            </w:r>
          </w:p>
        </w:tc>
        <w:tc>
          <w:tcPr>
            <w:tcW w:w="1347" w:type="dxa"/>
            <w:shd w:val="clear" w:color="auto" w:fill="1F3864" w:themeFill="accent1" w:themeFillShade="80"/>
            <w:vAlign w:val="center"/>
          </w:tcPr>
          <w:p w14:paraId="57FCEF4A" w14:textId="77777777" w:rsidR="0085010C" w:rsidRDefault="000C1E64" w:rsidP="0085010C">
            <w:pPr>
              <w:spacing w:beforeLines="20" w:before="48" w:afterLines="20" w:after="48"/>
              <w:jc w:val="center"/>
              <w:rPr>
                <w:rFonts w:cs="Arial"/>
                <w:b/>
                <w:color w:val="FFFFFF" w:themeColor="background1"/>
                <w:sz w:val="20"/>
                <w:szCs w:val="20"/>
              </w:rPr>
            </w:pPr>
            <w:r>
              <w:rPr>
                <w:rFonts w:cs="Arial"/>
                <w:b/>
                <w:color w:val="FFFFFF" w:themeColor="background1"/>
                <w:sz w:val="20"/>
                <w:szCs w:val="20"/>
              </w:rPr>
              <w:t>nVCC</w:t>
            </w:r>
          </w:p>
          <w:p w14:paraId="1D74C9CB" w14:textId="77777777" w:rsidR="000C1E64" w:rsidRPr="004E6AE5" w:rsidRDefault="000C1E64" w:rsidP="0085010C">
            <w:pPr>
              <w:spacing w:beforeLines="20" w:before="48" w:afterLines="20" w:after="48"/>
              <w:jc w:val="center"/>
              <w:rPr>
                <w:rFonts w:cs="Arial"/>
                <w:b/>
                <w:color w:val="FFFFFF" w:themeColor="background1"/>
                <w:sz w:val="20"/>
                <w:szCs w:val="20"/>
              </w:rPr>
            </w:pPr>
          </w:p>
          <w:p w14:paraId="246E3768" w14:textId="77777777" w:rsidR="0085010C" w:rsidRPr="004E6AE5" w:rsidRDefault="0085010C" w:rsidP="0085010C">
            <w:pPr>
              <w:spacing w:beforeLines="20" w:before="48" w:afterLines="20" w:after="48"/>
              <w:jc w:val="center"/>
              <w:rPr>
                <w:rFonts w:cs="Arial"/>
                <w:b/>
                <w:bCs/>
                <w:color w:val="FFFFFF" w:themeColor="background1"/>
                <w:sz w:val="20"/>
                <w:szCs w:val="20"/>
              </w:rPr>
            </w:pPr>
            <w:r w:rsidRPr="004E6AE5">
              <w:rPr>
                <w:rFonts w:cs="Arial"/>
                <w:b/>
                <w:color w:val="FFFFFF" w:themeColor="background1"/>
                <w:sz w:val="20"/>
                <w:szCs w:val="20"/>
              </w:rPr>
              <w:t>£000</w:t>
            </w:r>
          </w:p>
        </w:tc>
        <w:tc>
          <w:tcPr>
            <w:tcW w:w="2977" w:type="dxa"/>
            <w:shd w:val="clear" w:color="auto" w:fill="1F3864" w:themeFill="accent1" w:themeFillShade="80"/>
            <w:vAlign w:val="center"/>
          </w:tcPr>
          <w:p w14:paraId="33504F46" w14:textId="77777777" w:rsidR="0085010C" w:rsidRPr="004E6AE5" w:rsidRDefault="0085010C" w:rsidP="0085010C">
            <w:pPr>
              <w:spacing w:beforeLines="20" w:before="48" w:afterLines="20" w:after="48"/>
              <w:jc w:val="left"/>
              <w:rPr>
                <w:rFonts w:cs="Arial"/>
                <w:b/>
                <w:color w:val="FFFFFF" w:themeColor="background1"/>
                <w:sz w:val="20"/>
                <w:szCs w:val="20"/>
              </w:rPr>
            </w:pPr>
            <w:r w:rsidRPr="004E6AE5">
              <w:rPr>
                <w:rFonts w:cs="Arial"/>
                <w:b/>
                <w:color w:val="FFFFFF" w:themeColor="background1"/>
                <w:sz w:val="20"/>
                <w:szCs w:val="20"/>
              </w:rPr>
              <w:t>Funding source</w:t>
            </w:r>
          </w:p>
        </w:tc>
      </w:tr>
      <w:tr w:rsidR="0085010C" w:rsidRPr="000140C2" w14:paraId="0F9A1371" w14:textId="77777777" w:rsidTr="0085010C">
        <w:tc>
          <w:tcPr>
            <w:tcW w:w="2361" w:type="dxa"/>
            <w:shd w:val="clear" w:color="auto" w:fill="D9E2F3" w:themeFill="accent1" w:themeFillTint="33"/>
            <w:vAlign w:val="center"/>
          </w:tcPr>
          <w:p w14:paraId="6BEBAC9F" w14:textId="77777777" w:rsidR="0085010C" w:rsidRPr="004E6AE5" w:rsidRDefault="0085010C" w:rsidP="0085010C">
            <w:pPr>
              <w:rPr>
                <w:sz w:val="20"/>
                <w:szCs w:val="20"/>
              </w:rPr>
            </w:pPr>
            <w:r w:rsidRPr="004E6AE5">
              <w:rPr>
                <w:sz w:val="20"/>
                <w:szCs w:val="20"/>
              </w:rPr>
              <w:t>Soft FM</w:t>
            </w:r>
          </w:p>
        </w:tc>
        <w:tc>
          <w:tcPr>
            <w:tcW w:w="1346" w:type="dxa"/>
            <w:shd w:val="clear" w:color="auto" w:fill="auto"/>
            <w:vAlign w:val="center"/>
          </w:tcPr>
          <w:p w14:paraId="4B4A2EB2" w14:textId="77777777" w:rsidR="0085010C" w:rsidRPr="004E6AE5" w:rsidRDefault="0085010C" w:rsidP="0085010C">
            <w:pPr>
              <w:jc w:val="right"/>
              <w:rPr>
                <w:sz w:val="20"/>
                <w:szCs w:val="20"/>
              </w:rPr>
            </w:pPr>
            <w:r w:rsidRPr="004E6AE5">
              <w:rPr>
                <w:sz w:val="20"/>
                <w:szCs w:val="20"/>
              </w:rPr>
              <w:t>1,504</w:t>
            </w:r>
          </w:p>
        </w:tc>
        <w:tc>
          <w:tcPr>
            <w:tcW w:w="1347" w:type="dxa"/>
            <w:shd w:val="clear" w:color="auto" w:fill="auto"/>
            <w:vAlign w:val="center"/>
          </w:tcPr>
          <w:p w14:paraId="77EE41E5" w14:textId="77777777" w:rsidR="0085010C" w:rsidRPr="004E6AE5" w:rsidRDefault="0085010C" w:rsidP="0085010C">
            <w:pPr>
              <w:jc w:val="right"/>
              <w:rPr>
                <w:sz w:val="20"/>
                <w:szCs w:val="20"/>
              </w:rPr>
            </w:pPr>
            <w:r w:rsidRPr="004E6AE5">
              <w:rPr>
                <w:sz w:val="20"/>
                <w:szCs w:val="20"/>
              </w:rPr>
              <w:t>2,126</w:t>
            </w:r>
          </w:p>
        </w:tc>
        <w:tc>
          <w:tcPr>
            <w:tcW w:w="2977" w:type="dxa"/>
            <w:vAlign w:val="center"/>
          </w:tcPr>
          <w:p w14:paraId="0A62E93A" w14:textId="77777777" w:rsidR="0085010C" w:rsidRPr="004E6AE5" w:rsidRDefault="0085010C" w:rsidP="0085010C">
            <w:pPr>
              <w:spacing w:beforeLines="20" w:before="48" w:afterLines="20" w:after="48"/>
              <w:rPr>
                <w:rFonts w:cs="Arial"/>
                <w:sz w:val="20"/>
                <w:szCs w:val="20"/>
              </w:rPr>
            </w:pPr>
            <w:r w:rsidRPr="004E6AE5">
              <w:rPr>
                <w:rFonts w:cs="Arial"/>
                <w:sz w:val="20"/>
                <w:szCs w:val="20"/>
              </w:rPr>
              <w:t>Commissioners</w:t>
            </w:r>
          </w:p>
        </w:tc>
      </w:tr>
      <w:tr w:rsidR="0085010C" w:rsidRPr="000140C2" w14:paraId="4BDC1B44" w14:textId="77777777" w:rsidTr="0085010C">
        <w:tc>
          <w:tcPr>
            <w:tcW w:w="2361" w:type="dxa"/>
            <w:shd w:val="clear" w:color="auto" w:fill="D9E2F3" w:themeFill="accent1" w:themeFillTint="33"/>
            <w:vAlign w:val="center"/>
          </w:tcPr>
          <w:p w14:paraId="24E88076" w14:textId="77777777" w:rsidR="0085010C" w:rsidRPr="004E6AE5" w:rsidRDefault="0085010C" w:rsidP="0085010C">
            <w:pPr>
              <w:rPr>
                <w:sz w:val="20"/>
                <w:szCs w:val="20"/>
              </w:rPr>
            </w:pPr>
            <w:r w:rsidRPr="004E6AE5">
              <w:rPr>
                <w:sz w:val="20"/>
                <w:szCs w:val="20"/>
              </w:rPr>
              <w:t>Hard FM</w:t>
            </w:r>
          </w:p>
        </w:tc>
        <w:tc>
          <w:tcPr>
            <w:tcW w:w="1346" w:type="dxa"/>
            <w:shd w:val="clear" w:color="auto" w:fill="auto"/>
            <w:vAlign w:val="center"/>
          </w:tcPr>
          <w:p w14:paraId="0695015E" w14:textId="77777777" w:rsidR="0085010C" w:rsidRPr="004E6AE5" w:rsidRDefault="0085010C" w:rsidP="0085010C">
            <w:pPr>
              <w:jc w:val="right"/>
              <w:rPr>
                <w:sz w:val="20"/>
                <w:szCs w:val="20"/>
              </w:rPr>
            </w:pPr>
            <w:r w:rsidRPr="004E6AE5">
              <w:rPr>
                <w:sz w:val="20"/>
                <w:szCs w:val="20"/>
              </w:rPr>
              <w:t>481</w:t>
            </w:r>
          </w:p>
        </w:tc>
        <w:tc>
          <w:tcPr>
            <w:tcW w:w="1347" w:type="dxa"/>
            <w:shd w:val="clear" w:color="auto" w:fill="auto"/>
            <w:vAlign w:val="center"/>
          </w:tcPr>
          <w:p w14:paraId="1D62261A" w14:textId="77777777" w:rsidR="0085010C" w:rsidRPr="004E6AE5" w:rsidRDefault="0085010C" w:rsidP="0085010C">
            <w:pPr>
              <w:jc w:val="right"/>
              <w:rPr>
                <w:sz w:val="20"/>
                <w:szCs w:val="20"/>
              </w:rPr>
            </w:pPr>
            <w:r w:rsidRPr="004E6AE5">
              <w:rPr>
                <w:sz w:val="20"/>
                <w:szCs w:val="20"/>
              </w:rPr>
              <w:t>813</w:t>
            </w:r>
          </w:p>
        </w:tc>
        <w:tc>
          <w:tcPr>
            <w:tcW w:w="2977" w:type="dxa"/>
            <w:vAlign w:val="center"/>
          </w:tcPr>
          <w:p w14:paraId="595C7AB3" w14:textId="77777777" w:rsidR="0085010C" w:rsidRPr="004E6AE5" w:rsidRDefault="0085010C" w:rsidP="0085010C">
            <w:pPr>
              <w:spacing w:beforeLines="20" w:before="48" w:afterLines="20" w:after="48"/>
              <w:rPr>
                <w:rFonts w:cs="Arial"/>
                <w:sz w:val="20"/>
                <w:szCs w:val="20"/>
              </w:rPr>
            </w:pPr>
            <w:r w:rsidRPr="004E6AE5">
              <w:rPr>
                <w:rFonts w:cs="Arial"/>
                <w:sz w:val="20"/>
                <w:szCs w:val="20"/>
              </w:rPr>
              <w:t>Commissioners</w:t>
            </w:r>
          </w:p>
        </w:tc>
      </w:tr>
      <w:tr w:rsidR="0085010C" w:rsidRPr="000140C2" w14:paraId="6F7AFE11" w14:textId="77777777" w:rsidTr="0085010C">
        <w:tc>
          <w:tcPr>
            <w:tcW w:w="2361" w:type="dxa"/>
            <w:shd w:val="clear" w:color="auto" w:fill="D9E2F3" w:themeFill="accent1" w:themeFillTint="33"/>
            <w:vAlign w:val="center"/>
          </w:tcPr>
          <w:p w14:paraId="560ECB4E" w14:textId="77777777" w:rsidR="0085010C" w:rsidRPr="004E6AE5" w:rsidRDefault="0085010C" w:rsidP="0085010C">
            <w:pPr>
              <w:rPr>
                <w:sz w:val="20"/>
                <w:szCs w:val="20"/>
              </w:rPr>
            </w:pPr>
            <w:r w:rsidRPr="004E6AE5">
              <w:rPr>
                <w:sz w:val="20"/>
                <w:szCs w:val="20"/>
              </w:rPr>
              <w:t>Utilities</w:t>
            </w:r>
          </w:p>
        </w:tc>
        <w:tc>
          <w:tcPr>
            <w:tcW w:w="1346" w:type="dxa"/>
            <w:shd w:val="clear" w:color="auto" w:fill="auto"/>
            <w:vAlign w:val="center"/>
          </w:tcPr>
          <w:p w14:paraId="109A53BE" w14:textId="77777777" w:rsidR="0085010C" w:rsidRPr="004E6AE5" w:rsidRDefault="0085010C" w:rsidP="0085010C">
            <w:pPr>
              <w:jc w:val="right"/>
              <w:rPr>
                <w:sz w:val="20"/>
                <w:szCs w:val="20"/>
              </w:rPr>
            </w:pPr>
            <w:r w:rsidRPr="004E6AE5">
              <w:rPr>
                <w:sz w:val="20"/>
                <w:szCs w:val="20"/>
              </w:rPr>
              <w:t>572</w:t>
            </w:r>
          </w:p>
        </w:tc>
        <w:tc>
          <w:tcPr>
            <w:tcW w:w="1347" w:type="dxa"/>
            <w:shd w:val="clear" w:color="auto" w:fill="auto"/>
            <w:vAlign w:val="center"/>
          </w:tcPr>
          <w:p w14:paraId="0B8B62CA" w14:textId="77777777" w:rsidR="0085010C" w:rsidRPr="004E6AE5" w:rsidRDefault="0085010C" w:rsidP="0085010C">
            <w:pPr>
              <w:jc w:val="right"/>
              <w:rPr>
                <w:sz w:val="20"/>
                <w:szCs w:val="20"/>
              </w:rPr>
            </w:pPr>
            <w:r w:rsidRPr="004E6AE5">
              <w:rPr>
                <w:sz w:val="20"/>
                <w:szCs w:val="20"/>
              </w:rPr>
              <w:t>1,032</w:t>
            </w:r>
          </w:p>
        </w:tc>
        <w:tc>
          <w:tcPr>
            <w:tcW w:w="2977" w:type="dxa"/>
            <w:vAlign w:val="center"/>
          </w:tcPr>
          <w:p w14:paraId="7D598CC9" w14:textId="77777777" w:rsidR="0085010C" w:rsidRPr="004E6AE5" w:rsidRDefault="0085010C" w:rsidP="0085010C">
            <w:pPr>
              <w:spacing w:beforeLines="20" w:before="48" w:afterLines="20" w:after="48"/>
              <w:rPr>
                <w:rFonts w:cs="Arial"/>
                <w:sz w:val="20"/>
                <w:szCs w:val="20"/>
              </w:rPr>
            </w:pPr>
            <w:r w:rsidRPr="004E6AE5">
              <w:rPr>
                <w:rFonts w:cs="Arial"/>
                <w:sz w:val="20"/>
                <w:szCs w:val="20"/>
              </w:rPr>
              <w:t>Commissioners</w:t>
            </w:r>
          </w:p>
        </w:tc>
      </w:tr>
      <w:tr w:rsidR="0085010C" w:rsidRPr="000140C2" w14:paraId="658D7ACA" w14:textId="77777777" w:rsidTr="0085010C">
        <w:tc>
          <w:tcPr>
            <w:tcW w:w="2361" w:type="dxa"/>
            <w:shd w:val="clear" w:color="auto" w:fill="D9E2F3" w:themeFill="accent1" w:themeFillTint="33"/>
            <w:vAlign w:val="center"/>
          </w:tcPr>
          <w:p w14:paraId="5C71C68A" w14:textId="77777777" w:rsidR="0085010C" w:rsidRPr="004E6AE5" w:rsidRDefault="0085010C" w:rsidP="0085010C">
            <w:pPr>
              <w:rPr>
                <w:sz w:val="20"/>
                <w:szCs w:val="20"/>
              </w:rPr>
            </w:pPr>
            <w:r w:rsidRPr="004E6AE5">
              <w:rPr>
                <w:sz w:val="20"/>
                <w:szCs w:val="20"/>
              </w:rPr>
              <w:t>Rates</w:t>
            </w:r>
          </w:p>
        </w:tc>
        <w:tc>
          <w:tcPr>
            <w:tcW w:w="1346" w:type="dxa"/>
            <w:shd w:val="clear" w:color="auto" w:fill="auto"/>
            <w:vAlign w:val="center"/>
          </w:tcPr>
          <w:p w14:paraId="13DA796C" w14:textId="77777777" w:rsidR="0085010C" w:rsidRPr="004E6AE5" w:rsidRDefault="0085010C" w:rsidP="0085010C">
            <w:pPr>
              <w:jc w:val="right"/>
              <w:rPr>
                <w:sz w:val="20"/>
                <w:szCs w:val="20"/>
              </w:rPr>
            </w:pPr>
            <w:r w:rsidRPr="004E6AE5">
              <w:rPr>
                <w:sz w:val="20"/>
                <w:szCs w:val="20"/>
              </w:rPr>
              <w:t>192</w:t>
            </w:r>
          </w:p>
        </w:tc>
        <w:tc>
          <w:tcPr>
            <w:tcW w:w="1347" w:type="dxa"/>
            <w:shd w:val="clear" w:color="auto" w:fill="auto"/>
            <w:vAlign w:val="center"/>
          </w:tcPr>
          <w:p w14:paraId="3F70DD2E" w14:textId="77777777" w:rsidR="0085010C" w:rsidRPr="004E6AE5" w:rsidRDefault="0085010C" w:rsidP="0085010C">
            <w:pPr>
              <w:jc w:val="right"/>
              <w:rPr>
                <w:sz w:val="20"/>
                <w:szCs w:val="20"/>
              </w:rPr>
            </w:pPr>
            <w:r w:rsidRPr="004E6AE5">
              <w:rPr>
                <w:sz w:val="20"/>
                <w:szCs w:val="20"/>
              </w:rPr>
              <w:t>1,027</w:t>
            </w:r>
          </w:p>
        </w:tc>
        <w:tc>
          <w:tcPr>
            <w:tcW w:w="2977" w:type="dxa"/>
            <w:vAlign w:val="center"/>
          </w:tcPr>
          <w:p w14:paraId="67E20959" w14:textId="77777777" w:rsidR="0085010C" w:rsidRPr="004E6AE5" w:rsidRDefault="0085010C" w:rsidP="0085010C">
            <w:pPr>
              <w:spacing w:beforeLines="20" w:before="48" w:afterLines="20" w:after="48"/>
              <w:rPr>
                <w:rFonts w:cs="Arial"/>
                <w:sz w:val="20"/>
                <w:szCs w:val="20"/>
              </w:rPr>
            </w:pPr>
            <w:r w:rsidRPr="004E6AE5">
              <w:rPr>
                <w:rFonts w:cs="Arial"/>
                <w:sz w:val="20"/>
                <w:szCs w:val="20"/>
              </w:rPr>
              <w:t>Commissioners</w:t>
            </w:r>
          </w:p>
        </w:tc>
      </w:tr>
      <w:tr w:rsidR="0085010C" w:rsidRPr="000140C2" w14:paraId="493B58DF" w14:textId="77777777" w:rsidTr="0085010C">
        <w:tc>
          <w:tcPr>
            <w:tcW w:w="2361" w:type="dxa"/>
            <w:shd w:val="clear" w:color="auto" w:fill="D9E2F3" w:themeFill="accent1" w:themeFillTint="33"/>
            <w:vAlign w:val="center"/>
          </w:tcPr>
          <w:p w14:paraId="7FAC80F4" w14:textId="77777777" w:rsidR="0085010C" w:rsidRPr="004E6AE5" w:rsidRDefault="0085010C" w:rsidP="0085010C">
            <w:pPr>
              <w:rPr>
                <w:sz w:val="20"/>
                <w:szCs w:val="20"/>
              </w:rPr>
            </w:pPr>
            <w:r w:rsidRPr="004E6AE5">
              <w:rPr>
                <w:sz w:val="20"/>
                <w:szCs w:val="20"/>
              </w:rPr>
              <w:t>Equipment Maintenance</w:t>
            </w:r>
          </w:p>
        </w:tc>
        <w:tc>
          <w:tcPr>
            <w:tcW w:w="1346" w:type="dxa"/>
            <w:shd w:val="clear" w:color="auto" w:fill="auto"/>
            <w:vAlign w:val="center"/>
          </w:tcPr>
          <w:p w14:paraId="17DC0E39" w14:textId="77777777" w:rsidR="0085010C" w:rsidRPr="004E6AE5" w:rsidRDefault="0085010C" w:rsidP="0085010C">
            <w:pPr>
              <w:jc w:val="right"/>
              <w:rPr>
                <w:sz w:val="20"/>
                <w:szCs w:val="20"/>
              </w:rPr>
            </w:pPr>
            <w:r w:rsidRPr="004E6AE5">
              <w:rPr>
                <w:sz w:val="20"/>
                <w:szCs w:val="20"/>
              </w:rPr>
              <w:t>1,300</w:t>
            </w:r>
          </w:p>
        </w:tc>
        <w:tc>
          <w:tcPr>
            <w:tcW w:w="1347" w:type="dxa"/>
            <w:shd w:val="clear" w:color="auto" w:fill="auto"/>
            <w:vAlign w:val="center"/>
          </w:tcPr>
          <w:p w14:paraId="701A64AA" w14:textId="77777777" w:rsidR="0085010C" w:rsidRPr="004E6AE5" w:rsidRDefault="0085010C" w:rsidP="0085010C">
            <w:pPr>
              <w:jc w:val="right"/>
              <w:rPr>
                <w:sz w:val="20"/>
                <w:szCs w:val="20"/>
              </w:rPr>
            </w:pPr>
            <w:r w:rsidRPr="004E6AE5">
              <w:rPr>
                <w:sz w:val="20"/>
                <w:szCs w:val="20"/>
              </w:rPr>
              <w:t>1,900</w:t>
            </w:r>
          </w:p>
        </w:tc>
        <w:tc>
          <w:tcPr>
            <w:tcW w:w="2977" w:type="dxa"/>
            <w:vAlign w:val="center"/>
          </w:tcPr>
          <w:p w14:paraId="3F94C44B" w14:textId="77777777" w:rsidR="0085010C" w:rsidRPr="004E6AE5" w:rsidRDefault="0085010C" w:rsidP="0085010C">
            <w:pPr>
              <w:spacing w:beforeLines="20" w:before="48" w:afterLines="20" w:after="48"/>
              <w:rPr>
                <w:rFonts w:cs="Arial"/>
                <w:sz w:val="20"/>
                <w:szCs w:val="20"/>
              </w:rPr>
            </w:pPr>
            <w:r w:rsidRPr="004E6AE5">
              <w:rPr>
                <w:rFonts w:cs="Arial"/>
                <w:sz w:val="20"/>
                <w:szCs w:val="20"/>
              </w:rPr>
              <w:t>Commissioners</w:t>
            </w:r>
          </w:p>
        </w:tc>
      </w:tr>
      <w:tr w:rsidR="0085010C" w:rsidRPr="000140C2" w14:paraId="5CD8B728" w14:textId="77777777" w:rsidTr="0085010C">
        <w:tc>
          <w:tcPr>
            <w:tcW w:w="2361" w:type="dxa"/>
            <w:shd w:val="clear" w:color="auto" w:fill="D9E2F3" w:themeFill="accent1" w:themeFillTint="33"/>
            <w:vAlign w:val="center"/>
          </w:tcPr>
          <w:p w14:paraId="04CD44DF" w14:textId="77777777" w:rsidR="0085010C" w:rsidRPr="004E6AE5" w:rsidRDefault="0085010C" w:rsidP="0085010C">
            <w:pPr>
              <w:rPr>
                <w:sz w:val="20"/>
                <w:szCs w:val="20"/>
              </w:rPr>
            </w:pPr>
            <w:r w:rsidRPr="004E6AE5">
              <w:rPr>
                <w:sz w:val="20"/>
                <w:szCs w:val="20"/>
              </w:rPr>
              <w:t>IM&amp;T Maintenance</w:t>
            </w:r>
          </w:p>
        </w:tc>
        <w:tc>
          <w:tcPr>
            <w:tcW w:w="1346" w:type="dxa"/>
            <w:shd w:val="clear" w:color="auto" w:fill="auto"/>
            <w:vAlign w:val="center"/>
          </w:tcPr>
          <w:p w14:paraId="51D7DB07" w14:textId="77777777" w:rsidR="0085010C" w:rsidRPr="004E6AE5" w:rsidRDefault="0085010C" w:rsidP="0085010C">
            <w:pPr>
              <w:jc w:val="right"/>
              <w:rPr>
                <w:sz w:val="20"/>
                <w:szCs w:val="20"/>
              </w:rPr>
            </w:pPr>
            <w:r w:rsidRPr="004E6AE5">
              <w:rPr>
                <w:sz w:val="20"/>
                <w:szCs w:val="20"/>
              </w:rPr>
              <w:t>300</w:t>
            </w:r>
          </w:p>
        </w:tc>
        <w:tc>
          <w:tcPr>
            <w:tcW w:w="1347" w:type="dxa"/>
            <w:shd w:val="clear" w:color="auto" w:fill="auto"/>
            <w:vAlign w:val="center"/>
          </w:tcPr>
          <w:p w14:paraId="60FA8856" w14:textId="77777777" w:rsidR="0085010C" w:rsidRPr="004E6AE5" w:rsidRDefault="0085010C" w:rsidP="0085010C">
            <w:pPr>
              <w:jc w:val="right"/>
              <w:rPr>
                <w:sz w:val="20"/>
                <w:szCs w:val="20"/>
              </w:rPr>
            </w:pPr>
            <w:r w:rsidRPr="004E6AE5">
              <w:rPr>
                <w:sz w:val="20"/>
                <w:szCs w:val="20"/>
              </w:rPr>
              <w:t>445</w:t>
            </w:r>
          </w:p>
        </w:tc>
        <w:tc>
          <w:tcPr>
            <w:tcW w:w="2977" w:type="dxa"/>
            <w:vAlign w:val="center"/>
          </w:tcPr>
          <w:p w14:paraId="064D418F" w14:textId="77777777" w:rsidR="0085010C" w:rsidRPr="004E6AE5" w:rsidRDefault="0085010C" w:rsidP="0085010C">
            <w:pPr>
              <w:spacing w:beforeLines="20" w:before="48" w:afterLines="20" w:after="48"/>
              <w:rPr>
                <w:rFonts w:cs="Arial"/>
                <w:sz w:val="20"/>
                <w:szCs w:val="20"/>
              </w:rPr>
            </w:pPr>
            <w:r w:rsidRPr="004E6AE5">
              <w:rPr>
                <w:rFonts w:cs="Arial"/>
                <w:sz w:val="20"/>
                <w:szCs w:val="20"/>
              </w:rPr>
              <w:t>Commissioners</w:t>
            </w:r>
          </w:p>
        </w:tc>
      </w:tr>
      <w:tr w:rsidR="0085010C" w:rsidRPr="000140C2" w14:paraId="2BEC2E1A" w14:textId="77777777" w:rsidTr="0085010C">
        <w:tc>
          <w:tcPr>
            <w:tcW w:w="2361" w:type="dxa"/>
            <w:shd w:val="clear" w:color="auto" w:fill="D9E2F3" w:themeFill="accent1" w:themeFillTint="33"/>
            <w:vAlign w:val="center"/>
          </w:tcPr>
          <w:p w14:paraId="00F759D1" w14:textId="77777777" w:rsidR="0085010C" w:rsidRPr="004E6AE5" w:rsidRDefault="0085010C" w:rsidP="0085010C">
            <w:pPr>
              <w:rPr>
                <w:sz w:val="20"/>
                <w:szCs w:val="20"/>
              </w:rPr>
            </w:pPr>
            <w:r w:rsidRPr="004E6AE5">
              <w:rPr>
                <w:sz w:val="20"/>
                <w:szCs w:val="20"/>
              </w:rPr>
              <w:t>Insurance</w:t>
            </w:r>
          </w:p>
        </w:tc>
        <w:tc>
          <w:tcPr>
            <w:tcW w:w="1346" w:type="dxa"/>
            <w:shd w:val="clear" w:color="auto" w:fill="auto"/>
            <w:vAlign w:val="center"/>
          </w:tcPr>
          <w:p w14:paraId="2C3D6A10" w14:textId="77777777" w:rsidR="0085010C" w:rsidRPr="004E6AE5" w:rsidRDefault="0085010C" w:rsidP="0085010C">
            <w:pPr>
              <w:jc w:val="right"/>
              <w:rPr>
                <w:sz w:val="20"/>
                <w:szCs w:val="20"/>
              </w:rPr>
            </w:pPr>
            <w:r w:rsidRPr="004E6AE5">
              <w:rPr>
                <w:sz w:val="20"/>
                <w:szCs w:val="20"/>
              </w:rPr>
              <w:t>0</w:t>
            </w:r>
          </w:p>
        </w:tc>
        <w:tc>
          <w:tcPr>
            <w:tcW w:w="1347" w:type="dxa"/>
            <w:shd w:val="clear" w:color="auto" w:fill="auto"/>
            <w:vAlign w:val="center"/>
          </w:tcPr>
          <w:p w14:paraId="4B1AB810" w14:textId="77777777" w:rsidR="0085010C" w:rsidRPr="004E6AE5" w:rsidRDefault="0085010C" w:rsidP="0085010C">
            <w:pPr>
              <w:jc w:val="right"/>
              <w:rPr>
                <w:sz w:val="20"/>
                <w:szCs w:val="20"/>
              </w:rPr>
            </w:pPr>
            <w:r w:rsidRPr="004E6AE5">
              <w:rPr>
                <w:sz w:val="20"/>
                <w:szCs w:val="20"/>
              </w:rPr>
              <w:t>200</w:t>
            </w:r>
          </w:p>
        </w:tc>
        <w:tc>
          <w:tcPr>
            <w:tcW w:w="2977" w:type="dxa"/>
            <w:vAlign w:val="center"/>
          </w:tcPr>
          <w:p w14:paraId="5B141165" w14:textId="77777777" w:rsidR="0085010C" w:rsidRPr="004E6AE5" w:rsidRDefault="0085010C" w:rsidP="0085010C">
            <w:pPr>
              <w:spacing w:beforeLines="20" w:before="48" w:afterLines="20" w:after="48"/>
              <w:rPr>
                <w:rFonts w:cs="Arial"/>
                <w:sz w:val="20"/>
                <w:szCs w:val="20"/>
              </w:rPr>
            </w:pPr>
            <w:r w:rsidRPr="004E6AE5">
              <w:rPr>
                <w:rFonts w:cs="Arial"/>
                <w:sz w:val="20"/>
                <w:szCs w:val="20"/>
              </w:rPr>
              <w:t>Welsh Govt/Commissioners</w:t>
            </w:r>
          </w:p>
        </w:tc>
      </w:tr>
      <w:tr w:rsidR="0085010C" w:rsidRPr="000140C2" w14:paraId="784C3933" w14:textId="77777777" w:rsidTr="0085010C">
        <w:tc>
          <w:tcPr>
            <w:tcW w:w="2361" w:type="dxa"/>
            <w:shd w:val="clear" w:color="auto" w:fill="D9E2F3" w:themeFill="accent1" w:themeFillTint="33"/>
            <w:vAlign w:val="center"/>
          </w:tcPr>
          <w:p w14:paraId="1EB17031" w14:textId="77777777" w:rsidR="0085010C" w:rsidRPr="004E6AE5" w:rsidRDefault="0085010C" w:rsidP="0085010C">
            <w:pPr>
              <w:spacing w:beforeLines="20" w:before="48" w:afterLines="20" w:after="48"/>
              <w:jc w:val="left"/>
              <w:rPr>
                <w:rFonts w:cs="Arial"/>
                <w:b/>
                <w:sz w:val="20"/>
                <w:szCs w:val="20"/>
              </w:rPr>
            </w:pPr>
            <w:r w:rsidRPr="004E6AE5">
              <w:rPr>
                <w:rFonts w:cs="Arial"/>
                <w:b/>
                <w:sz w:val="20"/>
                <w:szCs w:val="20"/>
              </w:rPr>
              <w:t>Total revenue costs</w:t>
            </w:r>
          </w:p>
        </w:tc>
        <w:tc>
          <w:tcPr>
            <w:tcW w:w="1346" w:type="dxa"/>
            <w:shd w:val="clear" w:color="auto" w:fill="F2F2F2" w:themeFill="background1" w:themeFillShade="F2"/>
            <w:vAlign w:val="center"/>
          </w:tcPr>
          <w:p w14:paraId="1829CBFD" w14:textId="77777777" w:rsidR="0085010C" w:rsidRPr="004E6AE5" w:rsidRDefault="0085010C" w:rsidP="0085010C">
            <w:pPr>
              <w:jc w:val="right"/>
              <w:rPr>
                <w:b/>
                <w:sz w:val="20"/>
                <w:szCs w:val="20"/>
              </w:rPr>
            </w:pPr>
            <w:r>
              <w:rPr>
                <w:b/>
                <w:sz w:val="20"/>
                <w:szCs w:val="20"/>
              </w:rPr>
              <w:t>4,349</w:t>
            </w:r>
          </w:p>
        </w:tc>
        <w:tc>
          <w:tcPr>
            <w:tcW w:w="1347" w:type="dxa"/>
            <w:shd w:val="clear" w:color="auto" w:fill="F2F2F2" w:themeFill="background1" w:themeFillShade="F2"/>
            <w:vAlign w:val="center"/>
          </w:tcPr>
          <w:p w14:paraId="168367A1" w14:textId="77777777" w:rsidR="0085010C" w:rsidRPr="004E6AE5" w:rsidRDefault="0085010C" w:rsidP="0085010C">
            <w:pPr>
              <w:jc w:val="right"/>
              <w:rPr>
                <w:b/>
                <w:sz w:val="20"/>
                <w:szCs w:val="20"/>
              </w:rPr>
            </w:pPr>
            <w:r>
              <w:rPr>
                <w:b/>
                <w:sz w:val="20"/>
                <w:szCs w:val="20"/>
              </w:rPr>
              <w:t>7,543</w:t>
            </w:r>
          </w:p>
        </w:tc>
        <w:tc>
          <w:tcPr>
            <w:tcW w:w="2977" w:type="dxa"/>
            <w:shd w:val="clear" w:color="auto" w:fill="F2F2F2" w:themeFill="background1" w:themeFillShade="F2"/>
            <w:vAlign w:val="center"/>
          </w:tcPr>
          <w:p w14:paraId="4A2B403D" w14:textId="77777777" w:rsidR="0085010C" w:rsidRPr="004E6AE5" w:rsidRDefault="0085010C" w:rsidP="0085010C">
            <w:pPr>
              <w:spacing w:beforeLines="20" w:before="48" w:afterLines="20" w:after="48"/>
              <w:rPr>
                <w:rFonts w:cs="Arial"/>
                <w:sz w:val="20"/>
                <w:szCs w:val="20"/>
              </w:rPr>
            </w:pPr>
          </w:p>
        </w:tc>
      </w:tr>
    </w:tbl>
    <w:p w14:paraId="1F3B5FF3" w14:textId="77777777" w:rsidR="00042B87" w:rsidRDefault="00042B87" w:rsidP="00042B87">
      <w:pPr>
        <w:ind w:left="142" w:hanging="709"/>
        <w:rPr>
          <w:rFonts w:cs="Arial"/>
        </w:rPr>
      </w:pPr>
      <w:r>
        <w:rPr>
          <w:rFonts w:cs="Arial"/>
        </w:rPr>
        <w:tab/>
      </w:r>
    </w:p>
    <w:p w14:paraId="43DCC205" w14:textId="77777777" w:rsidR="00042B87" w:rsidRDefault="00042B87" w:rsidP="000C1E64">
      <w:pPr>
        <w:ind w:left="142" w:hanging="709"/>
        <w:rPr>
          <w:rFonts w:cs="Arial"/>
        </w:rPr>
      </w:pPr>
    </w:p>
    <w:p w14:paraId="070C245E" w14:textId="77777777" w:rsidR="00042B87" w:rsidRDefault="00042B87" w:rsidP="00BD61B9">
      <w:pPr>
        <w:ind w:left="851" w:hanging="709"/>
        <w:rPr>
          <w:rFonts w:cs="Arial"/>
        </w:rPr>
      </w:pPr>
    </w:p>
    <w:p w14:paraId="77DBE8DC" w14:textId="77777777" w:rsidR="0085010C" w:rsidRDefault="0085010C" w:rsidP="00BD61B9">
      <w:pPr>
        <w:ind w:left="851" w:hanging="709"/>
        <w:rPr>
          <w:rFonts w:cs="Arial"/>
        </w:rPr>
      </w:pPr>
    </w:p>
    <w:p w14:paraId="4A814166" w14:textId="77777777" w:rsidR="0085010C" w:rsidRDefault="0085010C" w:rsidP="00BD61B9">
      <w:pPr>
        <w:ind w:left="851" w:hanging="709"/>
        <w:rPr>
          <w:rFonts w:cs="Arial"/>
        </w:rPr>
      </w:pPr>
    </w:p>
    <w:p w14:paraId="5BB6BB19" w14:textId="77777777" w:rsidR="0085010C" w:rsidRDefault="0085010C" w:rsidP="00BD61B9">
      <w:pPr>
        <w:ind w:left="851" w:hanging="709"/>
        <w:rPr>
          <w:rFonts w:cs="Arial"/>
        </w:rPr>
      </w:pPr>
    </w:p>
    <w:p w14:paraId="0C348E25" w14:textId="77777777" w:rsidR="0085010C" w:rsidRDefault="0085010C" w:rsidP="00BD61B9">
      <w:pPr>
        <w:ind w:left="851" w:hanging="709"/>
        <w:rPr>
          <w:rFonts w:cs="Arial"/>
        </w:rPr>
      </w:pPr>
    </w:p>
    <w:p w14:paraId="573DCFAC" w14:textId="77777777" w:rsidR="0085010C" w:rsidRDefault="0085010C" w:rsidP="00BD61B9">
      <w:pPr>
        <w:ind w:left="851" w:hanging="709"/>
        <w:rPr>
          <w:rFonts w:cs="Arial"/>
        </w:rPr>
      </w:pPr>
    </w:p>
    <w:p w14:paraId="7954D618" w14:textId="77777777" w:rsidR="0085010C" w:rsidRDefault="0085010C" w:rsidP="00BD61B9">
      <w:pPr>
        <w:ind w:left="851" w:hanging="709"/>
        <w:rPr>
          <w:rFonts w:cs="Arial"/>
        </w:rPr>
      </w:pPr>
    </w:p>
    <w:p w14:paraId="46A6440A" w14:textId="77777777" w:rsidR="0085010C" w:rsidRDefault="0085010C" w:rsidP="00BD61B9">
      <w:pPr>
        <w:ind w:left="851" w:hanging="709"/>
        <w:rPr>
          <w:rFonts w:cs="Arial"/>
        </w:rPr>
      </w:pPr>
    </w:p>
    <w:p w14:paraId="738D0E12" w14:textId="77777777" w:rsidR="0085010C" w:rsidRDefault="0085010C" w:rsidP="00BD61B9">
      <w:pPr>
        <w:ind w:left="851" w:hanging="709"/>
        <w:rPr>
          <w:rFonts w:cs="Arial"/>
        </w:rPr>
      </w:pPr>
    </w:p>
    <w:p w14:paraId="0561AB99" w14:textId="77777777" w:rsidR="0085010C" w:rsidRDefault="0085010C" w:rsidP="00BD61B9">
      <w:pPr>
        <w:ind w:left="851" w:hanging="709"/>
        <w:rPr>
          <w:rFonts w:cs="Arial"/>
        </w:rPr>
      </w:pPr>
    </w:p>
    <w:p w14:paraId="0F00C528" w14:textId="77777777" w:rsidR="0085010C" w:rsidRDefault="00042B87" w:rsidP="00BD61B9">
      <w:pPr>
        <w:ind w:left="851" w:hanging="709"/>
        <w:rPr>
          <w:rFonts w:cs="Arial"/>
        </w:rPr>
      </w:pPr>
      <w:r>
        <w:rPr>
          <w:rFonts w:cs="Arial"/>
        </w:rPr>
        <w:t xml:space="preserve"> </w:t>
      </w:r>
    </w:p>
    <w:p w14:paraId="2B984854" w14:textId="77777777" w:rsidR="004928F5" w:rsidRDefault="004928F5" w:rsidP="00BD61B9">
      <w:pPr>
        <w:ind w:left="851" w:hanging="709"/>
        <w:rPr>
          <w:rFonts w:cs="Arial"/>
        </w:rPr>
      </w:pPr>
    </w:p>
    <w:p w14:paraId="0C1B8C38" w14:textId="77777777" w:rsidR="004928F5" w:rsidRDefault="004928F5" w:rsidP="00BD61B9">
      <w:pPr>
        <w:ind w:left="851" w:hanging="709"/>
        <w:rPr>
          <w:rFonts w:cs="Arial"/>
        </w:rPr>
      </w:pPr>
    </w:p>
    <w:p w14:paraId="17DF01AF" w14:textId="77777777" w:rsidR="00042B87" w:rsidRDefault="0085010C" w:rsidP="00BD61B9">
      <w:pPr>
        <w:ind w:left="851" w:hanging="709"/>
        <w:rPr>
          <w:rFonts w:cs="Arial"/>
        </w:rPr>
      </w:pPr>
      <w:r>
        <w:rPr>
          <w:rFonts w:cs="Arial"/>
        </w:rPr>
        <w:t>2.3</w:t>
      </w:r>
      <w:r w:rsidR="004928F5">
        <w:rPr>
          <w:rFonts w:cs="Arial"/>
        </w:rPr>
        <w:t>4</w:t>
      </w:r>
      <w:r w:rsidR="009A59A1">
        <w:rPr>
          <w:rFonts w:cs="Arial"/>
        </w:rPr>
        <w:tab/>
      </w:r>
      <w:r>
        <w:rPr>
          <w:rFonts w:cs="Arial"/>
        </w:rPr>
        <w:t xml:space="preserve">In </w:t>
      </w:r>
      <w:r w:rsidR="00042B87">
        <w:rPr>
          <w:rFonts w:cs="Arial"/>
        </w:rPr>
        <w:t xml:space="preserve">developing the FBC, the Trust has considered the necessary updates to the OBC costs </w:t>
      </w:r>
      <w:r w:rsidR="000C1E64">
        <w:rPr>
          <w:rFonts w:cs="Arial"/>
        </w:rPr>
        <w:t xml:space="preserve">which is outlined as follows: </w:t>
      </w:r>
    </w:p>
    <w:p w14:paraId="61505909" w14:textId="77777777" w:rsidR="0085010C" w:rsidRPr="0085010C" w:rsidRDefault="0085010C" w:rsidP="00BD61B9">
      <w:pPr>
        <w:ind w:left="851" w:hanging="709"/>
        <w:rPr>
          <w:rFonts w:cs="Arial"/>
          <w:bCs/>
        </w:rPr>
      </w:pPr>
    </w:p>
    <w:p w14:paraId="62748C87" w14:textId="77777777" w:rsidR="00042B87" w:rsidRDefault="0085010C" w:rsidP="000C1E64">
      <w:pPr>
        <w:pStyle w:val="ListParagraph"/>
        <w:numPr>
          <w:ilvl w:val="0"/>
          <w:numId w:val="24"/>
        </w:numPr>
        <w:spacing w:before="0" w:after="0"/>
        <w:ind w:hanging="357"/>
        <w:rPr>
          <w:rFonts w:cs="Arial"/>
          <w:b w:val="0"/>
          <w:bCs/>
        </w:rPr>
      </w:pPr>
      <w:r w:rsidRPr="000C1E64">
        <w:rPr>
          <w:rFonts w:cs="Arial"/>
          <w:b w:val="0"/>
          <w:bCs/>
        </w:rPr>
        <w:t>Reduction in OBC requirements</w:t>
      </w:r>
      <w:r w:rsidR="000C1E64">
        <w:rPr>
          <w:rFonts w:cs="Arial"/>
          <w:b w:val="0"/>
          <w:bCs/>
        </w:rPr>
        <w:t xml:space="preserve"> due to the IRS maintenance costs being funded in the IRS business case</w:t>
      </w:r>
      <w:r>
        <w:rPr>
          <w:rFonts w:cs="Arial"/>
          <w:b w:val="0"/>
          <w:bCs/>
        </w:rPr>
        <w:t>;</w:t>
      </w:r>
    </w:p>
    <w:p w14:paraId="2C400437" w14:textId="77777777" w:rsidR="0085010C" w:rsidRDefault="0085010C" w:rsidP="000C1E64">
      <w:pPr>
        <w:pStyle w:val="ListParagraph"/>
        <w:numPr>
          <w:ilvl w:val="0"/>
          <w:numId w:val="24"/>
        </w:numPr>
        <w:spacing w:before="0" w:after="0"/>
        <w:ind w:hanging="357"/>
        <w:rPr>
          <w:rFonts w:cs="Arial"/>
          <w:b w:val="0"/>
          <w:bCs/>
        </w:rPr>
      </w:pPr>
      <w:r>
        <w:rPr>
          <w:rFonts w:cs="Arial"/>
          <w:b w:val="0"/>
          <w:bCs/>
        </w:rPr>
        <w:t>Inflation on adjusted OBC figures;</w:t>
      </w:r>
    </w:p>
    <w:p w14:paraId="2EEE7E69" w14:textId="77777777" w:rsidR="0085010C" w:rsidRDefault="0085010C" w:rsidP="000C1E64">
      <w:pPr>
        <w:pStyle w:val="ListParagraph"/>
        <w:numPr>
          <w:ilvl w:val="0"/>
          <w:numId w:val="24"/>
        </w:numPr>
        <w:spacing w:before="0" w:after="0"/>
        <w:ind w:hanging="357"/>
        <w:rPr>
          <w:rFonts w:cs="Arial"/>
          <w:b w:val="0"/>
          <w:bCs/>
        </w:rPr>
      </w:pPr>
      <w:r>
        <w:rPr>
          <w:rFonts w:cs="Arial"/>
          <w:b w:val="0"/>
          <w:bCs/>
        </w:rPr>
        <w:t>Additional ‘new’ investment:</w:t>
      </w:r>
    </w:p>
    <w:p w14:paraId="0E74401D" w14:textId="77777777" w:rsidR="0085010C" w:rsidRDefault="0085010C" w:rsidP="000C1E64">
      <w:pPr>
        <w:pStyle w:val="ListParagraph"/>
        <w:numPr>
          <w:ilvl w:val="1"/>
          <w:numId w:val="24"/>
        </w:numPr>
        <w:spacing w:before="0" w:after="0"/>
        <w:ind w:hanging="357"/>
        <w:rPr>
          <w:rFonts w:cs="Arial"/>
          <w:b w:val="0"/>
          <w:bCs/>
        </w:rPr>
      </w:pPr>
      <w:r>
        <w:rPr>
          <w:rFonts w:cs="Arial"/>
          <w:b w:val="0"/>
          <w:bCs/>
        </w:rPr>
        <w:t>Cost of move to an all-electric cancer centre;</w:t>
      </w:r>
    </w:p>
    <w:p w14:paraId="1CCC5455" w14:textId="77777777" w:rsidR="0085010C" w:rsidRPr="00A917A9" w:rsidRDefault="0085010C" w:rsidP="000C1E64">
      <w:pPr>
        <w:pStyle w:val="ListParagraph"/>
        <w:numPr>
          <w:ilvl w:val="1"/>
          <w:numId w:val="24"/>
        </w:numPr>
        <w:spacing w:before="0" w:after="0"/>
        <w:ind w:hanging="357"/>
        <w:rPr>
          <w:rFonts w:cs="Arial"/>
          <w:bCs/>
        </w:rPr>
      </w:pPr>
      <w:r>
        <w:rPr>
          <w:rFonts w:cs="Arial"/>
          <w:b w:val="0"/>
          <w:bCs/>
        </w:rPr>
        <w:t>Digital</w:t>
      </w:r>
    </w:p>
    <w:p w14:paraId="65CBF268" w14:textId="77777777" w:rsidR="00042B87" w:rsidRDefault="00042B87" w:rsidP="00BD61B9">
      <w:pPr>
        <w:ind w:left="851" w:hanging="709"/>
        <w:rPr>
          <w:rFonts w:cs="Arial"/>
        </w:rPr>
      </w:pPr>
      <w:r>
        <w:rPr>
          <w:rFonts w:cs="Arial"/>
        </w:rPr>
        <w:t xml:space="preserve"> </w:t>
      </w:r>
    </w:p>
    <w:p w14:paraId="5C1F5C17" w14:textId="77777777" w:rsidR="00042B87" w:rsidRDefault="0085010C" w:rsidP="00BD61B9">
      <w:pPr>
        <w:ind w:left="851" w:hanging="709"/>
        <w:rPr>
          <w:rFonts w:cs="Arial"/>
        </w:rPr>
      </w:pPr>
      <w:r>
        <w:rPr>
          <w:rFonts w:cs="Arial"/>
        </w:rPr>
        <w:t>2.3</w:t>
      </w:r>
      <w:r w:rsidR="004928F5">
        <w:rPr>
          <w:rFonts w:cs="Arial"/>
        </w:rPr>
        <w:t>5</w:t>
      </w:r>
      <w:r>
        <w:rPr>
          <w:rFonts w:cs="Arial"/>
        </w:rPr>
        <w:tab/>
        <w:t xml:space="preserve">The updated FBC costs are set out below in Table 11. </w:t>
      </w:r>
    </w:p>
    <w:p w14:paraId="3A1CD62B" w14:textId="77777777" w:rsidR="00042B87" w:rsidRDefault="00042B87" w:rsidP="00BD61B9">
      <w:pPr>
        <w:ind w:left="851" w:hanging="709"/>
        <w:rPr>
          <w:rFonts w:cs="Arial"/>
        </w:rPr>
      </w:pPr>
    </w:p>
    <w:p w14:paraId="737DDF65" w14:textId="41D9C734" w:rsidR="006D7A49" w:rsidRDefault="006D7A49" w:rsidP="006D7A49">
      <w:pPr>
        <w:pStyle w:val="Caption"/>
        <w:keepNext/>
        <w:ind w:left="720" w:firstLine="131"/>
        <w:rPr>
          <w:iCs w:val="0"/>
          <w:color w:val="2F5496"/>
          <w:sz w:val="20"/>
          <w:szCs w:val="20"/>
        </w:rPr>
      </w:pPr>
    </w:p>
    <w:p w14:paraId="5ABBF32D" w14:textId="776CE4A7" w:rsidR="006D7A49" w:rsidRDefault="006D7A49" w:rsidP="006D7A49"/>
    <w:p w14:paraId="278CDCAC" w14:textId="77777777" w:rsidR="006D7A49" w:rsidRPr="006D7A49" w:rsidRDefault="006D7A49" w:rsidP="006D7A49"/>
    <w:p w14:paraId="5F00D635" w14:textId="77777777" w:rsidR="006D7A49" w:rsidRDefault="006D7A49" w:rsidP="006D7A49">
      <w:pPr>
        <w:pStyle w:val="Caption"/>
        <w:keepNext/>
        <w:ind w:left="720" w:firstLine="131"/>
        <w:rPr>
          <w:iCs w:val="0"/>
          <w:color w:val="2F5496"/>
          <w:sz w:val="20"/>
          <w:szCs w:val="20"/>
        </w:rPr>
      </w:pPr>
    </w:p>
    <w:p w14:paraId="4A7630FD" w14:textId="61FA6BA7" w:rsidR="0085010C" w:rsidRPr="006D7A49" w:rsidRDefault="0085010C" w:rsidP="006D7A49">
      <w:pPr>
        <w:pStyle w:val="Caption"/>
        <w:keepNext/>
        <w:ind w:left="720" w:firstLine="131"/>
        <w:rPr>
          <w:iCs w:val="0"/>
          <w:color w:val="2F5496"/>
          <w:sz w:val="20"/>
          <w:szCs w:val="20"/>
        </w:rPr>
      </w:pPr>
      <w:r w:rsidRPr="006D7A49">
        <w:rPr>
          <w:iCs w:val="0"/>
          <w:color w:val="2F5496"/>
          <w:sz w:val="20"/>
          <w:szCs w:val="20"/>
        </w:rPr>
        <w:t>Table 11 – FBC Recurring Revenue Costs</w:t>
      </w:r>
    </w:p>
    <w:tbl>
      <w:tblPr>
        <w:tblW w:w="11064" w:type="dxa"/>
        <w:tblInd w:w="-970" w:type="dxa"/>
        <w:tblBorders>
          <w:top w:val="single" w:sz="8" w:space="0" w:color="2F5496" w:themeColor="accent1" w:themeShade="BF"/>
          <w:left w:val="single" w:sz="8" w:space="0" w:color="2F5496" w:themeColor="accent1" w:themeShade="BF"/>
          <w:bottom w:val="single" w:sz="8" w:space="0" w:color="2F5496" w:themeColor="accent1" w:themeShade="BF"/>
          <w:right w:val="single" w:sz="8" w:space="0" w:color="2F5496" w:themeColor="accent1" w:themeShade="BF"/>
          <w:insideH w:val="single" w:sz="8" w:space="0" w:color="2F5496" w:themeColor="accent1" w:themeShade="BF"/>
          <w:insideV w:val="single" w:sz="8" w:space="0" w:color="2F5496" w:themeColor="accent1" w:themeShade="BF"/>
        </w:tblBorders>
        <w:tblLayout w:type="fixed"/>
        <w:tblLook w:val="04A0" w:firstRow="1" w:lastRow="0" w:firstColumn="1" w:lastColumn="0" w:noHBand="0" w:noVBand="1"/>
      </w:tblPr>
      <w:tblGrid>
        <w:gridCol w:w="2031"/>
        <w:gridCol w:w="1064"/>
        <w:gridCol w:w="1218"/>
        <w:gridCol w:w="1037"/>
        <w:gridCol w:w="939"/>
        <w:gridCol w:w="1184"/>
        <w:gridCol w:w="946"/>
        <w:gridCol w:w="1065"/>
        <w:gridCol w:w="1580"/>
      </w:tblGrid>
      <w:tr w:rsidR="007C44E4" w:rsidRPr="00150080" w14:paraId="640BCD5C" w14:textId="77777777" w:rsidTr="00CF0D6C">
        <w:trPr>
          <w:trHeight w:val="278"/>
        </w:trPr>
        <w:tc>
          <w:tcPr>
            <w:tcW w:w="2031" w:type="dxa"/>
            <w:tcBorders>
              <w:top w:val="single" w:sz="12" w:space="0" w:color="2F5496" w:themeColor="accent1" w:themeShade="BF"/>
              <w:left w:val="single" w:sz="12" w:space="0" w:color="2F5496" w:themeColor="accent1" w:themeShade="BF"/>
              <w:bottom w:val="single" w:sz="6" w:space="0" w:color="2F5496" w:themeColor="accent1" w:themeShade="BF"/>
              <w:right w:val="single" w:sz="6" w:space="0" w:color="2F5496" w:themeColor="accent1" w:themeShade="BF"/>
            </w:tcBorders>
            <w:shd w:val="clear" w:color="auto" w:fill="1F3864" w:themeFill="accent1" w:themeFillShade="80"/>
            <w:vAlign w:val="center"/>
          </w:tcPr>
          <w:p w14:paraId="334227C3" w14:textId="77777777" w:rsidR="007C44E4" w:rsidRPr="007C44E4" w:rsidRDefault="007C44E4" w:rsidP="007C44E4">
            <w:pPr>
              <w:tabs>
                <w:tab w:val="num" w:pos="1418"/>
              </w:tabs>
              <w:ind w:firstLine="64"/>
              <w:jc w:val="left"/>
              <w:rPr>
                <w:b/>
                <w:color w:val="FFFFFF" w:themeColor="background1"/>
                <w:sz w:val="18"/>
                <w:szCs w:val="18"/>
              </w:rPr>
            </w:pPr>
            <w:bookmarkStart w:id="2" w:name="_Hlk126244381"/>
            <w:r w:rsidRPr="007C44E4">
              <w:rPr>
                <w:b/>
                <w:color w:val="FFFFFF" w:themeColor="background1"/>
                <w:sz w:val="18"/>
                <w:szCs w:val="18"/>
              </w:rPr>
              <w:t>Cost Category</w:t>
            </w:r>
          </w:p>
        </w:tc>
        <w:tc>
          <w:tcPr>
            <w:tcW w:w="1064" w:type="dxa"/>
            <w:tcBorders>
              <w:top w:val="single" w:sz="12" w:space="0" w:color="2F5496" w:themeColor="accent1" w:themeShade="BF"/>
              <w:left w:val="single" w:sz="6" w:space="0" w:color="2F5496" w:themeColor="accent1" w:themeShade="BF"/>
              <w:bottom w:val="single" w:sz="6" w:space="0" w:color="2F5496" w:themeColor="accent1" w:themeShade="BF"/>
              <w:right w:val="single" w:sz="6" w:space="0" w:color="2F5496" w:themeColor="accent1" w:themeShade="BF"/>
            </w:tcBorders>
            <w:shd w:val="clear" w:color="auto" w:fill="1F3864" w:themeFill="accent1" w:themeFillShade="80"/>
          </w:tcPr>
          <w:p w14:paraId="0BFC331E" w14:textId="77777777" w:rsidR="007C44E4" w:rsidRPr="007C44E4" w:rsidRDefault="007C44E4" w:rsidP="007C44E4">
            <w:pPr>
              <w:jc w:val="center"/>
              <w:rPr>
                <w:b/>
                <w:color w:val="FFFFFF" w:themeColor="background1"/>
                <w:sz w:val="18"/>
                <w:szCs w:val="18"/>
              </w:rPr>
            </w:pPr>
            <w:r w:rsidRPr="007C44E4">
              <w:rPr>
                <w:b/>
                <w:color w:val="FFFFFF" w:themeColor="background1"/>
                <w:sz w:val="18"/>
                <w:szCs w:val="18"/>
              </w:rPr>
              <w:t>Original OBC</w:t>
            </w:r>
          </w:p>
        </w:tc>
        <w:tc>
          <w:tcPr>
            <w:tcW w:w="1218" w:type="dxa"/>
            <w:tcBorders>
              <w:top w:val="single" w:sz="12" w:space="0" w:color="2F5496" w:themeColor="accent1" w:themeShade="BF"/>
              <w:left w:val="single" w:sz="6" w:space="0" w:color="2F5496" w:themeColor="accent1" w:themeShade="BF"/>
              <w:bottom w:val="single" w:sz="6" w:space="0" w:color="2F5496" w:themeColor="accent1" w:themeShade="BF"/>
              <w:right w:val="single" w:sz="6" w:space="0" w:color="2F5496" w:themeColor="accent1" w:themeShade="BF"/>
            </w:tcBorders>
            <w:shd w:val="clear" w:color="auto" w:fill="1F3864" w:themeFill="accent1" w:themeFillShade="80"/>
          </w:tcPr>
          <w:p w14:paraId="6541C01E" w14:textId="77777777" w:rsidR="007C44E4" w:rsidRPr="007C44E4" w:rsidRDefault="007C44E4" w:rsidP="007C44E4">
            <w:pPr>
              <w:jc w:val="center"/>
              <w:rPr>
                <w:b/>
                <w:color w:val="FFFFFF" w:themeColor="background1"/>
                <w:sz w:val="18"/>
                <w:szCs w:val="18"/>
              </w:rPr>
            </w:pPr>
            <w:r w:rsidRPr="007C44E4">
              <w:rPr>
                <w:b/>
                <w:color w:val="FFFFFF" w:themeColor="background1"/>
                <w:sz w:val="18"/>
                <w:szCs w:val="18"/>
              </w:rPr>
              <w:t>Reduction OBC</w:t>
            </w:r>
          </w:p>
        </w:tc>
        <w:tc>
          <w:tcPr>
            <w:tcW w:w="1037" w:type="dxa"/>
            <w:tcBorders>
              <w:top w:val="single" w:sz="12" w:space="0" w:color="2F5496" w:themeColor="accent1" w:themeShade="BF"/>
              <w:left w:val="single" w:sz="6" w:space="0" w:color="2F5496" w:themeColor="accent1" w:themeShade="BF"/>
              <w:bottom w:val="single" w:sz="6" w:space="0" w:color="2F5496" w:themeColor="accent1" w:themeShade="BF"/>
              <w:right w:val="single" w:sz="6" w:space="0" w:color="2F5496" w:themeColor="accent1" w:themeShade="BF"/>
            </w:tcBorders>
            <w:shd w:val="clear" w:color="auto" w:fill="1F3864" w:themeFill="accent1" w:themeFillShade="80"/>
          </w:tcPr>
          <w:p w14:paraId="26741DE9" w14:textId="77777777" w:rsidR="007C44E4" w:rsidRPr="007C44E4" w:rsidRDefault="007C44E4" w:rsidP="007C44E4">
            <w:pPr>
              <w:jc w:val="center"/>
              <w:rPr>
                <w:b/>
                <w:color w:val="FFFFFF" w:themeColor="background1"/>
                <w:sz w:val="18"/>
                <w:szCs w:val="18"/>
              </w:rPr>
            </w:pPr>
            <w:r w:rsidRPr="007C44E4">
              <w:rPr>
                <w:b/>
                <w:color w:val="FFFFFF" w:themeColor="background1"/>
                <w:sz w:val="18"/>
                <w:szCs w:val="18"/>
              </w:rPr>
              <w:t>Adjusted OBC</w:t>
            </w:r>
          </w:p>
        </w:tc>
        <w:tc>
          <w:tcPr>
            <w:tcW w:w="939" w:type="dxa"/>
            <w:tcBorders>
              <w:top w:val="single" w:sz="12" w:space="0" w:color="2F5496" w:themeColor="accent1" w:themeShade="BF"/>
              <w:left w:val="single" w:sz="6" w:space="0" w:color="2F5496" w:themeColor="accent1" w:themeShade="BF"/>
              <w:bottom w:val="single" w:sz="6" w:space="0" w:color="2F5496" w:themeColor="accent1" w:themeShade="BF"/>
              <w:right w:val="single" w:sz="6" w:space="0" w:color="2F5496" w:themeColor="accent1" w:themeShade="BF"/>
            </w:tcBorders>
            <w:shd w:val="clear" w:color="auto" w:fill="1F3864" w:themeFill="accent1" w:themeFillShade="80"/>
          </w:tcPr>
          <w:p w14:paraId="4FAC3368" w14:textId="77777777" w:rsidR="007C44E4" w:rsidRPr="007C44E4" w:rsidRDefault="007C44E4" w:rsidP="007C44E4">
            <w:pPr>
              <w:jc w:val="center"/>
              <w:rPr>
                <w:b/>
                <w:color w:val="FFFFFF" w:themeColor="background1"/>
                <w:sz w:val="18"/>
                <w:szCs w:val="18"/>
              </w:rPr>
            </w:pPr>
            <w:r w:rsidRPr="007C44E4">
              <w:rPr>
                <w:b/>
                <w:color w:val="FFFFFF" w:themeColor="background1"/>
                <w:sz w:val="18"/>
                <w:szCs w:val="18"/>
              </w:rPr>
              <w:t>OBC Inflated</w:t>
            </w:r>
          </w:p>
        </w:tc>
        <w:tc>
          <w:tcPr>
            <w:tcW w:w="1184" w:type="dxa"/>
            <w:tcBorders>
              <w:top w:val="single" w:sz="12" w:space="0" w:color="2F5496" w:themeColor="accent1" w:themeShade="BF"/>
              <w:left w:val="single" w:sz="6" w:space="0" w:color="2F5496" w:themeColor="accent1" w:themeShade="BF"/>
              <w:bottom w:val="single" w:sz="6" w:space="0" w:color="2F5496" w:themeColor="accent1" w:themeShade="BF"/>
              <w:right w:val="single" w:sz="6" w:space="0" w:color="2F5496" w:themeColor="accent1" w:themeShade="BF"/>
            </w:tcBorders>
            <w:shd w:val="clear" w:color="auto" w:fill="1F3864" w:themeFill="accent1" w:themeFillShade="80"/>
          </w:tcPr>
          <w:p w14:paraId="1C3D0CBA" w14:textId="77777777" w:rsidR="007C44E4" w:rsidRPr="007C44E4" w:rsidRDefault="007C44E4" w:rsidP="007C44E4">
            <w:pPr>
              <w:jc w:val="center"/>
              <w:rPr>
                <w:b/>
                <w:color w:val="FFFFFF" w:themeColor="background1"/>
                <w:sz w:val="18"/>
                <w:szCs w:val="18"/>
              </w:rPr>
            </w:pPr>
            <w:r w:rsidRPr="007C44E4">
              <w:rPr>
                <w:b/>
                <w:color w:val="FFFFFF" w:themeColor="background1"/>
                <w:sz w:val="18"/>
                <w:szCs w:val="18"/>
              </w:rPr>
              <w:t>New Investment</w:t>
            </w:r>
          </w:p>
        </w:tc>
        <w:tc>
          <w:tcPr>
            <w:tcW w:w="946" w:type="dxa"/>
            <w:tcBorders>
              <w:top w:val="single" w:sz="12" w:space="0" w:color="2F5496" w:themeColor="accent1" w:themeShade="BF"/>
              <w:left w:val="single" w:sz="6" w:space="0" w:color="2F5496" w:themeColor="accent1" w:themeShade="BF"/>
              <w:bottom w:val="single" w:sz="6" w:space="0" w:color="2F5496" w:themeColor="accent1" w:themeShade="BF"/>
              <w:right w:val="single" w:sz="6" w:space="0" w:color="2F5496" w:themeColor="accent1" w:themeShade="BF"/>
            </w:tcBorders>
            <w:shd w:val="clear" w:color="auto" w:fill="1F3864" w:themeFill="accent1" w:themeFillShade="80"/>
          </w:tcPr>
          <w:p w14:paraId="6D1DFD48" w14:textId="77777777" w:rsidR="007C44E4" w:rsidRPr="007C44E4" w:rsidRDefault="007C44E4" w:rsidP="007C44E4">
            <w:pPr>
              <w:jc w:val="center"/>
              <w:rPr>
                <w:b/>
                <w:color w:val="FFFFFF" w:themeColor="background1"/>
                <w:sz w:val="18"/>
                <w:szCs w:val="18"/>
              </w:rPr>
            </w:pPr>
            <w:r w:rsidRPr="007C44E4">
              <w:rPr>
                <w:b/>
                <w:color w:val="FFFFFF" w:themeColor="background1"/>
                <w:sz w:val="18"/>
                <w:szCs w:val="18"/>
              </w:rPr>
              <w:t>Other</w:t>
            </w:r>
          </w:p>
        </w:tc>
        <w:tc>
          <w:tcPr>
            <w:tcW w:w="1065" w:type="dxa"/>
            <w:tcBorders>
              <w:top w:val="single" w:sz="12" w:space="0" w:color="2F5496" w:themeColor="accent1" w:themeShade="BF"/>
              <w:left w:val="single" w:sz="6" w:space="0" w:color="2F5496" w:themeColor="accent1" w:themeShade="BF"/>
              <w:bottom w:val="single" w:sz="6" w:space="0" w:color="2F5496" w:themeColor="accent1" w:themeShade="BF"/>
              <w:right w:val="single" w:sz="6" w:space="0" w:color="2F5496" w:themeColor="accent1" w:themeShade="BF"/>
            </w:tcBorders>
            <w:shd w:val="clear" w:color="auto" w:fill="1F3864" w:themeFill="accent1" w:themeFillShade="80"/>
          </w:tcPr>
          <w:p w14:paraId="328A9876" w14:textId="77777777" w:rsidR="007C44E4" w:rsidRPr="007C44E4" w:rsidRDefault="007C44E4" w:rsidP="007C44E4">
            <w:pPr>
              <w:jc w:val="center"/>
              <w:rPr>
                <w:b/>
                <w:color w:val="FFFFFF" w:themeColor="background1"/>
                <w:sz w:val="18"/>
                <w:szCs w:val="18"/>
              </w:rPr>
            </w:pPr>
            <w:r w:rsidRPr="007C44E4">
              <w:rPr>
                <w:b/>
                <w:color w:val="FFFFFF" w:themeColor="background1"/>
                <w:sz w:val="18"/>
                <w:szCs w:val="18"/>
              </w:rPr>
              <w:t>TOTAL</w:t>
            </w:r>
          </w:p>
        </w:tc>
        <w:tc>
          <w:tcPr>
            <w:tcW w:w="1580" w:type="dxa"/>
            <w:tcBorders>
              <w:top w:val="single" w:sz="12" w:space="0" w:color="2F5496" w:themeColor="accent1" w:themeShade="BF"/>
              <w:left w:val="single" w:sz="6" w:space="0" w:color="2F5496" w:themeColor="accent1" w:themeShade="BF"/>
              <w:bottom w:val="single" w:sz="6" w:space="0" w:color="2F5496" w:themeColor="accent1" w:themeShade="BF"/>
              <w:right w:val="single" w:sz="12" w:space="0" w:color="2F5496" w:themeColor="accent1" w:themeShade="BF"/>
            </w:tcBorders>
            <w:shd w:val="clear" w:color="auto" w:fill="1F3864" w:themeFill="accent1" w:themeFillShade="80"/>
            <w:tcMar>
              <w:left w:w="43" w:type="dxa"/>
              <w:right w:w="43" w:type="dxa"/>
            </w:tcMar>
          </w:tcPr>
          <w:p w14:paraId="0A07B086" w14:textId="77777777" w:rsidR="007C44E4" w:rsidRPr="007C44E4" w:rsidRDefault="007C44E4" w:rsidP="007C44E4">
            <w:pPr>
              <w:jc w:val="center"/>
              <w:rPr>
                <w:b/>
                <w:color w:val="FFFFFF" w:themeColor="background1"/>
                <w:sz w:val="18"/>
                <w:szCs w:val="18"/>
              </w:rPr>
            </w:pPr>
            <w:r>
              <w:rPr>
                <w:b/>
                <w:color w:val="FFFFFF" w:themeColor="background1"/>
                <w:sz w:val="18"/>
                <w:szCs w:val="18"/>
              </w:rPr>
              <w:t>Funding Source</w:t>
            </w:r>
          </w:p>
        </w:tc>
      </w:tr>
      <w:tr w:rsidR="00582D55" w:rsidRPr="00150080" w14:paraId="4AC32FFB" w14:textId="77777777" w:rsidTr="00CF0D6C">
        <w:trPr>
          <w:trHeight w:val="278"/>
        </w:trPr>
        <w:tc>
          <w:tcPr>
            <w:tcW w:w="2031" w:type="dxa"/>
            <w:tcBorders>
              <w:top w:val="single" w:sz="6" w:space="0" w:color="2F5496" w:themeColor="accent1" w:themeShade="BF"/>
              <w:left w:val="single" w:sz="12" w:space="0" w:color="2F5496" w:themeColor="accent1" w:themeShade="BF"/>
              <w:bottom w:val="single" w:sz="6" w:space="0" w:color="2F5496" w:themeColor="accent1" w:themeShade="BF"/>
              <w:right w:val="single" w:sz="6" w:space="0" w:color="2F5496" w:themeColor="accent1" w:themeShade="BF"/>
            </w:tcBorders>
            <w:shd w:val="clear" w:color="auto" w:fill="1F3864" w:themeFill="accent1" w:themeFillShade="80"/>
            <w:vAlign w:val="center"/>
          </w:tcPr>
          <w:p w14:paraId="33D2239B" w14:textId="77777777" w:rsidR="00582D55" w:rsidRPr="007C44E4" w:rsidRDefault="00582D55" w:rsidP="00582D55">
            <w:pPr>
              <w:tabs>
                <w:tab w:val="num" w:pos="1418"/>
              </w:tabs>
              <w:ind w:firstLine="64"/>
              <w:jc w:val="left"/>
              <w:rPr>
                <w:b/>
                <w:sz w:val="18"/>
                <w:szCs w:val="18"/>
              </w:rPr>
            </w:pPr>
          </w:p>
        </w:tc>
        <w:tc>
          <w:tcPr>
            <w:tcW w:w="1064" w:type="dxa"/>
            <w:tcBorders>
              <w:top w:val="single" w:sz="6" w:space="0" w:color="2F5496" w:themeColor="accent1" w:themeShade="BF"/>
              <w:left w:val="single" w:sz="6" w:space="0" w:color="2F5496" w:themeColor="accent1" w:themeShade="BF"/>
              <w:bottom w:val="single" w:sz="6" w:space="0" w:color="2F5496" w:themeColor="accent1" w:themeShade="BF"/>
              <w:right w:val="single" w:sz="6" w:space="0" w:color="2F5496" w:themeColor="accent1" w:themeShade="BF"/>
            </w:tcBorders>
            <w:shd w:val="clear" w:color="auto" w:fill="1F3864" w:themeFill="accent1" w:themeFillShade="80"/>
            <w:vAlign w:val="center"/>
          </w:tcPr>
          <w:p w14:paraId="1FACBB57" w14:textId="77777777" w:rsidR="00582D55" w:rsidRPr="007C44E4" w:rsidRDefault="00582D55" w:rsidP="00582D55">
            <w:pPr>
              <w:jc w:val="center"/>
              <w:rPr>
                <w:b/>
                <w:color w:val="FFFFFF" w:themeColor="background1"/>
                <w:sz w:val="18"/>
                <w:szCs w:val="18"/>
              </w:rPr>
            </w:pPr>
            <w:r w:rsidRPr="007C44E4">
              <w:rPr>
                <w:b/>
                <w:color w:val="FFFFFF" w:themeColor="background1"/>
                <w:sz w:val="18"/>
                <w:szCs w:val="18"/>
              </w:rPr>
              <w:t>£000</w:t>
            </w:r>
          </w:p>
        </w:tc>
        <w:tc>
          <w:tcPr>
            <w:tcW w:w="1218" w:type="dxa"/>
            <w:tcBorders>
              <w:top w:val="single" w:sz="6" w:space="0" w:color="2F5496" w:themeColor="accent1" w:themeShade="BF"/>
              <w:left w:val="single" w:sz="6" w:space="0" w:color="2F5496" w:themeColor="accent1" w:themeShade="BF"/>
              <w:bottom w:val="single" w:sz="6" w:space="0" w:color="2F5496" w:themeColor="accent1" w:themeShade="BF"/>
              <w:right w:val="single" w:sz="6" w:space="0" w:color="2F5496" w:themeColor="accent1" w:themeShade="BF"/>
            </w:tcBorders>
            <w:shd w:val="clear" w:color="auto" w:fill="1F3864" w:themeFill="accent1" w:themeFillShade="80"/>
            <w:vAlign w:val="center"/>
          </w:tcPr>
          <w:p w14:paraId="409BBDC4" w14:textId="77777777" w:rsidR="00582D55" w:rsidRPr="007C44E4" w:rsidRDefault="00582D55" w:rsidP="00582D55">
            <w:pPr>
              <w:jc w:val="center"/>
              <w:rPr>
                <w:b/>
                <w:color w:val="FFFFFF" w:themeColor="background1"/>
                <w:sz w:val="18"/>
                <w:szCs w:val="18"/>
              </w:rPr>
            </w:pPr>
            <w:r w:rsidRPr="007C44E4">
              <w:rPr>
                <w:b/>
                <w:color w:val="FFFFFF" w:themeColor="background1"/>
                <w:sz w:val="18"/>
                <w:szCs w:val="18"/>
              </w:rPr>
              <w:t>£000</w:t>
            </w:r>
          </w:p>
        </w:tc>
        <w:tc>
          <w:tcPr>
            <w:tcW w:w="1037" w:type="dxa"/>
            <w:tcBorders>
              <w:top w:val="single" w:sz="6" w:space="0" w:color="2F5496" w:themeColor="accent1" w:themeShade="BF"/>
              <w:left w:val="single" w:sz="6" w:space="0" w:color="2F5496" w:themeColor="accent1" w:themeShade="BF"/>
              <w:bottom w:val="single" w:sz="6" w:space="0" w:color="2F5496" w:themeColor="accent1" w:themeShade="BF"/>
              <w:right w:val="single" w:sz="6" w:space="0" w:color="2F5496" w:themeColor="accent1" w:themeShade="BF"/>
            </w:tcBorders>
            <w:shd w:val="clear" w:color="auto" w:fill="1F3864" w:themeFill="accent1" w:themeFillShade="80"/>
            <w:vAlign w:val="center"/>
          </w:tcPr>
          <w:p w14:paraId="31CBD4C8" w14:textId="77777777" w:rsidR="00582D55" w:rsidRPr="007C44E4" w:rsidRDefault="00582D55" w:rsidP="00582D55">
            <w:pPr>
              <w:jc w:val="center"/>
              <w:rPr>
                <w:b/>
                <w:color w:val="FFFFFF" w:themeColor="background1"/>
                <w:sz w:val="18"/>
                <w:szCs w:val="18"/>
              </w:rPr>
            </w:pPr>
            <w:r w:rsidRPr="007C44E4">
              <w:rPr>
                <w:b/>
                <w:color w:val="FFFFFF" w:themeColor="background1"/>
                <w:sz w:val="18"/>
                <w:szCs w:val="18"/>
              </w:rPr>
              <w:t>£000</w:t>
            </w:r>
          </w:p>
        </w:tc>
        <w:tc>
          <w:tcPr>
            <w:tcW w:w="939" w:type="dxa"/>
            <w:tcBorders>
              <w:top w:val="single" w:sz="6" w:space="0" w:color="2F5496" w:themeColor="accent1" w:themeShade="BF"/>
              <w:left w:val="single" w:sz="6" w:space="0" w:color="2F5496" w:themeColor="accent1" w:themeShade="BF"/>
              <w:bottom w:val="single" w:sz="6" w:space="0" w:color="2F5496" w:themeColor="accent1" w:themeShade="BF"/>
              <w:right w:val="single" w:sz="6" w:space="0" w:color="2F5496" w:themeColor="accent1" w:themeShade="BF"/>
            </w:tcBorders>
            <w:shd w:val="clear" w:color="auto" w:fill="1F3864" w:themeFill="accent1" w:themeFillShade="80"/>
            <w:vAlign w:val="center"/>
          </w:tcPr>
          <w:p w14:paraId="73AEC88E" w14:textId="77777777" w:rsidR="00582D55" w:rsidRPr="007C44E4" w:rsidRDefault="00582D55" w:rsidP="00582D55">
            <w:pPr>
              <w:jc w:val="center"/>
              <w:rPr>
                <w:b/>
                <w:color w:val="FFFFFF" w:themeColor="background1"/>
                <w:sz w:val="18"/>
                <w:szCs w:val="18"/>
              </w:rPr>
            </w:pPr>
            <w:r w:rsidRPr="007C44E4">
              <w:rPr>
                <w:b/>
                <w:color w:val="FFFFFF" w:themeColor="background1"/>
                <w:sz w:val="18"/>
                <w:szCs w:val="18"/>
              </w:rPr>
              <w:t>£000</w:t>
            </w:r>
          </w:p>
        </w:tc>
        <w:tc>
          <w:tcPr>
            <w:tcW w:w="1184" w:type="dxa"/>
            <w:tcBorders>
              <w:top w:val="single" w:sz="6" w:space="0" w:color="2F5496" w:themeColor="accent1" w:themeShade="BF"/>
              <w:left w:val="single" w:sz="6" w:space="0" w:color="2F5496" w:themeColor="accent1" w:themeShade="BF"/>
              <w:bottom w:val="single" w:sz="6" w:space="0" w:color="2F5496" w:themeColor="accent1" w:themeShade="BF"/>
              <w:right w:val="single" w:sz="6" w:space="0" w:color="2F5496" w:themeColor="accent1" w:themeShade="BF"/>
            </w:tcBorders>
            <w:shd w:val="clear" w:color="auto" w:fill="1F3864" w:themeFill="accent1" w:themeFillShade="80"/>
            <w:vAlign w:val="center"/>
          </w:tcPr>
          <w:p w14:paraId="1350EFDE" w14:textId="77777777" w:rsidR="00582D55" w:rsidRPr="007C44E4" w:rsidRDefault="00582D55" w:rsidP="00582D55">
            <w:pPr>
              <w:jc w:val="center"/>
              <w:rPr>
                <w:b/>
                <w:color w:val="FFFFFF" w:themeColor="background1"/>
                <w:sz w:val="18"/>
                <w:szCs w:val="18"/>
              </w:rPr>
            </w:pPr>
            <w:r w:rsidRPr="007C44E4">
              <w:rPr>
                <w:b/>
                <w:color w:val="FFFFFF" w:themeColor="background1"/>
                <w:sz w:val="18"/>
                <w:szCs w:val="18"/>
              </w:rPr>
              <w:t>£000</w:t>
            </w:r>
          </w:p>
        </w:tc>
        <w:tc>
          <w:tcPr>
            <w:tcW w:w="946" w:type="dxa"/>
            <w:tcBorders>
              <w:top w:val="single" w:sz="6" w:space="0" w:color="2F5496" w:themeColor="accent1" w:themeShade="BF"/>
              <w:left w:val="single" w:sz="6" w:space="0" w:color="2F5496" w:themeColor="accent1" w:themeShade="BF"/>
              <w:bottom w:val="single" w:sz="6" w:space="0" w:color="2F5496" w:themeColor="accent1" w:themeShade="BF"/>
              <w:right w:val="single" w:sz="6" w:space="0" w:color="2F5496" w:themeColor="accent1" w:themeShade="BF"/>
            </w:tcBorders>
            <w:shd w:val="clear" w:color="auto" w:fill="1F3864" w:themeFill="accent1" w:themeFillShade="80"/>
            <w:vAlign w:val="center"/>
          </w:tcPr>
          <w:p w14:paraId="230EC9ED" w14:textId="77777777" w:rsidR="00582D55" w:rsidRPr="007C44E4" w:rsidRDefault="00582D55" w:rsidP="00582D55">
            <w:pPr>
              <w:jc w:val="center"/>
              <w:rPr>
                <w:b/>
                <w:color w:val="FFFFFF" w:themeColor="background1"/>
                <w:sz w:val="18"/>
                <w:szCs w:val="18"/>
              </w:rPr>
            </w:pPr>
            <w:r w:rsidRPr="007C44E4">
              <w:rPr>
                <w:b/>
                <w:color w:val="FFFFFF" w:themeColor="background1"/>
                <w:sz w:val="18"/>
                <w:szCs w:val="18"/>
              </w:rPr>
              <w:t>£000</w:t>
            </w:r>
          </w:p>
        </w:tc>
        <w:tc>
          <w:tcPr>
            <w:tcW w:w="1065" w:type="dxa"/>
            <w:tcBorders>
              <w:top w:val="single" w:sz="6" w:space="0" w:color="2F5496" w:themeColor="accent1" w:themeShade="BF"/>
              <w:left w:val="single" w:sz="6" w:space="0" w:color="2F5496" w:themeColor="accent1" w:themeShade="BF"/>
              <w:bottom w:val="single" w:sz="6" w:space="0" w:color="2F5496" w:themeColor="accent1" w:themeShade="BF"/>
              <w:right w:val="single" w:sz="6" w:space="0" w:color="2F5496" w:themeColor="accent1" w:themeShade="BF"/>
            </w:tcBorders>
            <w:shd w:val="clear" w:color="auto" w:fill="1F3864" w:themeFill="accent1" w:themeFillShade="80"/>
            <w:vAlign w:val="center"/>
          </w:tcPr>
          <w:p w14:paraId="09655E5F" w14:textId="77777777" w:rsidR="00582D55" w:rsidRPr="007C44E4" w:rsidRDefault="00582D55" w:rsidP="00582D55">
            <w:pPr>
              <w:jc w:val="center"/>
              <w:rPr>
                <w:b/>
                <w:color w:val="FFFFFF" w:themeColor="background1"/>
                <w:sz w:val="18"/>
                <w:szCs w:val="18"/>
              </w:rPr>
            </w:pPr>
            <w:r w:rsidRPr="007C44E4">
              <w:rPr>
                <w:b/>
                <w:color w:val="FFFFFF" w:themeColor="background1"/>
                <w:sz w:val="18"/>
                <w:szCs w:val="18"/>
              </w:rPr>
              <w:t>£000</w:t>
            </w:r>
          </w:p>
        </w:tc>
        <w:tc>
          <w:tcPr>
            <w:tcW w:w="1580" w:type="dxa"/>
            <w:tcBorders>
              <w:top w:val="single" w:sz="6" w:space="0" w:color="2F5496" w:themeColor="accent1" w:themeShade="BF"/>
              <w:left w:val="single" w:sz="6" w:space="0" w:color="2F5496" w:themeColor="accent1" w:themeShade="BF"/>
              <w:bottom w:val="single" w:sz="6" w:space="0" w:color="2F5496" w:themeColor="accent1" w:themeShade="BF"/>
              <w:right w:val="single" w:sz="12" w:space="0" w:color="2F5496" w:themeColor="accent1" w:themeShade="BF"/>
            </w:tcBorders>
            <w:shd w:val="clear" w:color="auto" w:fill="1F3864" w:themeFill="accent1" w:themeFillShade="80"/>
            <w:vAlign w:val="center"/>
          </w:tcPr>
          <w:p w14:paraId="10E20AC0" w14:textId="77777777" w:rsidR="00582D55" w:rsidRPr="007C44E4" w:rsidRDefault="00582D55" w:rsidP="00582D55">
            <w:pPr>
              <w:jc w:val="center"/>
              <w:rPr>
                <w:b/>
                <w:color w:val="FFFFFF" w:themeColor="background1"/>
                <w:sz w:val="18"/>
                <w:szCs w:val="18"/>
              </w:rPr>
            </w:pPr>
          </w:p>
        </w:tc>
      </w:tr>
      <w:tr w:rsidR="007C44E4" w:rsidRPr="0002703C" w14:paraId="4B1972CF" w14:textId="77777777" w:rsidTr="002820A9">
        <w:trPr>
          <w:trHeight w:val="278"/>
        </w:trPr>
        <w:tc>
          <w:tcPr>
            <w:tcW w:w="2031" w:type="dxa"/>
            <w:tcBorders>
              <w:top w:val="single" w:sz="6" w:space="0" w:color="2F5496" w:themeColor="accent1" w:themeShade="BF"/>
              <w:left w:val="single" w:sz="12" w:space="0" w:color="2F5496" w:themeColor="accent1" w:themeShade="BF"/>
              <w:bottom w:val="single" w:sz="6" w:space="0" w:color="2F5496" w:themeColor="accent1" w:themeShade="BF"/>
              <w:right w:val="single" w:sz="6" w:space="0" w:color="2F5496" w:themeColor="accent1" w:themeShade="BF"/>
            </w:tcBorders>
            <w:shd w:val="clear" w:color="auto" w:fill="D9E2F3" w:themeFill="accent1" w:themeFillTint="33"/>
            <w:vAlign w:val="center"/>
          </w:tcPr>
          <w:p w14:paraId="3D148DEB" w14:textId="77777777" w:rsidR="007C44E4" w:rsidRPr="007C44E4" w:rsidRDefault="007C44E4" w:rsidP="007C44E4">
            <w:pPr>
              <w:rPr>
                <w:bCs/>
                <w:sz w:val="18"/>
                <w:szCs w:val="18"/>
              </w:rPr>
            </w:pPr>
            <w:r w:rsidRPr="007C44E4">
              <w:rPr>
                <w:bCs/>
                <w:sz w:val="18"/>
                <w:szCs w:val="18"/>
              </w:rPr>
              <w:t>Soft FM</w:t>
            </w:r>
          </w:p>
        </w:tc>
        <w:tc>
          <w:tcPr>
            <w:tcW w:w="1064" w:type="dxa"/>
            <w:tcBorders>
              <w:top w:val="single" w:sz="6" w:space="0" w:color="2F5496" w:themeColor="accent1" w:themeShade="BF"/>
              <w:left w:val="single" w:sz="6" w:space="0" w:color="2F5496" w:themeColor="accent1" w:themeShade="BF"/>
              <w:bottom w:val="single" w:sz="6" w:space="0" w:color="2F5496" w:themeColor="accent1" w:themeShade="BF"/>
              <w:right w:val="single" w:sz="6" w:space="0" w:color="2F5496" w:themeColor="accent1" w:themeShade="BF"/>
            </w:tcBorders>
            <w:vAlign w:val="center"/>
          </w:tcPr>
          <w:p w14:paraId="58955320" w14:textId="77777777" w:rsidR="007C44E4" w:rsidRPr="007C44E4" w:rsidRDefault="007C44E4" w:rsidP="007C44E4">
            <w:pPr>
              <w:jc w:val="right"/>
              <w:rPr>
                <w:bCs/>
                <w:sz w:val="18"/>
                <w:szCs w:val="18"/>
              </w:rPr>
            </w:pPr>
            <w:r w:rsidRPr="007C44E4">
              <w:rPr>
                <w:sz w:val="18"/>
                <w:szCs w:val="18"/>
              </w:rPr>
              <w:t>2,126</w:t>
            </w:r>
          </w:p>
        </w:tc>
        <w:tc>
          <w:tcPr>
            <w:tcW w:w="1218" w:type="dxa"/>
            <w:tcBorders>
              <w:top w:val="single" w:sz="6" w:space="0" w:color="2F5496" w:themeColor="accent1" w:themeShade="BF"/>
              <w:left w:val="single" w:sz="6" w:space="0" w:color="2F5496" w:themeColor="accent1" w:themeShade="BF"/>
              <w:bottom w:val="single" w:sz="6" w:space="0" w:color="2F5496" w:themeColor="accent1" w:themeShade="BF"/>
              <w:right w:val="single" w:sz="6" w:space="0" w:color="2F5496" w:themeColor="accent1" w:themeShade="BF"/>
            </w:tcBorders>
            <w:vAlign w:val="center"/>
          </w:tcPr>
          <w:p w14:paraId="73A2DBE5" w14:textId="77777777" w:rsidR="007C44E4" w:rsidRPr="007C44E4" w:rsidRDefault="007C44E4" w:rsidP="007C44E4">
            <w:pPr>
              <w:jc w:val="right"/>
              <w:rPr>
                <w:bCs/>
                <w:sz w:val="18"/>
                <w:szCs w:val="18"/>
              </w:rPr>
            </w:pPr>
            <w:r w:rsidRPr="007C44E4">
              <w:rPr>
                <w:sz w:val="18"/>
                <w:szCs w:val="18"/>
              </w:rPr>
              <w:t>0</w:t>
            </w:r>
          </w:p>
        </w:tc>
        <w:tc>
          <w:tcPr>
            <w:tcW w:w="1037" w:type="dxa"/>
            <w:tcBorders>
              <w:top w:val="single" w:sz="6" w:space="0" w:color="2F5496" w:themeColor="accent1" w:themeShade="BF"/>
              <w:left w:val="single" w:sz="6" w:space="0" w:color="2F5496" w:themeColor="accent1" w:themeShade="BF"/>
              <w:bottom w:val="single" w:sz="6" w:space="0" w:color="2F5496" w:themeColor="accent1" w:themeShade="BF"/>
              <w:right w:val="single" w:sz="6" w:space="0" w:color="2F5496" w:themeColor="accent1" w:themeShade="BF"/>
            </w:tcBorders>
            <w:shd w:val="clear" w:color="auto" w:fill="auto"/>
            <w:vAlign w:val="center"/>
          </w:tcPr>
          <w:p w14:paraId="49DAE843" w14:textId="77777777" w:rsidR="007C44E4" w:rsidRPr="007C44E4" w:rsidRDefault="007C44E4" w:rsidP="007C44E4">
            <w:pPr>
              <w:jc w:val="right"/>
              <w:rPr>
                <w:bCs/>
                <w:sz w:val="18"/>
                <w:szCs w:val="18"/>
              </w:rPr>
            </w:pPr>
            <w:r w:rsidRPr="007C44E4">
              <w:rPr>
                <w:sz w:val="18"/>
                <w:szCs w:val="18"/>
              </w:rPr>
              <w:t>2,126</w:t>
            </w:r>
          </w:p>
        </w:tc>
        <w:tc>
          <w:tcPr>
            <w:tcW w:w="939" w:type="dxa"/>
            <w:tcBorders>
              <w:top w:val="single" w:sz="6" w:space="0" w:color="2F5496" w:themeColor="accent1" w:themeShade="BF"/>
              <w:left w:val="single" w:sz="6" w:space="0" w:color="2F5496" w:themeColor="accent1" w:themeShade="BF"/>
              <w:bottom w:val="single" w:sz="6" w:space="0" w:color="2F5496" w:themeColor="accent1" w:themeShade="BF"/>
              <w:right w:val="single" w:sz="6" w:space="0" w:color="2F5496" w:themeColor="accent1" w:themeShade="BF"/>
            </w:tcBorders>
            <w:vAlign w:val="center"/>
          </w:tcPr>
          <w:p w14:paraId="6E0D26C8" w14:textId="77777777" w:rsidR="007C44E4" w:rsidRPr="007C44E4" w:rsidRDefault="007C44E4" w:rsidP="007C44E4">
            <w:pPr>
              <w:jc w:val="right"/>
              <w:rPr>
                <w:bCs/>
                <w:sz w:val="18"/>
                <w:szCs w:val="18"/>
              </w:rPr>
            </w:pPr>
            <w:r w:rsidRPr="007C44E4">
              <w:rPr>
                <w:sz w:val="18"/>
                <w:szCs w:val="18"/>
              </w:rPr>
              <w:t>558</w:t>
            </w:r>
          </w:p>
        </w:tc>
        <w:tc>
          <w:tcPr>
            <w:tcW w:w="1184" w:type="dxa"/>
            <w:tcBorders>
              <w:top w:val="single" w:sz="6" w:space="0" w:color="2F5496" w:themeColor="accent1" w:themeShade="BF"/>
              <w:left w:val="single" w:sz="6" w:space="0" w:color="2F5496" w:themeColor="accent1" w:themeShade="BF"/>
              <w:bottom w:val="single" w:sz="6" w:space="0" w:color="2F5496" w:themeColor="accent1" w:themeShade="BF"/>
              <w:right w:val="single" w:sz="6" w:space="0" w:color="2F5496" w:themeColor="accent1" w:themeShade="BF"/>
            </w:tcBorders>
            <w:vAlign w:val="center"/>
          </w:tcPr>
          <w:p w14:paraId="0995BBB3" w14:textId="77777777" w:rsidR="007C44E4" w:rsidRPr="007C44E4" w:rsidRDefault="007C44E4" w:rsidP="007C44E4">
            <w:pPr>
              <w:jc w:val="right"/>
              <w:rPr>
                <w:bCs/>
                <w:sz w:val="18"/>
                <w:szCs w:val="18"/>
              </w:rPr>
            </w:pPr>
            <w:r w:rsidRPr="007C44E4">
              <w:rPr>
                <w:sz w:val="18"/>
                <w:szCs w:val="18"/>
              </w:rPr>
              <w:t>0</w:t>
            </w:r>
          </w:p>
        </w:tc>
        <w:tc>
          <w:tcPr>
            <w:tcW w:w="946" w:type="dxa"/>
            <w:tcBorders>
              <w:top w:val="single" w:sz="6" w:space="0" w:color="2F5496" w:themeColor="accent1" w:themeShade="BF"/>
              <w:left w:val="single" w:sz="6" w:space="0" w:color="2F5496" w:themeColor="accent1" w:themeShade="BF"/>
              <w:bottom w:val="single" w:sz="6" w:space="0" w:color="2F5496" w:themeColor="accent1" w:themeShade="BF"/>
              <w:right w:val="single" w:sz="6" w:space="0" w:color="2F5496" w:themeColor="accent1" w:themeShade="BF"/>
            </w:tcBorders>
            <w:vAlign w:val="center"/>
          </w:tcPr>
          <w:p w14:paraId="504E6B03" w14:textId="77777777" w:rsidR="007C44E4" w:rsidRPr="007C44E4" w:rsidRDefault="007C44E4" w:rsidP="007C44E4">
            <w:pPr>
              <w:jc w:val="right"/>
              <w:rPr>
                <w:bCs/>
                <w:sz w:val="18"/>
                <w:szCs w:val="18"/>
              </w:rPr>
            </w:pPr>
            <w:r w:rsidRPr="007C44E4">
              <w:rPr>
                <w:sz w:val="18"/>
                <w:szCs w:val="18"/>
              </w:rPr>
              <w:t>221</w:t>
            </w:r>
          </w:p>
        </w:tc>
        <w:tc>
          <w:tcPr>
            <w:tcW w:w="1065" w:type="dxa"/>
            <w:tcBorders>
              <w:top w:val="single" w:sz="6" w:space="0" w:color="2F5496" w:themeColor="accent1" w:themeShade="BF"/>
              <w:left w:val="single" w:sz="6" w:space="0" w:color="2F5496" w:themeColor="accent1" w:themeShade="BF"/>
              <w:bottom w:val="single" w:sz="6" w:space="0" w:color="2F5496" w:themeColor="accent1" w:themeShade="BF"/>
              <w:right w:val="single" w:sz="6" w:space="0" w:color="2F5496" w:themeColor="accent1" w:themeShade="BF"/>
            </w:tcBorders>
            <w:shd w:val="clear" w:color="auto" w:fill="auto"/>
            <w:vAlign w:val="center"/>
          </w:tcPr>
          <w:p w14:paraId="6B6C39A3" w14:textId="77777777" w:rsidR="007C44E4" w:rsidRPr="007C44E4" w:rsidRDefault="007C44E4" w:rsidP="007C44E4">
            <w:pPr>
              <w:jc w:val="right"/>
              <w:rPr>
                <w:b/>
                <w:bCs/>
                <w:sz w:val="18"/>
                <w:szCs w:val="18"/>
              </w:rPr>
            </w:pPr>
            <w:r w:rsidRPr="007C44E4">
              <w:rPr>
                <w:b/>
                <w:bCs/>
                <w:sz w:val="18"/>
                <w:szCs w:val="18"/>
              </w:rPr>
              <w:t>2,905</w:t>
            </w:r>
          </w:p>
        </w:tc>
        <w:tc>
          <w:tcPr>
            <w:tcW w:w="1580" w:type="dxa"/>
            <w:tcBorders>
              <w:top w:val="single" w:sz="6" w:space="0" w:color="2F5496" w:themeColor="accent1" w:themeShade="BF"/>
              <w:left w:val="single" w:sz="6" w:space="0" w:color="2F5496" w:themeColor="accent1" w:themeShade="BF"/>
              <w:bottom w:val="single" w:sz="6" w:space="0" w:color="2F5496" w:themeColor="accent1" w:themeShade="BF"/>
              <w:right w:val="single" w:sz="12" w:space="0" w:color="2F5496" w:themeColor="accent1" w:themeShade="BF"/>
            </w:tcBorders>
            <w:shd w:val="clear" w:color="auto" w:fill="F2F2F2" w:themeFill="background1" w:themeFillShade="F2"/>
            <w:vAlign w:val="center"/>
          </w:tcPr>
          <w:p w14:paraId="31EC2378" w14:textId="77777777" w:rsidR="007C44E4" w:rsidRPr="007C44E4" w:rsidRDefault="007C44E4" w:rsidP="007C44E4">
            <w:pPr>
              <w:jc w:val="right"/>
              <w:rPr>
                <w:bCs/>
                <w:sz w:val="18"/>
                <w:szCs w:val="18"/>
              </w:rPr>
            </w:pPr>
            <w:r w:rsidRPr="007C44E4">
              <w:rPr>
                <w:sz w:val="18"/>
                <w:szCs w:val="18"/>
              </w:rPr>
              <w:t>Commissioners</w:t>
            </w:r>
          </w:p>
        </w:tc>
      </w:tr>
      <w:tr w:rsidR="007C44E4" w:rsidRPr="0002703C" w14:paraId="46BA5943" w14:textId="77777777" w:rsidTr="002820A9">
        <w:trPr>
          <w:trHeight w:val="278"/>
        </w:trPr>
        <w:tc>
          <w:tcPr>
            <w:tcW w:w="2031" w:type="dxa"/>
            <w:tcBorders>
              <w:top w:val="single" w:sz="6" w:space="0" w:color="2F5496" w:themeColor="accent1" w:themeShade="BF"/>
              <w:left w:val="single" w:sz="12" w:space="0" w:color="2F5496" w:themeColor="accent1" w:themeShade="BF"/>
              <w:bottom w:val="single" w:sz="6" w:space="0" w:color="2F5496" w:themeColor="accent1" w:themeShade="BF"/>
              <w:right w:val="single" w:sz="6" w:space="0" w:color="2F5496" w:themeColor="accent1" w:themeShade="BF"/>
            </w:tcBorders>
            <w:shd w:val="clear" w:color="auto" w:fill="D9E2F3" w:themeFill="accent1" w:themeFillTint="33"/>
            <w:vAlign w:val="center"/>
          </w:tcPr>
          <w:p w14:paraId="2A563C3A" w14:textId="77777777" w:rsidR="007C44E4" w:rsidRPr="007C44E4" w:rsidRDefault="007C44E4" w:rsidP="007C44E4">
            <w:pPr>
              <w:rPr>
                <w:bCs/>
                <w:sz w:val="18"/>
                <w:szCs w:val="18"/>
              </w:rPr>
            </w:pPr>
            <w:r w:rsidRPr="007C44E4">
              <w:rPr>
                <w:bCs/>
                <w:sz w:val="18"/>
                <w:szCs w:val="18"/>
              </w:rPr>
              <w:t>Hard FM</w:t>
            </w:r>
          </w:p>
        </w:tc>
        <w:tc>
          <w:tcPr>
            <w:tcW w:w="1064" w:type="dxa"/>
            <w:tcBorders>
              <w:top w:val="single" w:sz="6" w:space="0" w:color="2F5496" w:themeColor="accent1" w:themeShade="BF"/>
              <w:left w:val="single" w:sz="6" w:space="0" w:color="2F5496" w:themeColor="accent1" w:themeShade="BF"/>
              <w:bottom w:val="single" w:sz="6" w:space="0" w:color="2F5496" w:themeColor="accent1" w:themeShade="BF"/>
              <w:right w:val="single" w:sz="6" w:space="0" w:color="2F5496" w:themeColor="accent1" w:themeShade="BF"/>
            </w:tcBorders>
            <w:vAlign w:val="center"/>
          </w:tcPr>
          <w:p w14:paraId="49514C6B" w14:textId="77777777" w:rsidR="007C44E4" w:rsidRPr="007C44E4" w:rsidRDefault="007C44E4" w:rsidP="007C44E4">
            <w:pPr>
              <w:jc w:val="right"/>
              <w:rPr>
                <w:bCs/>
                <w:sz w:val="18"/>
                <w:szCs w:val="18"/>
              </w:rPr>
            </w:pPr>
            <w:r w:rsidRPr="007C44E4">
              <w:rPr>
                <w:sz w:val="18"/>
                <w:szCs w:val="18"/>
              </w:rPr>
              <w:t>813</w:t>
            </w:r>
          </w:p>
        </w:tc>
        <w:tc>
          <w:tcPr>
            <w:tcW w:w="1218" w:type="dxa"/>
            <w:tcBorders>
              <w:top w:val="single" w:sz="6" w:space="0" w:color="2F5496" w:themeColor="accent1" w:themeShade="BF"/>
              <w:left w:val="single" w:sz="6" w:space="0" w:color="2F5496" w:themeColor="accent1" w:themeShade="BF"/>
              <w:bottom w:val="single" w:sz="6" w:space="0" w:color="2F5496" w:themeColor="accent1" w:themeShade="BF"/>
              <w:right w:val="single" w:sz="6" w:space="0" w:color="2F5496" w:themeColor="accent1" w:themeShade="BF"/>
            </w:tcBorders>
            <w:vAlign w:val="center"/>
          </w:tcPr>
          <w:p w14:paraId="4EED8C6C" w14:textId="77777777" w:rsidR="007C44E4" w:rsidRPr="007C44E4" w:rsidRDefault="007C44E4" w:rsidP="007C44E4">
            <w:pPr>
              <w:jc w:val="right"/>
              <w:rPr>
                <w:bCs/>
                <w:sz w:val="18"/>
                <w:szCs w:val="18"/>
              </w:rPr>
            </w:pPr>
            <w:r w:rsidRPr="007C44E4">
              <w:rPr>
                <w:sz w:val="18"/>
                <w:szCs w:val="18"/>
              </w:rPr>
              <w:t>0</w:t>
            </w:r>
          </w:p>
        </w:tc>
        <w:tc>
          <w:tcPr>
            <w:tcW w:w="1037" w:type="dxa"/>
            <w:tcBorders>
              <w:top w:val="single" w:sz="6" w:space="0" w:color="2F5496" w:themeColor="accent1" w:themeShade="BF"/>
              <w:left w:val="single" w:sz="6" w:space="0" w:color="2F5496" w:themeColor="accent1" w:themeShade="BF"/>
              <w:bottom w:val="single" w:sz="6" w:space="0" w:color="2F5496" w:themeColor="accent1" w:themeShade="BF"/>
              <w:right w:val="single" w:sz="6" w:space="0" w:color="2F5496" w:themeColor="accent1" w:themeShade="BF"/>
            </w:tcBorders>
            <w:shd w:val="clear" w:color="auto" w:fill="auto"/>
            <w:vAlign w:val="center"/>
          </w:tcPr>
          <w:p w14:paraId="0A30E620" w14:textId="77777777" w:rsidR="007C44E4" w:rsidRPr="007C44E4" w:rsidRDefault="007C44E4" w:rsidP="007C44E4">
            <w:pPr>
              <w:jc w:val="right"/>
              <w:rPr>
                <w:bCs/>
                <w:sz w:val="18"/>
                <w:szCs w:val="18"/>
              </w:rPr>
            </w:pPr>
            <w:r w:rsidRPr="007C44E4">
              <w:rPr>
                <w:sz w:val="18"/>
                <w:szCs w:val="18"/>
              </w:rPr>
              <w:t>813</w:t>
            </w:r>
          </w:p>
        </w:tc>
        <w:tc>
          <w:tcPr>
            <w:tcW w:w="939" w:type="dxa"/>
            <w:tcBorders>
              <w:top w:val="single" w:sz="6" w:space="0" w:color="2F5496" w:themeColor="accent1" w:themeShade="BF"/>
              <w:left w:val="single" w:sz="6" w:space="0" w:color="2F5496" w:themeColor="accent1" w:themeShade="BF"/>
              <w:bottom w:val="single" w:sz="6" w:space="0" w:color="2F5496" w:themeColor="accent1" w:themeShade="BF"/>
              <w:right w:val="single" w:sz="6" w:space="0" w:color="2F5496" w:themeColor="accent1" w:themeShade="BF"/>
            </w:tcBorders>
            <w:vAlign w:val="center"/>
          </w:tcPr>
          <w:p w14:paraId="10F919C4" w14:textId="77777777" w:rsidR="007C44E4" w:rsidRPr="007C44E4" w:rsidRDefault="007C44E4" w:rsidP="007C44E4">
            <w:pPr>
              <w:jc w:val="right"/>
              <w:rPr>
                <w:bCs/>
                <w:sz w:val="18"/>
                <w:szCs w:val="18"/>
              </w:rPr>
            </w:pPr>
            <w:r w:rsidRPr="007C44E4">
              <w:rPr>
                <w:sz w:val="18"/>
                <w:szCs w:val="18"/>
              </w:rPr>
              <w:t>213</w:t>
            </w:r>
          </w:p>
        </w:tc>
        <w:tc>
          <w:tcPr>
            <w:tcW w:w="1184" w:type="dxa"/>
            <w:tcBorders>
              <w:top w:val="single" w:sz="6" w:space="0" w:color="2F5496" w:themeColor="accent1" w:themeShade="BF"/>
              <w:left w:val="single" w:sz="6" w:space="0" w:color="2F5496" w:themeColor="accent1" w:themeShade="BF"/>
              <w:bottom w:val="single" w:sz="6" w:space="0" w:color="2F5496" w:themeColor="accent1" w:themeShade="BF"/>
              <w:right w:val="single" w:sz="6" w:space="0" w:color="2F5496" w:themeColor="accent1" w:themeShade="BF"/>
            </w:tcBorders>
            <w:vAlign w:val="center"/>
          </w:tcPr>
          <w:p w14:paraId="3F5E3A43" w14:textId="77777777" w:rsidR="007C44E4" w:rsidRPr="007C44E4" w:rsidRDefault="007C44E4" w:rsidP="007C44E4">
            <w:pPr>
              <w:jc w:val="right"/>
              <w:rPr>
                <w:bCs/>
                <w:sz w:val="18"/>
                <w:szCs w:val="18"/>
              </w:rPr>
            </w:pPr>
            <w:r w:rsidRPr="007C44E4">
              <w:rPr>
                <w:sz w:val="18"/>
                <w:szCs w:val="18"/>
              </w:rPr>
              <w:t>0</w:t>
            </w:r>
          </w:p>
        </w:tc>
        <w:tc>
          <w:tcPr>
            <w:tcW w:w="946" w:type="dxa"/>
            <w:tcBorders>
              <w:top w:val="single" w:sz="6" w:space="0" w:color="2F5496" w:themeColor="accent1" w:themeShade="BF"/>
              <w:left w:val="single" w:sz="6" w:space="0" w:color="2F5496" w:themeColor="accent1" w:themeShade="BF"/>
              <w:bottom w:val="single" w:sz="6" w:space="0" w:color="2F5496" w:themeColor="accent1" w:themeShade="BF"/>
              <w:right w:val="single" w:sz="6" w:space="0" w:color="2F5496" w:themeColor="accent1" w:themeShade="BF"/>
            </w:tcBorders>
            <w:vAlign w:val="center"/>
          </w:tcPr>
          <w:p w14:paraId="1CEDEFD0" w14:textId="77777777" w:rsidR="007C44E4" w:rsidRPr="007C44E4" w:rsidRDefault="007C44E4" w:rsidP="007C44E4">
            <w:pPr>
              <w:jc w:val="right"/>
              <w:rPr>
                <w:bCs/>
                <w:sz w:val="18"/>
                <w:szCs w:val="18"/>
              </w:rPr>
            </w:pPr>
            <w:r w:rsidRPr="007C44E4">
              <w:rPr>
                <w:sz w:val="18"/>
                <w:szCs w:val="18"/>
              </w:rPr>
              <w:t>-125</w:t>
            </w:r>
          </w:p>
        </w:tc>
        <w:tc>
          <w:tcPr>
            <w:tcW w:w="1065" w:type="dxa"/>
            <w:tcBorders>
              <w:top w:val="single" w:sz="6" w:space="0" w:color="2F5496" w:themeColor="accent1" w:themeShade="BF"/>
              <w:left w:val="single" w:sz="6" w:space="0" w:color="2F5496" w:themeColor="accent1" w:themeShade="BF"/>
              <w:bottom w:val="single" w:sz="6" w:space="0" w:color="2F5496" w:themeColor="accent1" w:themeShade="BF"/>
              <w:right w:val="single" w:sz="6" w:space="0" w:color="2F5496" w:themeColor="accent1" w:themeShade="BF"/>
            </w:tcBorders>
            <w:shd w:val="clear" w:color="auto" w:fill="auto"/>
            <w:vAlign w:val="center"/>
          </w:tcPr>
          <w:p w14:paraId="6F15BF5F" w14:textId="77777777" w:rsidR="007C44E4" w:rsidRPr="007C44E4" w:rsidRDefault="007C44E4" w:rsidP="007C44E4">
            <w:pPr>
              <w:jc w:val="right"/>
              <w:rPr>
                <w:b/>
                <w:bCs/>
                <w:sz w:val="18"/>
                <w:szCs w:val="18"/>
              </w:rPr>
            </w:pPr>
            <w:r w:rsidRPr="007C44E4">
              <w:rPr>
                <w:b/>
                <w:bCs/>
                <w:sz w:val="18"/>
                <w:szCs w:val="18"/>
              </w:rPr>
              <w:t>901</w:t>
            </w:r>
          </w:p>
        </w:tc>
        <w:tc>
          <w:tcPr>
            <w:tcW w:w="1580" w:type="dxa"/>
            <w:tcBorders>
              <w:top w:val="single" w:sz="6" w:space="0" w:color="2F5496" w:themeColor="accent1" w:themeShade="BF"/>
              <w:left w:val="single" w:sz="6" w:space="0" w:color="2F5496" w:themeColor="accent1" w:themeShade="BF"/>
              <w:bottom w:val="single" w:sz="6" w:space="0" w:color="2F5496" w:themeColor="accent1" w:themeShade="BF"/>
              <w:right w:val="single" w:sz="12" w:space="0" w:color="2F5496" w:themeColor="accent1" w:themeShade="BF"/>
            </w:tcBorders>
            <w:shd w:val="clear" w:color="auto" w:fill="F2F2F2" w:themeFill="background1" w:themeFillShade="F2"/>
            <w:vAlign w:val="center"/>
          </w:tcPr>
          <w:p w14:paraId="305BA449" w14:textId="77777777" w:rsidR="007C44E4" w:rsidRPr="007C44E4" w:rsidRDefault="007C44E4" w:rsidP="007C44E4">
            <w:pPr>
              <w:jc w:val="right"/>
              <w:rPr>
                <w:bCs/>
                <w:sz w:val="18"/>
                <w:szCs w:val="18"/>
              </w:rPr>
            </w:pPr>
            <w:r w:rsidRPr="007C44E4">
              <w:rPr>
                <w:sz w:val="18"/>
                <w:szCs w:val="18"/>
              </w:rPr>
              <w:t>Commissioners</w:t>
            </w:r>
          </w:p>
        </w:tc>
      </w:tr>
      <w:tr w:rsidR="007C44E4" w:rsidRPr="0002703C" w14:paraId="72B15B13" w14:textId="77777777" w:rsidTr="002820A9">
        <w:trPr>
          <w:trHeight w:val="278"/>
        </w:trPr>
        <w:tc>
          <w:tcPr>
            <w:tcW w:w="2031" w:type="dxa"/>
            <w:tcBorders>
              <w:top w:val="single" w:sz="6" w:space="0" w:color="2F5496" w:themeColor="accent1" w:themeShade="BF"/>
              <w:left w:val="single" w:sz="12" w:space="0" w:color="2F5496" w:themeColor="accent1" w:themeShade="BF"/>
              <w:bottom w:val="single" w:sz="6" w:space="0" w:color="2F5496" w:themeColor="accent1" w:themeShade="BF"/>
              <w:right w:val="single" w:sz="6" w:space="0" w:color="2F5496" w:themeColor="accent1" w:themeShade="BF"/>
            </w:tcBorders>
            <w:shd w:val="clear" w:color="auto" w:fill="D9E2F3" w:themeFill="accent1" w:themeFillTint="33"/>
            <w:vAlign w:val="center"/>
          </w:tcPr>
          <w:p w14:paraId="75FF49E3" w14:textId="77777777" w:rsidR="007C44E4" w:rsidRPr="007C44E4" w:rsidRDefault="007C44E4" w:rsidP="007C44E4">
            <w:pPr>
              <w:rPr>
                <w:bCs/>
                <w:sz w:val="18"/>
                <w:szCs w:val="18"/>
              </w:rPr>
            </w:pPr>
            <w:r w:rsidRPr="007C44E4">
              <w:rPr>
                <w:bCs/>
                <w:sz w:val="18"/>
                <w:szCs w:val="18"/>
              </w:rPr>
              <w:t>Utilities</w:t>
            </w:r>
          </w:p>
        </w:tc>
        <w:tc>
          <w:tcPr>
            <w:tcW w:w="1064" w:type="dxa"/>
            <w:tcBorders>
              <w:top w:val="single" w:sz="6" w:space="0" w:color="2F5496" w:themeColor="accent1" w:themeShade="BF"/>
              <w:left w:val="single" w:sz="6" w:space="0" w:color="2F5496" w:themeColor="accent1" w:themeShade="BF"/>
              <w:bottom w:val="single" w:sz="6" w:space="0" w:color="2F5496" w:themeColor="accent1" w:themeShade="BF"/>
              <w:right w:val="single" w:sz="6" w:space="0" w:color="2F5496" w:themeColor="accent1" w:themeShade="BF"/>
            </w:tcBorders>
            <w:vAlign w:val="center"/>
          </w:tcPr>
          <w:p w14:paraId="5DC26E8B" w14:textId="77777777" w:rsidR="007C44E4" w:rsidRPr="007C44E4" w:rsidRDefault="007C44E4" w:rsidP="007C44E4">
            <w:pPr>
              <w:jc w:val="right"/>
              <w:rPr>
                <w:bCs/>
                <w:sz w:val="18"/>
                <w:szCs w:val="18"/>
              </w:rPr>
            </w:pPr>
            <w:r w:rsidRPr="007C44E4">
              <w:rPr>
                <w:sz w:val="18"/>
                <w:szCs w:val="18"/>
              </w:rPr>
              <w:t>1,032</w:t>
            </w:r>
          </w:p>
        </w:tc>
        <w:tc>
          <w:tcPr>
            <w:tcW w:w="1218" w:type="dxa"/>
            <w:tcBorders>
              <w:top w:val="single" w:sz="6" w:space="0" w:color="2F5496" w:themeColor="accent1" w:themeShade="BF"/>
              <w:left w:val="single" w:sz="6" w:space="0" w:color="2F5496" w:themeColor="accent1" w:themeShade="BF"/>
              <w:bottom w:val="single" w:sz="6" w:space="0" w:color="2F5496" w:themeColor="accent1" w:themeShade="BF"/>
              <w:right w:val="single" w:sz="6" w:space="0" w:color="2F5496" w:themeColor="accent1" w:themeShade="BF"/>
            </w:tcBorders>
            <w:vAlign w:val="center"/>
          </w:tcPr>
          <w:p w14:paraId="0717A5B0" w14:textId="77777777" w:rsidR="007C44E4" w:rsidRPr="007C44E4" w:rsidRDefault="007C44E4" w:rsidP="007C44E4">
            <w:pPr>
              <w:jc w:val="right"/>
              <w:rPr>
                <w:bCs/>
                <w:sz w:val="18"/>
                <w:szCs w:val="18"/>
              </w:rPr>
            </w:pPr>
            <w:r w:rsidRPr="007C44E4">
              <w:rPr>
                <w:sz w:val="18"/>
                <w:szCs w:val="18"/>
              </w:rPr>
              <w:t>0</w:t>
            </w:r>
          </w:p>
        </w:tc>
        <w:tc>
          <w:tcPr>
            <w:tcW w:w="1037" w:type="dxa"/>
            <w:tcBorders>
              <w:top w:val="single" w:sz="6" w:space="0" w:color="2F5496" w:themeColor="accent1" w:themeShade="BF"/>
              <w:left w:val="single" w:sz="6" w:space="0" w:color="2F5496" w:themeColor="accent1" w:themeShade="BF"/>
              <w:bottom w:val="single" w:sz="6" w:space="0" w:color="2F5496" w:themeColor="accent1" w:themeShade="BF"/>
              <w:right w:val="single" w:sz="6" w:space="0" w:color="2F5496" w:themeColor="accent1" w:themeShade="BF"/>
            </w:tcBorders>
            <w:shd w:val="clear" w:color="auto" w:fill="auto"/>
            <w:vAlign w:val="center"/>
          </w:tcPr>
          <w:p w14:paraId="313C0696" w14:textId="77777777" w:rsidR="007C44E4" w:rsidRPr="007C44E4" w:rsidRDefault="007C44E4" w:rsidP="007C44E4">
            <w:pPr>
              <w:jc w:val="right"/>
              <w:rPr>
                <w:bCs/>
                <w:sz w:val="18"/>
                <w:szCs w:val="18"/>
              </w:rPr>
            </w:pPr>
            <w:r w:rsidRPr="007C44E4">
              <w:rPr>
                <w:sz w:val="18"/>
                <w:szCs w:val="18"/>
              </w:rPr>
              <w:t>1,032</w:t>
            </w:r>
          </w:p>
        </w:tc>
        <w:tc>
          <w:tcPr>
            <w:tcW w:w="939" w:type="dxa"/>
            <w:tcBorders>
              <w:top w:val="single" w:sz="6" w:space="0" w:color="2F5496" w:themeColor="accent1" w:themeShade="BF"/>
              <w:left w:val="single" w:sz="6" w:space="0" w:color="2F5496" w:themeColor="accent1" w:themeShade="BF"/>
              <w:bottom w:val="single" w:sz="6" w:space="0" w:color="2F5496" w:themeColor="accent1" w:themeShade="BF"/>
              <w:right w:val="single" w:sz="6" w:space="0" w:color="2F5496" w:themeColor="accent1" w:themeShade="BF"/>
            </w:tcBorders>
            <w:vAlign w:val="center"/>
          </w:tcPr>
          <w:p w14:paraId="66D5846D" w14:textId="77777777" w:rsidR="007C44E4" w:rsidRPr="007C44E4" w:rsidRDefault="007C44E4" w:rsidP="007C44E4">
            <w:pPr>
              <w:jc w:val="right"/>
              <w:rPr>
                <w:bCs/>
                <w:sz w:val="18"/>
                <w:szCs w:val="18"/>
              </w:rPr>
            </w:pPr>
            <w:r w:rsidRPr="007C44E4">
              <w:rPr>
                <w:sz w:val="18"/>
                <w:szCs w:val="18"/>
              </w:rPr>
              <w:t>271</w:t>
            </w:r>
          </w:p>
        </w:tc>
        <w:tc>
          <w:tcPr>
            <w:tcW w:w="1184" w:type="dxa"/>
            <w:tcBorders>
              <w:top w:val="single" w:sz="6" w:space="0" w:color="2F5496" w:themeColor="accent1" w:themeShade="BF"/>
              <w:left w:val="single" w:sz="6" w:space="0" w:color="2F5496" w:themeColor="accent1" w:themeShade="BF"/>
              <w:bottom w:val="single" w:sz="6" w:space="0" w:color="2F5496" w:themeColor="accent1" w:themeShade="BF"/>
              <w:right w:val="single" w:sz="6" w:space="0" w:color="2F5496" w:themeColor="accent1" w:themeShade="BF"/>
            </w:tcBorders>
            <w:vAlign w:val="center"/>
          </w:tcPr>
          <w:p w14:paraId="284644EE" w14:textId="77777777" w:rsidR="007C44E4" w:rsidRPr="007C44E4" w:rsidRDefault="007C44E4" w:rsidP="007C44E4">
            <w:pPr>
              <w:jc w:val="right"/>
              <w:rPr>
                <w:bCs/>
                <w:sz w:val="18"/>
                <w:szCs w:val="18"/>
              </w:rPr>
            </w:pPr>
            <w:r w:rsidRPr="007C44E4">
              <w:rPr>
                <w:sz w:val="18"/>
                <w:szCs w:val="18"/>
              </w:rPr>
              <w:t>961</w:t>
            </w:r>
          </w:p>
        </w:tc>
        <w:tc>
          <w:tcPr>
            <w:tcW w:w="946" w:type="dxa"/>
            <w:tcBorders>
              <w:top w:val="single" w:sz="6" w:space="0" w:color="2F5496" w:themeColor="accent1" w:themeShade="BF"/>
              <w:left w:val="single" w:sz="6" w:space="0" w:color="2F5496" w:themeColor="accent1" w:themeShade="BF"/>
              <w:bottom w:val="single" w:sz="6" w:space="0" w:color="2F5496" w:themeColor="accent1" w:themeShade="BF"/>
              <w:right w:val="single" w:sz="6" w:space="0" w:color="2F5496" w:themeColor="accent1" w:themeShade="BF"/>
            </w:tcBorders>
            <w:vAlign w:val="center"/>
          </w:tcPr>
          <w:p w14:paraId="2ACF378D" w14:textId="77777777" w:rsidR="007C44E4" w:rsidRPr="007C44E4" w:rsidRDefault="007C44E4" w:rsidP="007C44E4">
            <w:pPr>
              <w:jc w:val="right"/>
              <w:rPr>
                <w:bCs/>
                <w:sz w:val="18"/>
                <w:szCs w:val="18"/>
              </w:rPr>
            </w:pPr>
            <w:r w:rsidRPr="007C44E4">
              <w:rPr>
                <w:sz w:val="18"/>
                <w:szCs w:val="18"/>
              </w:rPr>
              <w:t>577</w:t>
            </w:r>
          </w:p>
        </w:tc>
        <w:tc>
          <w:tcPr>
            <w:tcW w:w="1065" w:type="dxa"/>
            <w:tcBorders>
              <w:top w:val="single" w:sz="6" w:space="0" w:color="2F5496" w:themeColor="accent1" w:themeShade="BF"/>
              <w:left w:val="single" w:sz="6" w:space="0" w:color="2F5496" w:themeColor="accent1" w:themeShade="BF"/>
              <w:bottom w:val="single" w:sz="6" w:space="0" w:color="2F5496" w:themeColor="accent1" w:themeShade="BF"/>
              <w:right w:val="single" w:sz="6" w:space="0" w:color="2F5496" w:themeColor="accent1" w:themeShade="BF"/>
            </w:tcBorders>
            <w:shd w:val="clear" w:color="auto" w:fill="auto"/>
            <w:vAlign w:val="center"/>
          </w:tcPr>
          <w:p w14:paraId="6A92F4EF" w14:textId="77777777" w:rsidR="007C44E4" w:rsidRPr="007C44E4" w:rsidRDefault="007C44E4" w:rsidP="007C44E4">
            <w:pPr>
              <w:jc w:val="right"/>
              <w:rPr>
                <w:b/>
                <w:bCs/>
                <w:sz w:val="18"/>
                <w:szCs w:val="18"/>
              </w:rPr>
            </w:pPr>
            <w:r w:rsidRPr="007C44E4">
              <w:rPr>
                <w:b/>
                <w:bCs/>
                <w:sz w:val="18"/>
                <w:szCs w:val="18"/>
              </w:rPr>
              <w:t>2,841</w:t>
            </w:r>
          </w:p>
        </w:tc>
        <w:tc>
          <w:tcPr>
            <w:tcW w:w="1580" w:type="dxa"/>
            <w:tcBorders>
              <w:top w:val="single" w:sz="6" w:space="0" w:color="2F5496" w:themeColor="accent1" w:themeShade="BF"/>
              <w:left w:val="single" w:sz="6" w:space="0" w:color="2F5496" w:themeColor="accent1" w:themeShade="BF"/>
              <w:bottom w:val="single" w:sz="6" w:space="0" w:color="2F5496" w:themeColor="accent1" w:themeShade="BF"/>
              <w:right w:val="single" w:sz="12" w:space="0" w:color="2F5496" w:themeColor="accent1" w:themeShade="BF"/>
            </w:tcBorders>
            <w:shd w:val="clear" w:color="auto" w:fill="F2F2F2" w:themeFill="background1" w:themeFillShade="F2"/>
            <w:vAlign w:val="center"/>
          </w:tcPr>
          <w:p w14:paraId="22CB776D" w14:textId="77777777" w:rsidR="007C44E4" w:rsidRPr="007C44E4" w:rsidRDefault="007C44E4" w:rsidP="007C44E4">
            <w:pPr>
              <w:jc w:val="right"/>
              <w:rPr>
                <w:bCs/>
                <w:sz w:val="18"/>
                <w:szCs w:val="18"/>
              </w:rPr>
            </w:pPr>
            <w:r w:rsidRPr="007C44E4">
              <w:rPr>
                <w:sz w:val="18"/>
                <w:szCs w:val="18"/>
              </w:rPr>
              <w:t>Commissioners</w:t>
            </w:r>
          </w:p>
        </w:tc>
      </w:tr>
      <w:tr w:rsidR="007C44E4" w:rsidRPr="0002703C" w14:paraId="462EE250" w14:textId="77777777" w:rsidTr="002820A9">
        <w:trPr>
          <w:trHeight w:val="278"/>
        </w:trPr>
        <w:tc>
          <w:tcPr>
            <w:tcW w:w="2031" w:type="dxa"/>
            <w:tcBorders>
              <w:top w:val="single" w:sz="6" w:space="0" w:color="2F5496" w:themeColor="accent1" w:themeShade="BF"/>
              <w:left w:val="single" w:sz="12" w:space="0" w:color="2F5496" w:themeColor="accent1" w:themeShade="BF"/>
              <w:bottom w:val="single" w:sz="6" w:space="0" w:color="2F5496" w:themeColor="accent1" w:themeShade="BF"/>
              <w:right w:val="single" w:sz="6" w:space="0" w:color="2F5496" w:themeColor="accent1" w:themeShade="BF"/>
            </w:tcBorders>
            <w:shd w:val="clear" w:color="auto" w:fill="D9E2F3" w:themeFill="accent1" w:themeFillTint="33"/>
            <w:vAlign w:val="center"/>
          </w:tcPr>
          <w:p w14:paraId="18FFD6E0" w14:textId="77777777" w:rsidR="007C44E4" w:rsidRPr="007C44E4" w:rsidRDefault="007C44E4" w:rsidP="007C44E4">
            <w:pPr>
              <w:rPr>
                <w:bCs/>
                <w:sz w:val="18"/>
                <w:szCs w:val="18"/>
              </w:rPr>
            </w:pPr>
            <w:r w:rsidRPr="007C44E4">
              <w:rPr>
                <w:bCs/>
                <w:sz w:val="18"/>
                <w:szCs w:val="18"/>
              </w:rPr>
              <w:t>Rates</w:t>
            </w:r>
          </w:p>
        </w:tc>
        <w:tc>
          <w:tcPr>
            <w:tcW w:w="1064" w:type="dxa"/>
            <w:tcBorders>
              <w:top w:val="single" w:sz="6" w:space="0" w:color="2F5496" w:themeColor="accent1" w:themeShade="BF"/>
              <w:left w:val="single" w:sz="6" w:space="0" w:color="2F5496" w:themeColor="accent1" w:themeShade="BF"/>
              <w:bottom w:val="single" w:sz="6" w:space="0" w:color="2F5496" w:themeColor="accent1" w:themeShade="BF"/>
              <w:right w:val="single" w:sz="6" w:space="0" w:color="2F5496" w:themeColor="accent1" w:themeShade="BF"/>
            </w:tcBorders>
            <w:vAlign w:val="center"/>
          </w:tcPr>
          <w:p w14:paraId="29E3034D" w14:textId="77777777" w:rsidR="007C44E4" w:rsidRPr="007C44E4" w:rsidRDefault="007C44E4" w:rsidP="007C44E4">
            <w:pPr>
              <w:jc w:val="right"/>
              <w:rPr>
                <w:bCs/>
                <w:sz w:val="18"/>
                <w:szCs w:val="18"/>
              </w:rPr>
            </w:pPr>
            <w:r w:rsidRPr="007C44E4">
              <w:rPr>
                <w:sz w:val="18"/>
                <w:szCs w:val="18"/>
              </w:rPr>
              <w:t>1,027</w:t>
            </w:r>
          </w:p>
        </w:tc>
        <w:tc>
          <w:tcPr>
            <w:tcW w:w="1218" w:type="dxa"/>
            <w:tcBorders>
              <w:top w:val="single" w:sz="6" w:space="0" w:color="2F5496" w:themeColor="accent1" w:themeShade="BF"/>
              <w:left w:val="single" w:sz="6" w:space="0" w:color="2F5496" w:themeColor="accent1" w:themeShade="BF"/>
              <w:bottom w:val="single" w:sz="6" w:space="0" w:color="2F5496" w:themeColor="accent1" w:themeShade="BF"/>
              <w:right w:val="single" w:sz="6" w:space="0" w:color="2F5496" w:themeColor="accent1" w:themeShade="BF"/>
            </w:tcBorders>
            <w:vAlign w:val="center"/>
          </w:tcPr>
          <w:p w14:paraId="05027618" w14:textId="77777777" w:rsidR="007C44E4" w:rsidRPr="007C44E4" w:rsidRDefault="007C44E4" w:rsidP="007C44E4">
            <w:pPr>
              <w:jc w:val="right"/>
              <w:rPr>
                <w:bCs/>
                <w:sz w:val="18"/>
                <w:szCs w:val="18"/>
              </w:rPr>
            </w:pPr>
            <w:r w:rsidRPr="007C44E4">
              <w:rPr>
                <w:sz w:val="18"/>
                <w:szCs w:val="18"/>
              </w:rPr>
              <w:t>0</w:t>
            </w:r>
          </w:p>
        </w:tc>
        <w:tc>
          <w:tcPr>
            <w:tcW w:w="1037" w:type="dxa"/>
            <w:tcBorders>
              <w:top w:val="single" w:sz="6" w:space="0" w:color="2F5496" w:themeColor="accent1" w:themeShade="BF"/>
              <w:left w:val="single" w:sz="6" w:space="0" w:color="2F5496" w:themeColor="accent1" w:themeShade="BF"/>
              <w:bottom w:val="single" w:sz="6" w:space="0" w:color="2F5496" w:themeColor="accent1" w:themeShade="BF"/>
              <w:right w:val="single" w:sz="6" w:space="0" w:color="2F5496" w:themeColor="accent1" w:themeShade="BF"/>
            </w:tcBorders>
            <w:shd w:val="clear" w:color="auto" w:fill="auto"/>
            <w:vAlign w:val="center"/>
          </w:tcPr>
          <w:p w14:paraId="4A793762" w14:textId="77777777" w:rsidR="007C44E4" w:rsidRPr="007C44E4" w:rsidRDefault="007C44E4" w:rsidP="007C44E4">
            <w:pPr>
              <w:jc w:val="right"/>
              <w:rPr>
                <w:bCs/>
                <w:sz w:val="18"/>
                <w:szCs w:val="18"/>
              </w:rPr>
            </w:pPr>
            <w:r w:rsidRPr="007C44E4">
              <w:rPr>
                <w:sz w:val="18"/>
                <w:szCs w:val="18"/>
              </w:rPr>
              <w:t>1,027</w:t>
            </w:r>
          </w:p>
        </w:tc>
        <w:tc>
          <w:tcPr>
            <w:tcW w:w="939" w:type="dxa"/>
            <w:tcBorders>
              <w:top w:val="single" w:sz="6" w:space="0" w:color="2F5496" w:themeColor="accent1" w:themeShade="BF"/>
              <w:left w:val="single" w:sz="6" w:space="0" w:color="2F5496" w:themeColor="accent1" w:themeShade="BF"/>
              <w:bottom w:val="single" w:sz="6" w:space="0" w:color="2F5496" w:themeColor="accent1" w:themeShade="BF"/>
              <w:right w:val="single" w:sz="6" w:space="0" w:color="2F5496" w:themeColor="accent1" w:themeShade="BF"/>
            </w:tcBorders>
            <w:vAlign w:val="center"/>
          </w:tcPr>
          <w:p w14:paraId="274E7B14" w14:textId="77777777" w:rsidR="007C44E4" w:rsidRPr="007C44E4" w:rsidRDefault="007C44E4" w:rsidP="007C44E4">
            <w:pPr>
              <w:jc w:val="right"/>
              <w:rPr>
                <w:bCs/>
                <w:sz w:val="18"/>
                <w:szCs w:val="18"/>
              </w:rPr>
            </w:pPr>
            <w:r w:rsidRPr="007C44E4">
              <w:rPr>
                <w:sz w:val="18"/>
                <w:szCs w:val="18"/>
              </w:rPr>
              <w:t>269</w:t>
            </w:r>
          </w:p>
        </w:tc>
        <w:tc>
          <w:tcPr>
            <w:tcW w:w="1184" w:type="dxa"/>
            <w:tcBorders>
              <w:top w:val="single" w:sz="6" w:space="0" w:color="2F5496" w:themeColor="accent1" w:themeShade="BF"/>
              <w:left w:val="single" w:sz="6" w:space="0" w:color="2F5496" w:themeColor="accent1" w:themeShade="BF"/>
              <w:bottom w:val="single" w:sz="6" w:space="0" w:color="2F5496" w:themeColor="accent1" w:themeShade="BF"/>
              <w:right w:val="single" w:sz="6" w:space="0" w:color="2F5496" w:themeColor="accent1" w:themeShade="BF"/>
            </w:tcBorders>
            <w:vAlign w:val="center"/>
          </w:tcPr>
          <w:p w14:paraId="08D464E4" w14:textId="77777777" w:rsidR="007C44E4" w:rsidRPr="007C44E4" w:rsidRDefault="007C44E4" w:rsidP="007C44E4">
            <w:pPr>
              <w:jc w:val="right"/>
              <w:rPr>
                <w:bCs/>
                <w:sz w:val="18"/>
                <w:szCs w:val="18"/>
              </w:rPr>
            </w:pPr>
            <w:r w:rsidRPr="007C44E4">
              <w:rPr>
                <w:sz w:val="18"/>
                <w:szCs w:val="18"/>
              </w:rPr>
              <w:t>0</w:t>
            </w:r>
          </w:p>
        </w:tc>
        <w:tc>
          <w:tcPr>
            <w:tcW w:w="946" w:type="dxa"/>
            <w:tcBorders>
              <w:top w:val="single" w:sz="6" w:space="0" w:color="2F5496" w:themeColor="accent1" w:themeShade="BF"/>
              <w:left w:val="single" w:sz="6" w:space="0" w:color="2F5496" w:themeColor="accent1" w:themeShade="BF"/>
              <w:bottom w:val="single" w:sz="6" w:space="0" w:color="2F5496" w:themeColor="accent1" w:themeShade="BF"/>
              <w:right w:val="single" w:sz="6" w:space="0" w:color="2F5496" w:themeColor="accent1" w:themeShade="BF"/>
            </w:tcBorders>
            <w:vAlign w:val="center"/>
          </w:tcPr>
          <w:p w14:paraId="572F4243" w14:textId="77777777" w:rsidR="007C44E4" w:rsidRPr="007C44E4" w:rsidRDefault="007C44E4" w:rsidP="007C44E4">
            <w:pPr>
              <w:jc w:val="right"/>
              <w:rPr>
                <w:bCs/>
                <w:sz w:val="18"/>
                <w:szCs w:val="18"/>
              </w:rPr>
            </w:pPr>
            <w:r w:rsidRPr="007C44E4">
              <w:rPr>
                <w:sz w:val="18"/>
                <w:szCs w:val="18"/>
              </w:rPr>
              <w:t>-253</w:t>
            </w:r>
          </w:p>
        </w:tc>
        <w:tc>
          <w:tcPr>
            <w:tcW w:w="1065" w:type="dxa"/>
            <w:tcBorders>
              <w:top w:val="single" w:sz="6" w:space="0" w:color="2F5496" w:themeColor="accent1" w:themeShade="BF"/>
              <w:left w:val="single" w:sz="6" w:space="0" w:color="2F5496" w:themeColor="accent1" w:themeShade="BF"/>
              <w:bottom w:val="single" w:sz="6" w:space="0" w:color="2F5496" w:themeColor="accent1" w:themeShade="BF"/>
              <w:right w:val="single" w:sz="6" w:space="0" w:color="2F5496" w:themeColor="accent1" w:themeShade="BF"/>
            </w:tcBorders>
            <w:shd w:val="clear" w:color="auto" w:fill="auto"/>
            <w:vAlign w:val="center"/>
          </w:tcPr>
          <w:p w14:paraId="4B0DF076" w14:textId="77777777" w:rsidR="007C44E4" w:rsidRPr="007C44E4" w:rsidRDefault="007C44E4" w:rsidP="007C44E4">
            <w:pPr>
              <w:jc w:val="right"/>
              <w:rPr>
                <w:b/>
                <w:bCs/>
                <w:sz w:val="18"/>
                <w:szCs w:val="18"/>
              </w:rPr>
            </w:pPr>
            <w:r w:rsidRPr="007C44E4">
              <w:rPr>
                <w:b/>
                <w:bCs/>
                <w:sz w:val="18"/>
                <w:szCs w:val="18"/>
              </w:rPr>
              <w:t>1,043</w:t>
            </w:r>
          </w:p>
        </w:tc>
        <w:tc>
          <w:tcPr>
            <w:tcW w:w="1580" w:type="dxa"/>
            <w:tcBorders>
              <w:top w:val="single" w:sz="6" w:space="0" w:color="2F5496" w:themeColor="accent1" w:themeShade="BF"/>
              <w:left w:val="single" w:sz="6" w:space="0" w:color="2F5496" w:themeColor="accent1" w:themeShade="BF"/>
              <w:bottom w:val="single" w:sz="6" w:space="0" w:color="2F5496" w:themeColor="accent1" w:themeShade="BF"/>
              <w:right w:val="single" w:sz="12" w:space="0" w:color="2F5496" w:themeColor="accent1" w:themeShade="BF"/>
            </w:tcBorders>
            <w:shd w:val="clear" w:color="auto" w:fill="F2F2F2" w:themeFill="background1" w:themeFillShade="F2"/>
            <w:vAlign w:val="center"/>
          </w:tcPr>
          <w:p w14:paraId="70CEBCD3" w14:textId="77777777" w:rsidR="007C44E4" w:rsidRPr="007C44E4" w:rsidRDefault="007C44E4" w:rsidP="007C44E4">
            <w:pPr>
              <w:jc w:val="right"/>
              <w:rPr>
                <w:bCs/>
                <w:sz w:val="18"/>
                <w:szCs w:val="18"/>
              </w:rPr>
            </w:pPr>
            <w:r w:rsidRPr="007C44E4">
              <w:rPr>
                <w:sz w:val="18"/>
                <w:szCs w:val="18"/>
              </w:rPr>
              <w:t>Commissioners</w:t>
            </w:r>
          </w:p>
        </w:tc>
      </w:tr>
      <w:tr w:rsidR="007C44E4" w:rsidRPr="0002703C" w14:paraId="57EA6997" w14:textId="77777777" w:rsidTr="002820A9">
        <w:trPr>
          <w:trHeight w:val="278"/>
        </w:trPr>
        <w:tc>
          <w:tcPr>
            <w:tcW w:w="2031" w:type="dxa"/>
            <w:tcBorders>
              <w:top w:val="single" w:sz="6" w:space="0" w:color="2F5496" w:themeColor="accent1" w:themeShade="BF"/>
              <w:left w:val="single" w:sz="12" w:space="0" w:color="2F5496" w:themeColor="accent1" w:themeShade="BF"/>
              <w:bottom w:val="single" w:sz="6" w:space="0" w:color="2F5496" w:themeColor="accent1" w:themeShade="BF"/>
              <w:right w:val="single" w:sz="6" w:space="0" w:color="2F5496" w:themeColor="accent1" w:themeShade="BF"/>
            </w:tcBorders>
            <w:shd w:val="clear" w:color="auto" w:fill="D9E2F3" w:themeFill="accent1" w:themeFillTint="33"/>
            <w:vAlign w:val="center"/>
          </w:tcPr>
          <w:p w14:paraId="0FACF40D" w14:textId="77777777" w:rsidR="007C44E4" w:rsidRPr="007C44E4" w:rsidRDefault="007C44E4" w:rsidP="007C44E4">
            <w:pPr>
              <w:rPr>
                <w:bCs/>
                <w:sz w:val="18"/>
                <w:szCs w:val="18"/>
              </w:rPr>
            </w:pPr>
            <w:r w:rsidRPr="007C44E4">
              <w:rPr>
                <w:bCs/>
                <w:sz w:val="18"/>
                <w:szCs w:val="18"/>
              </w:rPr>
              <w:t>Equipment Maintenance</w:t>
            </w:r>
          </w:p>
        </w:tc>
        <w:tc>
          <w:tcPr>
            <w:tcW w:w="1064" w:type="dxa"/>
            <w:tcBorders>
              <w:top w:val="single" w:sz="6" w:space="0" w:color="2F5496" w:themeColor="accent1" w:themeShade="BF"/>
              <w:left w:val="single" w:sz="6" w:space="0" w:color="2F5496" w:themeColor="accent1" w:themeShade="BF"/>
              <w:bottom w:val="single" w:sz="6" w:space="0" w:color="2F5496" w:themeColor="accent1" w:themeShade="BF"/>
              <w:right w:val="single" w:sz="6" w:space="0" w:color="2F5496" w:themeColor="accent1" w:themeShade="BF"/>
            </w:tcBorders>
            <w:vAlign w:val="center"/>
          </w:tcPr>
          <w:p w14:paraId="791B5A28" w14:textId="77777777" w:rsidR="007C44E4" w:rsidRPr="007C44E4" w:rsidRDefault="007C44E4" w:rsidP="007C44E4">
            <w:pPr>
              <w:jc w:val="right"/>
              <w:rPr>
                <w:bCs/>
                <w:sz w:val="18"/>
                <w:szCs w:val="18"/>
              </w:rPr>
            </w:pPr>
            <w:r w:rsidRPr="007C44E4">
              <w:rPr>
                <w:sz w:val="18"/>
                <w:szCs w:val="18"/>
              </w:rPr>
              <w:t>1,900</w:t>
            </w:r>
          </w:p>
        </w:tc>
        <w:tc>
          <w:tcPr>
            <w:tcW w:w="1218" w:type="dxa"/>
            <w:tcBorders>
              <w:top w:val="single" w:sz="6" w:space="0" w:color="2F5496" w:themeColor="accent1" w:themeShade="BF"/>
              <w:left w:val="single" w:sz="6" w:space="0" w:color="2F5496" w:themeColor="accent1" w:themeShade="BF"/>
              <w:bottom w:val="single" w:sz="6" w:space="0" w:color="2F5496" w:themeColor="accent1" w:themeShade="BF"/>
              <w:right w:val="single" w:sz="6" w:space="0" w:color="2F5496" w:themeColor="accent1" w:themeShade="BF"/>
            </w:tcBorders>
            <w:vAlign w:val="center"/>
          </w:tcPr>
          <w:p w14:paraId="295E9CA8" w14:textId="77777777" w:rsidR="007C44E4" w:rsidRPr="007C44E4" w:rsidRDefault="007C44E4" w:rsidP="007C44E4">
            <w:pPr>
              <w:jc w:val="right"/>
              <w:rPr>
                <w:bCs/>
                <w:sz w:val="18"/>
                <w:szCs w:val="18"/>
              </w:rPr>
            </w:pPr>
            <w:r w:rsidRPr="007C44E4">
              <w:rPr>
                <w:sz w:val="18"/>
                <w:szCs w:val="18"/>
              </w:rPr>
              <w:t>-1,006</w:t>
            </w:r>
          </w:p>
        </w:tc>
        <w:tc>
          <w:tcPr>
            <w:tcW w:w="1037" w:type="dxa"/>
            <w:tcBorders>
              <w:top w:val="single" w:sz="6" w:space="0" w:color="2F5496" w:themeColor="accent1" w:themeShade="BF"/>
              <w:left w:val="single" w:sz="6" w:space="0" w:color="2F5496" w:themeColor="accent1" w:themeShade="BF"/>
              <w:bottom w:val="single" w:sz="6" w:space="0" w:color="2F5496" w:themeColor="accent1" w:themeShade="BF"/>
              <w:right w:val="single" w:sz="6" w:space="0" w:color="2F5496" w:themeColor="accent1" w:themeShade="BF"/>
            </w:tcBorders>
            <w:shd w:val="clear" w:color="auto" w:fill="auto"/>
            <w:vAlign w:val="center"/>
          </w:tcPr>
          <w:p w14:paraId="2DAC90B4" w14:textId="77777777" w:rsidR="007C44E4" w:rsidRPr="007C44E4" w:rsidRDefault="007C44E4" w:rsidP="007C44E4">
            <w:pPr>
              <w:jc w:val="right"/>
              <w:rPr>
                <w:bCs/>
                <w:sz w:val="18"/>
                <w:szCs w:val="18"/>
              </w:rPr>
            </w:pPr>
            <w:r w:rsidRPr="007C44E4">
              <w:rPr>
                <w:sz w:val="18"/>
                <w:szCs w:val="18"/>
              </w:rPr>
              <w:t>894</w:t>
            </w:r>
          </w:p>
        </w:tc>
        <w:tc>
          <w:tcPr>
            <w:tcW w:w="939" w:type="dxa"/>
            <w:tcBorders>
              <w:top w:val="single" w:sz="6" w:space="0" w:color="2F5496" w:themeColor="accent1" w:themeShade="BF"/>
              <w:left w:val="single" w:sz="6" w:space="0" w:color="2F5496" w:themeColor="accent1" w:themeShade="BF"/>
              <w:bottom w:val="single" w:sz="6" w:space="0" w:color="2F5496" w:themeColor="accent1" w:themeShade="BF"/>
              <w:right w:val="single" w:sz="6" w:space="0" w:color="2F5496" w:themeColor="accent1" w:themeShade="BF"/>
            </w:tcBorders>
            <w:vAlign w:val="center"/>
          </w:tcPr>
          <w:p w14:paraId="503821A8" w14:textId="77777777" w:rsidR="007C44E4" w:rsidRPr="007C44E4" w:rsidRDefault="007C44E4" w:rsidP="007C44E4">
            <w:pPr>
              <w:jc w:val="right"/>
              <w:rPr>
                <w:bCs/>
                <w:sz w:val="18"/>
                <w:szCs w:val="18"/>
              </w:rPr>
            </w:pPr>
            <w:r w:rsidRPr="007C44E4">
              <w:rPr>
                <w:sz w:val="18"/>
                <w:szCs w:val="18"/>
              </w:rPr>
              <w:t>235</w:t>
            </w:r>
          </w:p>
        </w:tc>
        <w:tc>
          <w:tcPr>
            <w:tcW w:w="1184" w:type="dxa"/>
            <w:tcBorders>
              <w:top w:val="single" w:sz="6" w:space="0" w:color="2F5496" w:themeColor="accent1" w:themeShade="BF"/>
              <w:left w:val="single" w:sz="6" w:space="0" w:color="2F5496" w:themeColor="accent1" w:themeShade="BF"/>
              <w:bottom w:val="single" w:sz="6" w:space="0" w:color="2F5496" w:themeColor="accent1" w:themeShade="BF"/>
              <w:right w:val="single" w:sz="6" w:space="0" w:color="2F5496" w:themeColor="accent1" w:themeShade="BF"/>
            </w:tcBorders>
            <w:vAlign w:val="center"/>
          </w:tcPr>
          <w:p w14:paraId="147002D3" w14:textId="77777777" w:rsidR="007C44E4" w:rsidRPr="007C44E4" w:rsidRDefault="007C44E4" w:rsidP="007C44E4">
            <w:pPr>
              <w:jc w:val="right"/>
              <w:rPr>
                <w:bCs/>
                <w:sz w:val="18"/>
                <w:szCs w:val="18"/>
              </w:rPr>
            </w:pPr>
            <w:r w:rsidRPr="007C44E4">
              <w:rPr>
                <w:sz w:val="18"/>
                <w:szCs w:val="18"/>
              </w:rPr>
              <w:t>0</w:t>
            </w:r>
          </w:p>
        </w:tc>
        <w:tc>
          <w:tcPr>
            <w:tcW w:w="946" w:type="dxa"/>
            <w:tcBorders>
              <w:top w:val="single" w:sz="6" w:space="0" w:color="2F5496" w:themeColor="accent1" w:themeShade="BF"/>
              <w:left w:val="single" w:sz="6" w:space="0" w:color="2F5496" w:themeColor="accent1" w:themeShade="BF"/>
              <w:bottom w:val="single" w:sz="6" w:space="0" w:color="2F5496" w:themeColor="accent1" w:themeShade="BF"/>
              <w:right w:val="single" w:sz="6" w:space="0" w:color="2F5496" w:themeColor="accent1" w:themeShade="BF"/>
            </w:tcBorders>
            <w:vAlign w:val="center"/>
          </w:tcPr>
          <w:p w14:paraId="2829157F" w14:textId="77777777" w:rsidR="007C44E4" w:rsidRPr="007C44E4" w:rsidRDefault="007C44E4" w:rsidP="007C44E4">
            <w:pPr>
              <w:jc w:val="right"/>
              <w:rPr>
                <w:bCs/>
                <w:sz w:val="18"/>
                <w:szCs w:val="18"/>
              </w:rPr>
            </w:pPr>
            <w:r w:rsidRPr="007C44E4">
              <w:rPr>
                <w:sz w:val="18"/>
                <w:szCs w:val="18"/>
              </w:rPr>
              <w:t>472</w:t>
            </w:r>
          </w:p>
        </w:tc>
        <w:tc>
          <w:tcPr>
            <w:tcW w:w="1065" w:type="dxa"/>
            <w:tcBorders>
              <w:top w:val="single" w:sz="6" w:space="0" w:color="2F5496" w:themeColor="accent1" w:themeShade="BF"/>
              <w:left w:val="single" w:sz="6" w:space="0" w:color="2F5496" w:themeColor="accent1" w:themeShade="BF"/>
              <w:bottom w:val="single" w:sz="6" w:space="0" w:color="2F5496" w:themeColor="accent1" w:themeShade="BF"/>
              <w:right w:val="single" w:sz="6" w:space="0" w:color="2F5496" w:themeColor="accent1" w:themeShade="BF"/>
            </w:tcBorders>
            <w:shd w:val="clear" w:color="auto" w:fill="auto"/>
            <w:vAlign w:val="center"/>
          </w:tcPr>
          <w:p w14:paraId="4B2A6F7E" w14:textId="77777777" w:rsidR="007C44E4" w:rsidRPr="007C44E4" w:rsidRDefault="007C44E4" w:rsidP="007C44E4">
            <w:pPr>
              <w:jc w:val="right"/>
              <w:rPr>
                <w:b/>
                <w:bCs/>
                <w:sz w:val="18"/>
                <w:szCs w:val="18"/>
              </w:rPr>
            </w:pPr>
            <w:r w:rsidRPr="007C44E4">
              <w:rPr>
                <w:b/>
                <w:bCs/>
                <w:sz w:val="18"/>
                <w:szCs w:val="18"/>
              </w:rPr>
              <w:t>1,601</w:t>
            </w:r>
          </w:p>
        </w:tc>
        <w:tc>
          <w:tcPr>
            <w:tcW w:w="1580" w:type="dxa"/>
            <w:tcBorders>
              <w:top w:val="single" w:sz="6" w:space="0" w:color="2F5496" w:themeColor="accent1" w:themeShade="BF"/>
              <w:left w:val="single" w:sz="6" w:space="0" w:color="2F5496" w:themeColor="accent1" w:themeShade="BF"/>
              <w:bottom w:val="single" w:sz="6" w:space="0" w:color="2F5496" w:themeColor="accent1" w:themeShade="BF"/>
              <w:right w:val="single" w:sz="12" w:space="0" w:color="2F5496" w:themeColor="accent1" w:themeShade="BF"/>
            </w:tcBorders>
            <w:shd w:val="clear" w:color="auto" w:fill="F2F2F2" w:themeFill="background1" w:themeFillShade="F2"/>
            <w:vAlign w:val="center"/>
          </w:tcPr>
          <w:p w14:paraId="3604241E" w14:textId="77777777" w:rsidR="007C44E4" w:rsidRPr="007C44E4" w:rsidRDefault="007C44E4" w:rsidP="007C44E4">
            <w:pPr>
              <w:jc w:val="right"/>
              <w:rPr>
                <w:bCs/>
                <w:sz w:val="18"/>
                <w:szCs w:val="18"/>
              </w:rPr>
            </w:pPr>
            <w:r w:rsidRPr="007C44E4">
              <w:rPr>
                <w:sz w:val="18"/>
                <w:szCs w:val="18"/>
              </w:rPr>
              <w:t>Commissioners</w:t>
            </w:r>
          </w:p>
        </w:tc>
      </w:tr>
      <w:tr w:rsidR="007C44E4" w:rsidRPr="0002703C" w14:paraId="3119014D" w14:textId="77777777" w:rsidTr="002820A9">
        <w:trPr>
          <w:trHeight w:val="278"/>
        </w:trPr>
        <w:tc>
          <w:tcPr>
            <w:tcW w:w="2031" w:type="dxa"/>
            <w:tcBorders>
              <w:top w:val="single" w:sz="6" w:space="0" w:color="2F5496" w:themeColor="accent1" w:themeShade="BF"/>
              <w:left w:val="single" w:sz="12" w:space="0" w:color="2F5496" w:themeColor="accent1" w:themeShade="BF"/>
              <w:bottom w:val="single" w:sz="6" w:space="0" w:color="2F5496" w:themeColor="accent1" w:themeShade="BF"/>
              <w:right w:val="single" w:sz="6" w:space="0" w:color="2F5496" w:themeColor="accent1" w:themeShade="BF"/>
            </w:tcBorders>
            <w:shd w:val="clear" w:color="auto" w:fill="D9E2F3" w:themeFill="accent1" w:themeFillTint="33"/>
            <w:vAlign w:val="center"/>
          </w:tcPr>
          <w:p w14:paraId="56E1A5C3" w14:textId="77777777" w:rsidR="007C44E4" w:rsidRPr="007C44E4" w:rsidRDefault="007C44E4" w:rsidP="007C44E4">
            <w:pPr>
              <w:rPr>
                <w:bCs/>
                <w:sz w:val="18"/>
                <w:szCs w:val="18"/>
              </w:rPr>
            </w:pPr>
            <w:r w:rsidRPr="007C44E4">
              <w:rPr>
                <w:bCs/>
                <w:sz w:val="18"/>
                <w:szCs w:val="18"/>
              </w:rPr>
              <w:t>IM&amp;T Maintenance</w:t>
            </w:r>
          </w:p>
        </w:tc>
        <w:tc>
          <w:tcPr>
            <w:tcW w:w="1064" w:type="dxa"/>
            <w:tcBorders>
              <w:top w:val="single" w:sz="6" w:space="0" w:color="2F5496" w:themeColor="accent1" w:themeShade="BF"/>
              <w:left w:val="single" w:sz="6" w:space="0" w:color="2F5496" w:themeColor="accent1" w:themeShade="BF"/>
              <w:bottom w:val="single" w:sz="6" w:space="0" w:color="2F5496" w:themeColor="accent1" w:themeShade="BF"/>
              <w:right w:val="single" w:sz="6" w:space="0" w:color="2F5496" w:themeColor="accent1" w:themeShade="BF"/>
            </w:tcBorders>
            <w:vAlign w:val="center"/>
          </w:tcPr>
          <w:p w14:paraId="29A116DD" w14:textId="77777777" w:rsidR="007C44E4" w:rsidRPr="007C44E4" w:rsidRDefault="007C44E4" w:rsidP="007C44E4">
            <w:pPr>
              <w:jc w:val="right"/>
              <w:rPr>
                <w:bCs/>
                <w:sz w:val="18"/>
                <w:szCs w:val="18"/>
              </w:rPr>
            </w:pPr>
            <w:r w:rsidRPr="007C44E4">
              <w:rPr>
                <w:sz w:val="18"/>
                <w:szCs w:val="18"/>
              </w:rPr>
              <w:t>445</w:t>
            </w:r>
          </w:p>
        </w:tc>
        <w:tc>
          <w:tcPr>
            <w:tcW w:w="1218" w:type="dxa"/>
            <w:tcBorders>
              <w:top w:val="single" w:sz="6" w:space="0" w:color="2F5496" w:themeColor="accent1" w:themeShade="BF"/>
              <w:left w:val="single" w:sz="6" w:space="0" w:color="2F5496" w:themeColor="accent1" w:themeShade="BF"/>
              <w:bottom w:val="single" w:sz="6" w:space="0" w:color="2F5496" w:themeColor="accent1" w:themeShade="BF"/>
              <w:right w:val="single" w:sz="6" w:space="0" w:color="2F5496" w:themeColor="accent1" w:themeShade="BF"/>
            </w:tcBorders>
            <w:vAlign w:val="center"/>
          </w:tcPr>
          <w:p w14:paraId="23F6DAC7" w14:textId="77777777" w:rsidR="007C44E4" w:rsidRPr="007C44E4" w:rsidRDefault="007C44E4" w:rsidP="007C44E4">
            <w:pPr>
              <w:jc w:val="right"/>
              <w:rPr>
                <w:bCs/>
                <w:sz w:val="18"/>
                <w:szCs w:val="18"/>
              </w:rPr>
            </w:pPr>
            <w:r w:rsidRPr="007C44E4">
              <w:rPr>
                <w:sz w:val="18"/>
                <w:szCs w:val="18"/>
              </w:rPr>
              <w:t>0</w:t>
            </w:r>
          </w:p>
        </w:tc>
        <w:tc>
          <w:tcPr>
            <w:tcW w:w="1037" w:type="dxa"/>
            <w:tcBorders>
              <w:top w:val="single" w:sz="6" w:space="0" w:color="2F5496" w:themeColor="accent1" w:themeShade="BF"/>
              <w:left w:val="single" w:sz="6" w:space="0" w:color="2F5496" w:themeColor="accent1" w:themeShade="BF"/>
              <w:bottom w:val="single" w:sz="6" w:space="0" w:color="2F5496" w:themeColor="accent1" w:themeShade="BF"/>
              <w:right w:val="single" w:sz="6" w:space="0" w:color="2F5496" w:themeColor="accent1" w:themeShade="BF"/>
            </w:tcBorders>
            <w:shd w:val="clear" w:color="auto" w:fill="auto"/>
            <w:vAlign w:val="center"/>
          </w:tcPr>
          <w:p w14:paraId="5033CA80" w14:textId="77777777" w:rsidR="007C44E4" w:rsidRPr="007C44E4" w:rsidRDefault="007C44E4" w:rsidP="007C44E4">
            <w:pPr>
              <w:jc w:val="right"/>
              <w:rPr>
                <w:bCs/>
                <w:sz w:val="18"/>
                <w:szCs w:val="18"/>
              </w:rPr>
            </w:pPr>
            <w:r w:rsidRPr="007C44E4">
              <w:rPr>
                <w:sz w:val="18"/>
                <w:szCs w:val="18"/>
              </w:rPr>
              <w:t>445</w:t>
            </w:r>
          </w:p>
        </w:tc>
        <w:tc>
          <w:tcPr>
            <w:tcW w:w="939" w:type="dxa"/>
            <w:tcBorders>
              <w:top w:val="single" w:sz="6" w:space="0" w:color="2F5496" w:themeColor="accent1" w:themeShade="BF"/>
              <w:left w:val="single" w:sz="6" w:space="0" w:color="2F5496" w:themeColor="accent1" w:themeShade="BF"/>
              <w:bottom w:val="single" w:sz="6" w:space="0" w:color="2F5496" w:themeColor="accent1" w:themeShade="BF"/>
              <w:right w:val="single" w:sz="6" w:space="0" w:color="2F5496" w:themeColor="accent1" w:themeShade="BF"/>
            </w:tcBorders>
            <w:vAlign w:val="center"/>
          </w:tcPr>
          <w:p w14:paraId="6DEC71E8" w14:textId="77777777" w:rsidR="007C44E4" w:rsidRPr="007C44E4" w:rsidRDefault="007C44E4" w:rsidP="007C44E4">
            <w:pPr>
              <w:jc w:val="right"/>
              <w:rPr>
                <w:bCs/>
                <w:sz w:val="18"/>
                <w:szCs w:val="18"/>
              </w:rPr>
            </w:pPr>
            <w:r w:rsidRPr="007C44E4">
              <w:rPr>
                <w:sz w:val="18"/>
                <w:szCs w:val="18"/>
              </w:rPr>
              <w:t>117</w:t>
            </w:r>
          </w:p>
        </w:tc>
        <w:tc>
          <w:tcPr>
            <w:tcW w:w="1184" w:type="dxa"/>
            <w:tcBorders>
              <w:top w:val="single" w:sz="6" w:space="0" w:color="2F5496" w:themeColor="accent1" w:themeShade="BF"/>
              <w:left w:val="single" w:sz="6" w:space="0" w:color="2F5496" w:themeColor="accent1" w:themeShade="BF"/>
              <w:bottom w:val="single" w:sz="6" w:space="0" w:color="2F5496" w:themeColor="accent1" w:themeShade="BF"/>
              <w:right w:val="single" w:sz="6" w:space="0" w:color="2F5496" w:themeColor="accent1" w:themeShade="BF"/>
            </w:tcBorders>
            <w:vAlign w:val="center"/>
          </w:tcPr>
          <w:p w14:paraId="22DAB038" w14:textId="77777777" w:rsidR="007C44E4" w:rsidRPr="007C44E4" w:rsidRDefault="007C44E4" w:rsidP="007C44E4">
            <w:pPr>
              <w:jc w:val="right"/>
              <w:rPr>
                <w:bCs/>
                <w:sz w:val="18"/>
                <w:szCs w:val="18"/>
              </w:rPr>
            </w:pPr>
            <w:r w:rsidRPr="007C44E4">
              <w:rPr>
                <w:sz w:val="18"/>
                <w:szCs w:val="18"/>
              </w:rPr>
              <w:t>0</w:t>
            </w:r>
          </w:p>
        </w:tc>
        <w:tc>
          <w:tcPr>
            <w:tcW w:w="946" w:type="dxa"/>
            <w:tcBorders>
              <w:top w:val="single" w:sz="6" w:space="0" w:color="2F5496" w:themeColor="accent1" w:themeShade="BF"/>
              <w:left w:val="single" w:sz="6" w:space="0" w:color="2F5496" w:themeColor="accent1" w:themeShade="BF"/>
              <w:bottom w:val="single" w:sz="6" w:space="0" w:color="2F5496" w:themeColor="accent1" w:themeShade="BF"/>
              <w:right w:val="single" w:sz="6" w:space="0" w:color="2F5496" w:themeColor="accent1" w:themeShade="BF"/>
            </w:tcBorders>
            <w:vAlign w:val="center"/>
          </w:tcPr>
          <w:p w14:paraId="3AA70D37" w14:textId="77777777" w:rsidR="007C44E4" w:rsidRPr="007C44E4" w:rsidRDefault="007C44E4" w:rsidP="007C44E4">
            <w:pPr>
              <w:jc w:val="right"/>
              <w:rPr>
                <w:bCs/>
                <w:sz w:val="18"/>
                <w:szCs w:val="18"/>
              </w:rPr>
            </w:pPr>
            <w:r w:rsidRPr="007C44E4">
              <w:rPr>
                <w:sz w:val="18"/>
                <w:szCs w:val="18"/>
              </w:rPr>
              <w:t>-312</w:t>
            </w:r>
          </w:p>
        </w:tc>
        <w:tc>
          <w:tcPr>
            <w:tcW w:w="1065" w:type="dxa"/>
            <w:tcBorders>
              <w:top w:val="single" w:sz="6" w:space="0" w:color="2F5496" w:themeColor="accent1" w:themeShade="BF"/>
              <w:left w:val="single" w:sz="6" w:space="0" w:color="2F5496" w:themeColor="accent1" w:themeShade="BF"/>
              <w:bottom w:val="single" w:sz="6" w:space="0" w:color="2F5496" w:themeColor="accent1" w:themeShade="BF"/>
              <w:right w:val="single" w:sz="6" w:space="0" w:color="2F5496" w:themeColor="accent1" w:themeShade="BF"/>
            </w:tcBorders>
            <w:shd w:val="clear" w:color="auto" w:fill="auto"/>
            <w:vAlign w:val="center"/>
          </w:tcPr>
          <w:p w14:paraId="35B2CBA7" w14:textId="77777777" w:rsidR="007C44E4" w:rsidRPr="007C44E4" w:rsidRDefault="007C44E4" w:rsidP="007C44E4">
            <w:pPr>
              <w:jc w:val="right"/>
              <w:rPr>
                <w:b/>
                <w:bCs/>
                <w:sz w:val="18"/>
                <w:szCs w:val="18"/>
              </w:rPr>
            </w:pPr>
            <w:r w:rsidRPr="007C44E4">
              <w:rPr>
                <w:b/>
                <w:bCs/>
                <w:sz w:val="18"/>
                <w:szCs w:val="18"/>
              </w:rPr>
              <w:t>250</w:t>
            </w:r>
          </w:p>
        </w:tc>
        <w:tc>
          <w:tcPr>
            <w:tcW w:w="1580" w:type="dxa"/>
            <w:tcBorders>
              <w:top w:val="single" w:sz="6" w:space="0" w:color="2F5496" w:themeColor="accent1" w:themeShade="BF"/>
              <w:left w:val="single" w:sz="6" w:space="0" w:color="2F5496" w:themeColor="accent1" w:themeShade="BF"/>
              <w:bottom w:val="single" w:sz="6" w:space="0" w:color="2F5496" w:themeColor="accent1" w:themeShade="BF"/>
              <w:right w:val="single" w:sz="12" w:space="0" w:color="2F5496" w:themeColor="accent1" w:themeShade="BF"/>
            </w:tcBorders>
            <w:shd w:val="clear" w:color="auto" w:fill="F2F2F2" w:themeFill="background1" w:themeFillShade="F2"/>
            <w:vAlign w:val="center"/>
          </w:tcPr>
          <w:p w14:paraId="273B82E3" w14:textId="77777777" w:rsidR="007C44E4" w:rsidRPr="007C44E4" w:rsidRDefault="007C44E4" w:rsidP="007C44E4">
            <w:pPr>
              <w:jc w:val="right"/>
              <w:rPr>
                <w:bCs/>
                <w:sz w:val="18"/>
                <w:szCs w:val="18"/>
              </w:rPr>
            </w:pPr>
            <w:r w:rsidRPr="007C44E4">
              <w:rPr>
                <w:sz w:val="18"/>
                <w:szCs w:val="18"/>
              </w:rPr>
              <w:t>Commissioners</w:t>
            </w:r>
          </w:p>
        </w:tc>
      </w:tr>
      <w:tr w:rsidR="007C44E4" w:rsidRPr="0002703C" w14:paraId="7FBC8FF1" w14:textId="77777777" w:rsidTr="002820A9">
        <w:trPr>
          <w:trHeight w:val="278"/>
        </w:trPr>
        <w:tc>
          <w:tcPr>
            <w:tcW w:w="2031" w:type="dxa"/>
            <w:tcBorders>
              <w:top w:val="single" w:sz="6" w:space="0" w:color="2F5496" w:themeColor="accent1" w:themeShade="BF"/>
              <w:left w:val="single" w:sz="12" w:space="0" w:color="2F5496" w:themeColor="accent1" w:themeShade="BF"/>
              <w:bottom w:val="single" w:sz="6" w:space="0" w:color="2F5496" w:themeColor="accent1" w:themeShade="BF"/>
              <w:right w:val="single" w:sz="6" w:space="0" w:color="2F5496" w:themeColor="accent1" w:themeShade="BF"/>
            </w:tcBorders>
            <w:shd w:val="clear" w:color="auto" w:fill="D9E2F3" w:themeFill="accent1" w:themeFillTint="33"/>
            <w:vAlign w:val="center"/>
          </w:tcPr>
          <w:p w14:paraId="2753C1B6" w14:textId="77777777" w:rsidR="007C44E4" w:rsidRPr="007C44E4" w:rsidRDefault="007C44E4" w:rsidP="007C44E4">
            <w:pPr>
              <w:rPr>
                <w:bCs/>
                <w:sz w:val="18"/>
                <w:szCs w:val="18"/>
              </w:rPr>
            </w:pPr>
            <w:r w:rsidRPr="007C44E4">
              <w:rPr>
                <w:bCs/>
                <w:sz w:val="18"/>
                <w:szCs w:val="18"/>
              </w:rPr>
              <w:t>Digital</w:t>
            </w:r>
          </w:p>
        </w:tc>
        <w:tc>
          <w:tcPr>
            <w:tcW w:w="1064" w:type="dxa"/>
            <w:tcBorders>
              <w:top w:val="single" w:sz="6" w:space="0" w:color="2F5496" w:themeColor="accent1" w:themeShade="BF"/>
              <w:left w:val="single" w:sz="6" w:space="0" w:color="2F5496" w:themeColor="accent1" w:themeShade="BF"/>
              <w:bottom w:val="single" w:sz="6" w:space="0" w:color="2F5496" w:themeColor="accent1" w:themeShade="BF"/>
              <w:right w:val="single" w:sz="6" w:space="0" w:color="2F5496" w:themeColor="accent1" w:themeShade="BF"/>
            </w:tcBorders>
            <w:vAlign w:val="center"/>
          </w:tcPr>
          <w:p w14:paraId="533B3BAE" w14:textId="77777777" w:rsidR="007C44E4" w:rsidRPr="007C44E4" w:rsidRDefault="007C44E4" w:rsidP="007C44E4">
            <w:pPr>
              <w:jc w:val="right"/>
              <w:rPr>
                <w:bCs/>
                <w:sz w:val="18"/>
                <w:szCs w:val="18"/>
              </w:rPr>
            </w:pPr>
            <w:r w:rsidRPr="007C44E4">
              <w:rPr>
                <w:sz w:val="18"/>
                <w:szCs w:val="18"/>
              </w:rPr>
              <w:t>0</w:t>
            </w:r>
          </w:p>
        </w:tc>
        <w:tc>
          <w:tcPr>
            <w:tcW w:w="1218" w:type="dxa"/>
            <w:tcBorders>
              <w:top w:val="single" w:sz="6" w:space="0" w:color="2F5496" w:themeColor="accent1" w:themeShade="BF"/>
              <w:left w:val="single" w:sz="6" w:space="0" w:color="2F5496" w:themeColor="accent1" w:themeShade="BF"/>
              <w:bottom w:val="single" w:sz="6" w:space="0" w:color="2F5496" w:themeColor="accent1" w:themeShade="BF"/>
              <w:right w:val="single" w:sz="6" w:space="0" w:color="2F5496" w:themeColor="accent1" w:themeShade="BF"/>
            </w:tcBorders>
            <w:vAlign w:val="center"/>
          </w:tcPr>
          <w:p w14:paraId="226D76E0" w14:textId="77777777" w:rsidR="007C44E4" w:rsidRPr="007C44E4" w:rsidRDefault="007C44E4" w:rsidP="007C44E4">
            <w:pPr>
              <w:jc w:val="right"/>
              <w:rPr>
                <w:bCs/>
                <w:sz w:val="18"/>
                <w:szCs w:val="18"/>
              </w:rPr>
            </w:pPr>
            <w:r w:rsidRPr="007C44E4">
              <w:rPr>
                <w:sz w:val="18"/>
                <w:szCs w:val="18"/>
              </w:rPr>
              <w:t>0</w:t>
            </w:r>
          </w:p>
        </w:tc>
        <w:tc>
          <w:tcPr>
            <w:tcW w:w="1037" w:type="dxa"/>
            <w:tcBorders>
              <w:top w:val="single" w:sz="6" w:space="0" w:color="2F5496" w:themeColor="accent1" w:themeShade="BF"/>
              <w:left w:val="single" w:sz="6" w:space="0" w:color="2F5496" w:themeColor="accent1" w:themeShade="BF"/>
              <w:bottom w:val="single" w:sz="6" w:space="0" w:color="2F5496" w:themeColor="accent1" w:themeShade="BF"/>
              <w:right w:val="single" w:sz="6" w:space="0" w:color="2F5496" w:themeColor="accent1" w:themeShade="BF"/>
            </w:tcBorders>
            <w:shd w:val="clear" w:color="auto" w:fill="auto"/>
            <w:vAlign w:val="center"/>
          </w:tcPr>
          <w:p w14:paraId="5C764218" w14:textId="77777777" w:rsidR="007C44E4" w:rsidRPr="007C44E4" w:rsidRDefault="007C44E4" w:rsidP="007C44E4">
            <w:pPr>
              <w:jc w:val="right"/>
              <w:rPr>
                <w:bCs/>
                <w:sz w:val="18"/>
                <w:szCs w:val="18"/>
              </w:rPr>
            </w:pPr>
            <w:r w:rsidRPr="007C44E4">
              <w:rPr>
                <w:sz w:val="18"/>
                <w:szCs w:val="18"/>
              </w:rPr>
              <w:t>0</w:t>
            </w:r>
          </w:p>
        </w:tc>
        <w:tc>
          <w:tcPr>
            <w:tcW w:w="939" w:type="dxa"/>
            <w:tcBorders>
              <w:top w:val="single" w:sz="6" w:space="0" w:color="2F5496" w:themeColor="accent1" w:themeShade="BF"/>
              <w:left w:val="single" w:sz="6" w:space="0" w:color="2F5496" w:themeColor="accent1" w:themeShade="BF"/>
              <w:bottom w:val="single" w:sz="6" w:space="0" w:color="2F5496" w:themeColor="accent1" w:themeShade="BF"/>
              <w:right w:val="single" w:sz="6" w:space="0" w:color="2F5496" w:themeColor="accent1" w:themeShade="BF"/>
            </w:tcBorders>
            <w:vAlign w:val="center"/>
          </w:tcPr>
          <w:p w14:paraId="3FD280F0" w14:textId="77777777" w:rsidR="007C44E4" w:rsidRPr="007C44E4" w:rsidRDefault="007C44E4" w:rsidP="007C44E4">
            <w:pPr>
              <w:jc w:val="right"/>
              <w:rPr>
                <w:bCs/>
                <w:sz w:val="18"/>
                <w:szCs w:val="18"/>
              </w:rPr>
            </w:pPr>
            <w:r w:rsidRPr="007C44E4">
              <w:rPr>
                <w:sz w:val="18"/>
                <w:szCs w:val="18"/>
              </w:rPr>
              <w:t>0</w:t>
            </w:r>
          </w:p>
        </w:tc>
        <w:tc>
          <w:tcPr>
            <w:tcW w:w="1184" w:type="dxa"/>
            <w:tcBorders>
              <w:top w:val="single" w:sz="6" w:space="0" w:color="2F5496" w:themeColor="accent1" w:themeShade="BF"/>
              <w:left w:val="single" w:sz="6" w:space="0" w:color="2F5496" w:themeColor="accent1" w:themeShade="BF"/>
              <w:bottom w:val="single" w:sz="6" w:space="0" w:color="2F5496" w:themeColor="accent1" w:themeShade="BF"/>
              <w:right w:val="single" w:sz="6" w:space="0" w:color="2F5496" w:themeColor="accent1" w:themeShade="BF"/>
            </w:tcBorders>
            <w:vAlign w:val="center"/>
          </w:tcPr>
          <w:p w14:paraId="09A95873" w14:textId="77777777" w:rsidR="007C44E4" w:rsidRPr="007C44E4" w:rsidRDefault="007C44E4" w:rsidP="007C44E4">
            <w:pPr>
              <w:jc w:val="right"/>
              <w:rPr>
                <w:bCs/>
                <w:sz w:val="18"/>
                <w:szCs w:val="18"/>
              </w:rPr>
            </w:pPr>
            <w:r w:rsidRPr="007C44E4">
              <w:rPr>
                <w:sz w:val="18"/>
                <w:szCs w:val="18"/>
              </w:rPr>
              <w:t>753</w:t>
            </w:r>
          </w:p>
        </w:tc>
        <w:tc>
          <w:tcPr>
            <w:tcW w:w="946" w:type="dxa"/>
            <w:tcBorders>
              <w:top w:val="single" w:sz="6" w:space="0" w:color="2F5496" w:themeColor="accent1" w:themeShade="BF"/>
              <w:left w:val="single" w:sz="6" w:space="0" w:color="2F5496" w:themeColor="accent1" w:themeShade="BF"/>
              <w:bottom w:val="single" w:sz="6" w:space="0" w:color="2F5496" w:themeColor="accent1" w:themeShade="BF"/>
              <w:right w:val="single" w:sz="6" w:space="0" w:color="2F5496" w:themeColor="accent1" w:themeShade="BF"/>
            </w:tcBorders>
            <w:vAlign w:val="center"/>
          </w:tcPr>
          <w:p w14:paraId="40B2DE69" w14:textId="77777777" w:rsidR="007C44E4" w:rsidRPr="007C44E4" w:rsidRDefault="007C44E4" w:rsidP="007C44E4">
            <w:pPr>
              <w:jc w:val="right"/>
              <w:rPr>
                <w:bCs/>
                <w:sz w:val="18"/>
                <w:szCs w:val="18"/>
              </w:rPr>
            </w:pPr>
            <w:r w:rsidRPr="007C44E4">
              <w:rPr>
                <w:sz w:val="18"/>
                <w:szCs w:val="18"/>
              </w:rPr>
              <w:t>0</w:t>
            </w:r>
          </w:p>
        </w:tc>
        <w:tc>
          <w:tcPr>
            <w:tcW w:w="1065" w:type="dxa"/>
            <w:tcBorders>
              <w:top w:val="single" w:sz="6" w:space="0" w:color="2F5496" w:themeColor="accent1" w:themeShade="BF"/>
              <w:left w:val="single" w:sz="6" w:space="0" w:color="2F5496" w:themeColor="accent1" w:themeShade="BF"/>
              <w:bottom w:val="single" w:sz="6" w:space="0" w:color="2F5496" w:themeColor="accent1" w:themeShade="BF"/>
              <w:right w:val="single" w:sz="6" w:space="0" w:color="2F5496" w:themeColor="accent1" w:themeShade="BF"/>
            </w:tcBorders>
            <w:shd w:val="clear" w:color="auto" w:fill="auto"/>
            <w:vAlign w:val="center"/>
          </w:tcPr>
          <w:p w14:paraId="290B498C" w14:textId="77777777" w:rsidR="007C44E4" w:rsidRPr="007C44E4" w:rsidRDefault="007C44E4" w:rsidP="007C44E4">
            <w:pPr>
              <w:jc w:val="right"/>
              <w:rPr>
                <w:b/>
                <w:bCs/>
                <w:sz w:val="18"/>
                <w:szCs w:val="18"/>
              </w:rPr>
            </w:pPr>
            <w:r w:rsidRPr="007C44E4">
              <w:rPr>
                <w:b/>
                <w:bCs/>
                <w:sz w:val="18"/>
                <w:szCs w:val="18"/>
              </w:rPr>
              <w:t>753</w:t>
            </w:r>
          </w:p>
        </w:tc>
        <w:tc>
          <w:tcPr>
            <w:tcW w:w="1580" w:type="dxa"/>
            <w:tcBorders>
              <w:top w:val="single" w:sz="6" w:space="0" w:color="2F5496" w:themeColor="accent1" w:themeShade="BF"/>
              <w:left w:val="single" w:sz="6" w:space="0" w:color="2F5496" w:themeColor="accent1" w:themeShade="BF"/>
              <w:bottom w:val="single" w:sz="6" w:space="0" w:color="2F5496" w:themeColor="accent1" w:themeShade="BF"/>
              <w:right w:val="single" w:sz="12" w:space="0" w:color="2F5496" w:themeColor="accent1" w:themeShade="BF"/>
            </w:tcBorders>
            <w:shd w:val="clear" w:color="auto" w:fill="F2F2F2" w:themeFill="background1" w:themeFillShade="F2"/>
            <w:vAlign w:val="center"/>
          </w:tcPr>
          <w:p w14:paraId="31114CD0" w14:textId="77777777" w:rsidR="007C44E4" w:rsidRPr="007C44E4" w:rsidRDefault="007C44E4" w:rsidP="007C44E4">
            <w:pPr>
              <w:jc w:val="right"/>
              <w:rPr>
                <w:bCs/>
                <w:sz w:val="18"/>
                <w:szCs w:val="18"/>
              </w:rPr>
            </w:pPr>
            <w:r w:rsidRPr="007C44E4">
              <w:rPr>
                <w:sz w:val="18"/>
                <w:szCs w:val="18"/>
              </w:rPr>
              <w:t>Commissioners</w:t>
            </w:r>
          </w:p>
        </w:tc>
      </w:tr>
      <w:tr w:rsidR="007C44E4" w:rsidRPr="0002703C" w14:paraId="75239386" w14:textId="77777777" w:rsidTr="002820A9">
        <w:trPr>
          <w:trHeight w:val="278"/>
        </w:trPr>
        <w:tc>
          <w:tcPr>
            <w:tcW w:w="2031" w:type="dxa"/>
            <w:tcBorders>
              <w:top w:val="single" w:sz="6" w:space="0" w:color="2F5496" w:themeColor="accent1" w:themeShade="BF"/>
              <w:left w:val="single" w:sz="12" w:space="0" w:color="2F5496" w:themeColor="accent1" w:themeShade="BF"/>
              <w:bottom w:val="single" w:sz="6" w:space="0" w:color="2F5496" w:themeColor="accent1" w:themeShade="BF"/>
              <w:right w:val="single" w:sz="6" w:space="0" w:color="2F5496" w:themeColor="accent1" w:themeShade="BF"/>
            </w:tcBorders>
            <w:shd w:val="clear" w:color="auto" w:fill="D9E2F3" w:themeFill="accent1" w:themeFillTint="33"/>
            <w:vAlign w:val="center"/>
          </w:tcPr>
          <w:p w14:paraId="7FEAFC38" w14:textId="77777777" w:rsidR="007C44E4" w:rsidRPr="007C44E4" w:rsidRDefault="007C44E4" w:rsidP="007C44E4">
            <w:pPr>
              <w:rPr>
                <w:bCs/>
                <w:sz w:val="18"/>
                <w:szCs w:val="18"/>
              </w:rPr>
            </w:pPr>
            <w:r w:rsidRPr="007C44E4">
              <w:rPr>
                <w:bCs/>
                <w:sz w:val="18"/>
                <w:szCs w:val="18"/>
              </w:rPr>
              <w:t>Insurance</w:t>
            </w:r>
          </w:p>
        </w:tc>
        <w:tc>
          <w:tcPr>
            <w:tcW w:w="1064" w:type="dxa"/>
            <w:tcBorders>
              <w:top w:val="single" w:sz="6" w:space="0" w:color="2F5496" w:themeColor="accent1" w:themeShade="BF"/>
              <w:left w:val="single" w:sz="6" w:space="0" w:color="2F5496" w:themeColor="accent1" w:themeShade="BF"/>
              <w:bottom w:val="single" w:sz="6" w:space="0" w:color="2F5496" w:themeColor="accent1" w:themeShade="BF"/>
              <w:right w:val="single" w:sz="6" w:space="0" w:color="2F5496" w:themeColor="accent1" w:themeShade="BF"/>
            </w:tcBorders>
            <w:vAlign w:val="center"/>
          </w:tcPr>
          <w:p w14:paraId="74DAF14B" w14:textId="77777777" w:rsidR="007C44E4" w:rsidRPr="007C44E4" w:rsidRDefault="007C44E4" w:rsidP="007C44E4">
            <w:pPr>
              <w:jc w:val="right"/>
              <w:rPr>
                <w:bCs/>
                <w:sz w:val="18"/>
                <w:szCs w:val="18"/>
              </w:rPr>
            </w:pPr>
            <w:r w:rsidRPr="007C44E4">
              <w:rPr>
                <w:sz w:val="18"/>
                <w:szCs w:val="18"/>
              </w:rPr>
              <w:t>200</w:t>
            </w:r>
          </w:p>
        </w:tc>
        <w:tc>
          <w:tcPr>
            <w:tcW w:w="1218" w:type="dxa"/>
            <w:tcBorders>
              <w:top w:val="single" w:sz="6" w:space="0" w:color="2F5496" w:themeColor="accent1" w:themeShade="BF"/>
              <w:left w:val="single" w:sz="6" w:space="0" w:color="2F5496" w:themeColor="accent1" w:themeShade="BF"/>
              <w:bottom w:val="single" w:sz="6" w:space="0" w:color="2F5496" w:themeColor="accent1" w:themeShade="BF"/>
              <w:right w:val="single" w:sz="6" w:space="0" w:color="2F5496" w:themeColor="accent1" w:themeShade="BF"/>
            </w:tcBorders>
            <w:vAlign w:val="center"/>
          </w:tcPr>
          <w:p w14:paraId="0E67BB51" w14:textId="77777777" w:rsidR="007C44E4" w:rsidRPr="007C44E4" w:rsidRDefault="007C44E4" w:rsidP="007C44E4">
            <w:pPr>
              <w:jc w:val="right"/>
              <w:rPr>
                <w:bCs/>
                <w:sz w:val="18"/>
                <w:szCs w:val="18"/>
              </w:rPr>
            </w:pPr>
            <w:r w:rsidRPr="007C44E4">
              <w:rPr>
                <w:sz w:val="18"/>
                <w:szCs w:val="18"/>
              </w:rPr>
              <w:t>0</w:t>
            </w:r>
          </w:p>
        </w:tc>
        <w:tc>
          <w:tcPr>
            <w:tcW w:w="1037" w:type="dxa"/>
            <w:tcBorders>
              <w:top w:val="single" w:sz="6" w:space="0" w:color="2F5496" w:themeColor="accent1" w:themeShade="BF"/>
              <w:left w:val="single" w:sz="6" w:space="0" w:color="2F5496" w:themeColor="accent1" w:themeShade="BF"/>
              <w:bottom w:val="single" w:sz="6" w:space="0" w:color="2F5496" w:themeColor="accent1" w:themeShade="BF"/>
              <w:right w:val="single" w:sz="6" w:space="0" w:color="2F5496" w:themeColor="accent1" w:themeShade="BF"/>
            </w:tcBorders>
            <w:shd w:val="clear" w:color="auto" w:fill="auto"/>
            <w:vAlign w:val="center"/>
          </w:tcPr>
          <w:p w14:paraId="3C89C9A6" w14:textId="77777777" w:rsidR="007C44E4" w:rsidRPr="007C44E4" w:rsidRDefault="007C44E4" w:rsidP="007C44E4">
            <w:pPr>
              <w:jc w:val="right"/>
              <w:rPr>
                <w:bCs/>
                <w:sz w:val="18"/>
                <w:szCs w:val="18"/>
              </w:rPr>
            </w:pPr>
            <w:r w:rsidRPr="007C44E4">
              <w:rPr>
                <w:sz w:val="18"/>
                <w:szCs w:val="18"/>
              </w:rPr>
              <w:t>200</w:t>
            </w:r>
          </w:p>
        </w:tc>
        <w:tc>
          <w:tcPr>
            <w:tcW w:w="939" w:type="dxa"/>
            <w:tcBorders>
              <w:top w:val="single" w:sz="6" w:space="0" w:color="2F5496" w:themeColor="accent1" w:themeShade="BF"/>
              <w:left w:val="single" w:sz="6" w:space="0" w:color="2F5496" w:themeColor="accent1" w:themeShade="BF"/>
              <w:bottom w:val="single" w:sz="6" w:space="0" w:color="2F5496" w:themeColor="accent1" w:themeShade="BF"/>
              <w:right w:val="single" w:sz="6" w:space="0" w:color="2F5496" w:themeColor="accent1" w:themeShade="BF"/>
            </w:tcBorders>
            <w:vAlign w:val="center"/>
          </w:tcPr>
          <w:p w14:paraId="0D09BA20" w14:textId="77777777" w:rsidR="007C44E4" w:rsidRPr="007C44E4" w:rsidRDefault="007C44E4" w:rsidP="007C44E4">
            <w:pPr>
              <w:jc w:val="right"/>
              <w:rPr>
                <w:bCs/>
                <w:sz w:val="18"/>
                <w:szCs w:val="18"/>
              </w:rPr>
            </w:pPr>
            <w:r w:rsidRPr="007C44E4">
              <w:rPr>
                <w:sz w:val="18"/>
                <w:szCs w:val="18"/>
              </w:rPr>
              <w:t>52</w:t>
            </w:r>
          </w:p>
        </w:tc>
        <w:tc>
          <w:tcPr>
            <w:tcW w:w="1184" w:type="dxa"/>
            <w:tcBorders>
              <w:top w:val="single" w:sz="6" w:space="0" w:color="2F5496" w:themeColor="accent1" w:themeShade="BF"/>
              <w:left w:val="single" w:sz="6" w:space="0" w:color="2F5496" w:themeColor="accent1" w:themeShade="BF"/>
              <w:bottom w:val="single" w:sz="6" w:space="0" w:color="2F5496" w:themeColor="accent1" w:themeShade="BF"/>
              <w:right w:val="single" w:sz="6" w:space="0" w:color="2F5496" w:themeColor="accent1" w:themeShade="BF"/>
            </w:tcBorders>
            <w:vAlign w:val="center"/>
          </w:tcPr>
          <w:p w14:paraId="493628C7" w14:textId="77777777" w:rsidR="007C44E4" w:rsidRPr="007C44E4" w:rsidRDefault="007C44E4" w:rsidP="007C44E4">
            <w:pPr>
              <w:jc w:val="right"/>
              <w:rPr>
                <w:bCs/>
                <w:sz w:val="18"/>
                <w:szCs w:val="18"/>
              </w:rPr>
            </w:pPr>
            <w:r w:rsidRPr="007C44E4">
              <w:rPr>
                <w:sz w:val="18"/>
                <w:szCs w:val="18"/>
              </w:rPr>
              <w:t>0</w:t>
            </w:r>
          </w:p>
        </w:tc>
        <w:tc>
          <w:tcPr>
            <w:tcW w:w="946" w:type="dxa"/>
            <w:tcBorders>
              <w:top w:val="single" w:sz="6" w:space="0" w:color="2F5496" w:themeColor="accent1" w:themeShade="BF"/>
              <w:left w:val="single" w:sz="6" w:space="0" w:color="2F5496" w:themeColor="accent1" w:themeShade="BF"/>
              <w:bottom w:val="single" w:sz="6" w:space="0" w:color="2F5496" w:themeColor="accent1" w:themeShade="BF"/>
              <w:right w:val="single" w:sz="6" w:space="0" w:color="2F5496" w:themeColor="accent1" w:themeShade="BF"/>
            </w:tcBorders>
            <w:vAlign w:val="center"/>
          </w:tcPr>
          <w:p w14:paraId="3DC73B40" w14:textId="77777777" w:rsidR="007C44E4" w:rsidRPr="007C44E4" w:rsidRDefault="007C44E4" w:rsidP="007C44E4">
            <w:pPr>
              <w:jc w:val="right"/>
              <w:rPr>
                <w:bCs/>
                <w:sz w:val="18"/>
                <w:szCs w:val="18"/>
              </w:rPr>
            </w:pPr>
            <w:r w:rsidRPr="007C44E4">
              <w:rPr>
                <w:sz w:val="18"/>
                <w:szCs w:val="18"/>
              </w:rPr>
              <w:t>198</w:t>
            </w:r>
          </w:p>
        </w:tc>
        <w:tc>
          <w:tcPr>
            <w:tcW w:w="1065" w:type="dxa"/>
            <w:tcBorders>
              <w:top w:val="single" w:sz="6" w:space="0" w:color="2F5496" w:themeColor="accent1" w:themeShade="BF"/>
              <w:left w:val="single" w:sz="6" w:space="0" w:color="2F5496" w:themeColor="accent1" w:themeShade="BF"/>
              <w:bottom w:val="single" w:sz="6" w:space="0" w:color="2F5496" w:themeColor="accent1" w:themeShade="BF"/>
              <w:right w:val="single" w:sz="6" w:space="0" w:color="2F5496" w:themeColor="accent1" w:themeShade="BF"/>
            </w:tcBorders>
            <w:shd w:val="clear" w:color="auto" w:fill="auto"/>
            <w:vAlign w:val="center"/>
          </w:tcPr>
          <w:p w14:paraId="1F38E1BD" w14:textId="77777777" w:rsidR="007C44E4" w:rsidRPr="007C44E4" w:rsidRDefault="007C44E4" w:rsidP="007C44E4">
            <w:pPr>
              <w:jc w:val="right"/>
              <w:rPr>
                <w:b/>
                <w:bCs/>
                <w:sz w:val="18"/>
                <w:szCs w:val="18"/>
              </w:rPr>
            </w:pPr>
            <w:r w:rsidRPr="007C44E4">
              <w:rPr>
                <w:b/>
                <w:bCs/>
                <w:sz w:val="18"/>
                <w:szCs w:val="18"/>
              </w:rPr>
              <w:t>450</w:t>
            </w:r>
          </w:p>
        </w:tc>
        <w:tc>
          <w:tcPr>
            <w:tcW w:w="1580" w:type="dxa"/>
            <w:tcBorders>
              <w:top w:val="single" w:sz="6" w:space="0" w:color="2F5496" w:themeColor="accent1" w:themeShade="BF"/>
              <w:left w:val="single" w:sz="6" w:space="0" w:color="2F5496" w:themeColor="accent1" w:themeShade="BF"/>
              <w:bottom w:val="single" w:sz="6" w:space="0" w:color="2F5496" w:themeColor="accent1" w:themeShade="BF"/>
              <w:right w:val="single" w:sz="12" w:space="0" w:color="2F5496" w:themeColor="accent1" w:themeShade="BF"/>
            </w:tcBorders>
            <w:shd w:val="clear" w:color="auto" w:fill="F2F2F2" w:themeFill="background1" w:themeFillShade="F2"/>
            <w:vAlign w:val="center"/>
          </w:tcPr>
          <w:p w14:paraId="6438E12E" w14:textId="77777777" w:rsidR="007C44E4" w:rsidRPr="007C44E4" w:rsidRDefault="007C44E4" w:rsidP="007C44E4">
            <w:pPr>
              <w:jc w:val="right"/>
              <w:rPr>
                <w:bCs/>
                <w:sz w:val="18"/>
                <w:szCs w:val="18"/>
              </w:rPr>
            </w:pPr>
            <w:r w:rsidRPr="007C44E4">
              <w:rPr>
                <w:sz w:val="18"/>
                <w:szCs w:val="18"/>
              </w:rPr>
              <w:t>Welsh Govt / Commissioners</w:t>
            </w:r>
          </w:p>
        </w:tc>
      </w:tr>
      <w:tr w:rsidR="007C44E4" w:rsidRPr="0002703C" w14:paraId="39288927" w14:textId="77777777" w:rsidTr="002820A9">
        <w:trPr>
          <w:trHeight w:val="278"/>
        </w:trPr>
        <w:tc>
          <w:tcPr>
            <w:tcW w:w="2031" w:type="dxa"/>
            <w:tcBorders>
              <w:top w:val="single" w:sz="6" w:space="0" w:color="2F5496" w:themeColor="accent1" w:themeShade="BF"/>
              <w:left w:val="single" w:sz="12" w:space="0" w:color="2F5496" w:themeColor="accent1" w:themeShade="BF"/>
              <w:bottom w:val="single" w:sz="12" w:space="0" w:color="2F5496" w:themeColor="accent1" w:themeShade="BF"/>
              <w:right w:val="single" w:sz="6" w:space="0" w:color="2F5496" w:themeColor="accent1" w:themeShade="BF"/>
            </w:tcBorders>
            <w:shd w:val="clear" w:color="auto" w:fill="D9E2F3" w:themeFill="accent1" w:themeFillTint="33"/>
            <w:vAlign w:val="center"/>
          </w:tcPr>
          <w:p w14:paraId="70DF7882" w14:textId="77777777" w:rsidR="007C44E4" w:rsidRPr="007C44E4" w:rsidRDefault="007C44E4" w:rsidP="007C44E4">
            <w:pPr>
              <w:rPr>
                <w:b/>
                <w:sz w:val="18"/>
                <w:szCs w:val="18"/>
              </w:rPr>
            </w:pPr>
            <w:r w:rsidRPr="007C44E4">
              <w:rPr>
                <w:b/>
                <w:sz w:val="18"/>
                <w:szCs w:val="18"/>
              </w:rPr>
              <w:t>Recurring Revenue Costs</w:t>
            </w:r>
          </w:p>
        </w:tc>
        <w:tc>
          <w:tcPr>
            <w:tcW w:w="1064" w:type="dxa"/>
            <w:tcBorders>
              <w:top w:val="single" w:sz="6" w:space="0" w:color="2F5496" w:themeColor="accent1" w:themeShade="BF"/>
              <w:left w:val="single" w:sz="6" w:space="0" w:color="2F5496" w:themeColor="accent1" w:themeShade="BF"/>
              <w:bottom w:val="single" w:sz="12" w:space="0" w:color="2F5496" w:themeColor="accent1" w:themeShade="BF"/>
              <w:right w:val="single" w:sz="6" w:space="0" w:color="2F5496" w:themeColor="accent1" w:themeShade="BF"/>
            </w:tcBorders>
            <w:shd w:val="clear" w:color="auto" w:fill="F2F2F2" w:themeFill="background1" w:themeFillShade="F2"/>
            <w:vAlign w:val="center"/>
          </w:tcPr>
          <w:p w14:paraId="481F04BE" w14:textId="77777777" w:rsidR="007C44E4" w:rsidRPr="007C44E4" w:rsidRDefault="007C44E4" w:rsidP="007C44E4">
            <w:pPr>
              <w:jc w:val="right"/>
              <w:rPr>
                <w:b/>
                <w:bCs/>
                <w:sz w:val="18"/>
                <w:szCs w:val="18"/>
              </w:rPr>
            </w:pPr>
            <w:r w:rsidRPr="007C44E4">
              <w:rPr>
                <w:b/>
                <w:bCs/>
                <w:sz w:val="18"/>
                <w:szCs w:val="18"/>
              </w:rPr>
              <w:t>7,543</w:t>
            </w:r>
          </w:p>
        </w:tc>
        <w:tc>
          <w:tcPr>
            <w:tcW w:w="1218" w:type="dxa"/>
            <w:tcBorders>
              <w:top w:val="single" w:sz="6" w:space="0" w:color="2F5496" w:themeColor="accent1" w:themeShade="BF"/>
              <w:left w:val="single" w:sz="6" w:space="0" w:color="2F5496" w:themeColor="accent1" w:themeShade="BF"/>
              <w:bottom w:val="single" w:sz="12" w:space="0" w:color="2F5496" w:themeColor="accent1" w:themeShade="BF"/>
              <w:right w:val="single" w:sz="6" w:space="0" w:color="2F5496" w:themeColor="accent1" w:themeShade="BF"/>
            </w:tcBorders>
            <w:shd w:val="clear" w:color="auto" w:fill="F2F2F2" w:themeFill="background1" w:themeFillShade="F2"/>
            <w:vAlign w:val="center"/>
          </w:tcPr>
          <w:p w14:paraId="6905CE0E" w14:textId="77777777" w:rsidR="007C44E4" w:rsidRPr="007C44E4" w:rsidRDefault="007C44E4" w:rsidP="007C44E4">
            <w:pPr>
              <w:jc w:val="right"/>
              <w:rPr>
                <w:b/>
                <w:bCs/>
                <w:sz w:val="18"/>
                <w:szCs w:val="18"/>
              </w:rPr>
            </w:pPr>
            <w:r w:rsidRPr="007C44E4">
              <w:rPr>
                <w:b/>
                <w:bCs/>
                <w:sz w:val="18"/>
                <w:szCs w:val="18"/>
              </w:rPr>
              <w:t>-1,006</w:t>
            </w:r>
          </w:p>
        </w:tc>
        <w:tc>
          <w:tcPr>
            <w:tcW w:w="1037" w:type="dxa"/>
            <w:tcBorders>
              <w:top w:val="single" w:sz="6" w:space="0" w:color="2F5496" w:themeColor="accent1" w:themeShade="BF"/>
              <w:left w:val="single" w:sz="6" w:space="0" w:color="2F5496" w:themeColor="accent1" w:themeShade="BF"/>
              <w:bottom w:val="single" w:sz="12" w:space="0" w:color="2F5496" w:themeColor="accent1" w:themeShade="BF"/>
              <w:right w:val="single" w:sz="6" w:space="0" w:color="2F5496" w:themeColor="accent1" w:themeShade="BF"/>
            </w:tcBorders>
            <w:shd w:val="clear" w:color="auto" w:fill="F2F2F2" w:themeFill="background1" w:themeFillShade="F2"/>
            <w:vAlign w:val="center"/>
          </w:tcPr>
          <w:p w14:paraId="1EBED18B" w14:textId="77777777" w:rsidR="007C44E4" w:rsidRPr="007C44E4" w:rsidRDefault="007C44E4" w:rsidP="007C44E4">
            <w:pPr>
              <w:jc w:val="right"/>
              <w:rPr>
                <w:b/>
                <w:bCs/>
                <w:sz w:val="18"/>
                <w:szCs w:val="18"/>
              </w:rPr>
            </w:pPr>
            <w:r w:rsidRPr="007C44E4">
              <w:rPr>
                <w:b/>
                <w:bCs/>
                <w:sz w:val="18"/>
                <w:szCs w:val="18"/>
              </w:rPr>
              <w:t>6,537</w:t>
            </w:r>
          </w:p>
        </w:tc>
        <w:tc>
          <w:tcPr>
            <w:tcW w:w="939" w:type="dxa"/>
            <w:tcBorders>
              <w:top w:val="single" w:sz="6" w:space="0" w:color="2F5496" w:themeColor="accent1" w:themeShade="BF"/>
              <w:left w:val="single" w:sz="6" w:space="0" w:color="2F5496" w:themeColor="accent1" w:themeShade="BF"/>
              <w:bottom w:val="single" w:sz="12" w:space="0" w:color="2F5496" w:themeColor="accent1" w:themeShade="BF"/>
              <w:right w:val="single" w:sz="6" w:space="0" w:color="2F5496" w:themeColor="accent1" w:themeShade="BF"/>
            </w:tcBorders>
            <w:shd w:val="clear" w:color="auto" w:fill="F2F2F2" w:themeFill="background1" w:themeFillShade="F2"/>
            <w:vAlign w:val="center"/>
          </w:tcPr>
          <w:p w14:paraId="19798EE6" w14:textId="77777777" w:rsidR="007C44E4" w:rsidRPr="007C44E4" w:rsidRDefault="007C44E4" w:rsidP="007C44E4">
            <w:pPr>
              <w:jc w:val="right"/>
              <w:rPr>
                <w:b/>
                <w:bCs/>
                <w:sz w:val="18"/>
                <w:szCs w:val="18"/>
              </w:rPr>
            </w:pPr>
            <w:r w:rsidRPr="007C44E4">
              <w:rPr>
                <w:b/>
                <w:bCs/>
                <w:sz w:val="18"/>
                <w:szCs w:val="18"/>
              </w:rPr>
              <w:t>1,715</w:t>
            </w:r>
          </w:p>
        </w:tc>
        <w:tc>
          <w:tcPr>
            <w:tcW w:w="1184" w:type="dxa"/>
            <w:tcBorders>
              <w:top w:val="single" w:sz="6" w:space="0" w:color="2F5496" w:themeColor="accent1" w:themeShade="BF"/>
              <w:left w:val="single" w:sz="6" w:space="0" w:color="2F5496" w:themeColor="accent1" w:themeShade="BF"/>
              <w:bottom w:val="single" w:sz="12" w:space="0" w:color="2F5496" w:themeColor="accent1" w:themeShade="BF"/>
              <w:right w:val="single" w:sz="6" w:space="0" w:color="2F5496" w:themeColor="accent1" w:themeShade="BF"/>
            </w:tcBorders>
            <w:shd w:val="clear" w:color="auto" w:fill="F2F2F2" w:themeFill="background1" w:themeFillShade="F2"/>
            <w:vAlign w:val="center"/>
          </w:tcPr>
          <w:p w14:paraId="676BD961" w14:textId="77777777" w:rsidR="007C44E4" w:rsidRPr="007C44E4" w:rsidRDefault="007C44E4" w:rsidP="007C44E4">
            <w:pPr>
              <w:jc w:val="right"/>
              <w:rPr>
                <w:b/>
                <w:bCs/>
                <w:sz w:val="18"/>
                <w:szCs w:val="18"/>
              </w:rPr>
            </w:pPr>
            <w:r w:rsidRPr="007C44E4">
              <w:rPr>
                <w:b/>
                <w:bCs/>
                <w:sz w:val="18"/>
                <w:szCs w:val="18"/>
              </w:rPr>
              <w:t>1,714</w:t>
            </w:r>
          </w:p>
        </w:tc>
        <w:tc>
          <w:tcPr>
            <w:tcW w:w="946" w:type="dxa"/>
            <w:tcBorders>
              <w:top w:val="single" w:sz="6" w:space="0" w:color="2F5496" w:themeColor="accent1" w:themeShade="BF"/>
              <w:left w:val="single" w:sz="6" w:space="0" w:color="2F5496" w:themeColor="accent1" w:themeShade="BF"/>
              <w:bottom w:val="single" w:sz="12" w:space="0" w:color="2F5496" w:themeColor="accent1" w:themeShade="BF"/>
              <w:right w:val="single" w:sz="6" w:space="0" w:color="2F5496" w:themeColor="accent1" w:themeShade="BF"/>
            </w:tcBorders>
            <w:shd w:val="clear" w:color="auto" w:fill="F2F2F2" w:themeFill="background1" w:themeFillShade="F2"/>
            <w:vAlign w:val="center"/>
          </w:tcPr>
          <w:p w14:paraId="2F7F578C" w14:textId="77777777" w:rsidR="007C44E4" w:rsidRPr="007C44E4" w:rsidRDefault="007C44E4" w:rsidP="007C44E4">
            <w:pPr>
              <w:jc w:val="right"/>
              <w:rPr>
                <w:b/>
                <w:bCs/>
                <w:sz w:val="18"/>
                <w:szCs w:val="18"/>
              </w:rPr>
            </w:pPr>
            <w:r w:rsidRPr="007C44E4">
              <w:rPr>
                <w:b/>
                <w:bCs/>
                <w:sz w:val="18"/>
                <w:szCs w:val="18"/>
              </w:rPr>
              <w:t>778</w:t>
            </w:r>
          </w:p>
        </w:tc>
        <w:tc>
          <w:tcPr>
            <w:tcW w:w="1065" w:type="dxa"/>
            <w:tcBorders>
              <w:top w:val="single" w:sz="6" w:space="0" w:color="2F5496" w:themeColor="accent1" w:themeShade="BF"/>
              <w:left w:val="single" w:sz="6" w:space="0" w:color="2F5496" w:themeColor="accent1" w:themeShade="BF"/>
              <w:bottom w:val="single" w:sz="12" w:space="0" w:color="2F5496" w:themeColor="accent1" w:themeShade="BF"/>
              <w:right w:val="single" w:sz="6" w:space="0" w:color="2F5496" w:themeColor="accent1" w:themeShade="BF"/>
            </w:tcBorders>
            <w:shd w:val="clear" w:color="auto" w:fill="F2F2F2" w:themeFill="background1" w:themeFillShade="F2"/>
            <w:vAlign w:val="center"/>
          </w:tcPr>
          <w:p w14:paraId="434E729F" w14:textId="77777777" w:rsidR="007C44E4" w:rsidRPr="007C44E4" w:rsidRDefault="007C44E4" w:rsidP="007C44E4">
            <w:pPr>
              <w:jc w:val="right"/>
              <w:rPr>
                <w:b/>
                <w:bCs/>
                <w:sz w:val="18"/>
                <w:szCs w:val="18"/>
              </w:rPr>
            </w:pPr>
            <w:r w:rsidRPr="007C44E4">
              <w:rPr>
                <w:b/>
                <w:bCs/>
                <w:sz w:val="18"/>
                <w:szCs w:val="18"/>
              </w:rPr>
              <w:t>10,744</w:t>
            </w:r>
          </w:p>
        </w:tc>
        <w:tc>
          <w:tcPr>
            <w:tcW w:w="1580" w:type="dxa"/>
            <w:tcBorders>
              <w:top w:val="single" w:sz="6" w:space="0" w:color="2F5496" w:themeColor="accent1" w:themeShade="BF"/>
              <w:left w:val="single" w:sz="6" w:space="0" w:color="2F5496" w:themeColor="accent1" w:themeShade="BF"/>
              <w:bottom w:val="single" w:sz="12" w:space="0" w:color="2F5496" w:themeColor="accent1" w:themeShade="BF"/>
              <w:right w:val="single" w:sz="12" w:space="0" w:color="2F5496" w:themeColor="accent1" w:themeShade="BF"/>
            </w:tcBorders>
            <w:shd w:val="clear" w:color="auto" w:fill="F2F2F2" w:themeFill="background1" w:themeFillShade="F2"/>
            <w:vAlign w:val="center"/>
          </w:tcPr>
          <w:p w14:paraId="339012A8" w14:textId="77777777" w:rsidR="007C44E4" w:rsidRPr="007C44E4" w:rsidRDefault="007C44E4" w:rsidP="007C44E4">
            <w:pPr>
              <w:jc w:val="right"/>
              <w:rPr>
                <w:b/>
                <w:bCs/>
                <w:sz w:val="18"/>
                <w:szCs w:val="18"/>
              </w:rPr>
            </w:pPr>
          </w:p>
        </w:tc>
      </w:tr>
      <w:bookmarkEnd w:id="2"/>
    </w:tbl>
    <w:p w14:paraId="63227A01" w14:textId="77777777" w:rsidR="00582D55" w:rsidRDefault="00582D55" w:rsidP="00BD61B9">
      <w:pPr>
        <w:ind w:left="851" w:hanging="709"/>
        <w:rPr>
          <w:rFonts w:cs="Arial"/>
        </w:rPr>
      </w:pPr>
    </w:p>
    <w:p w14:paraId="3CAF543A" w14:textId="77777777" w:rsidR="0085010C" w:rsidRPr="0085010C" w:rsidRDefault="0085010C" w:rsidP="00BD61B9">
      <w:pPr>
        <w:ind w:left="851" w:hanging="709"/>
        <w:rPr>
          <w:rFonts w:cs="Arial"/>
        </w:rPr>
      </w:pPr>
      <w:r>
        <w:rPr>
          <w:rFonts w:cs="Arial"/>
        </w:rPr>
        <w:t>2.3</w:t>
      </w:r>
      <w:r w:rsidR="004928F5">
        <w:rPr>
          <w:rFonts w:cs="Arial"/>
        </w:rPr>
        <w:t>6</w:t>
      </w:r>
      <w:r>
        <w:rPr>
          <w:rFonts w:cs="Arial"/>
        </w:rPr>
        <w:tab/>
        <w:t>In summary the investmen</w:t>
      </w:r>
      <w:r w:rsidRPr="0085010C">
        <w:rPr>
          <w:rFonts w:cs="Arial"/>
        </w:rPr>
        <w:t>t requirement is as follows:</w:t>
      </w:r>
    </w:p>
    <w:p w14:paraId="2D3F0312" w14:textId="77777777" w:rsidR="006D2BE7" w:rsidRDefault="006D2BE7" w:rsidP="000C1E64">
      <w:pPr>
        <w:pStyle w:val="ListParagraph"/>
        <w:numPr>
          <w:ilvl w:val="0"/>
          <w:numId w:val="26"/>
        </w:numPr>
        <w:spacing w:before="100" w:beforeAutospacing="1" w:after="100" w:afterAutospacing="1"/>
        <w:ind w:left="1701" w:hanging="567"/>
        <w:rPr>
          <w:rFonts w:cs="Arial"/>
          <w:b w:val="0"/>
        </w:rPr>
      </w:pPr>
      <w:r>
        <w:rPr>
          <w:rFonts w:cs="Arial"/>
          <w:b w:val="0"/>
        </w:rPr>
        <w:t>Original nVCC OBC</w:t>
      </w:r>
      <w:r>
        <w:rPr>
          <w:rFonts w:cs="Arial"/>
          <w:b w:val="0"/>
        </w:rPr>
        <w:tab/>
      </w:r>
      <w:r>
        <w:rPr>
          <w:rFonts w:cs="Arial"/>
          <w:b w:val="0"/>
        </w:rPr>
        <w:tab/>
      </w:r>
      <w:r>
        <w:rPr>
          <w:rFonts w:cs="Arial"/>
          <w:b w:val="0"/>
        </w:rPr>
        <w:tab/>
      </w:r>
      <w:r w:rsidR="007C44E4">
        <w:rPr>
          <w:rFonts w:cs="Arial"/>
          <w:b w:val="0"/>
        </w:rPr>
        <w:tab/>
      </w:r>
      <w:r>
        <w:rPr>
          <w:rFonts w:cs="Arial"/>
          <w:b w:val="0"/>
        </w:rPr>
        <w:t>c£7.5m</w:t>
      </w:r>
    </w:p>
    <w:p w14:paraId="6565A6BF" w14:textId="77777777" w:rsidR="006D2BE7" w:rsidRDefault="006D2BE7" w:rsidP="000C1E64">
      <w:pPr>
        <w:pStyle w:val="ListParagraph"/>
        <w:numPr>
          <w:ilvl w:val="0"/>
          <w:numId w:val="26"/>
        </w:numPr>
        <w:spacing w:before="100" w:beforeAutospacing="1" w:after="100" w:afterAutospacing="1"/>
        <w:ind w:left="1701" w:hanging="567"/>
        <w:rPr>
          <w:rFonts w:cs="Arial"/>
          <w:b w:val="0"/>
        </w:rPr>
      </w:pPr>
      <w:r>
        <w:rPr>
          <w:rFonts w:cs="Arial"/>
          <w:b w:val="0"/>
        </w:rPr>
        <w:t xml:space="preserve">Removal of IRS equipment </w:t>
      </w:r>
      <w:proofErr w:type="spellStart"/>
      <w:r>
        <w:rPr>
          <w:rFonts w:cs="Arial"/>
          <w:b w:val="0"/>
        </w:rPr>
        <w:t>mtce</w:t>
      </w:r>
      <w:proofErr w:type="spellEnd"/>
      <w:r>
        <w:rPr>
          <w:rFonts w:cs="Arial"/>
          <w:b w:val="0"/>
        </w:rPr>
        <w:tab/>
      </w:r>
      <w:r w:rsidR="007C44E4">
        <w:rPr>
          <w:rFonts w:cs="Arial"/>
          <w:b w:val="0"/>
        </w:rPr>
        <w:tab/>
      </w:r>
      <w:r>
        <w:rPr>
          <w:rFonts w:cs="Arial"/>
          <w:b w:val="0"/>
        </w:rPr>
        <w:t>(c£1.0m)</w:t>
      </w:r>
    </w:p>
    <w:p w14:paraId="07BAEC18" w14:textId="77777777" w:rsidR="0085010C" w:rsidRDefault="0085010C" w:rsidP="000C1E64">
      <w:pPr>
        <w:pStyle w:val="ListParagraph"/>
        <w:numPr>
          <w:ilvl w:val="0"/>
          <w:numId w:val="26"/>
        </w:numPr>
        <w:spacing w:before="100" w:beforeAutospacing="1" w:after="100" w:afterAutospacing="1"/>
        <w:ind w:left="1701" w:hanging="567"/>
        <w:rPr>
          <w:rFonts w:cs="Arial"/>
          <w:b w:val="0"/>
        </w:rPr>
      </w:pPr>
      <w:r w:rsidRPr="000C1E64">
        <w:rPr>
          <w:rFonts w:cs="Arial"/>
          <w:b w:val="0"/>
        </w:rPr>
        <w:t xml:space="preserve">Adjusted OBC </w:t>
      </w:r>
      <w:r>
        <w:rPr>
          <w:rFonts w:cs="Arial"/>
          <w:b w:val="0"/>
        </w:rPr>
        <w:t>costs</w:t>
      </w:r>
      <w:r>
        <w:rPr>
          <w:rFonts w:cs="Arial"/>
          <w:b w:val="0"/>
        </w:rPr>
        <w:tab/>
      </w:r>
      <w:r>
        <w:rPr>
          <w:rFonts w:cs="Arial"/>
          <w:b w:val="0"/>
        </w:rPr>
        <w:tab/>
      </w:r>
      <w:r>
        <w:rPr>
          <w:rFonts w:cs="Arial"/>
          <w:b w:val="0"/>
        </w:rPr>
        <w:tab/>
      </w:r>
      <w:r w:rsidR="007C44E4">
        <w:rPr>
          <w:rFonts w:cs="Arial"/>
          <w:b w:val="0"/>
        </w:rPr>
        <w:tab/>
      </w:r>
      <w:r>
        <w:rPr>
          <w:rFonts w:cs="Arial"/>
          <w:b w:val="0"/>
        </w:rPr>
        <w:t>c£6.5m</w:t>
      </w:r>
    </w:p>
    <w:p w14:paraId="29000E1E" w14:textId="77777777" w:rsidR="0085010C" w:rsidRDefault="0085010C" w:rsidP="000C1E64">
      <w:pPr>
        <w:pStyle w:val="ListParagraph"/>
        <w:numPr>
          <w:ilvl w:val="0"/>
          <w:numId w:val="26"/>
        </w:numPr>
        <w:spacing w:before="100" w:beforeAutospacing="1" w:after="100" w:afterAutospacing="1"/>
        <w:ind w:left="1701" w:hanging="567"/>
        <w:rPr>
          <w:rFonts w:cs="Arial"/>
          <w:b w:val="0"/>
        </w:rPr>
      </w:pPr>
      <w:r>
        <w:rPr>
          <w:rFonts w:cs="Arial"/>
          <w:b w:val="0"/>
        </w:rPr>
        <w:t>Inflation on the OBC costs</w:t>
      </w:r>
      <w:r>
        <w:rPr>
          <w:rFonts w:cs="Arial"/>
          <w:b w:val="0"/>
        </w:rPr>
        <w:tab/>
      </w:r>
      <w:r>
        <w:rPr>
          <w:rFonts w:cs="Arial"/>
          <w:b w:val="0"/>
        </w:rPr>
        <w:tab/>
      </w:r>
      <w:r w:rsidR="007C44E4">
        <w:rPr>
          <w:rFonts w:cs="Arial"/>
          <w:b w:val="0"/>
        </w:rPr>
        <w:tab/>
      </w:r>
      <w:r>
        <w:rPr>
          <w:rFonts w:cs="Arial"/>
          <w:b w:val="0"/>
        </w:rPr>
        <w:t>c£1.7m</w:t>
      </w:r>
    </w:p>
    <w:p w14:paraId="022A4DA0" w14:textId="77777777" w:rsidR="0085010C" w:rsidRPr="007C44E4" w:rsidRDefault="0085010C" w:rsidP="000C1E64">
      <w:pPr>
        <w:pStyle w:val="ListParagraph"/>
        <w:numPr>
          <w:ilvl w:val="0"/>
          <w:numId w:val="26"/>
        </w:numPr>
        <w:spacing w:before="100" w:beforeAutospacing="1" w:after="100" w:afterAutospacing="1"/>
        <w:ind w:left="1701" w:hanging="567"/>
        <w:rPr>
          <w:rFonts w:cs="Arial"/>
          <w:b w:val="0"/>
        </w:rPr>
      </w:pPr>
      <w:r>
        <w:rPr>
          <w:rFonts w:cs="Arial"/>
          <w:b w:val="0"/>
        </w:rPr>
        <w:t>Additional investment</w:t>
      </w:r>
      <w:r>
        <w:rPr>
          <w:rFonts w:cs="Arial"/>
          <w:b w:val="0"/>
        </w:rPr>
        <w:tab/>
      </w:r>
      <w:r>
        <w:rPr>
          <w:rFonts w:cs="Arial"/>
          <w:b w:val="0"/>
        </w:rPr>
        <w:tab/>
      </w:r>
      <w:r>
        <w:rPr>
          <w:rFonts w:cs="Arial"/>
          <w:b w:val="0"/>
        </w:rPr>
        <w:tab/>
      </w:r>
      <w:r w:rsidR="007C44E4">
        <w:rPr>
          <w:rFonts w:cs="Arial"/>
          <w:b w:val="0"/>
        </w:rPr>
        <w:tab/>
      </w:r>
      <w:r w:rsidRPr="007C44E4">
        <w:rPr>
          <w:rFonts w:cs="Arial"/>
          <w:b w:val="0"/>
        </w:rPr>
        <w:t>c£</w:t>
      </w:r>
      <w:r w:rsidR="000C1E64" w:rsidRPr="007C44E4">
        <w:rPr>
          <w:rFonts w:cs="Arial"/>
          <w:b w:val="0"/>
        </w:rPr>
        <w:t>1.</w:t>
      </w:r>
      <w:r w:rsidR="007C44E4" w:rsidRPr="007C44E4">
        <w:rPr>
          <w:rFonts w:cs="Arial"/>
          <w:b w:val="0"/>
        </w:rPr>
        <w:t>7</w:t>
      </w:r>
      <w:r w:rsidRPr="007C44E4">
        <w:rPr>
          <w:rFonts w:cs="Arial"/>
          <w:b w:val="0"/>
        </w:rPr>
        <w:t>m</w:t>
      </w:r>
    </w:p>
    <w:p w14:paraId="2BF0937F" w14:textId="77777777" w:rsidR="0085010C" w:rsidRPr="007C44E4" w:rsidRDefault="0085010C" w:rsidP="000C1E64">
      <w:pPr>
        <w:pStyle w:val="ListParagraph"/>
        <w:numPr>
          <w:ilvl w:val="0"/>
          <w:numId w:val="26"/>
        </w:numPr>
        <w:spacing w:before="100" w:beforeAutospacing="1" w:after="100" w:afterAutospacing="1"/>
        <w:ind w:left="1701" w:hanging="567"/>
        <w:rPr>
          <w:rFonts w:cs="Arial"/>
          <w:b w:val="0"/>
        </w:rPr>
      </w:pPr>
      <w:r w:rsidRPr="007C44E4">
        <w:rPr>
          <w:rFonts w:cs="Arial"/>
          <w:b w:val="0"/>
        </w:rPr>
        <w:t>Other (movements)</w:t>
      </w:r>
      <w:r w:rsidRPr="007C44E4">
        <w:rPr>
          <w:rFonts w:cs="Arial"/>
          <w:b w:val="0"/>
        </w:rPr>
        <w:tab/>
      </w:r>
      <w:r w:rsidRPr="007C44E4">
        <w:rPr>
          <w:rFonts w:cs="Arial"/>
          <w:b w:val="0"/>
        </w:rPr>
        <w:tab/>
      </w:r>
      <w:r w:rsidRPr="007C44E4">
        <w:rPr>
          <w:rFonts w:cs="Arial"/>
          <w:b w:val="0"/>
        </w:rPr>
        <w:tab/>
      </w:r>
      <w:r w:rsidR="007C44E4">
        <w:rPr>
          <w:rFonts w:cs="Arial"/>
          <w:b w:val="0"/>
        </w:rPr>
        <w:tab/>
      </w:r>
      <w:r w:rsidRPr="007C44E4">
        <w:rPr>
          <w:rFonts w:cs="Arial"/>
          <w:b w:val="0"/>
        </w:rPr>
        <w:t>c£0.</w:t>
      </w:r>
      <w:r w:rsidR="000C1E64" w:rsidRPr="007C44E4">
        <w:rPr>
          <w:rFonts w:cs="Arial"/>
          <w:b w:val="0"/>
        </w:rPr>
        <w:t>8</w:t>
      </w:r>
      <w:r w:rsidRPr="007C44E4">
        <w:rPr>
          <w:rFonts w:cs="Arial"/>
          <w:b w:val="0"/>
        </w:rPr>
        <w:t>m</w:t>
      </w:r>
    </w:p>
    <w:p w14:paraId="47573499" w14:textId="77777777" w:rsidR="0085010C" w:rsidRPr="00A917A9" w:rsidRDefault="0085010C" w:rsidP="000C1E64">
      <w:pPr>
        <w:pStyle w:val="ListParagraph"/>
        <w:numPr>
          <w:ilvl w:val="0"/>
          <w:numId w:val="26"/>
        </w:numPr>
        <w:spacing w:before="100" w:beforeAutospacing="1" w:after="100" w:afterAutospacing="1"/>
        <w:ind w:left="1701" w:hanging="567"/>
        <w:rPr>
          <w:rFonts w:cs="Arial"/>
        </w:rPr>
      </w:pPr>
      <w:r>
        <w:rPr>
          <w:rFonts w:cs="Arial"/>
          <w:bCs/>
        </w:rPr>
        <w:t>TOTAL</w:t>
      </w:r>
      <w:r>
        <w:rPr>
          <w:rFonts w:cs="Arial"/>
          <w:bCs/>
        </w:rPr>
        <w:tab/>
      </w:r>
      <w:r>
        <w:rPr>
          <w:rFonts w:cs="Arial"/>
          <w:bCs/>
        </w:rPr>
        <w:tab/>
      </w:r>
      <w:r>
        <w:rPr>
          <w:rFonts w:cs="Arial"/>
          <w:bCs/>
        </w:rPr>
        <w:tab/>
      </w:r>
      <w:r>
        <w:rPr>
          <w:rFonts w:cs="Arial"/>
          <w:bCs/>
        </w:rPr>
        <w:tab/>
      </w:r>
      <w:r>
        <w:rPr>
          <w:rFonts w:cs="Arial"/>
          <w:bCs/>
        </w:rPr>
        <w:tab/>
      </w:r>
      <w:r w:rsidR="007C44E4">
        <w:rPr>
          <w:rFonts w:cs="Arial"/>
          <w:bCs/>
        </w:rPr>
        <w:tab/>
      </w:r>
      <w:r>
        <w:rPr>
          <w:rFonts w:cs="Arial"/>
          <w:bCs/>
        </w:rPr>
        <w:t>c£10.7m</w:t>
      </w:r>
    </w:p>
    <w:p w14:paraId="7789AAAB" w14:textId="77777777" w:rsidR="009A50E8" w:rsidRPr="000F5FDD" w:rsidRDefault="0085010C" w:rsidP="00BD61B9">
      <w:pPr>
        <w:ind w:left="851" w:hanging="709"/>
        <w:rPr>
          <w:bCs/>
        </w:rPr>
      </w:pPr>
      <w:r>
        <w:rPr>
          <w:rFonts w:cs="Arial"/>
        </w:rPr>
        <w:t>2.3</w:t>
      </w:r>
      <w:r w:rsidR="004928F5">
        <w:rPr>
          <w:rFonts w:cs="Arial"/>
        </w:rPr>
        <w:t>7</w:t>
      </w:r>
      <w:r>
        <w:rPr>
          <w:rFonts w:cs="Arial"/>
        </w:rPr>
        <w:tab/>
      </w:r>
      <w:r w:rsidR="000E3FFC" w:rsidRPr="001A55B2">
        <w:rPr>
          <w:rFonts w:cs="Arial"/>
        </w:rPr>
        <w:t>The</w:t>
      </w:r>
      <w:r>
        <w:rPr>
          <w:rFonts w:cs="Arial"/>
        </w:rPr>
        <w:t xml:space="preserve">refore, the </w:t>
      </w:r>
      <w:r w:rsidR="000E3FFC">
        <w:rPr>
          <w:rFonts w:cs="Arial"/>
        </w:rPr>
        <w:t xml:space="preserve">recurring </w:t>
      </w:r>
      <w:r w:rsidR="000E3FFC" w:rsidRPr="001A55B2">
        <w:rPr>
          <w:rFonts w:cs="Arial"/>
        </w:rPr>
        <w:t xml:space="preserve">revenue </w:t>
      </w:r>
      <w:r w:rsidR="000E3FFC">
        <w:rPr>
          <w:rFonts w:cs="Arial"/>
        </w:rPr>
        <w:t xml:space="preserve">costs of nVCC are </w:t>
      </w:r>
      <w:r>
        <w:rPr>
          <w:rFonts w:cs="Arial"/>
          <w:b/>
          <w:bCs/>
        </w:rPr>
        <w:t>c</w:t>
      </w:r>
      <w:r w:rsidR="000E3FFC" w:rsidRPr="000C1E64">
        <w:rPr>
          <w:rFonts w:cs="Arial"/>
          <w:b/>
          <w:bCs/>
        </w:rPr>
        <w:t>£10.</w:t>
      </w:r>
      <w:r w:rsidR="00C611EE" w:rsidRPr="000C1E64">
        <w:rPr>
          <w:rFonts w:cs="Arial"/>
          <w:b/>
          <w:bCs/>
        </w:rPr>
        <w:t>7</w:t>
      </w:r>
      <w:r w:rsidR="000E3FFC" w:rsidRPr="000C1E64">
        <w:rPr>
          <w:rFonts w:cs="Arial"/>
          <w:b/>
          <w:bCs/>
        </w:rPr>
        <w:t>m</w:t>
      </w:r>
      <w:r w:rsidR="000E3FFC">
        <w:rPr>
          <w:rFonts w:cs="Arial"/>
        </w:rPr>
        <w:t xml:space="preserve"> and </w:t>
      </w:r>
      <w:r>
        <w:rPr>
          <w:rFonts w:cs="Arial"/>
        </w:rPr>
        <w:t xml:space="preserve">the funding strategy is </w:t>
      </w:r>
      <w:r w:rsidR="000E3FFC">
        <w:rPr>
          <w:rFonts w:cs="Arial"/>
        </w:rPr>
        <w:t>set out</w:t>
      </w:r>
      <w:r w:rsidR="002A717D">
        <w:rPr>
          <w:rFonts w:cs="Arial"/>
        </w:rPr>
        <w:t xml:space="preserve"> below</w:t>
      </w:r>
      <w:r w:rsidR="000E3FFC">
        <w:rPr>
          <w:rFonts w:cs="Arial"/>
        </w:rPr>
        <w:t xml:space="preserve"> in Table </w:t>
      </w:r>
      <w:r w:rsidR="00F55FAB">
        <w:rPr>
          <w:rFonts w:cs="Arial"/>
        </w:rPr>
        <w:t>1</w:t>
      </w:r>
      <w:r>
        <w:rPr>
          <w:rFonts w:cs="Arial"/>
        </w:rPr>
        <w:t>2</w:t>
      </w:r>
      <w:r w:rsidR="000E3FFC">
        <w:rPr>
          <w:rFonts w:cs="Arial"/>
        </w:rPr>
        <w:t xml:space="preserve"> </w:t>
      </w:r>
      <w:r w:rsidR="00E01D28">
        <w:rPr>
          <w:rFonts w:cs="Arial"/>
        </w:rPr>
        <w:t>together</w:t>
      </w:r>
      <w:r w:rsidR="00F548E8">
        <w:rPr>
          <w:rFonts w:cs="Arial"/>
        </w:rPr>
        <w:t xml:space="preserve"> with the </w:t>
      </w:r>
      <w:r w:rsidR="000E3FFC">
        <w:rPr>
          <w:rFonts w:cs="Arial"/>
        </w:rPr>
        <w:t>Welsh Government</w:t>
      </w:r>
      <w:r w:rsidR="006D2BE7">
        <w:rPr>
          <w:rFonts w:cs="Arial"/>
        </w:rPr>
        <w:t>, DHCW</w:t>
      </w:r>
      <w:r w:rsidR="000E3FFC">
        <w:rPr>
          <w:rFonts w:cs="Arial"/>
        </w:rPr>
        <w:t xml:space="preserve"> and Local Health Board funding requirements</w:t>
      </w:r>
      <w:r w:rsidR="005E4262" w:rsidRPr="009A50E8">
        <w:rPr>
          <w:rFonts w:cs="Arial"/>
          <w:bCs/>
        </w:rPr>
        <w:t>:</w:t>
      </w:r>
    </w:p>
    <w:p w14:paraId="77656132" w14:textId="77777777" w:rsidR="009A50E8" w:rsidRPr="000F5FDD" w:rsidRDefault="009A50E8" w:rsidP="000F5FDD">
      <w:pPr>
        <w:rPr>
          <w:b/>
        </w:rPr>
      </w:pPr>
    </w:p>
    <w:p w14:paraId="074EBDC5" w14:textId="77777777" w:rsidR="000E3FFC" w:rsidRPr="006D7A49" w:rsidRDefault="000E3FFC" w:rsidP="006D7A49">
      <w:pPr>
        <w:pStyle w:val="Caption"/>
        <w:keepNext/>
        <w:ind w:left="720" w:firstLine="131"/>
        <w:rPr>
          <w:iCs w:val="0"/>
          <w:color w:val="2F5496"/>
          <w:sz w:val="20"/>
          <w:szCs w:val="20"/>
        </w:rPr>
      </w:pPr>
      <w:r w:rsidRPr="006D7A49">
        <w:rPr>
          <w:iCs w:val="0"/>
          <w:color w:val="2F5496"/>
          <w:sz w:val="20"/>
          <w:szCs w:val="20"/>
        </w:rPr>
        <w:t xml:space="preserve">Table </w:t>
      </w:r>
      <w:r w:rsidR="00F55FAB" w:rsidRPr="006D7A49">
        <w:rPr>
          <w:iCs w:val="0"/>
          <w:color w:val="2F5496"/>
          <w:sz w:val="20"/>
          <w:szCs w:val="20"/>
        </w:rPr>
        <w:t>1</w:t>
      </w:r>
      <w:r w:rsidR="0085010C" w:rsidRPr="006D7A49">
        <w:rPr>
          <w:iCs w:val="0"/>
          <w:color w:val="2F5496"/>
          <w:sz w:val="20"/>
          <w:szCs w:val="20"/>
        </w:rPr>
        <w:t>2</w:t>
      </w:r>
      <w:r w:rsidR="005E4262" w:rsidRPr="006D7A49">
        <w:rPr>
          <w:iCs w:val="0"/>
          <w:color w:val="2F5496"/>
          <w:sz w:val="20"/>
          <w:szCs w:val="20"/>
        </w:rPr>
        <w:t xml:space="preserve"> </w:t>
      </w:r>
      <w:r w:rsidR="0085010C" w:rsidRPr="006D7A49">
        <w:rPr>
          <w:iCs w:val="0"/>
          <w:color w:val="2F5496"/>
          <w:sz w:val="20"/>
          <w:szCs w:val="20"/>
        </w:rPr>
        <w:t>–</w:t>
      </w:r>
      <w:r w:rsidR="005E4262" w:rsidRPr="006D7A49">
        <w:rPr>
          <w:iCs w:val="0"/>
          <w:color w:val="2F5496"/>
          <w:sz w:val="20"/>
          <w:szCs w:val="20"/>
        </w:rPr>
        <w:t xml:space="preserve"> </w:t>
      </w:r>
      <w:r w:rsidR="0085010C" w:rsidRPr="006D7A49">
        <w:rPr>
          <w:iCs w:val="0"/>
          <w:color w:val="2F5496"/>
          <w:sz w:val="20"/>
          <w:szCs w:val="20"/>
        </w:rPr>
        <w:t xml:space="preserve">FBC </w:t>
      </w:r>
      <w:r w:rsidRPr="006D7A49">
        <w:rPr>
          <w:iCs w:val="0"/>
          <w:color w:val="2F5496"/>
          <w:sz w:val="20"/>
          <w:szCs w:val="20"/>
        </w:rPr>
        <w:t xml:space="preserve">Recurring Revenue </w:t>
      </w:r>
      <w:r w:rsidR="0085010C" w:rsidRPr="006D7A49">
        <w:rPr>
          <w:iCs w:val="0"/>
          <w:color w:val="2F5496"/>
          <w:sz w:val="20"/>
          <w:szCs w:val="20"/>
        </w:rPr>
        <w:t>Funding</w:t>
      </w:r>
    </w:p>
    <w:p w14:paraId="72D2D2C1" w14:textId="77777777" w:rsidR="001511DF" w:rsidRPr="001511DF" w:rsidRDefault="0025077A" w:rsidP="000C1E64">
      <w:pPr>
        <w:ind w:left="993" w:hanging="142"/>
      </w:pPr>
      <w:r w:rsidRPr="0065546C">
        <w:rPr>
          <w:noProof/>
        </w:rPr>
        <w:drawing>
          <wp:inline distT="0" distB="0" distL="0" distR="0" wp14:anchorId="43880212" wp14:editId="53C452F7">
            <wp:extent cx="5245735" cy="227520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245735" cy="2275205"/>
                    </a:xfrm>
                    <a:prstGeom prst="rect">
                      <a:avLst/>
                    </a:prstGeom>
                  </pic:spPr>
                </pic:pic>
              </a:graphicData>
            </a:graphic>
          </wp:inline>
        </w:drawing>
      </w:r>
    </w:p>
    <w:p w14:paraId="1CEC2C0E" w14:textId="77777777" w:rsidR="0025077A" w:rsidRPr="00C23F61" w:rsidRDefault="0025077A" w:rsidP="0025077A">
      <w:pPr>
        <w:ind w:left="851"/>
        <w:rPr>
          <w:rFonts w:cs="Arial"/>
          <w:i/>
          <w:sz w:val="18"/>
          <w:szCs w:val="18"/>
        </w:rPr>
      </w:pPr>
      <w:r>
        <w:rPr>
          <w:rFonts w:cs="Arial"/>
          <w:i/>
          <w:sz w:val="18"/>
          <w:szCs w:val="18"/>
        </w:rPr>
        <w:t>Note: All costs are at 2022-23 prices</w:t>
      </w:r>
    </w:p>
    <w:p w14:paraId="2B62C4F7" w14:textId="77777777" w:rsidR="0025077A" w:rsidRPr="006D2656" w:rsidRDefault="0025077A"/>
    <w:p w14:paraId="072B1432" w14:textId="23F87CBE" w:rsidR="002A717D" w:rsidRDefault="00705612" w:rsidP="000C1E64">
      <w:pPr>
        <w:ind w:left="851" w:hanging="851"/>
      </w:pPr>
      <w:r>
        <w:t>2.</w:t>
      </w:r>
      <w:r w:rsidR="00F55FAB">
        <w:t>3</w:t>
      </w:r>
      <w:r w:rsidR="004928F5">
        <w:t>8</w:t>
      </w:r>
      <w:r w:rsidR="00F548E8">
        <w:tab/>
      </w:r>
      <w:bookmarkStart w:id="3" w:name="_Hlk126753376"/>
      <w:r w:rsidR="0065546C" w:rsidRPr="0065546C">
        <w:t>The Utility Costs have been agreed with the C</w:t>
      </w:r>
      <w:r w:rsidR="0047763E">
        <w:t xml:space="preserve">ollective </w:t>
      </w:r>
      <w:r w:rsidR="0065546C" w:rsidRPr="0065546C">
        <w:t>C</w:t>
      </w:r>
      <w:r w:rsidR="0047763E">
        <w:t xml:space="preserve">ommissioners </w:t>
      </w:r>
      <w:r w:rsidR="0065546C" w:rsidRPr="0065546C">
        <w:t>G</w:t>
      </w:r>
      <w:r w:rsidR="0047763E">
        <w:t>roup</w:t>
      </w:r>
      <w:r w:rsidR="0065546C" w:rsidRPr="0065546C">
        <w:t xml:space="preserve"> as fair and reasonable and reflects the current position. Commissioners have advised that the </w:t>
      </w:r>
      <w:r w:rsidR="00DD5179">
        <w:t xml:space="preserve">costs arising from the </w:t>
      </w:r>
      <w:r w:rsidR="0065546C" w:rsidRPr="0065546C">
        <w:t>decision to procure a hospital designed with an electric only energy solution</w:t>
      </w:r>
      <w:r w:rsidR="00DD5179">
        <w:t>, which</w:t>
      </w:r>
      <w:r w:rsidR="0065546C" w:rsidRPr="0065546C">
        <w:t xml:space="preserve"> is </w:t>
      </w:r>
      <w:r w:rsidR="00DD5179">
        <w:t xml:space="preserve">a Welsh Government policy </w:t>
      </w:r>
      <w:r w:rsidR="00FD2A04" w:rsidRPr="0065546C">
        <w:t>cost</w:t>
      </w:r>
      <w:r w:rsidR="00FD2A04">
        <w:t>,</w:t>
      </w:r>
      <w:r w:rsidR="00FD2A04" w:rsidRPr="0065546C">
        <w:t xml:space="preserve"> should</w:t>
      </w:r>
      <w:r w:rsidR="00DD5179">
        <w:t xml:space="preserve"> seek alternative funding sources.</w:t>
      </w:r>
      <w:r w:rsidR="00FD2A04">
        <w:t xml:space="preserve"> </w:t>
      </w:r>
      <w:r w:rsidR="00DD5179">
        <w:t>This</w:t>
      </w:r>
      <w:r w:rsidR="00FD2A04">
        <w:t xml:space="preserve"> </w:t>
      </w:r>
      <w:r w:rsidR="0065546C" w:rsidRPr="0065546C">
        <w:t xml:space="preserve">is due to the current financial </w:t>
      </w:r>
      <w:r w:rsidR="0065546C" w:rsidRPr="0065546C">
        <w:lastRenderedPageBreak/>
        <w:t xml:space="preserve">deficit of each of the four main Commissioning Health Boards, which are anticipated to worsen over the next </w:t>
      </w:r>
      <w:r w:rsidR="00FD2A04" w:rsidRPr="0065546C">
        <w:t>three-year</w:t>
      </w:r>
      <w:r w:rsidR="0065546C" w:rsidRPr="0065546C">
        <w:t xml:space="preserve"> IMTP 2023-2026</w:t>
      </w:r>
      <w:r w:rsidR="006D2BE7">
        <w:t>. W</w:t>
      </w:r>
      <w:r w:rsidR="0065546C" w:rsidRPr="0065546C">
        <w:t xml:space="preserve">hilst </w:t>
      </w:r>
      <w:r w:rsidR="006D2BE7">
        <w:t>LHBs</w:t>
      </w:r>
      <w:r w:rsidR="0065546C" w:rsidRPr="0065546C">
        <w:t xml:space="preserve"> recognise the benefit of an early contribution to meeting the Welsh Government decarbonisation target</w:t>
      </w:r>
      <w:r w:rsidR="006D2BE7">
        <w:t>,</w:t>
      </w:r>
      <w:r w:rsidR="0065546C" w:rsidRPr="0065546C">
        <w:t xml:space="preserve"> that the procurement of an electric only energy solution will help deliver</w:t>
      </w:r>
      <w:r w:rsidR="006D2BE7">
        <w:t>,</w:t>
      </w:r>
      <w:r w:rsidR="0065546C" w:rsidRPr="0065546C">
        <w:t xml:space="preserve"> they </w:t>
      </w:r>
      <w:r w:rsidR="00DD5179">
        <w:t xml:space="preserve">note that </w:t>
      </w:r>
      <w:r w:rsidR="0065546C" w:rsidRPr="0065546C">
        <w:t xml:space="preserve">their own estate also requires significant investment to address the ‘green’ agenda, which they cannot currently prioritise given the pressures on service funding. These issues have been understood and acknowledged by Velindre Trust. It has, therefore, been agreed that an element (£0.961m current prices) of this cost category, </w:t>
      </w:r>
      <w:r w:rsidR="00DD5179">
        <w:t xml:space="preserve">namely </w:t>
      </w:r>
      <w:r w:rsidR="0065546C" w:rsidRPr="0065546C">
        <w:t xml:space="preserve">the switch to an all-electric solution, should </w:t>
      </w:r>
      <w:r w:rsidR="00DD5179">
        <w:t xml:space="preserve">seek an alternative funding source </w:t>
      </w:r>
      <w:r w:rsidR="0065546C" w:rsidRPr="0065546C">
        <w:t xml:space="preserve">through transitional funding arrangements. It is proposed that the cost of an all-electric advance design to meet Government decarbonisation policy be mitigated by transitional funding relief as an element of the Welsh Government MIM financing support. </w:t>
      </w:r>
      <w:r w:rsidR="00DD5179">
        <w:t>At this time, b</w:t>
      </w:r>
      <w:r w:rsidR="0065546C" w:rsidRPr="0065546C">
        <w:t>ased on the above, it has been agreed that Commissioners would not be requested to fund the all-electric solution element of £0.961m in advance of those transitional funding discussions with Welsh Government.</w:t>
      </w:r>
      <w:r w:rsidR="002A717D">
        <w:t xml:space="preserve"> </w:t>
      </w:r>
    </w:p>
    <w:bookmarkEnd w:id="3"/>
    <w:p w14:paraId="1AB27B30" w14:textId="77777777" w:rsidR="006D2BE7" w:rsidRDefault="006D2BE7" w:rsidP="000C1E64">
      <w:pPr>
        <w:ind w:left="851" w:hanging="851"/>
      </w:pPr>
    </w:p>
    <w:p w14:paraId="4C2C9CAE" w14:textId="77777777" w:rsidR="0065546C" w:rsidRDefault="00705612" w:rsidP="000F5FDD">
      <w:pPr>
        <w:ind w:left="851" w:hanging="720"/>
      </w:pPr>
      <w:r>
        <w:t>2.</w:t>
      </w:r>
      <w:r w:rsidR="00F55FAB">
        <w:t>3</w:t>
      </w:r>
      <w:r w:rsidR="004928F5">
        <w:t>9</w:t>
      </w:r>
      <w:r>
        <w:tab/>
      </w:r>
      <w:r w:rsidR="0065546C">
        <w:t xml:space="preserve">The </w:t>
      </w:r>
      <w:r w:rsidR="0065546C" w:rsidRPr="0065546C">
        <w:t>revenue digital requirements cover four key areas</w:t>
      </w:r>
      <w:r w:rsidR="002A717D">
        <w:t xml:space="preserve"> at a cost of </w:t>
      </w:r>
      <w:r w:rsidR="002A717D">
        <w:rPr>
          <w:b/>
          <w:bCs/>
        </w:rPr>
        <w:t>c£1.2m</w:t>
      </w:r>
      <w:r w:rsidR="002A717D">
        <w:t xml:space="preserve"> and is out below in Table </w:t>
      </w:r>
      <w:r w:rsidR="00F55FAB">
        <w:t>1</w:t>
      </w:r>
      <w:r w:rsidR="00931018">
        <w:t>3</w:t>
      </w:r>
      <w:r w:rsidR="002A717D">
        <w:t>:</w:t>
      </w:r>
    </w:p>
    <w:p w14:paraId="66839A8C" w14:textId="77777777" w:rsidR="0065546C" w:rsidRDefault="0065546C" w:rsidP="000F5FDD">
      <w:pPr>
        <w:ind w:left="851" w:hanging="720"/>
      </w:pPr>
    </w:p>
    <w:p w14:paraId="61CCD6CE" w14:textId="4D19543A" w:rsidR="0065546C" w:rsidRPr="006D7A49" w:rsidRDefault="0065546C" w:rsidP="006D7A49">
      <w:pPr>
        <w:pStyle w:val="Caption"/>
        <w:keepNext/>
        <w:ind w:left="720" w:firstLine="131"/>
        <w:rPr>
          <w:iCs w:val="0"/>
          <w:color w:val="2F5496"/>
          <w:sz w:val="20"/>
          <w:szCs w:val="20"/>
        </w:rPr>
      </w:pPr>
      <w:r w:rsidRPr="006D7A49">
        <w:rPr>
          <w:iCs w:val="0"/>
          <w:color w:val="2F5496"/>
          <w:sz w:val="20"/>
          <w:szCs w:val="20"/>
        </w:rPr>
        <w:t xml:space="preserve">Table </w:t>
      </w:r>
      <w:r w:rsidR="00F55FAB" w:rsidRPr="006D7A49">
        <w:rPr>
          <w:iCs w:val="0"/>
          <w:color w:val="2F5496"/>
          <w:sz w:val="20"/>
          <w:szCs w:val="20"/>
        </w:rPr>
        <w:t>1</w:t>
      </w:r>
      <w:r w:rsidR="00931018" w:rsidRPr="006D7A49">
        <w:rPr>
          <w:iCs w:val="0"/>
          <w:color w:val="2F5496"/>
          <w:sz w:val="20"/>
          <w:szCs w:val="20"/>
        </w:rPr>
        <w:t>3</w:t>
      </w:r>
      <w:r w:rsidRPr="006D7A49">
        <w:rPr>
          <w:iCs w:val="0"/>
          <w:color w:val="2F5496"/>
          <w:sz w:val="20"/>
          <w:szCs w:val="20"/>
        </w:rPr>
        <w:t xml:space="preserve"> </w:t>
      </w:r>
      <w:r w:rsidR="0025077A" w:rsidRPr="006D7A49">
        <w:rPr>
          <w:iCs w:val="0"/>
          <w:color w:val="2F5496"/>
          <w:sz w:val="20"/>
          <w:szCs w:val="20"/>
        </w:rPr>
        <w:t>–</w:t>
      </w:r>
      <w:r w:rsidRPr="006D7A49">
        <w:rPr>
          <w:iCs w:val="0"/>
          <w:color w:val="2F5496"/>
          <w:sz w:val="20"/>
          <w:szCs w:val="20"/>
        </w:rPr>
        <w:t xml:space="preserve"> </w:t>
      </w:r>
      <w:r w:rsidR="0025077A" w:rsidRPr="006D7A49">
        <w:rPr>
          <w:iCs w:val="0"/>
          <w:color w:val="2F5496"/>
          <w:sz w:val="20"/>
          <w:szCs w:val="20"/>
        </w:rPr>
        <w:t>Digital Costs</w:t>
      </w:r>
    </w:p>
    <w:p w14:paraId="0A5996E6" w14:textId="77777777" w:rsidR="0065546C" w:rsidRDefault="0025077A" w:rsidP="000C1E64">
      <w:pPr>
        <w:ind w:left="851"/>
      </w:pPr>
      <w:r w:rsidRPr="0025077A">
        <w:rPr>
          <w:noProof/>
        </w:rPr>
        <w:drawing>
          <wp:inline distT="0" distB="0" distL="0" distR="0" wp14:anchorId="2DAFB32F" wp14:editId="4879E9AA">
            <wp:extent cx="5438095" cy="1419048"/>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438095" cy="1419048"/>
                    </a:xfrm>
                    <a:prstGeom prst="rect">
                      <a:avLst/>
                    </a:prstGeom>
                  </pic:spPr>
                </pic:pic>
              </a:graphicData>
            </a:graphic>
          </wp:inline>
        </w:drawing>
      </w:r>
    </w:p>
    <w:p w14:paraId="29FEA4E9" w14:textId="77777777" w:rsidR="002A717D" w:rsidRPr="00C23F61" w:rsidRDefault="002A717D" w:rsidP="002A717D">
      <w:pPr>
        <w:ind w:left="851"/>
        <w:rPr>
          <w:rFonts w:cs="Arial"/>
          <w:i/>
          <w:sz w:val="18"/>
          <w:szCs w:val="18"/>
        </w:rPr>
      </w:pPr>
      <w:r>
        <w:rPr>
          <w:rFonts w:cs="Arial"/>
          <w:i/>
          <w:sz w:val="18"/>
          <w:szCs w:val="18"/>
        </w:rPr>
        <w:t>Note: All costs are at 2022-23 prices</w:t>
      </w:r>
    </w:p>
    <w:p w14:paraId="290950B1" w14:textId="77777777" w:rsidR="0065546C" w:rsidRDefault="0065546C" w:rsidP="000F5FDD">
      <w:pPr>
        <w:ind w:left="851" w:hanging="720"/>
      </w:pPr>
    </w:p>
    <w:p w14:paraId="65696C2B" w14:textId="46BB6DDB" w:rsidR="000E3FFC" w:rsidRDefault="0065546C" w:rsidP="000C1E64">
      <w:pPr>
        <w:ind w:left="851"/>
      </w:pPr>
      <w:r w:rsidRPr="0065546C">
        <w:t>In managing the funding of these Digital requirements, the Trust proposes that it takes responsibility for the costs of digitisation of health records and transitional costs</w:t>
      </w:r>
      <w:r w:rsidR="001304FB">
        <w:t xml:space="preserve"> through its baselin</w:t>
      </w:r>
      <w:r w:rsidR="00855C06">
        <w:t>e</w:t>
      </w:r>
      <w:r w:rsidR="001304FB">
        <w:t xml:space="preserve"> funding</w:t>
      </w:r>
      <w:r w:rsidRPr="0065546C">
        <w:t xml:space="preserve">. In respect of the clinical and operational requirements, the Trust has had positive discussions with DHCW, where the structure of a collaborative funding arrangement </w:t>
      </w:r>
      <w:r w:rsidR="006D2BE7">
        <w:t xml:space="preserve">has been agreed </w:t>
      </w:r>
      <w:r w:rsidRPr="0065546C">
        <w:t xml:space="preserve">for the ‘strategic clinical and operational’ elements of the nVCC Project. As such, funding from the Digital Priorities Investment Fund (DPIF) or other Welsh Government digital funding sources is planned to be </w:t>
      </w:r>
      <w:r w:rsidR="006D2BE7">
        <w:t>provided</w:t>
      </w:r>
      <w:r w:rsidRPr="0065546C">
        <w:t xml:space="preserve">. This collaborative funding approach </w:t>
      </w:r>
      <w:r w:rsidR="006D2BE7">
        <w:t>will</w:t>
      </w:r>
      <w:r w:rsidRPr="0065546C">
        <w:t xml:space="preserve"> continue to be shaped with LHBs. Given the proposed arrangements above, LHBs are only being requested to fund the nVCC infrastructure requirements (Day 1) at this stage in the process</w:t>
      </w:r>
      <w:r w:rsidR="006D2BE7">
        <w:t>.</w:t>
      </w:r>
      <w:r w:rsidRPr="0065546C">
        <w:t xml:space="preserve"> </w:t>
      </w:r>
      <w:r w:rsidR="006D2BE7">
        <w:t>S</w:t>
      </w:r>
      <w:r w:rsidRPr="0065546C">
        <w:t>hould the DPIF or other WG digital funding be non-recurrent</w:t>
      </w:r>
      <w:r w:rsidR="006D2BE7">
        <w:t>,</w:t>
      </w:r>
      <w:r w:rsidRPr="0065546C">
        <w:t xml:space="preserve"> </w:t>
      </w:r>
      <w:r w:rsidR="006D2BE7">
        <w:t xml:space="preserve">further discussions </w:t>
      </w:r>
      <w:r w:rsidRPr="0065546C">
        <w:t xml:space="preserve">would </w:t>
      </w:r>
      <w:r w:rsidR="006D2BE7">
        <w:t xml:space="preserve">be necessary </w:t>
      </w:r>
      <w:r w:rsidRPr="0065546C">
        <w:t xml:space="preserve">to </w:t>
      </w:r>
      <w:r w:rsidR="006D2BE7">
        <w:t>consider</w:t>
      </w:r>
      <w:r w:rsidRPr="0065546C">
        <w:t xml:space="preserve"> ongoing funding for these costs</w:t>
      </w:r>
      <w:r w:rsidR="006D2BE7">
        <w:t>.</w:t>
      </w:r>
    </w:p>
    <w:p w14:paraId="18678D9B" w14:textId="77777777" w:rsidR="00BD61B9" w:rsidRDefault="00BD61B9" w:rsidP="00F548E8">
      <w:pPr>
        <w:ind w:left="851" w:hanging="851"/>
      </w:pPr>
    </w:p>
    <w:p w14:paraId="57B040EF" w14:textId="77777777" w:rsidR="00E849D6" w:rsidRPr="00F548E8" w:rsidRDefault="00705612" w:rsidP="00E849D6">
      <w:pPr>
        <w:ind w:left="720" w:hanging="720"/>
      </w:pPr>
      <w:r>
        <w:t>2.</w:t>
      </w:r>
      <w:r w:rsidR="004928F5">
        <w:t>40</w:t>
      </w:r>
      <w:r w:rsidR="00F548E8">
        <w:tab/>
      </w:r>
      <w:r w:rsidR="00E849D6" w:rsidRPr="00F548E8">
        <w:t>It is important to consider the overall movement in the recurring revenue funding required from Commissioners when compared to the agreed OBC funding inflated to 202</w:t>
      </w:r>
      <w:r w:rsidR="00E849D6">
        <w:t>2-23</w:t>
      </w:r>
      <w:r w:rsidR="00E849D6" w:rsidRPr="00F548E8">
        <w:t xml:space="preserve"> prices. The movement is </w:t>
      </w:r>
      <w:r w:rsidR="00E849D6" w:rsidRPr="000C1E64">
        <w:rPr>
          <w:b/>
        </w:rPr>
        <w:t>c£1.0m</w:t>
      </w:r>
      <w:r w:rsidR="00E849D6" w:rsidRPr="00F548E8">
        <w:rPr>
          <w:bCs/>
        </w:rPr>
        <w:t xml:space="preserve"> </w:t>
      </w:r>
      <w:r w:rsidR="00E849D6" w:rsidRPr="00F548E8">
        <w:t xml:space="preserve">and is </w:t>
      </w:r>
      <w:r w:rsidR="00E849D6">
        <w:t>set out below T</w:t>
      </w:r>
      <w:r w:rsidR="00E849D6" w:rsidRPr="00F548E8">
        <w:t xml:space="preserve">able </w:t>
      </w:r>
      <w:r w:rsidR="00E849D6">
        <w:t>14</w:t>
      </w:r>
      <w:r w:rsidR="00E849D6" w:rsidRPr="00F548E8">
        <w:t>:</w:t>
      </w:r>
    </w:p>
    <w:p w14:paraId="1FB7F18F" w14:textId="77777777" w:rsidR="00E849D6" w:rsidRDefault="00E849D6" w:rsidP="00E849D6">
      <w:pPr>
        <w:pStyle w:val="Caption"/>
        <w:keepNext/>
        <w:rPr>
          <w:i w:val="0"/>
          <w:color w:val="2F5496"/>
          <w:sz w:val="20"/>
          <w:szCs w:val="20"/>
        </w:rPr>
      </w:pPr>
    </w:p>
    <w:p w14:paraId="6EBAC187" w14:textId="77777777" w:rsidR="00E849D6" w:rsidRPr="006D7A49" w:rsidRDefault="00E849D6" w:rsidP="006D7A49">
      <w:pPr>
        <w:pStyle w:val="Caption"/>
        <w:keepNext/>
        <w:ind w:left="720" w:firstLine="131"/>
        <w:rPr>
          <w:iCs w:val="0"/>
          <w:color w:val="2F5496"/>
          <w:sz w:val="20"/>
          <w:szCs w:val="20"/>
        </w:rPr>
      </w:pPr>
      <w:r w:rsidRPr="006D7A49">
        <w:rPr>
          <w:iCs w:val="0"/>
          <w:color w:val="2F5496"/>
          <w:sz w:val="20"/>
          <w:szCs w:val="20"/>
        </w:rPr>
        <w:t>Table 14 - Movement in Recurring Revenue Costs for Commissioners</w:t>
      </w:r>
    </w:p>
    <w:tbl>
      <w:tblPr>
        <w:tblW w:w="7796" w:type="dxa"/>
        <w:tblInd w:w="836" w:type="dxa"/>
        <w:tblBorders>
          <w:top w:val="single" w:sz="8" w:space="0" w:color="2F5496" w:themeColor="accent1" w:themeShade="BF"/>
          <w:left w:val="single" w:sz="8" w:space="0" w:color="2F5496" w:themeColor="accent1" w:themeShade="BF"/>
          <w:bottom w:val="single" w:sz="8" w:space="0" w:color="2F5496" w:themeColor="accent1" w:themeShade="BF"/>
          <w:right w:val="single" w:sz="8" w:space="0" w:color="2F5496" w:themeColor="accent1" w:themeShade="BF"/>
          <w:insideH w:val="single" w:sz="8" w:space="0" w:color="2F5496" w:themeColor="accent1" w:themeShade="BF"/>
          <w:insideV w:val="single" w:sz="8" w:space="0" w:color="2F5496" w:themeColor="accent1" w:themeShade="BF"/>
        </w:tblBorders>
        <w:tblLayout w:type="fixed"/>
        <w:tblLook w:val="04A0" w:firstRow="1" w:lastRow="0" w:firstColumn="1" w:lastColumn="0" w:noHBand="0" w:noVBand="1"/>
      </w:tblPr>
      <w:tblGrid>
        <w:gridCol w:w="2977"/>
        <w:gridCol w:w="1606"/>
        <w:gridCol w:w="1606"/>
        <w:gridCol w:w="1607"/>
      </w:tblGrid>
      <w:tr w:rsidR="00E849D6" w:rsidRPr="00150080" w14:paraId="54867143" w14:textId="77777777" w:rsidTr="00BB1691">
        <w:trPr>
          <w:trHeight w:val="317"/>
        </w:trPr>
        <w:tc>
          <w:tcPr>
            <w:tcW w:w="2977" w:type="dxa"/>
            <w:tcBorders>
              <w:top w:val="single" w:sz="12" w:space="0" w:color="2F5496" w:themeColor="accent1" w:themeShade="BF"/>
              <w:left w:val="single" w:sz="12" w:space="0" w:color="2F5496" w:themeColor="accent1" w:themeShade="BF"/>
              <w:bottom w:val="single" w:sz="6" w:space="0" w:color="2F5496" w:themeColor="accent1" w:themeShade="BF"/>
              <w:right w:val="single" w:sz="6" w:space="0" w:color="2F5496" w:themeColor="accent1" w:themeShade="BF"/>
            </w:tcBorders>
            <w:shd w:val="clear" w:color="auto" w:fill="1F3864" w:themeFill="accent1" w:themeFillShade="80"/>
            <w:vAlign w:val="center"/>
          </w:tcPr>
          <w:p w14:paraId="0D9F5C4B" w14:textId="77777777" w:rsidR="00E849D6" w:rsidRPr="00150080" w:rsidRDefault="00E849D6" w:rsidP="00BB1691">
            <w:pPr>
              <w:tabs>
                <w:tab w:val="num" w:pos="1418"/>
              </w:tabs>
              <w:ind w:firstLine="64"/>
              <w:jc w:val="left"/>
              <w:rPr>
                <w:b/>
                <w:color w:val="FFFFFF" w:themeColor="background1"/>
                <w:sz w:val="20"/>
                <w:szCs w:val="20"/>
              </w:rPr>
            </w:pPr>
            <w:r w:rsidRPr="00150080">
              <w:rPr>
                <w:b/>
                <w:color w:val="FFFFFF" w:themeColor="background1"/>
                <w:sz w:val="20"/>
                <w:szCs w:val="20"/>
              </w:rPr>
              <w:t>Cost Category</w:t>
            </w:r>
          </w:p>
        </w:tc>
        <w:tc>
          <w:tcPr>
            <w:tcW w:w="1606" w:type="dxa"/>
            <w:tcBorders>
              <w:top w:val="single" w:sz="12" w:space="0" w:color="2F5496" w:themeColor="accent1" w:themeShade="BF"/>
              <w:left w:val="single" w:sz="6" w:space="0" w:color="2F5496" w:themeColor="accent1" w:themeShade="BF"/>
              <w:bottom w:val="single" w:sz="6" w:space="0" w:color="2F5496" w:themeColor="accent1" w:themeShade="BF"/>
              <w:right w:val="single" w:sz="6" w:space="0" w:color="2F5496" w:themeColor="accent1" w:themeShade="BF"/>
            </w:tcBorders>
            <w:shd w:val="clear" w:color="auto" w:fill="1F3864" w:themeFill="accent1" w:themeFillShade="80"/>
            <w:vAlign w:val="center"/>
          </w:tcPr>
          <w:p w14:paraId="35A473A7" w14:textId="77777777" w:rsidR="00E849D6" w:rsidRPr="00150080" w:rsidRDefault="00E849D6" w:rsidP="00BB1691">
            <w:pPr>
              <w:jc w:val="center"/>
              <w:rPr>
                <w:b/>
                <w:color w:val="FFFFFF" w:themeColor="background1"/>
                <w:sz w:val="20"/>
                <w:szCs w:val="20"/>
              </w:rPr>
            </w:pPr>
            <w:r w:rsidRPr="00150080">
              <w:rPr>
                <w:b/>
                <w:color w:val="FFFFFF" w:themeColor="background1"/>
                <w:sz w:val="20"/>
                <w:szCs w:val="20"/>
              </w:rPr>
              <w:t>FBC Costs</w:t>
            </w:r>
          </w:p>
        </w:tc>
        <w:tc>
          <w:tcPr>
            <w:tcW w:w="1606" w:type="dxa"/>
            <w:tcBorders>
              <w:top w:val="single" w:sz="12" w:space="0" w:color="2F5496" w:themeColor="accent1" w:themeShade="BF"/>
              <w:left w:val="single" w:sz="6" w:space="0" w:color="2F5496" w:themeColor="accent1" w:themeShade="BF"/>
              <w:bottom w:val="single" w:sz="6" w:space="0" w:color="2F5496" w:themeColor="accent1" w:themeShade="BF"/>
              <w:right w:val="single" w:sz="6" w:space="0" w:color="2F5496" w:themeColor="accent1" w:themeShade="BF"/>
            </w:tcBorders>
            <w:shd w:val="clear" w:color="auto" w:fill="1F3864" w:themeFill="accent1" w:themeFillShade="80"/>
            <w:vAlign w:val="center"/>
          </w:tcPr>
          <w:p w14:paraId="00F58F4F" w14:textId="77777777" w:rsidR="00E849D6" w:rsidRPr="00150080" w:rsidRDefault="00E849D6" w:rsidP="00BB1691">
            <w:pPr>
              <w:jc w:val="center"/>
              <w:rPr>
                <w:b/>
                <w:color w:val="FFFFFF" w:themeColor="background1"/>
                <w:sz w:val="20"/>
                <w:szCs w:val="20"/>
              </w:rPr>
            </w:pPr>
            <w:r w:rsidRPr="0002703C">
              <w:rPr>
                <w:b/>
                <w:color w:val="FFFFFF" w:themeColor="background1"/>
                <w:sz w:val="20"/>
                <w:szCs w:val="20"/>
              </w:rPr>
              <w:t>OBC Inflated</w:t>
            </w:r>
          </w:p>
        </w:tc>
        <w:tc>
          <w:tcPr>
            <w:tcW w:w="1607" w:type="dxa"/>
            <w:tcBorders>
              <w:top w:val="single" w:sz="12" w:space="0" w:color="2F5496" w:themeColor="accent1" w:themeShade="BF"/>
              <w:left w:val="single" w:sz="6" w:space="0" w:color="2F5496" w:themeColor="accent1" w:themeShade="BF"/>
              <w:bottom w:val="single" w:sz="6" w:space="0" w:color="2F5496" w:themeColor="accent1" w:themeShade="BF"/>
              <w:right w:val="single" w:sz="12" w:space="0" w:color="2F5496" w:themeColor="accent1" w:themeShade="BF"/>
            </w:tcBorders>
            <w:shd w:val="clear" w:color="auto" w:fill="1F3864" w:themeFill="accent1" w:themeFillShade="80"/>
            <w:tcMar>
              <w:left w:w="43" w:type="dxa"/>
              <w:right w:w="43" w:type="dxa"/>
            </w:tcMar>
            <w:vAlign w:val="center"/>
          </w:tcPr>
          <w:p w14:paraId="678781AB" w14:textId="77777777" w:rsidR="00E849D6" w:rsidRPr="00150080" w:rsidRDefault="00E849D6" w:rsidP="00BB1691">
            <w:pPr>
              <w:jc w:val="center"/>
              <w:rPr>
                <w:b/>
                <w:color w:val="FFFFFF" w:themeColor="background1"/>
                <w:sz w:val="20"/>
                <w:szCs w:val="20"/>
              </w:rPr>
            </w:pPr>
            <w:r>
              <w:rPr>
                <w:b/>
                <w:color w:val="FFFFFF" w:themeColor="background1"/>
                <w:sz w:val="20"/>
                <w:szCs w:val="20"/>
              </w:rPr>
              <w:t>Movement</w:t>
            </w:r>
          </w:p>
        </w:tc>
      </w:tr>
      <w:tr w:rsidR="00E849D6" w:rsidRPr="00150080" w14:paraId="1121925E" w14:textId="77777777" w:rsidTr="00BB1691">
        <w:trPr>
          <w:trHeight w:val="317"/>
        </w:trPr>
        <w:tc>
          <w:tcPr>
            <w:tcW w:w="2977" w:type="dxa"/>
            <w:tcBorders>
              <w:top w:val="single" w:sz="6" w:space="0" w:color="2F5496" w:themeColor="accent1" w:themeShade="BF"/>
              <w:left w:val="single" w:sz="12" w:space="0" w:color="2F5496" w:themeColor="accent1" w:themeShade="BF"/>
              <w:bottom w:val="single" w:sz="6" w:space="0" w:color="2F5496" w:themeColor="accent1" w:themeShade="BF"/>
              <w:right w:val="single" w:sz="6" w:space="0" w:color="2F5496" w:themeColor="accent1" w:themeShade="BF"/>
            </w:tcBorders>
            <w:shd w:val="clear" w:color="auto" w:fill="1F3864" w:themeFill="accent1" w:themeFillShade="80"/>
            <w:vAlign w:val="center"/>
          </w:tcPr>
          <w:p w14:paraId="44B3EB1C" w14:textId="77777777" w:rsidR="00E849D6" w:rsidRPr="0002703C" w:rsidRDefault="00E849D6" w:rsidP="00BB1691">
            <w:pPr>
              <w:tabs>
                <w:tab w:val="num" w:pos="1418"/>
              </w:tabs>
              <w:ind w:firstLine="64"/>
              <w:jc w:val="left"/>
              <w:rPr>
                <w:b/>
                <w:sz w:val="20"/>
                <w:szCs w:val="20"/>
              </w:rPr>
            </w:pPr>
          </w:p>
        </w:tc>
        <w:tc>
          <w:tcPr>
            <w:tcW w:w="1606" w:type="dxa"/>
            <w:tcBorders>
              <w:top w:val="single" w:sz="6" w:space="0" w:color="2F5496" w:themeColor="accent1" w:themeShade="BF"/>
              <w:left w:val="single" w:sz="6" w:space="0" w:color="2F5496" w:themeColor="accent1" w:themeShade="BF"/>
              <w:bottom w:val="single" w:sz="6" w:space="0" w:color="2F5496" w:themeColor="accent1" w:themeShade="BF"/>
              <w:right w:val="single" w:sz="6" w:space="0" w:color="2F5496" w:themeColor="accent1" w:themeShade="BF"/>
            </w:tcBorders>
            <w:shd w:val="clear" w:color="auto" w:fill="1F3864" w:themeFill="accent1" w:themeFillShade="80"/>
            <w:vAlign w:val="center"/>
          </w:tcPr>
          <w:p w14:paraId="454F6DDC" w14:textId="77777777" w:rsidR="00E849D6" w:rsidRPr="00150080" w:rsidRDefault="00E849D6" w:rsidP="00BB1691">
            <w:pPr>
              <w:jc w:val="center"/>
              <w:rPr>
                <w:b/>
                <w:color w:val="FFFFFF" w:themeColor="background1"/>
                <w:sz w:val="20"/>
                <w:szCs w:val="20"/>
              </w:rPr>
            </w:pPr>
            <w:r w:rsidRPr="00150080">
              <w:rPr>
                <w:b/>
                <w:color w:val="FFFFFF" w:themeColor="background1"/>
                <w:sz w:val="20"/>
                <w:szCs w:val="20"/>
              </w:rPr>
              <w:t>£000</w:t>
            </w:r>
          </w:p>
        </w:tc>
        <w:tc>
          <w:tcPr>
            <w:tcW w:w="1606" w:type="dxa"/>
            <w:tcBorders>
              <w:top w:val="single" w:sz="6" w:space="0" w:color="2F5496" w:themeColor="accent1" w:themeShade="BF"/>
              <w:left w:val="single" w:sz="6" w:space="0" w:color="2F5496" w:themeColor="accent1" w:themeShade="BF"/>
              <w:bottom w:val="single" w:sz="6" w:space="0" w:color="2F5496" w:themeColor="accent1" w:themeShade="BF"/>
              <w:right w:val="single" w:sz="6" w:space="0" w:color="2F5496" w:themeColor="accent1" w:themeShade="BF"/>
            </w:tcBorders>
            <w:shd w:val="clear" w:color="auto" w:fill="1F3864" w:themeFill="accent1" w:themeFillShade="80"/>
            <w:vAlign w:val="center"/>
          </w:tcPr>
          <w:p w14:paraId="13365EDA" w14:textId="77777777" w:rsidR="00E849D6" w:rsidRPr="00150080" w:rsidRDefault="00E849D6" w:rsidP="00BB1691">
            <w:pPr>
              <w:jc w:val="center"/>
              <w:rPr>
                <w:b/>
                <w:color w:val="FFFFFF" w:themeColor="background1"/>
                <w:sz w:val="20"/>
                <w:szCs w:val="20"/>
              </w:rPr>
            </w:pPr>
            <w:r w:rsidRPr="0002703C">
              <w:rPr>
                <w:b/>
                <w:color w:val="FFFFFF" w:themeColor="background1"/>
                <w:sz w:val="20"/>
                <w:szCs w:val="20"/>
              </w:rPr>
              <w:t>£000</w:t>
            </w:r>
          </w:p>
        </w:tc>
        <w:tc>
          <w:tcPr>
            <w:tcW w:w="1607" w:type="dxa"/>
            <w:tcBorders>
              <w:top w:val="single" w:sz="6" w:space="0" w:color="2F5496" w:themeColor="accent1" w:themeShade="BF"/>
              <w:left w:val="single" w:sz="6" w:space="0" w:color="2F5496" w:themeColor="accent1" w:themeShade="BF"/>
              <w:bottom w:val="single" w:sz="6" w:space="0" w:color="2F5496" w:themeColor="accent1" w:themeShade="BF"/>
              <w:right w:val="single" w:sz="12" w:space="0" w:color="2F5496" w:themeColor="accent1" w:themeShade="BF"/>
            </w:tcBorders>
            <w:shd w:val="clear" w:color="auto" w:fill="1F3864" w:themeFill="accent1" w:themeFillShade="80"/>
            <w:vAlign w:val="center"/>
          </w:tcPr>
          <w:p w14:paraId="27E18114" w14:textId="77777777" w:rsidR="00E849D6" w:rsidRPr="00150080" w:rsidRDefault="00E849D6" w:rsidP="00BB1691">
            <w:pPr>
              <w:jc w:val="center"/>
              <w:rPr>
                <w:b/>
                <w:color w:val="FFFFFF" w:themeColor="background1"/>
                <w:sz w:val="20"/>
                <w:szCs w:val="20"/>
              </w:rPr>
            </w:pPr>
            <w:r>
              <w:rPr>
                <w:b/>
                <w:color w:val="FFFFFF" w:themeColor="background1"/>
                <w:sz w:val="20"/>
                <w:szCs w:val="20"/>
              </w:rPr>
              <w:t>£000</w:t>
            </w:r>
          </w:p>
        </w:tc>
      </w:tr>
      <w:tr w:rsidR="00E849D6" w:rsidRPr="00150080" w14:paraId="361CB5A1" w14:textId="77777777" w:rsidTr="00BB1691">
        <w:trPr>
          <w:trHeight w:val="317"/>
        </w:trPr>
        <w:tc>
          <w:tcPr>
            <w:tcW w:w="2977" w:type="dxa"/>
            <w:tcBorders>
              <w:top w:val="single" w:sz="6" w:space="0" w:color="2F5496" w:themeColor="accent1" w:themeShade="BF"/>
              <w:left w:val="single" w:sz="12" w:space="0" w:color="2F5496" w:themeColor="accent1" w:themeShade="BF"/>
              <w:bottom w:val="single" w:sz="6" w:space="0" w:color="2F5496" w:themeColor="accent1" w:themeShade="BF"/>
              <w:right w:val="single" w:sz="6" w:space="0" w:color="2F5496" w:themeColor="accent1" w:themeShade="BF"/>
            </w:tcBorders>
            <w:shd w:val="clear" w:color="auto" w:fill="D9E2F3" w:themeFill="accent1" w:themeFillTint="33"/>
            <w:vAlign w:val="center"/>
          </w:tcPr>
          <w:p w14:paraId="4FF8D92B" w14:textId="77777777" w:rsidR="00E849D6" w:rsidRPr="00870D10" w:rsidRDefault="00E849D6" w:rsidP="00BB1691">
            <w:pPr>
              <w:rPr>
                <w:bCs/>
                <w:sz w:val="20"/>
                <w:szCs w:val="20"/>
              </w:rPr>
            </w:pPr>
            <w:r w:rsidRPr="00870D10">
              <w:rPr>
                <w:bCs/>
                <w:sz w:val="20"/>
                <w:szCs w:val="20"/>
              </w:rPr>
              <w:t>Soft FM</w:t>
            </w:r>
          </w:p>
        </w:tc>
        <w:tc>
          <w:tcPr>
            <w:tcW w:w="1606" w:type="dxa"/>
            <w:tcBorders>
              <w:top w:val="single" w:sz="6" w:space="0" w:color="2F5496" w:themeColor="accent1" w:themeShade="BF"/>
              <w:left w:val="single" w:sz="6" w:space="0" w:color="2F5496" w:themeColor="accent1" w:themeShade="BF"/>
              <w:bottom w:val="single" w:sz="6" w:space="0" w:color="2F5496" w:themeColor="accent1" w:themeShade="BF"/>
              <w:right w:val="single" w:sz="6" w:space="0" w:color="2F5496" w:themeColor="accent1" w:themeShade="BF"/>
            </w:tcBorders>
            <w:shd w:val="clear" w:color="auto" w:fill="auto"/>
            <w:vAlign w:val="center"/>
          </w:tcPr>
          <w:p w14:paraId="18B0293B" w14:textId="77777777" w:rsidR="00E849D6" w:rsidRPr="0002703C" w:rsidRDefault="00E849D6" w:rsidP="00BB1691">
            <w:pPr>
              <w:jc w:val="right"/>
              <w:rPr>
                <w:bCs/>
                <w:sz w:val="20"/>
                <w:szCs w:val="20"/>
              </w:rPr>
            </w:pPr>
            <w:r w:rsidRPr="0002703C">
              <w:rPr>
                <w:sz w:val="20"/>
                <w:szCs w:val="20"/>
              </w:rPr>
              <w:t>2,905</w:t>
            </w:r>
          </w:p>
        </w:tc>
        <w:tc>
          <w:tcPr>
            <w:tcW w:w="1606" w:type="dxa"/>
            <w:tcBorders>
              <w:top w:val="single" w:sz="6" w:space="0" w:color="2F5496" w:themeColor="accent1" w:themeShade="BF"/>
              <w:left w:val="single" w:sz="6" w:space="0" w:color="2F5496" w:themeColor="accent1" w:themeShade="BF"/>
              <w:bottom w:val="single" w:sz="6" w:space="0" w:color="2F5496" w:themeColor="accent1" w:themeShade="BF"/>
              <w:right w:val="single" w:sz="6" w:space="0" w:color="2F5496" w:themeColor="accent1" w:themeShade="BF"/>
            </w:tcBorders>
            <w:shd w:val="clear" w:color="auto" w:fill="auto"/>
            <w:vAlign w:val="center"/>
          </w:tcPr>
          <w:p w14:paraId="392A7169" w14:textId="77777777" w:rsidR="00E849D6" w:rsidRPr="0002703C" w:rsidRDefault="00E849D6" w:rsidP="00BB1691">
            <w:pPr>
              <w:jc w:val="right"/>
              <w:rPr>
                <w:bCs/>
                <w:sz w:val="20"/>
                <w:szCs w:val="20"/>
              </w:rPr>
            </w:pPr>
            <w:r w:rsidRPr="0002703C">
              <w:rPr>
                <w:sz w:val="20"/>
                <w:szCs w:val="20"/>
              </w:rPr>
              <w:t>2,684</w:t>
            </w:r>
          </w:p>
        </w:tc>
        <w:tc>
          <w:tcPr>
            <w:tcW w:w="1607" w:type="dxa"/>
            <w:tcBorders>
              <w:top w:val="single" w:sz="6" w:space="0" w:color="2F5496" w:themeColor="accent1" w:themeShade="BF"/>
              <w:left w:val="single" w:sz="6" w:space="0" w:color="2F5496" w:themeColor="accent1" w:themeShade="BF"/>
              <w:bottom w:val="single" w:sz="6" w:space="0" w:color="2F5496" w:themeColor="accent1" w:themeShade="BF"/>
              <w:right w:val="single" w:sz="12" w:space="0" w:color="2F5496" w:themeColor="accent1" w:themeShade="BF"/>
            </w:tcBorders>
            <w:shd w:val="clear" w:color="auto" w:fill="F2F2F2" w:themeFill="background1" w:themeFillShade="F2"/>
            <w:vAlign w:val="center"/>
          </w:tcPr>
          <w:p w14:paraId="2C4D8CBB" w14:textId="77777777" w:rsidR="00E849D6" w:rsidRPr="0002703C" w:rsidRDefault="00E849D6" w:rsidP="00BB1691">
            <w:pPr>
              <w:jc w:val="right"/>
              <w:rPr>
                <w:bCs/>
                <w:sz w:val="20"/>
                <w:szCs w:val="20"/>
              </w:rPr>
            </w:pPr>
            <w:r w:rsidRPr="0002703C">
              <w:rPr>
                <w:sz w:val="20"/>
                <w:szCs w:val="20"/>
              </w:rPr>
              <w:t>222</w:t>
            </w:r>
          </w:p>
        </w:tc>
      </w:tr>
      <w:tr w:rsidR="00E849D6" w:rsidRPr="00150080" w14:paraId="45ADC4FB" w14:textId="77777777" w:rsidTr="00BB1691">
        <w:trPr>
          <w:trHeight w:val="317"/>
        </w:trPr>
        <w:tc>
          <w:tcPr>
            <w:tcW w:w="2977" w:type="dxa"/>
            <w:tcBorders>
              <w:top w:val="single" w:sz="6" w:space="0" w:color="2F5496" w:themeColor="accent1" w:themeShade="BF"/>
              <w:left w:val="single" w:sz="12" w:space="0" w:color="2F5496" w:themeColor="accent1" w:themeShade="BF"/>
              <w:bottom w:val="single" w:sz="6" w:space="0" w:color="2F5496" w:themeColor="accent1" w:themeShade="BF"/>
              <w:right w:val="single" w:sz="6" w:space="0" w:color="2F5496" w:themeColor="accent1" w:themeShade="BF"/>
            </w:tcBorders>
            <w:shd w:val="clear" w:color="auto" w:fill="D9E2F3" w:themeFill="accent1" w:themeFillTint="33"/>
            <w:vAlign w:val="center"/>
          </w:tcPr>
          <w:p w14:paraId="0670B736" w14:textId="77777777" w:rsidR="00E849D6" w:rsidRPr="00870D10" w:rsidRDefault="00E849D6" w:rsidP="00BB1691">
            <w:pPr>
              <w:rPr>
                <w:bCs/>
                <w:sz w:val="20"/>
                <w:szCs w:val="20"/>
              </w:rPr>
            </w:pPr>
            <w:r w:rsidRPr="00870D10">
              <w:rPr>
                <w:bCs/>
                <w:sz w:val="20"/>
                <w:szCs w:val="20"/>
              </w:rPr>
              <w:t>Hard FM</w:t>
            </w:r>
          </w:p>
        </w:tc>
        <w:tc>
          <w:tcPr>
            <w:tcW w:w="1606" w:type="dxa"/>
            <w:tcBorders>
              <w:top w:val="single" w:sz="6" w:space="0" w:color="2F5496" w:themeColor="accent1" w:themeShade="BF"/>
              <w:left w:val="single" w:sz="6" w:space="0" w:color="2F5496" w:themeColor="accent1" w:themeShade="BF"/>
              <w:bottom w:val="single" w:sz="6" w:space="0" w:color="2F5496" w:themeColor="accent1" w:themeShade="BF"/>
              <w:right w:val="single" w:sz="6" w:space="0" w:color="2F5496" w:themeColor="accent1" w:themeShade="BF"/>
            </w:tcBorders>
            <w:shd w:val="clear" w:color="auto" w:fill="auto"/>
            <w:vAlign w:val="center"/>
          </w:tcPr>
          <w:p w14:paraId="2D313E4D" w14:textId="77777777" w:rsidR="00E849D6" w:rsidRPr="0002703C" w:rsidRDefault="00E849D6" w:rsidP="00BB1691">
            <w:pPr>
              <w:jc w:val="right"/>
              <w:rPr>
                <w:bCs/>
                <w:sz w:val="20"/>
                <w:szCs w:val="20"/>
              </w:rPr>
            </w:pPr>
            <w:r w:rsidRPr="0002703C">
              <w:rPr>
                <w:sz w:val="20"/>
                <w:szCs w:val="20"/>
              </w:rPr>
              <w:t>901</w:t>
            </w:r>
          </w:p>
        </w:tc>
        <w:tc>
          <w:tcPr>
            <w:tcW w:w="1606" w:type="dxa"/>
            <w:tcBorders>
              <w:top w:val="single" w:sz="6" w:space="0" w:color="2F5496" w:themeColor="accent1" w:themeShade="BF"/>
              <w:left w:val="single" w:sz="6" w:space="0" w:color="2F5496" w:themeColor="accent1" w:themeShade="BF"/>
              <w:bottom w:val="single" w:sz="6" w:space="0" w:color="2F5496" w:themeColor="accent1" w:themeShade="BF"/>
              <w:right w:val="single" w:sz="6" w:space="0" w:color="2F5496" w:themeColor="accent1" w:themeShade="BF"/>
            </w:tcBorders>
            <w:shd w:val="clear" w:color="auto" w:fill="auto"/>
            <w:vAlign w:val="center"/>
          </w:tcPr>
          <w:p w14:paraId="552FE5D7" w14:textId="77777777" w:rsidR="00E849D6" w:rsidRPr="0002703C" w:rsidRDefault="00E849D6" w:rsidP="00BB1691">
            <w:pPr>
              <w:jc w:val="right"/>
              <w:rPr>
                <w:bCs/>
                <w:sz w:val="20"/>
                <w:szCs w:val="20"/>
              </w:rPr>
            </w:pPr>
            <w:r w:rsidRPr="0002703C">
              <w:rPr>
                <w:sz w:val="20"/>
                <w:szCs w:val="20"/>
              </w:rPr>
              <w:t>1,026</w:t>
            </w:r>
          </w:p>
        </w:tc>
        <w:tc>
          <w:tcPr>
            <w:tcW w:w="1607" w:type="dxa"/>
            <w:tcBorders>
              <w:top w:val="single" w:sz="6" w:space="0" w:color="2F5496" w:themeColor="accent1" w:themeShade="BF"/>
              <w:left w:val="single" w:sz="6" w:space="0" w:color="2F5496" w:themeColor="accent1" w:themeShade="BF"/>
              <w:bottom w:val="single" w:sz="6" w:space="0" w:color="2F5496" w:themeColor="accent1" w:themeShade="BF"/>
              <w:right w:val="single" w:sz="12" w:space="0" w:color="2F5496" w:themeColor="accent1" w:themeShade="BF"/>
            </w:tcBorders>
            <w:shd w:val="clear" w:color="auto" w:fill="F2F2F2" w:themeFill="background1" w:themeFillShade="F2"/>
            <w:vAlign w:val="center"/>
          </w:tcPr>
          <w:p w14:paraId="29914917" w14:textId="77777777" w:rsidR="00E849D6" w:rsidRPr="0002703C" w:rsidRDefault="00E849D6" w:rsidP="00BB1691">
            <w:pPr>
              <w:jc w:val="right"/>
              <w:rPr>
                <w:bCs/>
                <w:sz w:val="20"/>
                <w:szCs w:val="20"/>
              </w:rPr>
            </w:pPr>
            <w:r w:rsidRPr="0002703C">
              <w:rPr>
                <w:sz w:val="20"/>
                <w:szCs w:val="20"/>
              </w:rPr>
              <w:t>-125</w:t>
            </w:r>
          </w:p>
        </w:tc>
      </w:tr>
      <w:tr w:rsidR="00E849D6" w:rsidRPr="00150080" w14:paraId="4DC6BE8B" w14:textId="77777777" w:rsidTr="00BB1691">
        <w:trPr>
          <w:trHeight w:val="317"/>
        </w:trPr>
        <w:tc>
          <w:tcPr>
            <w:tcW w:w="2977" w:type="dxa"/>
            <w:tcBorders>
              <w:top w:val="single" w:sz="6" w:space="0" w:color="2F5496" w:themeColor="accent1" w:themeShade="BF"/>
              <w:left w:val="single" w:sz="12" w:space="0" w:color="2F5496" w:themeColor="accent1" w:themeShade="BF"/>
              <w:bottom w:val="single" w:sz="6" w:space="0" w:color="2F5496" w:themeColor="accent1" w:themeShade="BF"/>
              <w:right w:val="single" w:sz="6" w:space="0" w:color="2F5496" w:themeColor="accent1" w:themeShade="BF"/>
            </w:tcBorders>
            <w:shd w:val="clear" w:color="auto" w:fill="D9E2F3" w:themeFill="accent1" w:themeFillTint="33"/>
            <w:vAlign w:val="center"/>
          </w:tcPr>
          <w:p w14:paraId="366AB1EB" w14:textId="77777777" w:rsidR="00E849D6" w:rsidRPr="00870D10" w:rsidRDefault="00E849D6" w:rsidP="00BB1691">
            <w:pPr>
              <w:rPr>
                <w:bCs/>
                <w:sz w:val="20"/>
                <w:szCs w:val="20"/>
              </w:rPr>
            </w:pPr>
            <w:r w:rsidRPr="00870D10">
              <w:rPr>
                <w:bCs/>
                <w:sz w:val="20"/>
                <w:szCs w:val="20"/>
              </w:rPr>
              <w:t>Utilities</w:t>
            </w:r>
          </w:p>
        </w:tc>
        <w:tc>
          <w:tcPr>
            <w:tcW w:w="1606" w:type="dxa"/>
            <w:tcBorders>
              <w:top w:val="single" w:sz="6" w:space="0" w:color="2F5496" w:themeColor="accent1" w:themeShade="BF"/>
              <w:left w:val="single" w:sz="6" w:space="0" w:color="2F5496" w:themeColor="accent1" w:themeShade="BF"/>
              <w:bottom w:val="single" w:sz="6" w:space="0" w:color="2F5496" w:themeColor="accent1" w:themeShade="BF"/>
              <w:right w:val="single" w:sz="6" w:space="0" w:color="2F5496" w:themeColor="accent1" w:themeShade="BF"/>
            </w:tcBorders>
            <w:shd w:val="clear" w:color="auto" w:fill="auto"/>
            <w:vAlign w:val="center"/>
          </w:tcPr>
          <w:p w14:paraId="36384AF4" w14:textId="77777777" w:rsidR="00E849D6" w:rsidRPr="0002703C" w:rsidRDefault="00E849D6" w:rsidP="00BB1691">
            <w:pPr>
              <w:jc w:val="right"/>
              <w:rPr>
                <w:bCs/>
                <w:sz w:val="20"/>
                <w:szCs w:val="20"/>
              </w:rPr>
            </w:pPr>
            <w:r w:rsidRPr="0002703C">
              <w:rPr>
                <w:sz w:val="20"/>
                <w:szCs w:val="20"/>
              </w:rPr>
              <w:t>1,880</w:t>
            </w:r>
          </w:p>
        </w:tc>
        <w:tc>
          <w:tcPr>
            <w:tcW w:w="1606" w:type="dxa"/>
            <w:tcBorders>
              <w:top w:val="single" w:sz="6" w:space="0" w:color="2F5496" w:themeColor="accent1" w:themeShade="BF"/>
              <w:left w:val="single" w:sz="6" w:space="0" w:color="2F5496" w:themeColor="accent1" w:themeShade="BF"/>
              <w:bottom w:val="single" w:sz="6" w:space="0" w:color="2F5496" w:themeColor="accent1" w:themeShade="BF"/>
              <w:right w:val="single" w:sz="6" w:space="0" w:color="2F5496" w:themeColor="accent1" w:themeShade="BF"/>
            </w:tcBorders>
            <w:shd w:val="clear" w:color="auto" w:fill="auto"/>
            <w:vAlign w:val="center"/>
          </w:tcPr>
          <w:p w14:paraId="28A05087" w14:textId="77777777" w:rsidR="00E849D6" w:rsidRPr="0002703C" w:rsidRDefault="00E849D6" w:rsidP="00BB1691">
            <w:pPr>
              <w:jc w:val="right"/>
              <w:rPr>
                <w:bCs/>
                <w:sz w:val="20"/>
                <w:szCs w:val="20"/>
              </w:rPr>
            </w:pPr>
            <w:r w:rsidRPr="0002703C">
              <w:rPr>
                <w:sz w:val="20"/>
                <w:szCs w:val="20"/>
              </w:rPr>
              <w:t>1,303</w:t>
            </w:r>
          </w:p>
        </w:tc>
        <w:tc>
          <w:tcPr>
            <w:tcW w:w="1607" w:type="dxa"/>
            <w:tcBorders>
              <w:top w:val="single" w:sz="6" w:space="0" w:color="2F5496" w:themeColor="accent1" w:themeShade="BF"/>
              <w:left w:val="single" w:sz="6" w:space="0" w:color="2F5496" w:themeColor="accent1" w:themeShade="BF"/>
              <w:bottom w:val="single" w:sz="6" w:space="0" w:color="2F5496" w:themeColor="accent1" w:themeShade="BF"/>
              <w:right w:val="single" w:sz="12" w:space="0" w:color="2F5496" w:themeColor="accent1" w:themeShade="BF"/>
            </w:tcBorders>
            <w:shd w:val="clear" w:color="auto" w:fill="F2F2F2" w:themeFill="background1" w:themeFillShade="F2"/>
            <w:vAlign w:val="center"/>
          </w:tcPr>
          <w:p w14:paraId="293E1560" w14:textId="77777777" w:rsidR="00E849D6" w:rsidRPr="0002703C" w:rsidRDefault="00E849D6" w:rsidP="00BB1691">
            <w:pPr>
              <w:jc w:val="right"/>
              <w:rPr>
                <w:bCs/>
                <w:sz w:val="20"/>
                <w:szCs w:val="20"/>
              </w:rPr>
            </w:pPr>
            <w:r w:rsidRPr="0002703C">
              <w:rPr>
                <w:sz w:val="20"/>
                <w:szCs w:val="20"/>
              </w:rPr>
              <w:t>577</w:t>
            </w:r>
          </w:p>
        </w:tc>
      </w:tr>
      <w:tr w:rsidR="00E849D6" w:rsidRPr="00150080" w14:paraId="6C7EE257" w14:textId="77777777" w:rsidTr="00BB1691">
        <w:trPr>
          <w:trHeight w:val="317"/>
        </w:trPr>
        <w:tc>
          <w:tcPr>
            <w:tcW w:w="2977" w:type="dxa"/>
            <w:tcBorders>
              <w:top w:val="single" w:sz="6" w:space="0" w:color="2F5496" w:themeColor="accent1" w:themeShade="BF"/>
              <w:left w:val="single" w:sz="12" w:space="0" w:color="2F5496" w:themeColor="accent1" w:themeShade="BF"/>
              <w:bottom w:val="single" w:sz="6" w:space="0" w:color="2F5496" w:themeColor="accent1" w:themeShade="BF"/>
              <w:right w:val="single" w:sz="6" w:space="0" w:color="2F5496" w:themeColor="accent1" w:themeShade="BF"/>
            </w:tcBorders>
            <w:shd w:val="clear" w:color="auto" w:fill="D9E2F3" w:themeFill="accent1" w:themeFillTint="33"/>
            <w:vAlign w:val="center"/>
          </w:tcPr>
          <w:p w14:paraId="5C88BCF3" w14:textId="77777777" w:rsidR="00E849D6" w:rsidRPr="00870D10" w:rsidRDefault="00E849D6" w:rsidP="00BB1691">
            <w:pPr>
              <w:rPr>
                <w:bCs/>
                <w:sz w:val="20"/>
                <w:szCs w:val="20"/>
              </w:rPr>
            </w:pPr>
            <w:r w:rsidRPr="00870D10">
              <w:rPr>
                <w:bCs/>
                <w:sz w:val="20"/>
                <w:szCs w:val="20"/>
              </w:rPr>
              <w:t>Rates</w:t>
            </w:r>
          </w:p>
        </w:tc>
        <w:tc>
          <w:tcPr>
            <w:tcW w:w="1606" w:type="dxa"/>
            <w:tcBorders>
              <w:top w:val="single" w:sz="6" w:space="0" w:color="2F5496" w:themeColor="accent1" w:themeShade="BF"/>
              <w:left w:val="single" w:sz="6" w:space="0" w:color="2F5496" w:themeColor="accent1" w:themeShade="BF"/>
              <w:bottom w:val="single" w:sz="6" w:space="0" w:color="2F5496" w:themeColor="accent1" w:themeShade="BF"/>
              <w:right w:val="single" w:sz="6" w:space="0" w:color="2F5496" w:themeColor="accent1" w:themeShade="BF"/>
            </w:tcBorders>
            <w:shd w:val="clear" w:color="auto" w:fill="auto"/>
            <w:vAlign w:val="center"/>
          </w:tcPr>
          <w:p w14:paraId="04C5AA0C" w14:textId="77777777" w:rsidR="00E849D6" w:rsidRPr="0002703C" w:rsidRDefault="00E849D6" w:rsidP="00BB1691">
            <w:pPr>
              <w:jc w:val="right"/>
              <w:rPr>
                <w:bCs/>
                <w:sz w:val="20"/>
                <w:szCs w:val="20"/>
              </w:rPr>
            </w:pPr>
            <w:r w:rsidRPr="0002703C">
              <w:rPr>
                <w:sz w:val="20"/>
                <w:szCs w:val="20"/>
              </w:rPr>
              <w:t>1,043</w:t>
            </w:r>
          </w:p>
        </w:tc>
        <w:tc>
          <w:tcPr>
            <w:tcW w:w="1606" w:type="dxa"/>
            <w:tcBorders>
              <w:top w:val="single" w:sz="6" w:space="0" w:color="2F5496" w:themeColor="accent1" w:themeShade="BF"/>
              <w:left w:val="single" w:sz="6" w:space="0" w:color="2F5496" w:themeColor="accent1" w:themeShade="BF"/>
              <w:bottom w:val="single" w:sz="6" w:space="0" w:color="2F5496" w:themeColor="accent1" w:themeShade="BF"/>
              <w:right w:val="single" w:sz="6" w:space="0" w:color="2F5496" w:themeColor="accent1" w:themeShade="BF"/>
            </w:tcBorders>
            <w:shd w:val="clear" w:color="auto" w:fill="auto"/>
            <w:vAlign w:val="center"/>
          </w:tcPr>
          <w:p w14:paraId="2E1933D3" w14:textId="77777777" w:rsidR="00E849D6" w:rsidRPr="0002703C" w:rsidRDefault="00E849D6" w:rsidP="00BB1691">
            <w:pPr>
              <w:jc w:val="right"/>
              <w:rPr>
                <w:bCs/>
                <w:sz w:val="20"/>
                <w:szCs w:val="20"/>
              </w:rPr>
            </w:pPr>
            <w:r w:rsidRPr="0002703C">
              <w:rPr>
                <w:sz w:val="20"/>
                <w:szCs w:val="20"/>
              </w:rPr>
              <w:t>1,297</w:t>
            </w:r>
          </w:p>
        </w:tc>
        <w:tc>
          <w:tcPr>
            <w:tcW w:w="1607" w:type="dxa"/>
            <w:tcBorders>
              <w:top w:val="single" w:sz="6" w:space="0" w:color="2F5496" w:themeColor="accent1" w:themeShade="BF"/>
              <w:left w:val="single" w:sz="6" w:space="0" w:color="2F5496" w:themeColor="accent1" w:themeShade="BF"/>
              <w:bottom w:val="single" w:sz="6" w:space="0" w:color="2F5496" w:themeColor="accent1" w:themeShade="BF"/>
              <w:right w:val="single" w:sz="12" w:space="0" w:color="2F5496" w:themeColor="accent1" w:themeShade="BF"/>
            </w:tcBorders>
            <w:shd w:val="clear" w:color="auto" w:fill="F2F2F2" w:themeFill="background1" w:themeFillShade="F2"/>
            <w:vAlign w:val="center"/>
          </w:tcPr>
          <w:p w14:paraId="17E5F89A" w14:textId="77777777" w:rsidR="00E849D6" w:rsidRPr="0002703C" w:rsidRDefault="00E849D6" w:rsidP="00BB1691">
            <w:pPr>
              <w:jc w:val="right"/>
              <w:rPr>
                <w:bCs/>
                <w:sz w:val="20"/>
                <w:szCs w:val="20"/>
              </w:rPr>
            </w:pPr>
            <w:r w:rsidRPr="0002703C">
              <w:rPr>
                <w:sz w:val="20"/>
                <w:szCs w:val="20"/>
              </w:rPr>
              <w:t>-254</w:t>
            </w:r>
          </w:p>
        </w:tc>
      </w:tr>
      <w:tr w:rsidR="00E849D6" w:rsidRPr="00150080" w14:paraId="4D2C9D8B" w14:textId="77777777" w:rsidTr="00BB1691">
        <w:trPr>
          <w:trHeight w:val="317"/>
        </w:trPr>
        <w:tc>
          <w:tcPr>
            <w:tcW w:w="2977" w:type="dxa"/>
            <w:tcBorders>
              <w:top w:val="single" w:sz="6" w:space="0" w:color="2F5496" w:themeColor="accent1" w:themeShade="BF"/>
              <w:left w:val="single" w:sz="12" w:space="0" w:color="2F5496" w:themeColor="accent1" w:themeShade="BF"/>
              <w:bottom w:val="single" w:sz="6" w:space="0" w:color="2F5496" w:themeColor="accent1" w:themeShade="BF"/>
              <w:right w:val="single" w:sz="6" w:space="0" w:color="2F5496" w:themeColor="accent1" w:themeShade="BF"/>
            </w:tcBorders>
            <w:shd w:val="clear" w:color="auto" w:fill="D9E2F3" w:themeFill="accent1" w:themeFillTint="33"/>
            <w:vAlign w:val="center"/>
          </w:tcPr>
          <w:p w14:paraId="5ABE1EDC" w14:textId="77777777" w:rsidR="00E849D6" w:rsidRPr="00870D10" w:rsidRDefault="00E849D6" w:rsidP="00BB1691">
            <w:pPr>
              <w:rPr>
                <w:bCs/>
                <w:sz w:val="20"/>
                <w:szCs w:val="20"/>
              </w:rPr>
            </w:pPr>
            <w:r w:rsidRPr="00870D10">
              <w:rPr>
                <w:bCs/>
                <w:sz w:val="20"/>
                <w:szCs w:val="20"/>
              </w:rPr>
              <w:t>Equipment Maintenance</w:t>
            </w:r>
          </w:p>
        </w:tc>
        <w:tc>
          <w:tcPr>
            <w:tcW w:w="1606" w:type="dxa"/>
            <w:tcBorders>
              <w:top w:val="single" w:sz="6" w:space="0" w:color="2F5496" w:themeColor="accent1" w:themeShade="BF"/>
              <w:left w:val="single" w:sz="6" w:space="0" w:color="2F5496" w:themeColor="accent1" w:themeShade="BF"/>
              <w:bottom w:val="single" w:sz="6" w:space="0" w:color="2F5496" w:themeColor="accent1" w:themeShade="BF"/>
              <w:right w:val="single" w:sz="6" w:space="0" w:color="2F5496" w:themeColor="accent1" w:themeShade="BF"/>
            </w:tcBorders>
            <w:shd w:val="clear" w:color="auto" w:fill="auto"/>
            <w:vAlign w:val="center"/>
          </w:tcPr>
          <w:p w14:paraId="4AB2D67B" w14:textId="77777777" w:rsidR="00E849D6" w:rsidRPr="0002703C" w:rsidRDefault="00E849D6" w:rsidP="00BB1691">
            <w:pPr>
              <w:jc w:val="right"/>
              <w:rPr>
                <w:bCs/>
                <w:sz w:val="20"/>
                <w:szCs w:val="20"/>
              </w:rPr>
            </w:pPr>
            <w:r w:rsidRPr="0002703C">
              <w:rPr>
                <w:sz w:val="20"/>
                <w:szCs w:val="20"/>
              </w:rPr>
              <w:t>1,601</w:t>
            </w:r>
          </w:p>
        </w:tc>
        <w:tc>
          <w:tcPr>
            <w:tcW w:w="1606" w:type="dxa"/>
            <w:tcBorders>
              <w:top w:val="single" w:sz="6" w:space="0" w:color="2F5496" w:themeColor="accent1" w:themeShade="BF"/>
              <w:left w:val="single" w:sz="6" w:space="0" w:color="2F5496" w:themeColor="accent1" w:themeShade="BF"/>
              <w:bottom w:val="single" w:sz="6" w:space="0" w:color="2F5496" w:themeColor="accent1" w:themeShade="BF"/>
              <w:right w:val="single" w:sz="6" w:space="0" w:color="2F5496" w:themeColor="accent1" w:themeShade="BF"/>
            </w:tcBorders>
            <w:shd w:val="clear" w:color="auto" w:fill="auto"/>
            <w:vAlign w:val="center"/>
          </w:tcPr>
          <w:p w14:paraId="49DB107D" w14:textId="77777777" w:rsidR="00E849D6" w:rsidRPr="0002703C" w:rsidRDefault="00E849D6" w:rsidP="00BB1691">
            <w:pPr>
              <w:jc w:val="right"/>
              <w:rPr>
                <w:bCs/>
                <w:sz w:val="20"/>
                <w:szCs w:val="20"/>
              </w:rPr>
            </w:pPr>
            <w:r w:rsidRPr="0002703C">
              <w:rPr>
                <w:sz w:val="20"/>
                <w:szCs w:val="20"/>
              </w:rPr>
              <w:t>1,129</w:t>
            </w:r>
          </w:p>
        </w:tc>
        <w:tc>
          <w:tcPr>
            <w:tcW w:w="1607" w:type="dxa"/>
            <w:tcBorders>
              <w:top w:val="single" w:sz="6" w:space="0" w:color="2F5496" w:themeColor="accent1" w:themeShade="BF"/>
              <w:left w:val="single" w:sz="6" w:space="0" w:color="2F5496" w:themeColor="accent1" w:themeShade="BF"/>
              <w:bottom w:val="single" w:sz="6" w:space="0" w:color="2F5496" w:themeColor="accent1" w:themeShade="BF"/>
              <w:right w:val="single" w:sz="12" w:space="0" w:color="2F5496" w:themeColor="accent1" w:themeShade="BF"/>
            </w:tcBorders>
            <w:shd w:val="clear" w:color="auto" w:fill="F2F2F2" w:themeFill="background1" w:themeFillShade="F2"/>
            <w:vAlign w:val="center"/>
          </w:tcPr>
          <w:p w14:paraId="74146326" w14:textId="77777777" w:rsidR="00E849D6" w:rsidRPr="0002703C" w:rsidRDefault="00E849D6" w:rsidP="00BB1691">
            <w:pPr>
              <w:jc w:val="right"/>
              <w:rPr>
                <w:bCs/>
                <w:sz w:val="20"/>
                <w:szCs w:val="20"/>
              </w:rPr>
            </w:pPr>
            <w:r w:rsidRPr="0002703C">
              <w:rPr>
                <w:sz w:val="20"/>
                <w:szCs w:val="20"/>
              </w:rPr>
              <w:t>472</w:t>
            </w:r>
          </w:p>
        </w:tc>
      </w:tr>
      <w:tr w:rsidR="00E849D6" w:rsidRPr="00150080" w14:paraId="455195E9" w14:textId="77777777" w:rsidTr="00BB1691">
        <w:trPr>
          <w:trHeight w:val="317"/>
        </w:trPr>
        <w:tc>
          <w:tcPr>
            <w:tcW w:w="2977" w:type="dxa"/>
            <w:tcBorders>
              <w:top w:val="single" w:sz="6" w:space="0" w:color="2F5496" w:themeColor="accent1" w:themeShade="BF"/>
              <w:left w:val="single" w:sz="12" w:space="0" w:color="2F5496" w:themeColor="accent1" w:themeShade="BF"/>
              <w:bottom w:val="single" w:sz="6" w:space="0" w:color="2F5496" w:themeColor="accent1" w:themeShade="BF"/>
              <w:right w:val="single" w:sz="6" w:space="0" w:color="2F5496" w:themeColor="accent1" w:themeShade="BF"/>
            </w:tcBorders>
            <w:shd w:val="clear" w:color="auto" w:fill="D9E2F3" w:themeFill="accent1" w:themeFillTint="33"/>
            <w:vAlign w:val="center"/>
          </w:tcPr>
          <w:p w14:paraId="43A4B756" w14:textId="77777777" w:rsidR="00E849D6" w:rsidRPr="00870D10" w:rsidRDefault="00E849D6" w:rsidP="00BB1691">
            <w:pPr>
              <w:rPr>
                <w:bCs/>
                <w:sz w:val="20"/>
                <w:szCs w:val="20"/>
              </w:rPr>
            </w:pPr>
            <w:r w:rsidRPr="00870D10">
              <w:rPr>
                <w:bCs/>
                <w:sz w:val="20"/>
                <w:szCs w:val="20"/>
              </w:rPr>
              <w:t>IM&amp;T Maintenance</w:t>
            </w:r>
          </w:p>
        </w:tc>
        <w:tc>
          <w:tcPr>
            <w:tcW w:w="1606" w:type="dxa"/>
            <w:tcBorders>
              <w:top w:val="single" w:sz="6" w:space="0" w:color="2F5496" w:themeColor="accent1" w:themeShade="BF"/>
              <w:left w:val="single" w:sz="6" w:space="0" w:color="2F5496" w:themeColor="accent1" w:themeShade="BF"/>
              <w:bottom w:val="single" w:sz="6" w:space="0" w:color="2F5496" w:themeColor="accent1" w:themeShade="BF"/>
              <w:right w:val="single" w:sz="6" w:space="0" w:color="2F5496" w:themeColor="accent1" w:themeShade="BF"/>
            </w:tcBorders>
            <w:shd w:val="clear" w:color="auto" w:fill="auto"/>
            <w:vAlign w:val="center"/>
          </w:tcPr>
          <w:p w14:paraId="211A2FEB" w14:textId="77777777" w:rsidR="00E849D6" w:rsidRPr="0002703C" w:rsidRDefault="00E849D6" w:rsidP="00BB1691">
            <w:pPr>
              <w:jc w:val="right"/>
              <w:rPr>
                <w:bCs/>
                <w:sz w:val="20"/>
                <w:szCs w:val="20"/>
              </w:rPr>
            </w:pPr>
            <w:r w:rsidRPr="0002703C">
              <w:rPr>
                <w:sz w:val="20"/>
                <w:szCs w:val="20"/>
              </w:rPr>
              <w:t>251</w:t>
            </w:r>
          </w:p>
        </w:tc>
        <w:tc>
          <w:tcPr>
            <w:tcW w:w="1606" w:type="dxa"/>
            <w:tcBorders>
              <w:top w:val="single" w:sz="6" w:space="0" w:color="2F5496" w:themeColor="accent1" w:themeShade="BF"/>
              <w:left w:val="single" w:sz="6" w:space="0" w:color="2F5496" w:themeColor="accent1" w:themeShade="BF"/>
              <w:bottom w:val="single" w:sz="6" w:space="0" w:color="2F5496" w:themeColor="accent1" w:themeShade="BF"/>
              <w:right w:val="single" w:sz="6" w:space="0" w:color="2F5496" w:themeColor="accent1" w:themeShade="BF"/>
            </w:tcBorders>
            <w:shd w:val="clear" w:color="auto" w:fill="auto"/>
            <w:vAlign w:val="center"/>
          </w:tcPr>
          <w:p w14:paraId="04ACFD67" w14:textId="77777777" w:rsidR="00E849D6" w:rsidRPr="0002703C" w:rsidRDefault="00E849D6" w:rsidP="00BB1691">
            <w:pPr>
              <w:jc w:val="right"/>
              <w:rPr>
                <w:bCs/>
                <w:sz w:val="20"/>
                <w:szCs w:val="20"/>
              </w:rPr>
            </w:pPr>
            <w:r w:rsidRPr="0002703C">
              <w:rPr>
                <w:sz w:val="20"/>
                <w:szCs w:val="20"/>
              </w:rPr>
              <w:t>562</w:t>
            </w:r>
          </w:p>
        </w:tc>
        <w:tc>
          <w:tcPr>
            <w:tcW w:w="1607" w:type="dxa"/>
            <w:tcBorders>
              <w:top w:val="single" w:sz="6" w:space="0" w:color="2F5496" w:themeColor="accent1" w:themeShade="BF"/>
              <w:left w:val="single" w:sz="6" w:space="0" w:color="2F5496" w:themeColor="accent1" w:themeShade="BF"/>
              <w:bottom w:val="single" w:sz="6" w:space="0" w:color="2F5496" w:themeColor="accent1" w:themeShade="BF"/>
              <w:right w:val="single" w:sz="12" w:space="0" w:color="2F5496" w:themeColor="accent1" w:themeShade="BF"/>
            </w:tcBorders>
            <w:shd w:val="clear" w:color="auto" w:fill="F2F2F2" w:themeFill="background1" w:themeFillShade="F2"/>
            <w:vAlign w:val="center"/>
          </w:tcPr>
          <w:p w14:paraId="7B820047" w14:textId="77777777" w:rsidR="00E849D6" w:rsidRPr="0002703C" w:rsidRDefault="00E849D6" w:rsidP="00BB1691">
            <w:pPr>
              <w:jc w:val="right"/>
              <w:rPr>
                <w:bCs/>
                <w:sz w:val="20"/>
                <w:szCs w:val="20"/>
              </w:rPr>
            </w:pPr>
            <w:r w:rsidRPr="0002703C">
              <w:rPr>
                <w:sz w:val="20"/>
                <w:szCs w:val="20"/>
              </w:rPr>
              <w:t>-311</w:t>
            </w:r>
          </w:p>
        </w:tc>
      </w:tr>
      <w:tr w:rsidR="00E849D6" w:rsidRPr="00150080" w14:paraId="1039C10A" w14:textId="77777777" w:rsidTr="00BB1691">
        <w:trPr>
          <w:trHeight w:val="317"/>
        </w:trPr>
        <w:tc>
          <w:tcPr>
            <w:tcW w:w="2977" w:type="dxa"/>
            <w:tcBorders>
              <w:top w:val="single" w:sz="6" w:space="0" w:color="2F5496" w:themeColor="accent1" w:themeShade="BF"/>
              <w:left w:val="single" w:sz="12" w:space="0" w:color="2F5496" w:themeColor="accent1" w:themeShade="BF"/>
              <w:bottom w:val="single" w:sz="6" w:space="0" w:color="2F5496" w:themeColor="accent1" w:themeShade="BF"/>
              <w:right w:val="single" w:sz="6" w:space="0" w:color="2F5496" w:themeColor="accent1" w:themeShade="BF"/>
            </w:tcBorders>
            <w:shd w:val="clear" w:color="auto" w:fill="D9E2F3" w:themeFill="accent1" w:themeFillTint="33"/>
            <w:vAlign w:val="center"/>
          </w:tcPr>
          <w:p w14:paraId="65F0D7B2" w14:textId="77777777" w:rsidR="00E849D6" w:rsidRPr="00870D10" w:rsidRDefault="00E849D6" w:rsidP="00BB1691">
            <w:pPr>
              <w:rPr>
                <w:bCs/>
                <w:sz w:val="20"/>
                <w:szCs w:val="20"/>
              </w:rPr>
            </w:pPr>
            <w:r w:rsidRPr="00870D10">
              <w:rPr>
                <w:bCs/>
                <w:sz w:val="20"/>
                <w:szCs w:val="20"/>
              </w:rPr>
              <w:t>Digital</w:t>
            </w:r>
          </w:p>
        </w:tc>
        <w:tc>
          <w:tcPr>
            <w:tcW w:w="1606" w:type="dxa"/>
            <w:tcBorders>
              <w:top w:val="single" w:sz="6" w:space="0" w:color="2F5496" w:themeColor="accent1" w:themeShade="BF"/>
              <w:left w:val="single" w:sz="6" w:space="0" w:color="2F5496" w:themeColor="accent1" w:themeShade="BF"/>
              <w:bottom w:val="single" w:sz="6" w:space="0" w:color="2F5496" w:themeColor="accent1" w:themeShade="BF"/>
              <w:right w:val="single" w:sz="6" w:space="0" w:color="2F5496" w:themeColor="accent1" w:themeShade="BF"/>
            </w:tcBorders>
            <w:shd w:val="clear" w:color="auto" w:fill="auto"/>
            <w:vAlign w:val="center"/>
          </w:tcPr>
          <w:p w14:paraId="638FAF83" w14:textId="77777777" w:rsidR="00E849D6" w:rsidRPr="0002703C" w:rsidRDefault="00E849D6" w:rsidP="00BB1691">
            <w:pPr>
              <w:jc w:val="right"/>
              <w:rPr>
                <w:bCs/>
                <w:sz w:val="20"/>
                <w:szCs w:val="20"/>
              </w:rPr>
            </w:pPr>
            <w:r w:rsidRPr="0002703C">
              <w:rPr>
                <w:sz w:val="20"/>
                <w:szCs w:val="20"/>
              </w:rPr>
              <w:t>297</w:t>
            </w:r>
          </w:p>
        </w:tc>
        <w:tc>
          <w:tcPr>
            <w:tcW w:w="1606" w:type="dxa"/>
            <w:tcBorders>
              <w:top w:val="single" w:sz="6" w:space="0" w:color="2F5496" w:themeColor="accent1" w:themeShade="BF"/>
              <w:left w:val="single" w:sz="6" w:space="0" w:color="2F5496" w:themeColor="accent1" w:themeShade="BF"/>
              <w:bottom w:val="single" w:sz="6" w:space="0" w:color="2F5496" w:themeColor="accent1" w:themeShade="BF"/>
              <w:right w:val="single" w:sz="6" w:space="0" w:color="2F5496" w:themeColor="accent1" w:themeShade="BF"/>
            </w:tcBorders>
            <w:shd w:val="clear" w:color="auto" w:fill="auto"/>
            <w:vAlign w:val="center"/>
          </w:tcPr>
          <w:p w14:paraId="1A4D2B5B" w14:textId="77777777" w:rsidR="00E849D6" w:rsidRPr="0002703C" w:rsidRDefault="00E849D6" w:rsidP="00BB1691">
            <w:pPr>
              <w:jc w:val="right"/>
              <w:rPr>
                <w:bCs/>
                <w:sz w:val="20"/>
                <w:szCs w:val="20"/>
              </w:rPr>
            </w:pPr>
            <w:r w:rsidRPr="0002703C">
              <w:rPr>
                <w:sz w:val="20"/>
                <w:szCs w:val="20"/>
              </w:rPr>
              <w:t>0</w:t>
            </w:r>
          </w:p>
        </w:tc>
        <w:tc>
          <w:tcPr>
            <w:tcW w:w="1607" w:type="dxa"/>
            <w:tcBorders>
              <w:top w:val="single" w:sz="6" w:space="0" w:color="2F5496" w:themeColor="accent1" w:themeShade="BF"/>
              <w:left w:val="single" w:sz="6" w:space="0" w:color="2F5496" w:themeColor="accent1" w:themeShade="BF"/>
              <w:bottom w:val="single" w:sz="6" w:space="0" w:color="2F5496" w:themeColor="accent1" w:themeShade="BF"/>
              <w:right w:val="single" w:sz="12" w:space="0" w:color="2F5496" w:themeColor="accent1" w:themeShade="BF"/>
            </w:tcBorders>
            <w:shd w:val="clear" w:color="auto" w:fill="F2F2F2" w:themeFill="background1" w:themeFillShade="F2"/>
            <w:vAlign w:val="center"/>
          </w:tcPr>
          <w:p w14:paraId="1D84F1B7" w14:textId="77777777" w:rsidR="00E849D6" w:rsidRPr="0002703C" w:rsidRDefault="00E849D6" w:rsidP="00BB1691">
            <w:pPr>
              <w:jc w:val="right"/>
              <w:rPr>
                <w:bCs/>
                <w:sz w:val="20"/>
                <w:szCs w:val="20"/>
              </w:rPr>
            </w:pPr>
            <w:r w:rsidRPr="0002703C">
              <w:rPr>
                <w:sz w:val="20"/>
                <w:szCs w:val="20"/>
              </w:rPr>
              <w:t>297</w:t>
            </w:r>
          </w:p>
        </w:tc>
      </w:tr>
      <w:tr w:rsidR="00E849D6" w:rsidRPr="00150080" w14:paraId="4C590ABF" w14:textId="77777777" w:rsidTr="00BB1691">
        <w:trPr>
          <w:trHeight w:val="317"/>
        </w:trPr>
        <w:tc>
          <w:tcPr>
            <w:tcW w:w="2977" w:type="dxa"/>
            <w:tcBorders>
              <w:top w:val="single" w:sz="6" w:space="0" w:color="2F5496" w:themeColor="accent1" w:themeShade="BF"/>
              <w:left w:val="single" w:sz="12" w:space="0" w:color="2F5496" w:themeColor="accent1" w:themeShade="BF"/>
              <w:bottom w:val="single" w:sz="6" w:space="0" w:color="2F5496" w:themeColor="accent1" w:themeShade="BF"/>
              <w:right w:val="single" w:sz="6" w:space="0" w:color="2F5496" w:themeColor="accent1" w:themeShade="BF"/>
            </w:tcBorders>
            <w:shd w:val="clear" w:color="auto" w:fill="D9E2F3" w:themeFill="accent1" w:themeFillTint="33"/>
            <w:vAlign w:val="center"/>
          </w:tcPr>
          <w:p w14:paraId="12AF6205" w14:textId="77777777" w:rsidR="00E849D6" w:rsidRPr="00870D10" w:rsidRDefault="00E849D6" w:rsidP="00BB1691">
            <w:pPr>
              <w:rPr>
                <w:bCs/>
                <w:sz w:val="20"/>
                <w:szCs w:val="20"/>
              </w:rPr>
            </w:pPr>
            <w:r w:rsidRPr="00870D10">
              <w:rPr>
                <w:bCs/>
                <w:sz w:val="20"/>
                <w:szCs w:val="20"/>
              </w:rPr>
              <w:t>Insurance</w:t>
            </w:r>
          </w:p>
        </w:tc>
        <w:tc>
          <w:tcPr>
            <w:tcW w:w="1606" w:type="dxa"/>
            <w:tcBorders>
              <w:top w:val="single" w:sz="6" w:space="0" w:color="2F5496" w:themeColor="accent1" w:themeShade="BF"/>
              <w:left w:val="single" w:sz="6" w:space="0" w:color="2F5496" w:themeColor="accent1" w:themeShade="BF"/>
              <w:bottom w:val="single" w:sz="6" w:space="0" w:color="2F5496" w:themeColor="accent1" w:themeShade="BF"/>
              <w:right w:val="single" w:sz="6" w:space="0" w:color="2F5496" w:themeColor="accent1" w:themeShade="BF"/>
            </w:tcBorders>
            <w:shd w:val="clear" w:color="auto" w:fill="auto"/>
            <w:vAlign w:val="center"/>
          </w:tcPr>
          <w:p w14:paraId="6D5014EF" w14:textId="77777777" w:rsidR="00E849D6" w:rsidRPr="0002703C" w:rsidRDefault="00E849D6" w:rsidP="00BB1691">
            <w:pPr>
              <w:jc w:val="right"/>
              <w:rPr>
                <w:bCs/>
                <w:sz w:val="20"/>
                <w:szCs w:val="20"/>
              </w:rPr>
            </w:pPr>
            <w:r w:rsidRPr="0002703C">
              <w:rPr>
                <w:sz w:val="20"/>
                <w:szCs w:val="20"/>
              </w:rPr>
              <w:t>450</w:t>
            </w:r>
          </w:p>
        </w:tc>
        <w:tc>
          <w:tcPr>
            <w:tcW w:w="1606" w:type="dxa"/>
            <w:tcBorders>
              <w:top w:val="single" w:sz="6" w:space="0" w:color="2F5496" w:themeColor="accent1" w:themeShade="BF"/>
              <w:left w:val="single" w:sz="6" w:space="0" w:color="2F5496" w:themeColor="accent1" w:themeShade="BF"/>
              <w:bottom w:val="single" w:sz="6" w:space="0" w:color="2F5496" w:themeColor="accent1" w:themeShade="BF"/>
              <w:right w:val="single" w:sz="6" w:space="0" w:color="2F5496" w:themeColor="accent1" w:themeShade="BF"/>
            </w:tcBorders>
            <w:shd w:val="clear" w:color="auto" w:fill="auto"/>
            <w:vAlign w:val="center"/>
          </w:tcPr>
          <w:p w14:paraId="343FFABA" w14:textId="77777777" w:rsidR="00E849D6" w:rsidRPr="0002703C" w:rsidRDefault="00E849D6" w:rsidP="00BB1691">
            <w:pPr>
              <w:jc w:val="right"/>
              <w:rPr>
                <w:bCs/>
                <w:sz w:val="20"/>
                <w:szCs w:val="20"/>
              </w:rPr>
            </w:pPr>
            <w:r w:rsidRPr="0002703C">
              <w:rPr>
                <w:sz w:val="20"/>
                <w:szCs w:val="20"/>
              </w:rPr>
              <w:t>252</w:t>
            </w:r>
          </w:p>
        </w:tc>
        <w:tc>
          <w:tcPr>
            <w:tcW w:w="1607" w:type="dxa"/>
            <w:tcBorders>
              <w:top w:val="single" w:sz="6" w:space="0" w:color="2F5496" w:themeColor="accent1" w:themeShade="BF"/>
              <w:left w:val="single" w:sz="6" w:space="0" w:color="2F5496" w:themeColor="accent1" w:themeShade="BF"/>
              <w:bottom w:val="single" w:sz="6" w:space="0" w:color="2F5496" w:themeColor="accent1" w:themeShade="BF"/>
              <w:right w:val="single" w:sz="12" w:space="0" w:color="2F5496" w:themeColor="accent1" w:themeShade="BF"/>
            </w:tcBorders>
            <w:shd w:val="clear" w:color="auto" w:fill="F2F2F2" w:themeFill="background1" w:themeFillShade="F2"/>
            <w:vAlign w:val="center"/>
          </w:tcPr>
          <w:p w14:paraId="15828C9C" w14:textId="77777777" w:rsidR="00E849D6" w:rsidRPr="0002703C" w:rsidRDefault="00E849D6" w:rsidP="00BB1691">
            <w:pPr>
              <w:jc w:val="right"/>
              <w:rPr>
                <w:bCs/>
                <w:sz w:val="20"/>
                <w:szCs w:val="20"/>
              </w:rPr>
            </w:pPr>
            <w:r w:rsidRPr="0002703C">
              <w:rPr>
                <w:sz w:val="20"/>
                <w:szCs w:val="20"/>
              </w:rPr>
              <w:t>198</w:t>
            </w:r>
          </w:p>
        </w:tc>
      </w:tr>
      <w:tr w:rsidR="00E849D6" w:rsidRPr="00150080" w14:paraId="21B0F7F9" w14:textId="77777777" w:rsidTr="00BB1691">
        <w:trPr>
          <w:trHeight w:val="317"/>
        </w:trPr>
        <w:tc>
          <w:tcPr>
            <w:tcW w:w="2977" w:type="dxa"/>
            <w:tcBorders>
              <w:top w:val="single" w:sz="6" w:space="0" w:color="2F5496" w:themeColor="accent1" w:themeShade="BF"/>
              <w:left w:val="single" w:sz="12" w:space="0" w:color="2F5496" w:themeColor="accent1" w:themeShade="BF"/>
              <w:bottom w:val="single" w:sz="12" w:space="0" w:color="2F5496" w:themeColor="accent1" w:themeShade="BF"/>
              <w:right w:val="single" w:sz="6" w:space="0" w:color="2F5496" w:themeColor="accent1" w:themeShade="BF"/>
            </w:tcBorders>
            <w:shd w:val="clear" w:color="auto" w:fill="D9E2F3" w:themeFill="accent1" w:themeFillTint="33"/>
            <w:vAlign w:val="center"/>
          </w:tcPr>
          <w:p w14:paraId="0EFE2592" w14:textId="77777777" w:rsidR="00E849D6" w:rsidRPr="0002703C" w:rsidRDefault="00E849D6" w:rsidP="00BB1691">
            <w:pPr>
              <w:rPr>
                <w:bCs/>
                <w:sz w:val="20"/>
                <w:szCs w:val="20"/>
              </w:rPr>
            </w:pPr>
            <w:r w:rsidRPr="0002703C">
              <w:rPr>
                <w:bCs/>
                <w:sz w:val="20"/>
                <w:szCs w:val="20"/>
              </w:rPr>
              <w:t>Recurring Revenue Costs</w:t>
            </w:r>
          </w:p>
        </w:tc>
        <w:tc>
          <w:tcPr>
            <w:tcW w:w="1606" w:type="dxa"/>
            <w:tcBorders>
              <w:top w:val="single" w:sz="6" w:space="0" w:color="2F5496" w:themeColor="accent1" w:themeShade="BF"/>
              <w:left w:val="single" w:sz="6" w:space="0" w:color="2F5496" w:themeColor="accent1" w:themeShade="BF"/>
              <w:bottom w:val="single" w:sz="12" w:space="0" w:color="2F5496" w:themeColor="accent1" w:themeShade="BF"/>
              <w:right w:val="single" w:sz="6" w:space="0" w:color="2F5496" w:themeColor="accent1" w:themeShade="BF"/>
            </w:tcBorders>
            <w:shd w:val="clear" w:color="auto" w:fill="F2F2F2" w:themeFill="background1" w:themeFillShade="F2"/>
            <w:vAlign w:val="center"/>
          </w:tcPr>
          <w:p w14:paraId="46F3FFE5" w14:textId="77777777" w:rsidR="00E849D6" w:rsidRPr="0002703C" w:rsidRDefault="00E849D6" w:rsidP="00BB1691">
            <w:pPr>
              <w:jc w:val="right"/>
              <w:rPr>
                <w:b/>
                <w:bCs/>
                <w:sz w:val="20"/>
                <w:szCs w:val="20"/>
              </w:rPr>
            </w:pPr>
            <w:r w:rsidRPr="0002703C">
              <w:rPr>
                <w:b/>
                <w:bCs/>
                <w:sz w:val="20"/>
                <w:szCs w:val="20"/>
              </w:rPr>
              <w:t>9,327</w:t>
            </w:r>
          </w:p>
        </w:tc>
        <w:tc>
          <w:tcPr>
            <w:tcW w:w="1606" w:type="dxa"/>
            <w:tcBorders>
              <w:top w:val="single" w:sz="6" w:space="0" w:color="2F5496" w:themeColor="accent1" w:themeShade="BF"/>
              <w:left w:val="single" w:sz="6" w:space="0" w:color="2F5496" w:themeColor="accent1" w:themeShade="BF"/>
              <w:bottom w:val="single" w:sz="12" w:space="0" w:color="2F5496" w:themeColor="accent1" w:themeShade="BF"/>
              <w:right w:val="single" w:sz="6" w:space="0" w:color="2F5496" w:themeColor="accent1" w:themeShade="BF"/>
            </w:tcBorders>
            <w:shd w:val="clear" w:color="auto" w:fill="F2F2F2" w:themeFill="background1" w:themeFillShade="F2"/>
            <w:vAlign w:val="center"/>
          </w:tcPr>
          <w:p w14:paraId="19ACD454" w14:textId="77777777" w:rsidR="00E849D6" w:rsidRPr="0002703C" w:rsidRDefault="00E849D6" w:rsidP="00BB1691">
            <w:pPr>
              <w:jc w:val="right"/>
              <w:rPr>
                <w:b/>
                <w:bCs/>
                <w:sz w:val="20"/>
                <w:szCs w:val="20"/>
              </w:rPr>
            </w:pPr>
            <w:r w:rsidRPr="0002703C">
              <w:rPr>
                <w:b/>
                <w:bCs/>
                <w:sz w:val="20"/>
                <w:szCs w:val="20"/>
              </w:rPr>
              <w:t>8,252</w:t>
            </w:r>
          </w:p>
        </w:tc>
        <w:tc>
          <w:tcPr>
            <w:tcW w:w="1607" w:type="dxa"/>
            <w:tcBorders>
              <w:top w:val="single" w:sz="6" w:space="0" w:color="2F5496" w:themeColor="accent1" w:themeShade="BF"/>
              <w:left w:val="single" w:sz="6" w:space="0" w:color="2F5496" w:themeColor="accent1" w:themeShade="BF"/>
              <w:bottom w:val="single" w:sz="12" w:space="0" w:color="2F5496" w:themeColor="accent1" w:themeShade="BF"/>
              <w:right w:val="single" w:sz="12" w:space="0" w:color="2F5496" w:themeColor="accent1" w:themeShade="BF"/>
            </w:tcBorders>
            <w:shd w:val="clear" w:color="auto" w:fill="F2F2F2" w:themeFill="background1" w:themeFillShade="F2"/>
            <w:vAlign w:val="center"/>
          </w:tcPr>
          <w:p w14:paraId="165A4FB8" w14:textId="77777777" w:rsidR="00E849D6" w:rsidRPr="0002703C" w:rsidRDefault="00E849D6" w:rsidP="00BB1691">
            <w:pPr>
              <w:jc w:val="right"/>
              <w:rPr>
                <w:b/>
                <w:bCs/>
                <w:sz w:val="20"/>
                <w:szCs w:val="20"/>
              </w:rPr>
            </w:pPr>
            <w:r w:rsidRPr="0002703C">
              <w:rPr>
                <w:b/>
                <w:bCs/>
                <w:sz w:val="20"/>
                <w:szCs w:val="20"/>
              </w:rPr>
              <w:t>1,075</w:t>
            </w:r>
          </w:p>
        </w:tc>
      </w:tr>
    </w:tbl>
    <w:p w14:paraId="1D25D2CB" w14:textId="77777777" w:rsidR="00E849D6" w:rsidRDefault="00E849D6" w:rsidP="00E849D6">
      <w:pPr>
        <w:ind w:left="851"/>
        <w:rPr>
          <w:rFonts w:cs="Arial"/>
          <w:i/>
          <w:sz w:val="18"/>
          <w:szCs w:val="18"/>
        </w:rPr>
      </w:pPr>
      <w:r w:rsidRPr="00C23F61">
        <w:rPr>
          <w:rFonts w:cs="Arial"/>
          <w:i/>
          <w:sz w:val="18"/>
          <w:szCs w:val="18"/>
        </w:rPr>
        <w:t xml:space="preserve">Note: All costs are </w:t>
      </w:r>
      <w:r>
        <w:rPr>
          <w:rFonts w:cs="Arial"/>
          <w:i/>
          <w:sz w:val="18"/>
          <w:szCs w:val="18"/>
        </w:rPr>
        <w:t xml:space="preserve">at 2022-23 </w:t>
      </w:r>
      <w:r w:rsidRPr="00C23F61">
        <w:rPr>
          <w:rFonts w:cs="Arial"/>
          <w:i/>
          <w:sz w:val="18"/>
          <w:szCs w:val="18"/>
        </w:rPr>
        <w:t xml:space="preserve">price levels. </w:t>
      </w:r>
    </w:p>
    <w:p w14:paraId="4F146639" w14:textId="77777777" w:rsidR="00E849D6" w:rsidRDefault="00E849D6" w:rsidP="00E849D6">
      <w:pPr>
        <w:rPr>
          <w:bCs/>
        </w:rPr>
      </w:pPr>
    </w:p>
    <w:p w14:paraId="5CA2868D" w14:textId="77777777" w:rsidR="00E849D6" w:rsidRDefault="00E849D6" w:rsidP="00E849D6">
      <w:pPr>
        <w:ind w:left="720" w:hanging="720"/>
      </w:pPr>
      <w:r>
        <w:t>2.</w:t>
      </w:r>
      <w:r w:rsidR="004928F5">
        <w:t>41</w:t>
      </w:r>
      <w:r>
        <w:tab/>
        <w:t>The movement in the r</w:t>
      </w:r>
      <w:r w:rsidRPr="00C23F61">
        <w:t xml:space="preserve">ecurring revenue costs </w:t>
      </w:r>
      <w:r>
        <w:t xml:space="preserve">that </w:t>
      </w:r>
      <w:r w:rsidRPr="00C23F61">
        <w:t xml:space="preserve">will be funded by Commissioners using the agreed Commissioner Shares </w:t>
      </w:r>
      <w:r>
        <w:t xml:space="preserve">is </w:t>
      </w:r>
      <w:r w:rsidRPr="000C1E64">
        <w:rPr>
          <w:b/>
        </w:rPr>
        <w:t>c£</w:t>
      </w:r>
      <w:r>
        <w:rPr>
          <w:b/>
        </w:rPr>
        <w:t>1.0</w:t>
      </w:r>
      <w:r w:rsidRPr="000C1E64">
        <w:rPr>
          <w:b/>
        </w:rPr>
        <w:t>m</w:t>
      </w:r>
      <w:r>
        <w:rPr>
          <w:bCs/>
        </w:rPr>
        <w:t xml:space="preserve"> as set out below in Table 15:</w:t>
      </w:r>
    </w:p>
    <w:p w14:paraId="6210B400" w14:textId="77777777" w:rsidR="00E849D6" w:rsidRDefault="00E849D6" w:rsidP="00E849D6">
      <w:pPr>
        <w:ind w:left="720" w:hanging="720"/>
      </w:pPr>
    </w:p>
    <w:p w14:paraId="35D6499B" w14:textId="77777777" w:rsidR="00E849D6" w:rsidRPr="006D7A49" w:rsidRDefault="00E849D6" w:rsidP="006D7A49">
      <w:pPr>
        <w:pStyle w:val="Caption"/>
        <w:keepNext/>
        <w:ind w:left="720" w:firstLine="131"/>
        <w:rPr>
          <w:iCs w:val="0"/>
          <w:color w:val="2F5496"/>
          <w:sz w:val="20"/>
          <w:szCs w:val="20"/>
        </w:rPr>
      </w:pPr>
      <w:r w:rsidRPr="006D7A49">
        <w:rPr>
          <w:iCs w:val="0"/>
          <w:color w:val="2F5496"/>
          <w:sz w:val="20"/>
          <w:szCs w:val="20"/>
        </w:rPr>
        <w:t>Table 15 - Movement in Recurring Revenue Costs for Commissioners</w:t>
      </w:r>
    </w:p>
    <w:tbl>
      <w:tblPr>
        <w:tblW w:w="7302" w:type="dxa"/>
        <w:tblInd w:w="841" w:type="dxa"/>
        <w:tblBorders>
          <w:top w:val="single" w:sz="8" w:space="0" w:color="2F5496" w:themeColor="accent1" w:themeShade="BF"/>
          <w:left w:val="single" w:sz="8" w:space="0" w:color="2F5496" w:themeColor="accent1" w:themeShade="BF"/>
          <w:bottom w:val="single" w:sz="8" w:space="0" w:color="2F5496" w:themeColor="accent1" w:themeShade="BF"/>
          <w:right w:val="single" w:sz="8" w:space="0" w:color="2F5496" w:themeColor="accent1" w:themeShade="BF"/>
          <w:insideH w:val="single" w:sz="8" w:space="0" w:color="2F5496" w:themeColor="accent1" w:themeShade="BF"/>
          <w:insideV w:val="single" w:sz="8" w:space="0" w:color="2F5496" w:themeColor="accent1" w:themeShade="BF"/>
        </w:tblBorders>
        <w:tblLayout w:type="fixed"/>
        <w:tblLook w:val="04A0" w:firstRow="1" w:lastRow="0" w:firstColumn="1" w:lastColumn="0" w:noHBand="0" w:noVBand="1"/>
      </w:tblPr>
      <w:tblGrid>
        <w:gridCol w:w="4062"/>
        <w:gridCol w:w="1680"/>
        <w:gridCol w:w="1560"/>
      </w:tblGrid>
      <w:tr w:rsidR="00E849D6" w:rsidRPr="00C23F61" w14:paraId="262820E7" w14:textId="77777777" w:rsidTr="00BB1691">
        <w:tc>
          <w:tcPr>
            <w:tcW w:w="4062" w:type="dxa"/>
            <w:shd w:val="clear" w:color="auto" w:fill="1F3864" w:themeFill="accent1" w:themeFillShade="80"/>
            <w:vAlign w:val="center"/>
          </w:tcPr>
          <w:p w14:paraId="78D27E78" w14:textId="77777777" w:rsidR="00E849D6" w:rsidRPr="0002703C" w:rsidRDefault="00E849D6" w:rsidP="00BB1691">
            <w:pPr>
              <w:spacing w:beforeLines="20" w:before="48" w:afterLines="20" w:after="48"/>
              <w:ind w:hanging="15"/>
              <w:jc w:val="left"/>
              <w:rPr>
                <w:rFonts w:cs="Arial"/>
                <w:b/>
                <w:bCs/>
                <w:color w:val="FFFFFF" w:themeColor="background1"/>
                <w:sz w:val="20"/>
                <w:szCs w:val="20"/>
              </w:rPr>
            </w:pPr>
            <w:r w:rsidRPr="0002703C">
              <w:rPr>
                <w:rFonts w:cs="Arial"/>
                <w:b/>
                <w:bCs/>
                <w:color w:val="FFFFFF" w:themeColor="background1"/>
                <w:sz w:val="20"/>
                <w:szCs w:val="20"/>
              </w:rPr>
              <w:t>Health Boards</w:t>
            </w:r>
          </w:p>
        </w:tc>
        <w:tc>
          <w:tcPr>
            <w:tcW w:w="1680" w:type="dxa"/>
            <w:shd w:val="clear" w:color="auto" w:fill="1F3864" w:themeFill="accent1" w:themeFillShade="80"/>
            <w:vAlign w:val="center"/>
          </w:tcPr>
          <w:p w14:paraId="3E4AC684" w14:textId="77777777" w:rsidR="00E849D6" w:rsidRPr="0002703C" w:rsidRDefault="00E849D6" w:rsidP="00BB1691">
            <w:pPr>
              <w:spacing w:beforeLines="20" w:before="48" w:afterLines="20" w:after="48"/>
              <w:jc w:val="center"/>
              <w:rPr>
                <w:rFonts w:cs="Arial"/>
                <w:b/>
                <w:color w:val="FFFFFF" w:themeColor="background1"/>
                <w:sz w:val="20"/>
                <w:szCs w:val="20"/>
              </w:rPr>
            </w:pPr>
            <w:r>
              <w:rPr>
                <w:rFonts w:cs="Arial"/>
                <w:b/>
                <w:color w:val="FFFFFF" w:themeColor="background1"/>
                <w:sz w:val="20"/>
                <w:szCs w:val="20"/>
              </w:rPr>
              <w:t>Commissioner</w:t>
            </w:r>
            <w:r w:rsidRPr="0002703C">
              <w:rPr>
                <w:rFonts w:cs="Arial"/>
                <w:b/>
                <w:color w:val="FFFFFF" w:themeColor="background1"/>
                <w:sz w:val="20"/>
                <w:szCs w:val="20"/>
              </w:rPr>
              <w:t xml:space="preserve"> Split</w:t>
            </w:r>
          </w:p>
        </w:tc>
        <w:tc>
          <w:tcPr>
            <w:tcW w:w="1560" w:type="dxa"/>
            <w:shd w:val="clear" w:color="auto" w:fill="1F3864" w:themeFill="accent1" w:themeFillShade="80"/>
            <w:vAlign w:val="center"/>
          </w:tcPr>
          <w:p w14:paraId="55AE98C8" w14:textId="77777777" w:rsidR="00E849D6" w:rsidRPr="0002703C" w:rsidDel="001D3205" w:rsidRDefault="00E849D6" w:rsidP="00BB1691">
            <w:pPr>
              <w:spacing w:beforeLines="20" w:before="48" w:afterLines="20" w:after="48"/>
              <w:jc w:val="center"/>
              <w:rPr>
                <w:rFonts w:cs="Arial"/>
                <w:b/>
                <w:color w:val="FFFFFF" w:themeColor="background1"/>
                <w:sz w:val="20"/>
                <w:szCs w:val="20"/>
              </w:rPr>
            </w:pPr>
            <w:r w:rsidRPr="0002703C">
              <w:rPr>
                <w:rFonts w:cs="Arial"/>
                <w:b/>
                <w:color w:val="FFFFFF" w:themeColor="background1"/>
                <w:sz w:val="20"/>
                <w:szCs w:val="20"/>
              </w:rPr>
              <w:t>TOTAL</w:t>
            </w:r>
          </w:p>
        </w:tc>
      </w:tr>
      <w:tr w:rsidR="00E849D6" w:rsidRPr="00C23F61" w14:paraId="187984CA" w14:textId="77777777" w:rsidTr="00BB1691">
        <w:tc>
          <w:tcPr>
            <w:tcW w:w="4062" w:type="dxa"/>
            <w:shd w:val="clear" w:color="auto" w:fill="1F3864" w:themeFill="accent1" w:themeFillShade="80"/>
            <w:vAlign w:val="center"/>
          </w:tcPr>
          <w:p w14:paraId="6C82F523" w14:textId="77777777" w:rsidR="00E849D6" w:rsidRPr="0002703C" w:rsidRDefault="00E849D6" w:rsidP="00BB1691">
            <w:pPr>
              <w:spacing w:beforeLines="20" w:before="48" w:afterLines="20" w:after="48"/>
              <w:jc w:val="left"/>
              <w:rPr>
                <w:rFonts w:cs="Arial"/>
                <w:sz w:val="20"/>
                <w:szCs w:val="20"/>
              </w:rPr>
            </w:pPr>
          </w:p>
        </w:tc>
        <w:tc>
          <w:tcPr>
            <w:tcW w:w="1680" w:type="dxa"/>
            <w:tcBorders>
              <w:top w:val="single" w:sz="8" w:space="0" w:color="2F5496" w:themeColor="accent1" w:themeShade="BF"/>
              <w:left w:val="single" w:sz="8" w:space="0" w:color="2F5496" w:themeColor="accent1" w:themeShade="BF"/>
              <w:bottom w:val="single" w:sz="8" w:space="0" w:color="2F5496" w:themeColor="accent1" w:themeShade="BF"/>
              <w:right w:val="single" w:sz="8" w:space="0" w:color="2F5496" w:themeColor="accent1" w:themeShade="BF"/>
            </w:tcBorders>
            <w:shd w:val="clear" w:color="auto" w:fill="1F3864" w:themeFill="accent1" w:themeFillShade="80"/>
            <w:vAlign w:val="center"/>
          </w:tcPr>
          <w:p w14:paraId="77033AE5" w14:textId="77777777" w:rsidR="00E849D6" w:rsidRPr="0002703C" w:rsidRDefault="00E849D6" w:rsidP="00BB1691">
            <w:pPr>
              <w:spacing w:beforeLines="20" w:before="48" w:afterLines="20" w:after="48"/>
              <w:jc w:val="center"/>
              <w:rPr>
                <w:rFonts w:cs="Arial"/>
                <w:b/>
                <w:bCs/>
                <w:color w:val="FFFFFF" w:themeColor="background1"/>
                <w:sz w:val="20"/>
                <w:szCs w:val="20"/>
              </w:rPr>
            </w:pPr>
            <w:r w:rsidRPr="0002703C">
              <w:rPr>
                <w:rFonts w:cs="Arial"/>
                <w:b/>
                <w:bCs/>
                <w:color w:val="FFFFFF" w:themeColor="background1"/>
                <w:sz w:val="20"/>
                <w:szCs w:val="20"/>
              </w:rPr>
              <w:t>%</w:t>
            </w:r>
          </w:p>
        </w:tc>
        <w:tc>
          <w:tcPr>
            <w:tcW w:w="1560" w:type="dxa"/>
            <w:tcBorders>
              <w:top w:val="single" w:sz="8" w:space="0" w:color="2F5496" w:themeColor="accent1" w:themeShade="BF"/>
              <w:left w:val="single" w:sz="8" w:space="0" w:color="2F5496" w:themeColor="accent1" w:themeShade="BF"/>
              <w:bottom w:val="single" w:sz="8" w:space="0" w:color="2F5496" w:themeColor="accent1" w:themeShade="BF"/>
              <w:right w:val="single" w:sz="8" w:space="0" w:color="2F5496" w:themeColor="accent1" w:themeShade="BF"/>
            </w:tcBorders>
            <w:shd w:val="clear" w:color="auto" w:fill="1F3864" w:themeFill="accent1" w:themeFillShade="80"/>
            <w:vAlign w:val="center"/>
          </w:tcPr>
          <w:p w14:paraId="51F754B5" w14:textId="77777777" w:rsidR="00E849D6" w:rsidRPr="0002703C" w:rsidRDefault="00E849D6" w:rsidP="00BB1691">
            <w:pPr>
              <w:spacing w:beforeLines="20" w:before="48" w:afterLines="20" w:after="48"/>
              <w:jc w:val="center"/>
              <w:rPr>
                <w:rFonts w:cs="Arial"/>
                <w:b/>
                <w:bCs/>
                <w:color w:val="FFFFFF" w:themeColor="background1"/>
                <w:sz w:val="20"/>
                <w:szCs w:val="20"/>
              </w:rPr>
            </w:pPr>
            <w:r w:rsidRPr="0002703C">
              <w:rPr>
                <w:rFonts w:cs="Arial"/>
                <w:b/>
                <w:bCs/>
                <w:color w:val="FFFFFF" w:themeColor="background1"/>
                <w:sz w:val="20"/>
                <w:szCs w:val="20"/>
              </w:rPr>
              <w:t>£000</w:t>
            </w:r>
          </w:p>
        </w:tc>
      </w:tr>
      <w:tr w:rsidR="00E849D6" w:rsidRPr="00C23F61" w14:paraId="385CC337" w14:textId="77777777" w:rsidTr="00BB1691">
        <w:trPr>
          <w:trHeight w:val="227"/>
        </w:trPr>
        <w:tc>
          <w:tcPr>
            <w:tcW w:w="4062" w:type="dxa"/>
            <w:shd w:val="clear" w:color="auto" w:fill="D9E2F3" w:themeFill="accent1" w:themeFillTint="33"/>
            <w:vAlign w:val="center"/>
          </w:tcPr>
          <w:p w14:paraId="08E7F57B" w14:textId="77777777" w:rsidR="00E849D6" w:rsidRPr="0002703C" w:rsidRDefault="00E849D6" w:rsidP="00BB1691">
            <w:pPr>
              <w:spacing w:beforeLines="20" w:before="48" w:afterLines="20" w:after="48"/>
              <w:jc w:val="left"/>
              <w:rPr>
                <w:rFonts w:cs="Arial"/>
                <w:sz w:val="20"/>
                <w:szCs w:val="20"/>
              </w:rPr>
            </w:pPr>
            <w:r w:rsidRPr="0002703C">
              <w:rPr>
                <w:rFonts w:cs="Arial"/>
                <w:b/>
                <w:i/>
                <w:sz w:val="20"/>
                <w:szCs w:val="20"/>
              </w:rPr>
              <w:t>Proposed funding from commissioners:</w:t>
            </w:r>
          </w:p>
        </w:tc>
        <w:tc>
          <w:tcPr>
            <w:tcW w:w="1680" w:type="dxa"/>
            <w:tcBorders>
              <w:top w:val="single" w:sz="8" w:space="0" w:color="2F5496" w:themeColor="accent1" w:themeShade="BF"/>
              <w:left w:val="nil"/>
              <w:bottom w:val="single" w:sz="8" w:space="0" w:color="2F5496" w:themeColor="accent1" w:themeShade="BF"/>
              <w:right w:val="single" w:sz="8" w:space="0" w:color="2F5496" w:themeColor="accent1" w:themeShade="BF"/>
            </w:tcBorders>
            <w:shd w:val="clear" w:color="auto" w:fill="D9E2F3" w:themeFill="accent1" w:themeFillTint="33"/>
            <w:vAlign w:val="center"/>
          </w:tcPr>
          <w:p w14:paraId="45C116B9" w14:textId="77777777" w:rsidR="00E849D6" w:rsidRPr="001D3205" w:rsidRDefault="00E849D6" w:rsidP="00BB1691">
            <w:pPr>
              <w:jc w:val="right"/>
              <w:rPr>
                <w:sz w:val="20"/>
                <w:szCs w:val="20"/>
              </w:rPr>
            </w:pPr>
          </w:p>
        </w:tc>
        <w:tc>
          <w:tcPr>
            <w:tcW w:w="1560" w:type="dxa"/>
            <w:tcBorders>
              <w:top w:val="single" w:sz="8" w:space="0" w:color="2F5496" w:themeColor="accent1" w:themeShade="BF"/>
              <w:left w:val="nil"/>
              <w:bottom w:val="single" w:sz="8" w:space="0" w:color="2F5496" w:themeColor="accent1" w:themeShade="BF"/>
              <w:right w:val="nil"/>
            </w:tcBorders>
            <w:shd w:val="clear" w:color="auto" w:fill="D9E2F3" w:themeFill="accent1" w:themeFillTint="33"/>
          </w:tcPr>
          <w:p w14:paraId="1B918309" w14:textId="77777777" w:rsidR="00E849D6" w:rsidRPr="001D3205" w:rsidRDefault="00E849D6" w:rsidP="00BB1691">
            <w:pPr>
              <w:jc w:val="right"/>
              <w:rPr>
                <w:sz w:val="20"/>
                <w:szCs w:val="20"/>
              </w:rPr>
            </w:pPr>
          </w:p>
        </w:tc>
      </w:tr>
      <w:tr w:rsidR="00E849D6" w:rsidRPr="00C23F61" w14:paraId="09192D9D" w14:textId="77777777" w:rsidTr="00BB1691">
        <w:trPr>
          <w:trHeight w:val="227"/>
        </w:trPr>
        <w:tc>
          <w:tcPr>
            <w:tcW w:w="4062" w:type="dxa"/>
            <w:shd w:val="clear" w:color="auto" w:fill="D9E2F3" w:themeFill="accent1" w:themeFillTint="33"/>
            <w:vAlign w:val="center"/>
          </w:tcPr>
          <w:p w14:paraId="59B9F1BE" w14:textId="77777777" w:rsidR="00E849D6" w:rsidRPr="001D3205" w:rsidRDefault="00E849D6" w:rsidP="00BB1691">
            <w:pPr>
              <w:spacing w:beforeLines="20" w:before="48" w:afterLines="20" w:after="48"/>
              <w:jc w:val="left"/>
              <w:rPr>
                <w:rFonts w:cs="Arial"/>
                <w:b/>
                <w:bCs/>
                <w:sz w:val="20"/>
                <w:szCs w:val="20"/>
              </w:rPr>
            </w:pPr>
            <w:r w:rsidRPr="001D3205">
              <w:rPr>
                <w:sz w:val="20"/>
                <w:szCs w:val="20"/>
              </w:rPr>
              <w:t>Aneurin Bevan</w:t>
            </w:r>
          </w:p>
        </w:tc>
        <w:tc>
          <w:tcPr>
            <w:tcW w:w="1680" w:type="dxa"/>
            <w:tcBorders>
              <w:top w:val="single" w:sz="8" w:space="0" w:color="2F5496" w:themeColor="accent1" w:themeShade="BF"/>
              <w:left w:val="single" w:sz="8" w:space="0" w:color="2F5496" w:themeColor="accent1" w:themeShade="BF"/>
              <w:bottom w:val="single" w:sz="8" w:space="0" w:color="2F5496" w:themeColor="accent1" w:themeShade="BF"/>
              <w:right w:val="single" w:sz="8" w:space="0" w:color="2F5496" w:themeColor="accent1" w:themeShade="BF"/>
            </w:tcBorders>
            <w:vAlign w:val="center"/>
          </w:tcPr>
          <w:p w14:paraId="4D7BDAEB" w14:textId="77777777" w:rsidR="00E849D6" w:rsidRPr="001D3205" w:rsidRDefault="00E849D6" w:rsidP="00BB1691">
            <w:pPr>
              <w:jc w:val="right"/>
              <w:rPr>
                <w:sz w:val="20"/>
                <w:szCs w:val="20"/>
              </w:rPr>
            </w:pPr>
            <w:r w:rsidRPr="0002703C">
              <w:rPr>
                <w:sz w:val="20"/>
                <w:szCs w:val="20"/>
              </w:rPr>
              <w:t>36.52%</w:t>
            </w:r>
          </w:p>
        </w:tc>
        <w:tc>
          <w:tcPr>
            <w:tcW w:w="1560" w:type="dxa"/>
            <w:tcBorders>
              <w:top w:val="single" w:sz="8" w:space="0" w:color="2F5496" w:themeColor="accent1" w:themeShade="BF"/>
              <w:left w:val="single" w:sz="8" w:space="0" w:color="2F5496" w:themeColor="accent1" w:themeShade="BF"/>
              <w:bottom w:val="single" w:sz="8" w:space="0" w:color="2F5496" w:themeColor="accent1" w:themeShade="BF"/>
              <w:right w:val="single" w:sz="8" w:space="0" w:color="2F5496" w:themeColor="accent1" w:themeShade="BF"/>
            </w:tcBorders>
            <w:vAlign w:val="center"/>
          </w:tcPr>
          <w:p w14:paraId="238A3B7F" w14:textId="77777777" w:rsidR="00E849D6" w:rsidRPr="00582D55" w:rsidDel="001D3205" w:rsidRDefault="00E849D6" w:rsidP="00BB1691">
            <w:pPr>
              <w:jc w:val="right"/>
              <w:rPr>
                <w:sz w:val="20"/>
                <w:szCs w:val="20"/>
              </w:rPr>
            </w:pPr>
            <w:r w:rsidRPr="00582D55">
              <w:rPr>
                <w:sz w:val="20"/>
                <w:szCs w:val="20"/>
              </w:rPr>
              <w:t>391</w:t>
            </w:r>
          </w:p>
        </w:tc>
      </w:tr>
      <w:tr w:rsidR="00E849D6" w:rsidRPr="00C23F61" w14:paraId="1146EAA3" w14:textId="77777777" w:rsidTr="00BB1691">
        <w:trPr>
          <w:trHeight w:val="227"/>
        </w:trPr>
        <w:tc>
          <w:tcPr>
            <w:tcW w:w="4062" w:type="dxa"/>
            <w:shd w:val="clear" w:color="auto" w:fill="DEEAF6"/>
            <w:vAlign w:val="center"/>
          </w:tcPr>
          <w:p w14:paraId="25F79589" w14:textId="77777777" w:rsidR="00E849D6" w:rsidRPr="001D3205" w:rsidRDefault="00E849D6" w:rsidP="00BB1691">
            <w:pPr>
              <w:spacing w:beforeLines="20" w:before="48" w:afterLines="20" w:after="48"/>
              <w:jc w:val="left"/>
              <w:rPr>
                <w:rFonts w:cs="Arial"/>
                <w:b/>
                <w:bCs/>
                <w:sz w:val="20"/>
                <w:szCs w:val="20"/>
              </w:rPr>
            </w:pPr>
            <w:r w:rsidRPr="001D3205">
              <w:rPr>
                <w:sz w:val="20"/>
                <w:szCs w:val="20"/>
              </w:rPr>
              <w:t>Cardiff &amp; Vale</w:t>
            </w:r>
          </w:p>
        </w:tc>
        <w:tc>
          <w:tcPr>
            <w:tcW w:w="1680" w:type="dxa"/>
            <w:tcBorders>
              <w:top w:val="single" w:sz="8" w:space="0" w:color="2F5496" w:themeColor="accent1" w:themeShade="BF"/>
              <w:left w:val="single" w:sz="8" w:space="0" w:color="2F5496" w:themeColor="accent1" w:themeShade="BF"/>
              <w:bottom w:val="single" w:sz="8" w:space="0" w:color="2F5496" w:themeColor="accent1" w:themeShade="BF"/>
              <w:right w:val="single" w:sz="8" w:space="0" w:color="2F5496" w:themeColor="accent1" w:themeShade="BF"/>
            </w:tcBorders>
            <w:vAlign w:val="center"/>
          </w:tcPr>
          <w:p w14:paraId="263076C6" w14:textId="77777777" w:rsidR="00E849D6" w:rsidRPr="001D3205" w:rsidRDefault="00E849D6" w:rsidP="00BB1691">
            <w:pPr>
              <w:jc w:val="right"/>
              <w:rPr>
                <w:sz w:val="20"/>
                <w:szCs w:val="20"/>
              </w:rPr>
            </w:pPr>
            <w:r w:rsidRPr="0002703C">
              <w:rPr>
                <w:sz w:val="20"/>
                <w:szCs w:val="20"/>
              </w:rPr>
              <w:t>30.90%</w:t>
            </w:r>
          </w:p>
        </w:tc>
        <w:tc>
          <w:tcPr>
            <w:tcW w:w="1560" w:type="dxa"/>
            <w:tcBorders>
              <w:top w:val="single" w:sz="8" w:space="0" w:color="2F5496" w:themeColor="accent1" w:themeShade="BF"/>
              <w:left w:val="single" w:sz="8" w:space="0" w:color="2F5496" w:themeColor="accent1" w:themeShade="BF"/>
              <w:bottom w:val="single" w:sz="8" w:space="0" w:color="2F5496" w:themeColor="accent1" w:themeShade="BF"/>
              <w:right w:val="single" w:sz="8" w:space="0" w:color="2F5496" w:themeColor="accent1" w:themeShade="BF"/>
            </w:tcBorders>
            <w:vAlign w:val="center"/>
          </w:tcPr>
          <w:p w14:paraId="2C4940C7" w14:textId="77777777" w:rsidR="00E849D6" w:rsidRPr="00582D55" w:rsidDel="001D3205" w:rsidRDefault="00E849D6" w:rsidP="00BB1691">
            <w:pPr>
              <w:jc w:val="right"/>
              <w:rPr>
                <w:sz w:val="20"/>
                <w:szCs w:val="20"/>
              </w:rPr>
            </w:pPr>
            <w:r w:rsidRPr="00582D55">
              <w:rPr>
                <w:sz w:val="20"/>
                <w:szCs w:val="20"/>
              </w:rPr>
              <w:t>331</w:t>
            </w:r>
          </w:p>
        </w:tc>
      </w:tr>
      <w:tr w:rsidR="00E849D6" w:rsidRPr="00C23F61" w14:paraId="04EBF114" w14:textId="77777777" w:rsidTr="00BB1691">
        <w:trPr>
          <w:trHeight w:val="227"/>
        </w:trPr>
        <w:tc>
          <w:tcPr>
            <w:tcW w:w="4062" w:type="dxa"/>
            <w:shd w:val="clear" w:color="auto" w:fill="D9E2F3" w:themeFill="accent1" w:themeFillTint="33"/>
            <w:vAlign w:val="center"/>
          </w:tcPr>
          <w:p w14:paraId="68A4289C" w14:textId="77777777" w:rsidR="00E849D6" w:rsidRPr="001D3205" w:rsidRDefault="00E849D6" w:rsidP="00BB1691">
            <w:pPr>
              <w:spacing w:beforeLines="20" w:before="48" w:afterLines="20" w:after="48"/>
              <w:jc w:val="left"/>
              <w:rPr>
                <w:rFonts w:cs="Arial"/>
                <w:b/>
                <w:bCs/>
                <w:sz w:val="20"/>
                <w:szCs w:val="20"/>
              </w:rPr>
            </w:pPr>
            <w:r w:rsidRPr="001D3205">
              <w:rPr>
                <w:sz w:val="20"/>
                <w:szCs w:val="20"/>
              </w:rPr>
              <w:t>Cwm Taf Morgannwg</w:t>
            </w:r>
          </w:p>
        </w:tc>
        <w:tc>
          <w:tcPr>
            <w:tcW w:w="1680" w:type="dxa"/>
            <w:tcBorders>
              <w:top w:val="single" w:sz="8" w:space="0" w:color="2F5496" w:themeColor="accent1" w:themeShade="BF"/>
              <w:left w:val="single" w:sz="8" w:space="0" w:color="2F5496" w:themeColor="accent1" w:themeShade="BF"/>
              <w:bottom w:val="single" w:sz="8" w:space="0" w:color="2F5496" w:themeColor="accent1" w:themeShade="BF"/>
              <w:right w:val="single" w:sz="8" w:space="0" w:color="2F5496" w:themeColor="accent1" w:themeShade="BF"/>
            </w:tcBorders>
            <w:vAlign w:val="center"/>
          </w:tcPr>
          <w:p w14:paraId="7CB6C7C1" w14:textId="77777777" w:rsidR="00E849D6" w:rsidRPr="001D3205" w:rsidRDefault="00E849D6" w:rsidP="00BB1691">
            <w:pPr>
              <w:jc w:val="right"/>
              <w:rPr>
                <w:sz w:val="20"/>
                <w:szCs w:val="20"/>
              </w:rPr>
            </w:pPr>
            <w:r w:rsidRPr="0002703C">
              <w:rPr>
                <w:sz w:val="20"/>
                <w:szCs w:val="20"/>
              </w:rPr>
              <w:t>28.11%</w:t>
            </w:r>
          </w:p>
        </w:tc>
        <w:tc>
          <w:tcPr>
            <w:tcW w:w="1560" w:type="dxa"/>
            <w:tcBorders>
              <w:top w:val="single" w:sz="8" w:space="0" w:color="2F5496" w:themeColor="accent1" w:themeShade="BF"/>
              <w:left w:val="single" w:sz="8" w:space="0" w:color="2F5496" w:themeColor="accent1" w:themeShade="BF"/>
              <w:bottom w:val="single" w:sz="8" w:space="0" w:color="2F5496" w:themeColor="accent1" w:themeShade="BF"/>
              <w:right w:val="single" w:sz="8" w:space="0" w:color="2F5496" w:themeColor="accent1" w:themeShade="BF"/>
            </w:tcBorders>
            <w:vAlign w:val="center"/>
          </w:tcPr>
          <w:p w14:paraId="0B1A2436" w14:textId="77777777" w:rsidR="00E849D6" w:rsidRPr="00582D55" w:rsidDel="001D3205" w:rsidRDefault="00E849D6" w:rsidP="00BB1691">
            <w:pPr>
              <w:jc w:val="right"/>
              <w:rPr>
                <w:sz w:val="20"/>
                <w:szCs w:val="20"/>
              </w:rPr>
            </w:pPr>
            <w:r w:rsidRPr="00582D55">
              <w:rPr>
                <w:sz w:val="20"/>
                <w:szCs w:val="20"/>
              </w:rPr>
              <w:t>301</w:t>
            </w:r>
          </w:p>
        </w:tc>
      </w:tr>
      <w:tr w:rsidR="00E849D6" w:rsidRPr="00C23F61" w14:paraId="717201D9" w14:textId="77777777" w:rsidTr="00BB1691">
        <w:trPr>
          <w:trHeight w:val="227"/>
        </w:trPr>
        <w:tc>
          <w:tcPr>
            <w:tcW w:w="4062" w:type="dxa"/>
            <w:shd w:val="clear" w:color="auto" w:fill="D9E2F3" w:themeFill="accent1" w:themeFillTint="33"/>
            <w:vAlign w:val="center"/>
          </w:tcPr>
          <w:p w14:paraId="6A8C4E5A" w14:textId="77777777" w:rsidR="00E849D6" w:rsidRPr="001D3205" w:rsidRDefault="00E849D6" w:rsidP="00BB1691">
            <w:pPr>
              <w:spacing w:beforeLines="20" w:before="48" w:afterLines="20" w:after="48"/>
              <w:jc w:val="left"/>
              <w:rPr>
                <w:rFonts w:cs="Arial"/>
                <w:b/>
                <w:bCs/>
                <w:sz w:val="20"/>
                <w:szCs w:val="20"/>
              </w:rPr>
            </w:pPr>
            <w:r w:rsidRPr="001D3205">
              <w:rPr>
                <w:sz w:val="20"/>
                <w:szCs w:val="20"/>
              </w:rPr>
              <w:t>Swansea Bay</w:t>
            </w:r>
          </w:p>
        </w:tc>
        <w:tc>
          <w:tcPr>
            <w:tcW w:w="1680" w:type="dxa"/>
            <w:tcBorders>
              <w:top w:val="single" w:sz="8" w:space="0" w:color="2F5496" w:themeColor="accent1" w:themeShade="BF"/>
              <w:left w:val="single" w:sz="8" w:space="0" w:color="2F5496" w:themeColor="accent1" w:themeShade="BF"/>
              <w:bottom w:val="single" w:sz="8" w:space="0" w:color="2F5496" w:themeColor="accent1" w:themeShade="BF"/>
              <w:right w:val="single" w:sz="8" w:space="0" w:color="2F5496" w:themeColor="accent1" w:themeShade="BF"/>
            </w:tcBorders>
            <w:vAlign w:val="center"/>
          </w:tcPr>
          <w:p w14:paraId="23A6B47B" w14:textId="77777777" w:rsidR="00E849D6" w:rsidRPr="001D3205" w:rsidRDefault="00E849D6" w:rsidP="00BB1691">
            <w:pPr>
              <w:jc w:val="right"/>
              <w:rPr>
                <w:sz w:val="20"/>
                <w:szCs w:val="20"/>
              </w:rPr>
            </w:pPr>
            <w:r w:rsidRPr="0002703C">
              <w:rPr>
                <w:sz w:val="20"/>
                <w:szCs w:val="20"/>
              </w:rPr>
              <w:t>1.40%</w:t>
            </w:r>
          </w:p>
        </w:tc>
        <w:tc>
          <w:tcPr>
            <w:tcW w:w="1560" w:type="dxa"/>
            <w:tcBorders>
              <w:top w:val="single" w:sz="8" w:space="0" w:color="2F5496" w:themeColor="accent1" w:themeShade="BF"/>
              <w:left w:val="single" w:sz="8" w:space="0" w:color="2F5496" w:themeColor="accent1" w:themeShade="BF"/>
              <w:bottom w:val="single" w:sz="8" w:space="0" w:color="2F5496" w:themeColor="accent1" w:themeShade="BF"/>
              <w:right w:val="single" w:sz="8" w:space="0" w:color="2F5496" w:themeColor="accent1" w:themeShade="BF"/>
            </w:tcBorders>
            <w:vAlign w:val="center"/>
          </w:tcPr>
          <w:p w14:paraId="4D6687BB" w14:textId="77777777" w:rsidR="00E849D6" w:rsidRPr="00582D55" w:rsidDel="001D3205" w:rsidRDefault="00E849D6" w:rsidP="00BB1691">
            <w:pPr>
              <w:jc w:val="right"/>
              <w:rPr>
                <w:sz w:val="20"/>
                <w:szCs w:val="20"/>
              </w:rPr>
            </w:pPr>
            <w:r w:rsidRPr="00582D55">
              <w:rPr>
                <w:sz w:val="20"/>
                <w:szCs w:val="20"/>
              </w:rPr>
              <w:t>15</w:t>
            </w:r>
          </w:p>
        </w:tc>
      </w:tr>
      <w:tr w:rsidR="00E849D6" w:rsidRPr="00C23F61" w14:paraId="359A95C7" w14:textId="77777777" w:rsidTr="00BB1691">
        <w:trPr>
          <w:trHeight w:val="227"/>
        </w:trPr>
        <w:tc>
          <w:tcPr>
            <w:tcW w:w="4062" w:type="dxa"/>
            <w:shd w:val="clear" w:color="auto" w:fill="D9E2F3" w:themeFill="accent1" w:themeFillTint="33"/>
            <w:vAlign w:val="center"/>
          </w:tcPr>
          <w:p w14:paraId="3DBDD7C5" w14:textId="77777777" w:rsidR="00E849D6" w:rsidRPr="001D3205" w:rsidRDefault="00E849D6" w:rsidP="00BB1691">
            <w:pPr>
              <w:spacing w:beforeLines="20" w:before="48" w:afterLines="20" w:after="48"/>
              <w:jc w:val="left"/>
              <w:rPr>
                <w:rFonts w:cs="Arial"/>
                <w:b/>
                <w:bCs/>
                <w:sz w:val="20"/>
                <w:szCs w:val="20"/>
              </w:rPr>
            </w:pPr>
            <w:r w:rsidRPr="001D3205">
              <w:rPr>
                <w:sz w:val="20"/>
                <w:szCs w:val="20"/>
              </w:rPr>
              <w:t>Hywel Dda</w:t>
            </w:r>
          </w:p>
        </w:tc>
        <w:tc>
          <w:tcPr>
            <w:tcW w:w="1680" w:type="dxa"/>
            <w:tcBorders>
              <w:top w:val="single" w:sz="8" w:space="0" w:color="2F5496" w:themeColor="accent1" w:themeShade="BF"/>
              <w:left w:val="single" w:sz="8" w:space="0" w:color="2F5496" w:themeColor="accent1" w:themeShade="BF"/>
              <w:bottom w:val="single" w:sz="8" w:space="0" w:color="2F5496" w:themeColor="accent1" w:themeShade="BF"/>
              <w:right w:val="single" w:sz="8" w:space="0" w:color="2F5496" w:themeColor="accent1" w:themeShade="BF"/>
            </w:tcBorders>
            <w:vAlign w:val="center"/>
          </w:tcPr>
          <w:p w14:paraId="370B76CF" w14:textId="77777777" w:rsidR="00E849D6" w:rsidRPr="001D3205" w:rsidRDefault="00E849D6" w:rsidP="00BB1691">
            <w:pPr>
              <w:jc w:val="right"/>
              <w:rPr>
                <w:sz w:val="20"/>
                <w:szCs w:val="20"/>
              </w:rPr>
            </w:pPr>
            <w:r w:rsidRPr="0002703C">
              <w:rPr>
                <w:sz w:val="20"/>
                <w:szCs w:val="20"/>
              </w:rPr>
              <w:t>1.49%</w:t>
            </w:r>
          </w:p>
        </w:tc>
        <w:tc>
          <w:tcPr>
            <w:tcW w:w="1560" w:type="dxa"/>
            <w:tcBorders>
              <w:top w:val="single" w:sz="8" w:space="0" w:color="2F5496" w:themeColor="accent1" w:themeShade="BF"/>
              <w:left w:val="single" w:sz="8" w:space="0" w:color="2F5496" w:themeColor="accent1" w:themeShade="BF"/>
              <w:bottom w:val="single" w:sz="8" w:space="0" w:color="2F5496" w:themeColor="accent1" w:themeShade="BF"/>
              <w:right w:val="single" w:sz="8" w:space="0" w:color="2F5496" w:themeColor="accent1" w:themeShade="BF"/>
            </w:tcBorders>
            <w:vAlign w:val="center"/>
          </w:tcPr>
          <w:p w14:paraId="4DD9BFA9" w14:textId="77777777" w:rsidR="00E849D6" w:rsidRPr="00582D55" w:rsidDel="001D3205" w:rsidRDefault="00E849D6" w:rsidP="00BB1691">
            <w:pPr>
              <w:jc w:val="right"/>
              <w:rPr>
                <w:sz w:val="20"/>
                <w:szCs w:val="20"/>
              </w:rPr>
            </w:pPr>
            <w:r w:rsidRPr="00582D55">
              <w:rPr>
                <w:sz w:val="20"/>
                <w:szCs w:val="20"/>
              </w:rPr>
              <w:t>16</w:t>
            </w:r>
          </w:p>
        </w:tc>
      </w:tr>
      <w:tr w:rsidR="00E849D6" w:rsidRPr="00C23F61" w14:paraId="438A74FD" w14:textId="77777777" w:rsidTr="00BB1691">
        <w:trPr>
          <w:trHeight w:val="227"/>
        </w:trPr>
        <w:tc>
          <w:tcPr>
            <w:tcW w:w="4062" w:type="dxa"/>
            <w:tcBorders>
              <w:bottom w:val="single" w:sz="8" w:space="0" w:color="2F5496" w:themeColor="accent1" w:themeShade="BF"/>
            </w:tcBorders>
            <w:shd w:val="clear" w:color="auto" w:fill="D9E2F3" w:themeFill="accent1" w:themeFillTint="33"/>
            <w:vAlign w:val="center"/>
          </w:tcPr>
          <w:p w14:paraId="0670D5E7" w14:textId="77777777" w:rsidR="00E849D6" w:rsidRPr="001D3205" w:rsidRDefault="00E849D6" w:rsidP="00BB1691">
            <w:pPr>
              <w:spacing w:beforeLines="20" w:before="48" w:afterLines="20" w:after="48"/>
              <w:jc w:val="left"/>
              <w:rPr>
                <w:rFonts w:cs="Arial"/>
                <w:b/>
                <w:bCs/>
                <w:sz w:val="20"/>
                <w:szCs w:val="20"/>
              </w:rPr>
            </w:pPr>
            <w:r w:rsidRPr="001D3205">
              <w:rPr>
                <w:sz w:val="20"/>
                <w:szCs w:val="20"/>
              </w:rPr>
              <w:t>Powys</w:t>
            </w:r>
          </w:p>
        </w:tc>
        <w:tc>
          <w:tcPr>
            <w:tcW w:w="1680" w:type="dxa"/>
            <w:tcBorders>
              <w:top w:val="single" w:sz="8" w:space="0" w:color="2F5496" w:themeColor="accent1" w:themeShade="BF"/>
              <w:left w:val="single" w:sz="8" w:space="0" w:color="2F5496" w:themeColor="accent1" w:themeShade="BF"/>
              <w:bottom w:val="single" w:sz="8" w:space="0" w:color="2F5496" w:themeColor="accent1" w:themeShade="BF"/>
              <w:right w:val="single" w:sz="8" w:space="0" w:color="2F5496" w:themeColor="accent1" w:themeShade="BF"/>
            </w:tcBorders>
            <w:vAlign w:val="center"/>
          </w:tcPr>
          <w:p w14:paraId="31CAB3E5" w14:textId="77777777" w:rsidR="00E849D6" w:rsidRPr="001D3205" w:rsidRDefault="00E849D6" w:rsidP="00BB1691">
            <w:pPr>
              <w:jc w:val="right"/>
              <w:rPr>
                <w:sz w:val="20"/>
                <w:szCs w:val="20"/>
              </w:rPr>
            </w:pPr>
            <w:r w:rsidRPr="0002703C">
              <w:rPr>
                <w:sz w:val="20"/>
                <w:szCs w:val="20"/>
              </w:rPr>
              <w:t>1.59%</w:t>
            </w:r>
          </w:p>
        </w:tc>
        <w:tc>
          <w:tcPr>
            <w:tcW w:w="1560" w:type="dxa"/>
            <w:tcBorders>
              <w:top w:val="single" w:sz="8" w:space="0" w:color="2F5496" w:themeColor="accent1" w:themeShade="BF"/>
              <w:left w:val="single" w:sz="8" w:space="0" w:color="2F5496" w:themeColor="accent1" w:themeShade="BF"/>
              <w:bottom w:val="single" w:sz="8" w:space="0" w:color="2F5496" w:themeColor="accent1" w:themeShade="BF"/>
              <w:right w:val="single" w:sz="8" w:space="0" w:color="2F5496" w:themeColor="accent1" w:themeShade="BF"/>
            </w:tcBorders>
            <w:vAlign w:val="center"/>
          </w:tcPr>
          <w:p w14:paraId="48641BC7" w14:textId="77777777" w:rsidR="00E849D6" w:rsidRPr="00582D55" w:rsidDel="001D3205" w:rsidRDefault="00E849D6" w:rsidP="00BB1691">
            <w:pPr>
              <w:jc w:val="right"/>
              <w:rPr>
                <w:sz w:val="20"/>
                <w:szCs w:val="20"/>
              </w:rPr>
            </w:pPr>
            <w:r w:rsidRPr="00582D55">
              <w:rPr>
                <w:sz w:val="20"/>
                <w:szCs w:val="20"/>
              </w:rPr>
              <w:t>17</w:t>
            </w:r>
          </w:p>
        </w:tc>
      </w:tr>
      <w:tr w:rsidR="00E849D6" w:rsidRPr="00C23F61" w14:paraId="01A88734" w14:textId="77777777" w:rsidTr="00BB1691">
        <w:trPr>
          <w:trHeight w:val="227"/>
        </w:trPr>
        <w:tc>
          <w:tcPr>
            <w:tcW w:w="4062" w:type="dxa"/>
            <w:tcBorders>
              <w:top w:val="single" w:sz="8" w:space="0" w:color="2F5496" w:themeColor="accent1" w:themeShade="BF"/>
            </w:tcBorders>
            <w:shd w:val="clear" w:color="auto" w:fill="DEEAF6"/>
            <w:vAlign w:val="center"/>
          </w:tcPr>
          <w:p w14:paraId="31B6E3A1" w14:textId="77777777" w:rsidR="00E849D6" w:rsidRPr="0002703C" w:rsidRDefault="00E849D6" w:rsidP="00BB1691">
            <w:pPr>
              <w:spacing w:beforeLines="20" w:before="48" w:afterLines="20" w:after="48"/>
              <w:jc w:val="left"/>
              <w:rPr>
                <w:rFonts w:cs="Arial"/>
                <w:b/>
                <w:bCs/>
                <w:color w:val="FFFFFF" w:themeColor="background1"/>
                <w:sz w:val="20"/>
                <w:szCs w:val="20"/>
              </w:rPr>
            </w:pPr>
            <w:r w:rsidRPr="0002703C">
              <w:rPr>
                <w:rFonts w:cs="Arial"/>
                <w:b/>
                <w:color w:val="000000" w:themeColor="text1"/>
                <w:sz w:val="20"/>
                <w:szCs w:val="20"/>
              </w:rPr>
              <w:t xml:space="preserve">Total </w:t>
            </w:r>
          </w:p>
        </w:tc>
        <w:tc>
          <w:tcPr>
            <w:tcW w:w="1680" w:type="dxa"/>
            <w:tcBorders>
              <w:top w:val="single" w:sz="8" w:space="0" w:color="2F5496" w:themeColor="accent1" w:themeShade="BF"/>
              <w:left w:val="single" w:sz="8" w:space="0" w:color="2F5496" w:themeColor="accent1" w:themeShade="BF"/>
              <w:bottom w:val="single" w:sz="8" w:space="0" w:color="2F5496" w:themeColor="accent1" w:themeShade="BF"/>
              <w:right w:val="single" w:sz="8" w:space="0" w:color="2F5496" w:themeColor="accent1" w:themeShade="BF"/>
            </w:tcBorders>
            <w:shd w:val="clear" w:color="auto" w:fill="F2F2F2" w:themeFill="background1" w:themeFillShade="F2"/>
            <w:vAlign w:val="center"/>
          </w:tcPr>
          <w:p w14:paraId="50476989" w14:textId="77777777" w:rsidR="00E849D6" w:rsidRPr="001D3205" w:rsidRDefault="00E849D6" w:rsidP="00BB1691">
            <w:pPr>
              <w:jc w:val="right"/>
              <w:rPr>
                <w:b/>
                <w:sz w:val="20"/>
                <w:szCs w:val="20"/>
              </w:rPr>
            </w:pPr>
            <w:r w:rsidRPr="001D3205">
              <w:rPr>
                <w:b/>
                <w:sz w:val="20"/>
                <w:szCs w:val="20"/>
              </w:rPr>
              <w:t>100%</w:t>
            </w:r>
          </w:p>
        </w:tc>
        <w:tc>
          <w:tcPr>
            <w:tcW w:w="1560" w:type="dxa"/>
            <w:tcBorders>
              <w:top w:val="single" w:sz="8" w:space="0" w:color="2F5496" w:themeColor="accent1" w:themeShade="BF"/>
              <w:left w:val="single" w:sz="8" w:space="0" w:color="2F5496" w:themeColor="accent1" w:themeShade="BF"/>
              <w:bottom w:val="single" w:sz="8" w:space="0" w:color="2F5496" w:themeColor="accent1" w:themeShade="BF"/>
              <w:right w:val="single" w:sz="8" w:space="0" w:color="2F5496" w:themeColor="accent1" w:themeShade="BF"/>
            </w:tcBorders>
            <w:shd w:val="clear" w:color="auto" w:fill="F2F2F2" w:themeFill="background1" w:themeFillShade="F2"/>
            <w:vAlign w:val="center"/>
          </w:tcPr>
          <w:p w14:paraId="5EA882A3" w14:textId="77777777" w:rsidR="00E849D6" w:rsidRPr="00582D55" w:rsidDel="001D3205" w:rsidRDefault="00E849D6" w:rsidP="00BB1691">
            <w:pPr>
              <w:jc w:val="right"/>
              <w:rPr>
                <w:b/>
                <w:sz w:val="20"/>
                <w:szCs w:val="20"/>
              </w:rPr>
            </w:pPr>
            <w:r w:rsidRPr="00582D55">
              <w:rPr>
                <w:b/>
                <w:sz w:val="20"/>
                <w:szCs w:val="20"/>
              </w:rPr>
              <w:t>1,07</w:t>
            </w:r>
            <w:r w:rsidR="00CD5F64">
              <w:rPr>
                <w:b/>
                <w:sz w:val="20"/>
                <w:szCs w:val="20"/>
              </w:rPr>
              <w:t>5</w:t>
            </w:r>
          </w:p>
        </w:tc>
      </w:tr>
    </w:tbl>
    <w:p w14:paraId="39577D27" w14:textId="77777777" w:rsidR="00E849D6" w:rsidRDefault="00E849D6" w:rsidP="00F548E8">
      <w:pPr>
        <w:ind w:left="851" w:hanging="851"/>
      </w:pPr>
    </w:p>
    <w:p w14:paraId="6C6921E6" w14:textId="77777777" w:rsidR="000E3FFC" w:rsidRDefault="00E849D6" w:rsidP="00F548E8">
      <w:pPr>
        <w:ind w:left="851" w:hanging="851"/>
      </w:pPr>
      <w:r>
        <w:t>2.</w:t>
      </w:r>
      <w:r w:rsidR="004928F5">
        <w:t>42</w:t>
      </w:r>
      <w:r>
        <w:tab/>
      </w:r>
      <w:r w:rsidR="000E3FFC">
        <w:t>The r</w:t>
      </w:r>
      <w:r w:rsidR="000E3FFC" w:rsidRPr="00C23F61">
        <w:t xml:space="preserve">ecurring revenue costs </w:t>
      </w:r>
      <w:r w:rsidR="000E3FFC">
        <w:t xml:space="preserve">that </w:t>
      </w:r>
      <w:r w:rsidR="000E3FFC" w:rsidRPr="00C23F61">
        <w:t xml:space="preserve">will be </w:t>
      </w:r>
      <w:r w:rsidR="000E3FFC" w:rsidRPr="00E849D6">
        <w:rPr>
          <w:b/>
          <w:bCs/>
        </w:rPr>
        <w:t>funded</w:t>
      </w:r>
      <w:r w:rsidR="000E3FFC" w:rsidRPr="00C23F61">
        <w:t xml:space="preserve"> by Commissioners using the agreed Commissioner Shares </w:t>
      </w:r>
      <w:r w:rsidR="000E3FFC">
        <w:t xml:space="preserve">is </w:t>
      </w:r>
      <w:r w:rsidR="000E3FFC" w:rsidRPr="000C1E64">
        <w:rPr>
          <w:b/>
        </w:rPr>
        <w:t>c£</w:t>
      </w:r>
      <w:r w:rsidR="00AC35C4" w:rsidRPr="000C1E64">
        <w:rPr>
          <w:b/>
        </w:rPr>
        <w:t>9.3</w:t>
      </w:r>
      <w:r w:rsidR="000E3FFC" w:rsidRPr="000C1E64">
        <w:rPr>
          <w:b/>
        </w:rPr>
        <w:t>m</w:t>
      </w:r>
      <w:r w:rsidR="004A6E44">
        <w:rPr>
          <w:bCs/>
        </w:rPr>
        <w:t xml:space="preserve"> as set out below in Table </w:t>
      </w:r>
      <w:r w:rsidR="00F55FAB">
        <w:rPr>
          <w:bCs/>
        </w:rPr>
        <w:t>1</w:t>
      </w:r>
      <w:r>
        <w:rPr>
          <w:bCs/>
        </w:rPr>
        <w:t>6</w:t>
      </w:r>
      <w:r w:rsidR="002A717D">
        <w:t>:</w:t>
      </w:r>
      <w:r w:rsidR="000E3FFC" w:rsidRPr="00C23F61">
        <w:t xml:space="preserve"> </w:t>
      </w:r>
    </w:p>
    <w:p w14:paraId="18466CF8" w14:textId="77777777" w:rsidR="00874037" w:rsidRPr="00093721" w:rsidRDefault="00874037" w:rsidP="00F548E8">
      <w:pPr>
        <w:ind w:left="851" w:hanging="851"/>
        <w:rPr>
          <w:bCs/>
        </w:rPr>
      </w:pPr>
    </w:p>
    <w:p w14:paraId="60CF15AC" w14:textId="77777777" w:rsidR="000E3FFC" w:rsidRPr="006D7A49" w:rsidRDefault="000E3FFC" w:rsidP="006D7A49">
      <w:pPr>
        <w:pStyle w:val="Caption"/>
        <w:keepNext/>
        <w:ind w:left="720" w:firstLine="131"/>
        <w:rPr>
          <w:iCs w:val="0"/>
          <w:color w:val="2F5496"/>
          <w:sz w:val="20"/>
          <w:szCs w:val="20"/>
        </w:rPr>
      </w:pPr>
      <w:bookmarkStart w:id="4" w:name="_Toc495312326"/>
      <w:r w:rsidRPr="006D7A49">
        <w:rPr>
          <w:iCs w:val="0"/>
          <w:color w:val="2F5496"/>
          <w:sz w:val="20"/>
          <w:szCs w:val="20"/>
        </w:rPr>
        <w:t>Table</w:t>
      </w:r>
      <w:r w:rsidR="00F548E8" w:rsidRPr="006D7A49">
        <w:rPr>
          <w:iCs w:val="0"/>
          <w:color w:val="2F5496"/>
          <w:sz w:val="20"/>
          <w:szCs w:val="20"/>
        </w:rPr>
        <w:t xml:space="preserve"> </w:t>
      </w:r>
      <w:r w:rsidR="00F55FAB" w:rsidRPr="006D7A49">
        <w:rPr>
          <w:iCs w:val="0"/>
          <w:color w:val="2F5496"/>
          <w:sz w:val="20"/>
          <w:szCs w:val="20"/>
        </w:rPr>
        <w:t>1</w:t>
      </w:r>
      <w:r w:rsidR="00E849D6" w:rsidRPr="006D7A49">
        <w:rPr>
          <w:iCs w:val="0"/>
          <w:color w:val="2F5496"/>
          <w:sz w:val="20"/>
          <w:szCs w:val="20"/>
        </w:rPr>
        <w:t>6</w:t>
      </w:r>
      <w:r w:rsidR="0025077A" w:rsidRPr="006D7A49">
        <w:rPr>
          <w:iCs w:val="0"/>
          <w:color w:val="2F5496"/>
          <w:sz w:val="20"/>
          <w:szCs w:val="20"/>
        </w:rPr>
        <w:t xml:space="preserve"> </w:t>
      </w:r>
      <w:r w:rsidR="00874037" w:rsidRPr="006D7A49">
        <w:rPr>
          <w:iCs w:val="0"/>
          <w:color w:val="2F5496"/>
          <w:sz w:val="20"/>
          <w:szCs w:val="20"/>
        </w:rPr>
        <w:t xml:space="preserve">- </w:t>
      </w:r>
      <w:r w:rsidRPr="006D7A49">
        <w:rPr>
          <w:iCs w:val="0"/>
          <w:color w:val="2F5496"/>
          <w:sz w:val="20"/>
          <w:szCs w:val="20"/>
        </w:rPr>
        <w:t>Summary of Funding Sources</w:t>
      </w:r>
      <w:bookmarkEnd w:id="4"/>
    </w:p>
    <w:tbl>
      <w:tblPr>
        <w:tblW w:w="7302" w:type="dxa"/>
        <w:tblInd w:w="841" w:type="dxa"/>
        <w:tblBorders>
          <w:top w:val="single" w:sz="8" w:space="0" w:color="2F5496" w:themeColor="accent1" w:themeShade="BF"/>
          <w:left w:val="single" w:sz="8" w:space="0" w:color="2F5496" w:themeColor="accent1" w:themeShade="BF"/>
          <w:bottom w:val="single" w:sz="8" w:space="0" w:color="2F5496" w:themeColor="accent1" w:themeShade="BF"/>
          <w:right w:val="single" w:sz="8" w:space="0" w:color="2F5496" w:themeColor="accent1" w:themeShade="BF"/>
          <w:insideH w:val="single" w:sz="8" w:space="0" w:color="2F5496" w:themeColor="accent1" w:themeShade="BF"/>
          <w:insideV w:val="single" w:sz="8" w:space="0" w:color="2F5496" w:themeColor="accent1" w:themeShade="BF"/>
        </w:tblBorders>
        <w:tblLayout w:type="fixed"/>
        <w:tblLook w:val="04A0" w:firstRow="1" w:lastRow="0" w:firstColumn="1" w:lastColumn="0" w:noHBand="0" w:noVBand="1"/>
      </w:tblPr>
      <w:tblGrid>
        <w:gridCol w:w="4062"/>
        <w:gridCol w:w="1680"/>
        <w:gridCol w:w="1560"/>
      </w:tblGrid>
      <w:tr w:rsidR="009F3CC3" w:rsidRPr="00C23F61" w14:paraId="4F462DB4" w14:textId="77777777" w:rsidTr="00814E51">
        <w:tc>
          <w:tcPr>
            <w:tcW w:w="4062" w:type="dxa"/>
            <w:shd w:val="clear" w:color="auto" w:fill="1F3864" w:themeFill="accent1" w:themeFillShade="80"/>
            <w:vAlign w:val="center"/>
          </w:tcPr>
          <w:p w14:paraId="037F4E71" w14:textId="77777777" w:rsidR="009F3CC3" w:rsidRPr="0002703C" w:rsidRDefault="009F3CC3" w:rsidP="00814E51">
            <w:pPr>
              <w:spacing w:beforeLines="20" w:before="48" w:afterLines="20" w:after="48"/>
              <w:ind w:hanging="15"/>
              <w:jc w:val="left"/>
              <w:rPr>
                <w:rFonts w:cs="Arial"/>
                <w:b/>
                <w:bCs/>
                <w:color w:val="FFFFFF" w:themeColor="background1"/>
                <w:sz w:val="20"/>
                <w:szCs w:val="20"/>
              </w:rPr>
            </w:pPr>
            <w:r w:rsidRPr="0002703C">
              <w:rPr>
                <w:rFonts w:cs="Arial"/>
                <w:b/>
                <w:bCs/>
                <w:color w:val="FFFFFF" w:themeColor="background1"/>
                <w:sz w:val="20"/>
                <w:szCs w:val="20"/>
              </w:rPr>
              <w:t>Health Boards</w:t>
            </w:r>
          </w:p>
        </w:tc>
        <w:tc>
          <w:tcPr>
            <w:tcW w:w="1680" w:type="dxa"/>
            <w:shd w:val="clear" w:color="auto" w:fill="1F3864" w:themeFill="accent1" w:themeFillShade="80"/>
            <w:vAlign w:val="center"/>
          </w:tcPr>
          <w:p w14:paraId="45F0E831" w14:textId="77777777" w:rsidR="009F3CC3" w:rsidRPr="0002703C" w:rsidRDefault="009F3CC3" w:rsidP="00814E51">
            <w:pPr>
              <w:spacing w:beforeLines="20" w:before="48" w:afterLines="20" w:after="48"/>
              <w:jc w:val="center"/>
              <w:rPr>
                <w:rFonts w:cs="Arial"/>
                <w:b/>
                <w:color w:val="FFFFFF" w:themeColor="background1"/>
                <w:sz w:val="20"/>
                <w:szCs w:val="20"/>
              </w:rPr>
            </w:pPr>
            <w:r>
              <w:rPr>
                <w:rFonts w:cs="Arial"/>
                <w:b/>
                <w:color w:val="FFFFFF" w:themeColor="background1"/>
                <w:sz w:val="20"/>
                <w:szCs w:val="20"/>
              </w:rPr>
              <w:t>Commissioner</w:t>
            </w:r>
            <w:r w:rsidRPr="0002703C">
              <w:rPr>
                <w:rFonts w:cs="Arial"/>
                <w:b/>
                <w:color w:val="FFFFFF" w:themeColor="background1"/>
                <w:sz w:val="20"/>
                <w:szCs w:val="20"/>
              </w:rPr>
              <w:t xml:space="preserve"> Split</w:t>
            </w:r>
          </w:p>
        </w:tc>
        <w:tc>
          <w:tcPr>
            <w:tcW w:w="1560" w:type="dxa"/>
            <w:shd w:val="clear" w:color="auto" w:fill="1F3864" w:themeFill="accent1" w:themeFillShade="80"/>
            <w:vAlign w:val="center"/>
          </w:tcPr>
          <w:p w14:paraId="460880E8" w14:textId="77777777" w:rsidR="009F3CC3" w:rsidRPr="0002703C" w:rsidDel="001D3205" w:rsidRDefault="009F3CC3" w:rsidP="00814E51">
            <w:pPr>
              <w:spacing w:beforeLines="20" w:before="48" w:afterLines="20" w:after="48"/>
              <w:jc w:val="center"/>
              <w:rPr>
                <w:rFonts w:cs="Arial"/>
                <w:b/>
                <w:color w:val="FFFFFF" w:themeColor="background1"/>
                <w:sz w:val="20"/>
                <w:szCs w:val="20"/>
              </w:rPr>
            </w:pPr>
            <w:r w:rsidRPr="0002703C">
              <w:rPr>
                <w:rFonts w:cs="Arial"/>
                <w:b/>
                <w:color w:val="FFFFFF" w:themeColor="background1"/>
                <w:sz w:val="20"/>
                <w:szCs w:val="20"/>
              </w:rPr>
              <w:t>TOTAL</w:t>
            </w:r>
          </w:p>
        </w:tc>
      </w:tr>
      <w:tr w:rsidR="009F3CC3" w:rsidRPr="00C23F61" w14:paraId="2CC05BC2" w14:textId="77777777" w:rsidTr="00814E51">
        <w:tc>
          <w:tcPr>
            <w:tcW w:w="4062" w:type="dxa"/>
            <w:shd w:val="clear" w:color="auto" w:fill="1F3864" w:themeFill="accent1" w:themeFillShade="80"/>
            <w:vAlign w:val="center"/>
          </w:tcPr>
          <w:p w14:paraId="52544208" w14:textId="77777777" w:rsidR="009F3CC3" w:rsidRPr="0002703C" w:rsidRDefault="009F3CC3" w:rsidP="00814E51">
            <w:pPr>
              <w:spacing w:beforeLines="20" w:before="48" w:afterLines="20" w:after="48"/>
              <w:jc w:val="left"/>
              <w:rPr>
                <w:rFonts w:cs="Arial"/>
                <w:sz w:val="20"/>
                <w:szCs w:val="20"/>
              </w:rPr>
            </w:pPr>
          </w:p>
        </w:tc>
        <w:tc>
          <w:tcPr>
            <w:tcW w:w="1680" w:type="dxa"/>
            <w:tcBorders>
              <w:top w:val="single" w:sz="8" w:space="0" w:color="2F5496" w:themeColor="accent1" w:themeShade="BF"/>
              <w:left w:val="single" w:sz="8" w:space="0" w:color="2F5496" w:themeColor="accent1" w:themeShade="BF"/>
              <w:bottom w:val="single" w:sz="8" w:space="0" w:color="2F5496" w:themeColor="accent1" w:themeShade="BF"/>
              <w:right w:val="single" w:sz="8" w:space="0" w:color="2F5496" w:themeColor="accent1" w:themeShade="BF"/>
            </w:tcBorders>
            <w:shd w:val="clear" w:color="auto" w:fill="1F3864" w:themeFill="accent1" w:themeFillShade="80"/>
            <w:vAlign w:val="center"/>
          </w:tcPr>
          <w:p w14:paraId="05761F7A" w14:textId="77777777" w:rsidR="009F3CC3" w:rsidRPr="0002703C" w:rsidRDefault="009F3CC3" w:rsidP="00814E51">
            <w:pPr>
              <w:spacing w:beforeLines="20" w:before="48" w:afterLines="20" w:after="48"/>
              <w:jc w:val="center"/>
              <w:rPr>
                <w:rFonts w:cs="Arial"/>
                <w:b/>
                <w:bCs/>
                <w:color w:val="FFFFFF" w:themeColor="background1"/>
                <w:sz w:val="20"/>
                <w:szCs w:val="20"/>
              </w:rPr>
            </w:pPr>
            <w:r w:rsidRPr="0002703C">
              <w:rPr>
                <w:rFonts w:cs="Arial"/>
                <w:b/>
                <w:bCs/>
                <w:color w:val="FFFFFF" w:themeColor="background1"/>
                <w:sz w:val="20"/>
                <w:szCs w:val="20"/>
              </w:rPr>
              <w:t>%</w:t>
            </w:r>
          </w:p>
        </w:tc>
        <w:tc>
          <w:tcPr>
            <w:tcW w:w="1560" w:type="dxa"/>
            <w:tcBorders>
              <w:top w:val="single" w:sz="8" w:space="0" w:color="2F5496" w:themeColor="accent1" w:themeShade="BF"/>
              <w:left w:val="single" w:sz="8" w:space="0" w:color="2F5496" w:themeColor="accent1" w:themeShade="BF"/>
              <w:bottom w:val="single" w:sz="8" w:space="0" w:color="2F5496" w:themeColor="accent1" w:themeShade="BF"/>
              <w:right w:val="single" w:sz="8" w:space="0" w:color="2F5496" w:themeColor="accent1" w:themeShade="BF"/>
            </w:tcBorders>
            <w:shd w:val="clear" w:color="auto" w:fill="1F3864" w:themeFill="accent1" w:themeFillShade="80"/>
            <w:vAlign w:val="center"/>
          </w:tcPr>
          <w:p w14:paraId="1FA23462" w14:textId="77777777" w:rsidR="009F3CC3" w:rsidRPr="0002703C" w:rsidRDefault="009F3CC3" w:rsidP="00814E51">
            <w:pPr>
              <w:spacing w:beforeLines="20" w:before="48" w:afterLines="20" w:after="48"/>
              <w:jc w:val="center"/>
              <w:rPr>
                <w:rFonts w:cs="Arial"/>
                <w:b/>
                <w:bCs/>
                <w:color w:val="FFFFFF" w:themeColor="background1"/>
                <w:sz w:val="20"/>
                <w:szCs w:val="20"/>
              </w:rPr>
            </w:pPr>
            <w:r w:rsidRPr="0002703C">
              <w:rPr>
                <w:rFonts w:cs="Arial"/>
                <w:b/>
                <w:bCs/>
                <w:color w:val="FFFFFF" w:themeColor="background1"/>
                <w:sz w:val="20"/>
                <w:szCs w:val="20"/>
              </w:rPr>
              <w:t>£000</w:t>
            </w:r>
          </w:p>
        </w:tc>
      </w:tr>
      <w:tr w:rsidR="009F3CC3" w:rsidRPr="00C23F61" w14:paraId="77CF93DE" w14:textId="77777777" w:rsidTr="00814E51">
        <w:trPr>
          <w:trHeight w:val="227"/>
        </w:trPr>
        <w:tc>
          <w:tcPr>
            <w:tcW w:w="4062" w:type="dxa"/>
            <w:shd w:val="clear" w:color="auto" w:fill="D9E2F3" w:themeFill="accent1" w:themeFillTint="33"/>
            <w:vAlign w:val="center"/>
          </w:tcPr>
          <w:p w14:paraId="6A8CF83E" w14:textId="77777777" w:rsidR="009F3CC3" w:rsidRPr="0002703C" w:rsidRDefault="009F3CC3" w:rsidP="00814E51">
            <w:pPr>
              <w:spacing w:beforeLines="20" w:before="48" w:afterLines="20" w:after="48"/>
              <w:jc w:val="left"/>
              <w:rPr>
                <w:rFonts w:cs="Arial"/>
                <w:sz w:val="20"/>
                <w:szCs w:val="20"/>
              </w:rPr>
            </w:pPr>
            <w:r w:rsidRPr="0002703C">
              <w:rPr>
                <w:rFonts w:cs="Arial"/>
                <w:b/>
                <w:i/>
                <w:sz w:val="20"/>
                <w:szCs w:val="20"/>
              </w:rPr>
              <w:t>Proposed funding from commissioners:</w:t>
            </w:r>
          </w:p>
        </w:tc>
        <w:tc>
          <w:tcPr>
            <w:tcW w:w="1680" w:type="dxa"/>
            <w:tcBorders>
              <w:top w:val="single" w:sz="8" w:space="0" w:color="2F5496" w:themeColor="accent1" w:themeShade="BF"/>
              <w:left w:val="nil"/>
              <w:bottom w:val="single" w:sz="8" w:space="0" w:color="2F5496" w:themeColor="accent1" w:themeShade="BF"/>
              <w:right w:val="single" w:sz="8" w:space="0" w:color="2F5496" w:themeColor="accent1" w:themeShade="BF"/>
            </w:tcBorders>
            <w:shd w:val="clear" w:color="auto" w:fill="D9E2F3" w:themeFill="accent1" w:themeFillTint="33"/>
            <w:vAlign w:val="center"/>
          </w:tcPr>
          <w:p w14:paraId="3D1C4967" w14:textId="77777777" w:rsidR="009F3CC3" w:rsidRPr="001D3205" w:rsidRDefault="009F3CC3" w:rsidP="00814E51">
            <w:pPr>
              <w:jc w:val="right"/>
              <w:rPr>
                <w:sz w:val="20"/>
                <w:szCs w:val="20"/>
              </w:rPr>
            </w:pPr>
          </w:p>
        </w:tc>
        <w:tc>
          <w:tcPr>
            <w:tcW w:w="1560" w:type="dxa"/>
            <w:tcBorders>
              <w:top w:val="single" w:sz="8" w:space="0" w:color="2F5496" w:themeColor="accent1" w:themeShade="BF"/>
              <w:left w:val="nil"/>
              <w:bottom w:val="single" w:sz="8" w:space="0" w:color="2F5496" w:themeColor="accent1" w:themeShade="BF"/>
              <w:right w:val="nil"/>
            </w:tcBorders>
            <w:shd w:val="clear" w:color="auto" w:fill="D9E2F3" w:themeFill="accent1" w:themeFillTint="33"/>
          </w:tcPr>
          <w:p w14:paraId="0138B6F5" w14:textId="77777777" w:rsidR="009F3CC3" w:rsidRPr="001D3205" w:rsidRDefault="009F3CC3" w:rsidP="00814E51">
            <w:pPr>
              <w:jc w:val="right"/>
              <w:rPr>
                <w:sz w:val="20"/>
                <w:szCs w:val="20"/>
              </w:rPr>
            </w:pPr>
          </w:p>
        </w:tc>
      </w:tr>
      <w:tr w:rsidR="009F3CC3" w:rsidRPr="00C23F61" w14:paraId="0B6AAB3D" w14:textId="77777777" w:rsidTr="00814E51">
        <w:trPr>
          <w:trHeight w:val="227"/>
        </w:trPr>
        <w:tc>
          <w:tcPr>
            <w:tcW w:w="4062" w:type="dxa"/>
            <w:shd w:val="clear" w:color="auto" w:fill="D9E2F3" w:themeFill="accent1" w:themeFillTint="33"/>
            <w:vAlign w:val="center"/>
          </w:tcPr>
          <w:p w14:paraId="716894B2" w14:textId="77777777" w:rsidR="009F3CC3" w:rsidRPr="001D3205" w:rsidRDefault="009F3CC3" w:rsidP="00814E51">
            <w:pPr>
              <w:spacing w:beforeLines="20" w:before="48" w:afterLines="20" w:after="48"/>
              <w:jc w:val="left"/>
              <w:rPr>
                <w:rFonts w:cs="Arial"/>
                <w:b/>
                <w:bCs/>
                <w:sz w:val="20"/>
                <w:szCs w:val="20"/>
              </w:rPr>
            </w:pPr>
            <w:r w:rsidRPr="001D3205">
              <w:rPr>
                <w:sz w:val="20"/>
                <w:szCs w:val="20"/>
              </w:rPr>
              <w:t>Aneurin Bevan</w:t>
            </w:r>
          </w:p>
        </w:tc>
        <w:tc>
          <w:tcPr>
            <w:tcW w:w="1680" w:type="dxa"/>
            <w:tcBorders>
              <w:top w:val="single" w:sz="8" w:space="0" w:color="2F5496" w:themeColor="accent1" w:themeShade="BF"/>
              <w:left w:val="single" w:sz="8" w:space="0" w:color="2F5496" w:themeColor="accent1" w:themeShade="BF"/>
              <w:bottom w:val="single" w:sz="8" w:space="0" w:color="2F5496" w:themeColor="accent1" w:themeShade="BF"/>
              <w:right w:val="single" w:sz="8" w:space="0" w:color="2F5496" w:themeColor="accent1" w:themeShade="BF"/>
            </w:tcBorders>
            <w:vAlign w:val="center"/>
          </w:tcPr>
          <w:p w14:paraId="541D6F5E" w14:textId="77777777" w:rsidR="009F3CC3" w:rsidRPr="001D3205" w:rsidRDefault="009F3CC3" w:rsidP="00814E51">
            <w:pPr>
              <w:jc w:val="right"/>
              <w:rPr>
                <w:sz w:val="20"/>
                <w:szCs w:val="20"/>
              </w:rPr>
            </w:pPr>
            <w:r w:rsidRPr="0002703C">
              <w:rPr>
                <w:sz w:val="20"/>
                <w:szCs w:val="20"/>
              </w:rPr>
              <w:t>36.52%</w:t>
            </w:r>
          </w:p>
        </w:tc>
        <w:tc>
          <w:tcPr>
            <w:tcW w:w="1560" w:type="dxa"/>
            <w:tcBorders>
              <w:top w:val="single" w:sz="8" w:space="0" w:color="2F5496" w:themeColor="accent1" w:themeShade="BF"/>
              <w:left w:val="single" w:sz="8" w:space="0" w:color="2F5496" w:themeColor="accent1" w:themeShade="BF"/>
              <w:bottom w:val="single" w:sz="8" w:space="0" w:color="2F5496" w:themeColor="accent1" w:themeShade="BF"/>
              <w:right w:val="single" w:sz="8" w:space="0" w:color="2F5496" w:themeColor="accent1" w:themeShade="BF"/>
            </w:tcBorders>
            <w:vAlign w:val="center"/>
          </w:tcPr>
          <w:p w14:paraId="084648FC" w14:textId="77777777" w:rsidR="009F3CC3" w:rsidRPr="0002703C" w:rsidDel="001D3205" w:rsidRDefault="009F3CC3" w:rsidP="00814E51">
            <w:pPr>
              <w:jc w:val="right"/>
              <w:rPr>
                <w:sz w:val="20"/>
                <w:szCs w:val="20"/>
              </w:rPr>
            </w:pPr>
            <w:r w:rsidRPr="0002703C">
              <w:rPr>
                <w:sz w:val="20"/>
                <w:szCs w:val="20"/>
              </w:rPr>
              <w:t>3,406</w:t>
            </w:r>
          </w:p>
        </w:tc>
      </w:tr>
      <w:tr w:rsidR="009F3CC3" w:rsidRPr="00C23F61" w14:paraId="0484ADD2" w14:textId="77777777" w:rsidTr="00814E51">
        <w:trPr>
          <w:trHeight w:val="227"/>
        </w:trPr>
        <w:tc>
          <w:tcPr>
            <w:tcW w:w="4062" w:type="dxa"/>
            <w:shd w:val="clear" w:color="auto" w:fill="DEEAF6"/>
            <w:vAlign w:val="center"/>
          </w:tcPr>
          <w:p w14:paraId="163805C6" w14:textId="77777777" w:rsidR="009F3CC3" w:rsidRPr="001D3205" w:rsidRDefault="009F3CC3" w:rsidP="00814E51">
            <w:pPr>
              <w:spacing w:beforeLines="20" w:before="48" w:afterLines="20" w:after="48"/>
              <w:jc w:val="left"/>
              <w:rPr>
                <w:rFonts w:cs="Arial"/>
                <w:b/>
                <w:bCs/>
                <w:sz w:val="20"/>
                <w:szCs w:val="20"/>
              </w:rPr>
            </w:pPr>
            <w:r w:rsidRPr="001D3205">
              <w:rPr>
                <w:sz w:val="20"/>
                <w:szCs w:val="20"/>
              </w:rPr>
              <w:t>Cardiff &amp; Vale</w:t>
            </w:r>
          </w:p>
        </w:tc>
        <w:tc>
          <w:tcPr>
            <w:tcW w:w="1680" w:type="dxa"/>
            <w:tcBorders>
              <w:top w:val="single" w:sz="8" w:space="0" w:color="2F5496" w:themeColor="accent1" w:themeShade="BF"/>
              <w:left w:val="single" w:sz="8" w:space="0" w:color="2F5496" w:themeColor="accent1" w:themeShade="BF"/>
              <w:bottom w:val="single" w:sz="8" w:space="0" w:color="2F5496" w:themeColor="accent1" w:themeShade="BF"/>
              <w:right w:val="single" w:sz="8" w:space="0" w:color="2F5496" w:themeColor="accent1" w:themeShade="BF"/>
            </w:tcBorders>
            <w:vAlign w:val="center"/>
          </w:tcPr>
          <w:p w14:paraId="7E4242C2" w14:textId="77777777" w:rsidR="009F3CC3" w:rsidRPr="001D3205" w:rsidRDefault="009F3CC3" w:rsidP="00814E51">
            <w:pPr>
              <w:jc w:val="right"/>
              <w:rPr>
                <w:sz w:val="20"/>
                <w:szCs w:val="20"/>
              </w:rPr>
            </w:pPr>
            <w:r w:rsidRPr="0002703C">
              <w:rPr>
                <w:sz w:val="20"/>
                <w:szCs w:val="20"/>
              </w:rPr>
              <w:t>30.90%</w:t>
            </w:r>
          </w:p>
        </w:tc>
        <w:tc>
          <w:tcPr>
            <w:tcW w:w="1560" w:type="dxa"/>
            <w:tcBorders>
              <w:top w:val="single" w:sz="8" w:space="0" w:color="2F5496" w:themeColor="accent1" w:themeShade="BF"/>
              <w:left w:val="single" w:sz="8" w:space="0" w:color="2F5496" w:themeColor="accent1" w:themeShade="BF"/>
              <w:bottom w:val="single" w:sz="8" w:space="0" w:color="2F5496" w:themeColor="accent1" w:themeShade="BF"/>
              <w:right w:val="single" w:sz="8" w:space="0" w:color="2F5496" w:themeColor="accent1" w:themeShade="BF"/>
            </w:tcBorders>
            <w:vAlign w:val="center"/>
          </w:tcPr>
          <w:p w14:paraId="4F0817C5" w14:textId="77777777" w:rsidR="009F3CC3" w:rsidRPr="0002703C" w:rsidDel="001D3205" w:rsidRDefault="009F3CC3" w:rsidP="00814E51">
            <w:pPr>
              <w:jc w:val="right"/>
              <w:rPr>
                <w:sz w:val="20"/>
                <w:szCs w:val="20"/>
              </w:rPr>
            </w:pPr>
            <w:r w:rsidRPr="0002703C">
              <w:rPr>
                <w:sz w:val="20"/>
                <w:szCs w:val="20"/>
              </w:rPr>
              <w:t>2,882</w:t>
            </w:r>
          </w:p>
        </w:tc>
      </w:tr>
      <w:tr w:rsidR="009F3CC3" w:rsidRPr="00C23F61" w14:paraId="1F25DF7C" w14:textId="77777777" w:rsidTr="00814E51">
        <w:trPr>
          <w:trHeight w:val="227"/>
        </w:trPr>
        <w:tc>
          <w:tcPr>
            <w:tcW w:w="4062" w:type="dxa"/>
            <w:shd w:val="clear" w:color="auto" w:fill="D9E2F3" w:themeFill="accent1" w:themeFillTint="33"/>
            <w:vAlign w:val="center"/>
          </w:tcPr>
          <w:p w14:paraId="710D0F2D" w14:textId="77777777" w:rsidR="009F3CC3" w:rsidRPr="001D3205" w:rsidRDefault="009F3CC3" w:rsidP="00814E51">
            <w:pPr>
              <w:spacing w:beforeLines="20" w:before="48" w:afterLines="20" w:after="48"/>
              <w:jc w:val="left"/>
              <w:rPr>
                <w:rFonts w:cs="Arial"/>
                <w:b/>
                <w:bCs/>
                <w:sz w:val="20"/>
                <w:szCs w:val="20"/>
              </w:rPr>
            </w:pPr>
            <w:r w:rsidRPr="001D3205">
              <w:rPr>
                <w:sz w:val="20"/>
                <w:szCs w:val="20"/>
              </w:rPr>
              <w:t xml:space="preserve">Cwm Taf </w:t>
            </w:r>
            <w:r w:rsidR="00FD1996" w:rsidRPr="001D3205">
              <w:rPr>
                <w:sz w:val="20"/>
                <w:szCs w:val="20"/>
              </w:rPr>
              <w:t>Morgannwg</w:t>
            </w:r>
          </w:p>
        </w:tc>
        <w:tc>
          <w:tcPr>
            <w:tcW w:w="1680" w:type="dxa"/>
            <w:tcBorders>
              <w:top w:val="single" w:sz="8" w:space="0" w:color="2F5496" w:themeColor="accent1" w:themeShade="BF"/>
              <w:left w:val="single" w:sz="8" w:space="0" w:color="2F5496" w:themeColor="accent1" w:themeShade="BF"/>
              <w:bottom w:val="single" w:sz="8" w:space="0" w:color="2F5496" w:themeColor="accent1" w:themeShade="BF"/>
              <w:right w:val="single" w:sz="8" w:space="0" w:color="2F5496" w:themeColor="accent1" w:themeShade="BF"/>
            </w:tcBorders>
            <w:vAlign w:val="center"/>
          </w:tcPr>
          <w:p w14:paraId="1D0C32E7" w14:textId="77777777" w:rsidR="009F3CC3" w:rsidRPr="001D3205" w:rsidRDefault="009F3CC3" w:rsidP="00814E51">
            <w:pPr>
              <w:jc w:val="right"/>
              <w:rPr>
                <w:sz w:val="20"/>
                <w:szCs w:val="20"/>
              </w:rPr>
            </w:pPr>
            <w:r w:rsidRPr="0002703C">
              <w:rPr>
                <w:sz w:val="20"/>
                <w:szCs w:val="20"/>
              </w:rPr>
              <w:t>28.11%</w:t>
            </w:r>
          </w:p>
        </w:tc>
        <w:tc>
          <w:tcPr>
            <w:tcW w:w="1560" w:type="dxa"/>
            <w:tcBorders>
              <w:top w:val="single" w:sz="8" w:space="0" w:color="2F5496" w:themeColor="accent1" w:themeShade="BF"/>
              <w:left w:val="single" w:sz="8" w:space="0" w:color="2F5496" w:themeColor="accent1" w:themeShade="BF"/>
              <w:bottom w:val="single" w:sz="8" w:space="0" w:color="2F5496" w:themeColor="accent1" w:themeShade="BF"/>
              <w:right w:val="single" w:sz="8" w:space="0" w:color="2F5496" w:themeColor="accent1" w:themeShade="BF"/>
            </w:tcBorders>
            <w:vAlign w:val="center"/>
          </w:tcPr>
          <w:p w14:paraId="78097DA3" w14:textId="77777777" w:rsidR="009F3CC3" w:rsidRPr="0002703C" w:rsidDel="001D3205" w:rsidRDefault="009F3CC3" w:rsidP="00814E51">
            <w:pPr>
              <w:jc w:val="right"/>
              <w:rPr>
                <w:sz w:val="20"/>
                <w:szCs w:val="20"/>
              </w:rPr>
            </w:pPr>
            <w:r w:rsidRPr="0002703C">
              <w:rPr>
                <w:sz w:val="20"/>
                <w:szCs w:val="20"/>
              </w:rPr>
              <w:t>2,622</w:t>
            </w:r>
          </w:p>
        </w:tc>
      </w:tr>
      <w:tr w:rsidR="009F3CC3" w:rsidRPr="00C23F61" w14:paraId="746334B3" w14:textId="77777777" w:rsidTr="00814E51">
        <w:trPr>
          <w:trHeight w:val="227"/>
        </w:trPr>
        <w:tc>
          <w:tcPr>
            <w:tcW w:w="4062" w:type="dxa"/>
            <w:shd w:val="clear" w:color="auto" w:fill="D9E2F3" w:themeFill="accent1" w:themeFillTint="33"/>
            <w:vAlign w:val="center"/>
          </w:tcPr>
          <w:p w14:paraId="0AFB68E6" w14:textId="77777777" w:rsidR="009F3CC3" w:rsidRPr="001D3205" w:rsidRDefault="009F3CC3" w:rsidP="00814E51">
            <w:pPr>
              <w:spacing w:beforeLines="20" w:before="48" w:afterLines="20" w:after="48"/>
              <w:jc w:val="left"/>
              <w:rPr>
                <w:rFonts w:cs="Arial"/>
                <w:b/>
                <w:bCs/>
                <w:sz w:val="20"/>
                <w:szCs w:val="20"/>
              </w:rPr>
            </w:pPr>
            <w:r w:rsidRPr="001D3205">
              <w:rPr>
                <w:sz w:val="20"/>
                <w:szCs w:val="20"/>
              </w:rPr>
              <w:t>Swansea Bay</w:t>
            </w:r>
          </w:p>
        </w:tc>
        <w:tc>
          <w:tcPr>
            <w:tcW w:w="1680" w:type="dxa"/>
            <w:tcBorders>
              <w:top w:val="single" w:sz="8" w:space="0" w:color="2F5496" w:themeColor="accent1" w:themeShade="BF"/>
              <w:left w:val="single" w:sz="8" w:space="0" w:color="2F5496" w:themeColor="accent1" w:themeShade="BF"/>
              <w:bottom w:val="single" w:sz="8" w:space="0" w:color="2F5496" w:themeColor="accent1" w:themeShade="BF"/>
              <w:right w:val="single" w:sz="8" w:space="0" w:color="2F5496" w:themeColor="accent1" w:themeShade="BF"/>
            </w:tcBorders>
            <w:vAlign w:val="center"/>
          </w:tcPr>
          <w:p w14:paraId="69F3F2A7" w14:textId="77777777" w:rsidR="009F3CC3" w:rsidRPr="001D3205" w:rsidRDefault="009F3CC3" w:rsidP="00814E51">
            <w:pPr>
              <w:jc w:val="right"/>
              <w:rPr>
                <w:sz w:val="20"/>
                <w:szCs w:val="20"/>
              </w:rPr>
            </w:pPr>
            <w:r w:rsidRPr="0002703C">
              <w:rPr>
                <w:sz w:val="20"/>
                <w:szCs w:val="20"/>
              </w:rPr>
              <w:t>1.40%</w:t>
            </w:r>
          </w:p>
        </w:tc>
        <w:tc>
          <w:tcPr>
            <w:tcW w:w="1560" w:type="dxa"/>
            <w:tcBorders>
              <w:top w:val="single" w:sz="8" w:space="0" w:color="2F5496" w:themeColor="accent1" w:themeShade="BF"/>
              <w:left w:val="single" w:sz="8" w:space="0" w:color="2F5496" w:themeColor="accent1" w:themeShade="BF"/>
              <w:bottom w:val="single" w:sz="8" w:space="0" w:color="2F5496" w:themeColor="accent1" w:themeShade="BF"/>
              <w:right w:val="single" w:sz="8" w:space="0" w:color="2F5496" w:themeColor="accent1" w:themeShade="BF"/>
            </w:tcBorders>
            <w:vAlign w:val="center"/>
          </w:tcPr>
          <w:p w14:paraId="4EB0EC39" w14:textId="77777777" w:rsidR="009F3CC3" w:rsidRPr="0002703C" w:rsidDel="001D3205" w:rsidRDefault="009F3CC3" w:rsidP="00814E51">
            <w:pPr>
              <w:jc w:val="right"/>
              <w:rPr>
                <w:sz w:val="20"/>
                <w:szCs w:val="20"/>
              </w:rPr>
            </w:pPr>
            <w:r w:rsidRPr="0002703C">
              <w:rPr>
                <w:sz w:val="20"/>
                <w:szCs w:val="20"/>
              </w:rPr>
              <w:t>131</w:t>
            </w:r>
          </w:p>
        </w:tc>
      </w:tr>
      <w:tr w:rsidR="009F3CC3" w:rsidRPr="00C23F61" w14:paraId="6422ED25" w14:textId="77777777" w:rsidTr="00814E51">
        <w:trPr>
          <w:trHeight w:val="227"/>
        </w:trPr>
        <w:tc>
          <w:tcPr>
            <w:tcW w:w="4062" w:type="dxa"/>
            <w:shd w:val="clear" w:color="auto" w:fill="D9E2F3" w:themeFill="accent1" w:themeFillTint="33"/>
            <w:vAlign w:val="center"/>
          </w:tcPr>
          <w:p w14:paraId="1CE9A9BF" w14:textId="77777777" w:rsidR="009F3CC3" w:rsidRPr="001D3205" w:rsidRDefault="009F3CC3" w:rsidP="00814E51">
            <w:pPr>
              <w:spacing w:beforeLines="20" w:before="48" w:afterLines="20" w:after="48"/>
              <w:jc w:val="left"/>
              <w:rPr>
                <w:rFonts w:cs="Arial"/>
                <w:b/>
                <w:bCs/>
                <w:sz w:val="20"/>
                <w:szCs w:val="20"/>
              </w:rPr>
            </w:pPr>
            <w:r w:rsidRPr="001D3205">
              <w:rPr>
                <w:sz w:val="20"/>
                <w:szCs w:val="20"/>
              </w:rPr>
              <w:t>Hywel Dda</w:t>
            </w:r>
          </w:p>
        </w:tc>
        <w:tc>
          <w:tcPr>
            <w:tcW w:w="1680" w:type="dxa"/>
            <w:tcBorders>
              <w:top w:val="single" w:sz="8" w:space="0" w:color="2F5496" w:themeColor="accent1" w:themeShade="BF"/>
              <w:left w:val="single" w:sz="8" w:space="0" w:color="2F5496" w:themeColor="accent1" w:themeShade="BF"/>
              <w:bottom w:val="single" w:sz="8" w:space="0" w:color="2F5496" w:themeColor="accent1" w:themeShade="BF"/>
              <w:right w:val="single" w:sz="8" w:space="0" w:color="2F5496" w:themeColor="accent1" w:themeShade="BF"/>
            </w:tcBorders>
            <w:vAlign w:val="center"/>
          </w:tcPr>
          <w:p w14:paraId="4B21BB75" w14:textId="77777777" w:rsidR="009F3CC3" w:rsidRPr="001D3205" w:rsidRDefault="009F3CC3" w:rsidP="00814E51">
            <w:pPr>
              <w:jc w:val="right"/>
              <w:rPr>
                <w:sz w:val="20"/>
                <w:szCs w:val="20"/>
              </w:rPr>
            </w:pPr>
            <w:r w:rsidRPr="0002703C">
              <w:rPr>
                <w:sz w:val="20"/>
                <w:szCs w:val="20"/>
              </w:rPr>
              <w:t>1.49%</w:t>
            </w:r>
          </w:p>
        </w:tc>
        <w:tc>
          <w:tcPr>
            <w:tcW w:w="1560" w:type="dxa"/>
            <w:tcBorders>
              <w:top w:val="single" w:sz="8" w:space="0" w:color="2F5496" w:themeColor="accent1" w:themeShade="BF"/>
              <w:left w:val="single" w:sz="8" w:space="0" w:color="2F5496" w:themeColor="accent1" w:themeShade="BF"/>
              <w:bottom w:val="single" w:sz="8" w:space="0" w:color="2F5496" w:themeColor="accent1" w:themeShade="BF"/>
              <w:right w:val="single" w:sz="8" w:space="0" w:color="2F5496" w:themeColor="accent1" w:themeShade="BF"/>
            </w:tcBorders>
            <w:vAlign w:val="center"/>
          </w:tcPr>
          <w:p w14:paraId="682164BF" w14:textId="77777777" w:rsidR="009F3CC3" w:rsidRPr="0002703C" w:rsidDel="001D3205" w:rsidRDefault="009F3CC3" w:rsidP="00814E51">
            <w:pPr>
              <w:jc w:val="right"/>
              <w:rPr>
                <w:sz w:val="20"/>
                <w:szCs w:val="20"/>
              </w:rPr>
            </w:pPr>
            <w:r w:rsidRPr="0002703C">
              <w:rPr>
                <w:sz w:val="20"/>
                <w:szCs w:val="20"/>
              </w:rPr>
              <w:t>139</w:t>
            </w:r>
          </w:p>
        </w:tc>
      </w:tr>
      <w:tr w:rsidR="009F3CC3" w:rsidRPr="00C23F61" w14:paraId="1D36943E" w14:textId="77777777" w:rsidTr="00814E51">
        <w:trPr>
          <w:trHeight w:val="227"/>
        </w:trPr>
        <w:tc>
          <w:tcPr>
            <w:tcW w:w="4062" w:type="dxa"/>
            <w:tcBorders>
              <w:bottom w:val="single" w:sz="8" w:space="0" w:color="2F5496" w:themeColor="accent1" w:themeShade="BF"/>
            </w:tcBorders>
            <w:shd w:val="clear" w:color="auto" w:fill="D9E2F3" w:themeFill="accent1" w:themeFillTint="33"/>
            <w:vAlign w:val="center"/>
          </w:tcPr>
          <w:p w14:paraId="2AF084A7" w14:textId="77777777" w:rsidR="009F3CC3" w:rsidRPr="001D3205" w:rsidRDefault="009F3CC3" w:rsidP="00814E51">
            <w:pPr>
              <w:spacing w:beforeLines="20" w:before="48" w:afterLines="20" w:after="48"/>
              <w:jc w:val="left"/>
              <w:rPr>
                <w:rFonts w:cs="Arial"/>
                <w:b/>
                <w:bCs/>
                <w:sz w:val="20"/>
                <w:szCs w:val="20"/>
              </w:rPr>
            </w:pPr>
            <w:r w:rsidRPr="001D3205">
              <w:rPr>
                <w:sz w:val="20"/>
                <w:szCs w:val="20"/>
              </w:rPr>
              <w:t>Powys</w:t>
            </w:r>
          </w:p>
        </w:tc>
        <w:tc>
          <w:tcPr>
            <w:tcW w:w="1680" w:type="dxa"/>
            <w:tcBorders>
              <w:top w:val="single" w:sz="8" w:space="0" w:color="2F5496" w:themeColor="accent1" w:themeShade="BF"/>
              <w:left w:val="single" w:sz="8" w:space="0" w:color="2F5496" w:themeColor="accent1" w:themeShade="BF"/>
              <w:bottom w:val="single" w:sz="8" w:space="0" w:color="2F5496" w:themeColor="accent1" w:themeShade="BF"/>
              <w:right w:val="single" w:sz="8" w:space="0" w:color="2F5496" w:themeColor="accent1" w:themeShade="BF"/>
            </w:tcBorders>
            <w:vAlign w:val="center"/>
          </w:tcPr>
          <w:p w14:paraId="681DB6D5" w14:textId="77777777" w:rsidR="009F3CC3" w:rsidRPr="001D3205" w:rsidRDefault="009F3CC3" w:rsidP="00814E51">
            <w:pPr>
              <w:jc w:val="right"/>
              <w:rPr>
                <w:sz w:val="20"/>
                <w:szCs w:val="20"/>
              </w:rPr>
            </w:pPr>
            <w:r w:rsidRPr="0002703C">
              <w:rPr>
                <w:sz w:val="20"/>
                <w:szCs w:val="20"/>
              </w:rPr>
              <w:t>1.59%</w:t>
            </w:r>
          </w:p>
        </w:tc>
        <w:tc>
          <w:tcPr>
            <w:tcW w:w="1560" w:type="dxa"/>
            <w:tcBorders>
              <w:top w:val="single" w:sz="8" w:space="0" w:color="2F5496" w:themeColor="accent1" w:themeShade="BF"/>
              <w:left w:val="single" w:sz="8" w:space="0" w:color="2F5496" w:themeColor="accent1" w:themeShade="BF"/>
              <w:bottom w:val="single" w:sz="8" w:space="0" w:color="2F5496" w:themeColor="accent1" w:themeShade="BF"/>
              <w:right w:val="single" w:sz="8" w:space="0" w:color="2F5496" w:themeColor="accent1" w:themeShade="BF"/>
            </w:tcBorders>
            <w:vAlign w:val="center"/>
          </w:tcPr>
          <w:p w14:paraId="56FC041C" w14:textId="77777777" w:rsidR="009F3CC3" w:rsidRPr="0002703C" w:rsidDel="001D3205" w:rsidRDefault="009F3CC3" w:rsidP="00814E51">
            <w:pPr>
              <w:jc w:val="right"/>
              <w:rPr>
                <w:sz w:val="20"/>
                <w:szCs w:val="20"/>
              </w:rPr>
            </w:pPr>
            <w:r w:rsidRPr="0002703C">
              <w:rPr>
                <w:sz w:val="20"/>
                <w:szCs w:val="20"/>
              </w:rPr>
              <w:t>148</w:t>
            </w:r>
          </w:p>
        </w:tc>
      </w:tr>
      <w:tr w:rsidR="009F3CC3" w:rsidRPr="00C23F61" w14:paraId="2ED72BC7" w14:textId="77777777" w:rsidTr="00814E51">
        <w:trPr>
          <w:trHeight w:val="227"/>
        </w:trPr>
        <w:tc>
          <w:tcPr>
            <w:tcW w:w="4062" w:type="dxa"/>
            <w:tcBorders>
              <w:top w:val="single" w:sz="8" w:space="0" w:color="2F5496" w:themeColor="accent1" w:themeShade="BF"/>
            </w:tcBorders>
            <w:shd w:val="clear" w:color="auto" w:fill="DEEAF6"/>
            <w:vAlign w:val="center"/>
          </w:tcPr>
          <w:p w14:paraId="51E1E1D8" w14:textId="77777777" w:rsidR="009F3CC3" w:rsidRPr="0002703C" w:rsidRDefault="009F3CC3" w:rsidP="00814E51">
            <w:pPr>
              <w:spacing w:beforeLines="20" w:before="48" w:afterLines="20" w:after="48"/>
              <w:jc w:val="left"/>
              <w:rPr>
                <w:rFonts w:cs="Arial"/>
                <w:b/>
                <w:bCs/>
                <w:color w:val="FFFFFF" w:themeColor="background1"/>
                <w:sz w:val="20"/>
                <w:szCs w:val="20"/>
              </w:rPr>
            </w:pPr>
            <w:r w:rsidRPr="0002703C">
              <w:rPr>
                <w:rFonts w:cs="Arial"/>
                <w:b/>
                <w:color w:val="000000" w:themeColor="text1"/>
                <w:sz w:val="20"/>
                <w:szCs w:val="20"/>
              </w:rPr>
              <w:lastRenderedPageBreak/>
              <w:t xml:space="preserve">Total </w:t>
            </w:r>
          </w:p>
        </w:tc>
        <w:tc>
          <w:tcPr>
            <w:tcW w:w="1680" w:type="dxa"/>
            <w:tcBorders>
              <w:top w:val="single" w:sz="8" w:space="0" w:color="2F5496" w:themeColor="accent1" w:themeShade="BF"/>
              <w:left w:val="single" w:sz="8" w:space="0" w:color="2F5496" w:themeColor="accent1" w:themeShade="BF"/>
              <w:bottom w:val="single" w:sz="8" w:space="0" w:color="2F5496" w:themeColor="accent1" w:themeShade="BF"/>
              <w:right w:val="single" w:sz="8" w:space="0" w:color="2F5496" w:themeColor="accent1" w:themeShade="BF"/>
            </w:tcBorders>
            <w:shd w:val="clear" w:color="auto" w:fill="F2F2F2" w:themeFill="background1" w:themeFillShade="F2"/>
            <w:vAlign w:val="center"/>
          </w:tcPr>
          <w:p w14:paraId="61A1F4B5" w14:textId="77777777" w:rsidR="009F3CC3" w:rsidRPr="001D3205" w:rsidRDefault="009F3CC3" w:rsidP="00814E51">
            <w:pPr>
              <w:jc w:val="right"/>
              <w:rPr>
                <w:b/>
                <w:sz w:val="20"/>
                <w:szCs w:val="20"/>
              </w:rPr>
            </w:pPr>
            <w:r w:rsidRPr="001D3205">
              <w:rPr>
                <w:b/>
                <w:sz w:val="20"/>
                <w:szCs w:val="20"/>
              </w:rPr>
              <w:t>100%</w:t>
            </w:r>
          </w:p>
        </w:tc>
        <w:tc>
          <w:tcPr>
            <w:tcW w:w="1560" w:type="dxa"/>
            <w:tcBorders>
              <w:top w:val="single" w:sz="8" w:space="0" w:color="2F5496" w:themeColor="accent1" w:themeShade="BF"/>
              <w:left w:val="single" w:sz="8" w:space="0" w:color="2F5496" w:themeColor="accent1" w:themeShade="BF"/>
              <w:bottom w:val="single" w:sz="8" w:space="0" w:color="2F5496" w:themeColor="accent1" w:themeShade="BF"/>
              <w:right w:val="single" w:sz="8" w:space="0" w:color="2F5496" w:themeColor="accent1" w:themeShade="BF"/>
            </w:tcBorders>
            <w:shd w:val="clear" w:color="auto" w:fill="F2F2F2" w:themeFill="background1" w:themeFillShade="F2"/>
            <w:vAlign w:val="center"/>
          </w:tcPr>
          <w:p w14:paraId="1D35AA68" w14:textId="77777777" w:rsidR="009F3CC3" w:rsidRPr="0002703C" w:rsidDel="001D3205" w:rsidRDefault="009F3CC3" w:rsidP="00814E51">
            <w:pPr>
              <w:jc w:val="right"/>
              <w:rPr>
                <w:b/>
                <w:sz w:val="20"/>
                <w:szCs w:val="20"/>
              </w:rPr>
            </w:pPr>
            <w:r w:rsidRPr="0002703C">
              <w:rPr>
                <w:b/>
                <w:sz w:val="20"/>
                <w:szCs w:val="20"/>
              </w:rPr>
              <w:t>9,327</w:t>
            </w:r>
          </w:p>
        </w:tc>
      </w:tr>
    </w:tbl>
    <w:p w14:paraId="0FB73C86" w14:textId="77777777" w:rsidR="00CC59FC" w:rsidRPr="00C23F61" w:rsidRDefault="00CC59FC" w:rsidP="000C1E64">
      <w:pPr>
        <w:ind w:left="851"/>
        <w:rPr>
          <w:rFonts w:cs="Arial"/>
          <w:i/>
          <w:sz w:val="18"/>
          <w:szCs w:val="18"/>
        </w:rPr>
      </w:pPr>
      <w:r w:rsidRPr="00C23F61">
        <w:rPr>
          <w:rFonts w:cs="Arial"/>
          <w:i/>
          <w:sz w:val="18"/>
          <w:szCs w:val="18"/>
        </w:rPr>
        <w:t xml:space="preserve">Note: All costs are </w:t>
      </w:r>
      <w:r w:rsidR="0025077A">
        <w:rPr>
          <w:rFonts w:cs="Arial"/>
          <w:i/>
          <w:sz w:val="18"/>
          <w:szCs w:val="18"/>
        </w:rPr>
        <w:t>at</w:t>
      </w:r>
      <w:r w:rsidRPr="00C23F61">
        <w:rPr>
          <w:rFonts w:cs="Arial"/>
          <w:i/>
          <w:sz w:val="18"/>
          <w:szCs w:val="18"/>
        </w:rPr>
        <w:t xml:space="preserve"> </w:t>
      </w:r>
      <w:r>
        <w:rPr>
          <w:rFonts w:cs="Arial"/>
          <w:i/>
          <w:sz w:val="18"/>
          <w:szCs w:val="18"/>
        </w:rPr>
        <w:t>2022-23</w:t>
      </w:r>
      <w:r w:rsidRPr="00C23F61">
        <w:rPr>
          <w:rFonts w:cs="Arial"/>
          <w:i/>
          <w:sz w:val="18"/>
          <w:szCs w:val="18"/>
        </w:rPr>
        <w:t xml:space="preserve"> price levels. </w:t>
      </w:r>
    </w:p>
    <w:p w14:paraId="0399A23F" w14:textId="77777777" w:rsidR="000A3114" w:rsidRDefault="000A3114" w:rsidP="000E3FFC">
      <w:pPr>
        <w:ind w:left="851" w:hanging="360"/>
      </w:pPr>
    </w:p>
    <w:p w14:paraId="37F1FBE4" w14:textId="77777777" w:rsidR="002820A9" w:rsidRDefault="00705612" w:rsidP="00F548E8">
      <w:pPr>
        <w:ind w:left="720" w:hanging="720"/>
      </w:pPr>
      <w:r>
        <w:t>2.</w:t>
      </w:r>
      <w:r w:rsidR="004928F5">
        <w:t>43</w:t>
      </w:r>
      <w:r w:rsidR="00F548E8">
        <w:tab/>
      </w:r>
      <w:r w:rsidR="00E849D6">
        <w:t>However, i</w:t>
      </w:r>
      <w:r w:rsidR="002820A9">
        <w:t xml:space="preserve">n respect of the increase in funding from Commissioners that is in addition to the baseline, which is already funded, the increase is </w:t>
      </w:r>
      <w:r w:rsidR="002820A9">
        <w:rPr>
          <w:b/>
          <w:bCs/>
        </w:rPr>
        <w:t>c£5.1m</w:t>
      </w:r>
      <w:r w:rsidR="002820A9">
        <w:t xml:space="preserve"> and is set out below in Table 1</w:t>
      </w:r>
      <w:r w:rsidR="00E849D6">
        <w:t>7.</w:t>
      </w:r>
    </w:p>
    <w:p w14:paraId="59592BB9" w14:textId="77777777" w:rsidR="002820A9" w:rsidRDefault="002820A9" w:rsidP="002820A9">
      <w:pPr>
        <w:pStyle w:val="Caption"/>
        <w:keepNext/>
        <w:rPr>
          <w:b w:val="0"/>
          <w:bCs/>
          <w:i w:val="0"/>
          <w:color w:val="2F5496"/>
          <w:sz w:val="20"/>
          <w:szCs w:val="20"/>
        </w:rPr>
      </w:pPr>
    </w:p>
    <w:p w14:paraId="4CEF4680" w14:textId="77777777" w:rsidR="002820A9" w:rsidRPr="006D7A49" w:rsidRDefault="002820A9" w:rsidP="006D7A49">
      <w:pPr>
        <w:pStyle w:val="Caption"/>
        <w:keepNext/>
        <w:ind w:left="720" w:firstLine="131"/>
        <w:rPr>
          <w:iCs w:val="0"/>
          <w:color w:val="2F5496"/>
          <w:sz w:val="20"/>
          <w:szCs w:val="20"/>
        </w:rPr>
      </w:pPr>
      <w:r w:rsidRPr="006D7A49">
        <w:rPr>
          <w:iCs w:val="0"/>
          <w:color w:val="2F5496"/>
          <w:sz w:val="20"/>
          <w:szCs w:val="20"/>
        </w:rPr>
        <w:t>Table 1</w:t>
      </w:r>
      <w:r w:rsidR="00E849D6" w:rsidRPr="006D7A49">
        <w:rPr>
          <w:iCs w:val="0"/>
          <w:color w:val="2F5496"/>
          <w:sz w:val="20"/>
          <w:szCs w:val="20"/>
        </w:rPr>
        <w:t>7</w:t>
      </w:r>
      <w:r w:rsidRPr="006D7A49">
        <w:rPr>
          <w:iCs w:val="0"/>
          <w:color w:val="2F5496"/>
          <w:sz w:val="20"/>
          <w:szCs w:val="20"/>
        </w:rPr>
        <w:t xml:space="preserve"> - Summary of Additional Funding for Recurring Revenue Costs</w:t>
      </w:r>
    </w:p>
    <w:tbl>
      <w:tblPr>
        <w:tblW w:w="8221" w:type="dxa"/>
        <w:tblInd w:w="836" w:type="dxa"/>
        <w:tblBorders>
          <w:top w:val="single" w:sz="8" w:space="0" w:color="2F5496" w:themeColor="accent1" w:themeShade="BF"/>
          <w:left w:val="single" w:sz="8" w:space="0" w:color="2F5496" w:themeColor="accent1" w:themeShade="BF"/>
          <w:bottom w:val="single" w:sz="8" w:space="0" w:color="2F5496" w:themeColor="accent1" w:themeShade="BF"/>
          <w:right w:val="single" w:sz="8" w:space="0" w:color="2F5496" w:themeColor="accent1" w:themeShade="BF"/>
          <w:insideH w:val="single" w:sz="8" w:space="0" w:color="2F5496" w:themeColor="accent1" w:themeShade="BF"/>
          <w:insideV w:val="single" w:sz="8" w:space="0" w:color="2F5496" w:themeColor="accent1" w:themeShade="BF"/>
        </w:tblBorders>
        <w:tblLayout w:type="fixed"/>
        <w:tblLook w:val="04A0" w:firstRow="1" w:lastRow="0" w:firstColumn="1" w:lastColumn="0" w:noHBand="0" w:noVBand="1"/>
      </w:tblPr>
      <w:tblGrid>
        <w:gridCol w:w="2394"/>
        <w:gridCol w:w="1942"/>
        <w:gridCol w:w="1942"/>
        <w:gridCol w:w="1943"/>
      </w:tblGrid>
      <w:tr w:rsidR="002820A9" w:rsidRPr="007C44E4" w14:paraId="16F0E29E" w14:textId="77777777" w:rsidTr="002820A9">
        <w:trPr>
          <w:trHeight w:val="278"/>
        </w:trPr>
        <w:tc>
          <w:tcPr>
            <w:tcW w:w="2394" w:type="dxa"/>
            <w:tcBorders>
              <w:top w:val="single" w:sz="12" w:space="0" w:color="2F5496" w:themeColor="accent1" w:themeShade="BF"/>
              <w:left w:val="single" w:sz="12" w:space="0" w:color="2F5496" w:themeColor="accent1" w:themeShade="BF"/>
              <w:bottom w:val="single" w:sz="6" w:space="0" w:color="2F5496" w:themeColor="accent1" w:themeShade="BF"/>
              <w:right w:val="single" w:sz="6" w:space="0" w:color="2F5496" w:themeColor="accent1" w:themeShade="BF"/>
            </w:tcBorders>
            <w:shd w:val="clear" w:color="auto" w:fill="1F3864" w:themeFill="accent1" w:themeFillShade="80"/>
            <w:vAlign w:val="center"/>
          </w:tcPr>
          <w:p w14:paraId="127084BA" w14:textId="77777777" w:rsidR="002820A9" w:rsidRPr="007C44E4" w:rsidRDefault="002820A9" w:rsidP="00BB1691">
            <w:pPr>
              <w:tabs>
                <w:tab w:val="num" w:pos="1418"/>
              </w:tabs>
              <w:ind w:firstLine="64"/>
              <w:jc w:val="left"/>
              <w:rPr>
                <w:b/>
                <w:color w:val="FFFFFF" w:themeColor="background1"/>
                <w:sz w:val="18"/>
                <w:szCs w:val="18"/>
              </w:rPr>
            </w:pPr>
            <w:r w:rsidRPr="007C44E4">
              <w:rPr>
                <w:b/>
                <w:color w:val="FFFFFF" w:themeColor="background1"/>
                <w:sz w:val="18"/>
                <w:szCs w:val="18"/>
              </w:rPr>
              <w:t>Cost Category</w:t>
            </w:r>
          </w:p>
        </w:tc>
        <w:tc>
          <w:tcPr>
            <w:tcW w:w="1942" w:type="dxa"/>
            <w:tcBorders>
              <w:top w:val="single" w:sz="12" w:space="0" w:color="2F5496" w:themeColor="accent1" w:themeShade="BF"/>
              <w:left w:val="single" w:sz="6" w:space="0" w:color="2F5496" w:themeColor="accent1" w:themeShade="BF"/>
              <w:bottom w:val="single" w:sz="6" w:space="0" w:color="2F5496" w:themeColor="accent1" w:themeShade="BF"/>
              <w:right w:val="single" w:sz="6" w:space="0" w:color="2F5496" w:themeColor="accent1" w:themeShade="BF"/>
            </w:tcBorders>
            <w:shd w:val="clear" w:color="auto" w:fill="1F3864" w:themeFill="accent1" w:themeFillShade="80"/>
          </w:tcPr>
          <w:p w14:paraId="01A0A073" w14:textId="77777777" w:rsidR="002820A9" w:rsidRDefault="002820A9" w:rsidP="00BB1691">
            <w:pPr>
              <w:jc w:val="center"/>
              <w:rPr>
                <w:b/>
                <w:color w:val="FFFFFF" w:themeColor="background1"/>
                <w:sz w:val="18"/>
                <w:szCs w:val="18"/>
              </w:rPr>
            </w:pPr>
            <w:r>
              <w:rPr>
                <w:b/>
                <w:color w:val="FFFFFF" w:themeColor="background1"/>
                <w:sz w:val="18"/>
                <w:szCs w:val="18"/>
              </w:rPr>
              <w:t>Baseline</w:t>
            </w:r>
          </w:p>
          <w:p w14:paraId="0A381D31" w14:textId="77777777" w:rsidR="002820A9" w:rsidRPr="007C44E4" w:rsidRDefault="002820A9" w:rsidP="00BB1691">
            <w:pPr>
              <w:jc w:val="center"/>
              <w:rPr>
                <w:b/>
                <w:color w:val="FFFFFF" w:themeColor="background1"/>
                <w:sz w:val="18"/>
                <w:szCs w:val="18"/>
              </w:rPr>
            </w:pPr>
            <w:r>
              <w:rPr>
                <w:b/>
                <w:color w:val="FFFFFF" w:themeColor="background1"/>
                <w:sz w:val="18"/>
                <w:szCs w:val="18"/>
              </w:rPr>
              <w:t>2021-22</w:t>
            </w:r>
          </w:p>
        </w:tc>
        <w:tc>
          <w:tcPr>
            <w:tcW w:w="1942" w:type="dxa"/>
            <w:tcBorders>
              <w:top w:val="single" w:sz="12" w:space="0" w:color="2F5496" w:themeColor="accent1" w:themeShade="BF"/>
              <w:left w:val="single" w:sz="6" w:space="0" w:color="2F5496" w:themeColor="accent1" w:themeShade="BF"/>
              <w:bottom w:val="single" w:sz="6" w:space="0" w:color="2F5496" w:themeColor="accent1" w:themeShade="BF"/>
              <w:right w:val="single" w:sz="6" w:space="0" w:color="2F5496" w:themeColor="accent1" w:themeShade="BF"/>
            </w:tcBorders>
            <w:shd w:val="clear" w:color="auto" w:fill="1F3864" w:themeFill="accent1" w:themeFillShade="80"/>
          </w:tcPr>
          <w:p w14:paraId="25C4AA3C" w14:textId="77777777" w:rsidR="002820A9" w:rsidRPr="007C44E4" w:rsidRDefault="002820A9" w:rsidP="00BB1691">
            <w:pPr>
              <w:jc w:val="center"/>
              <w:rPr>
                <w:b/>
                <w:color w:val="FFFFFF" w:themeColor="background1"/>
                <w:sz w:val="18"/>
                <w:szCs w:val="18"/>
              </w:rPr>
            </w:pPr>
            <w:r>
              <w:rPr>
                <w:b/>
                <w:color w:val="FFFFFF" w:themeColor="background1"/>
                <w:sz w:val="18"/>
                <w:szCs w:val="18"/>
              </w:rPr>
              <w:t>Recurring Revenue</w:t>
            </w:r>
          </w:p>
        </w:tc>
        <w:tc>
          <w:tcPr>
            <w:tcW w:w="1943" w:type="dxa"/>
            <w:tcBorders>
              <w:top w:val="single" w:sz="12" w:space="0" w:color="2F5496" w:themeColor="accent1" w:themeShade="BF"/>
              <w:left w:val="single" w:sz="6" w:space="0" w:color="2F5496" w:themeColor="accent1" w:themeShade="BF"/>
              <w:bottom w:val="single" w:sz="6" w:space="0" w:color="2F5496" w:themeColor="accent1" w:themeShade="BF"/>
              <w:right w:val="single" w:sz="6" w:space="0" w:color="2F5496" w:themeColor="accent1" w:themeShade="BF"/>
            </w:tcBorders>
            <w:shd w:val="clear" w:color="auto" w:fill="1F3864" w:themeFill="accent1" w:themeFillShade="80"/>
          </w:tcPr>
          <w:p w14:paraId="04C37F14" w14:textId="77777777" w:rsidR="002820A9" w:rsidRDefault="002820A9" w:rsidP="00BB1691">
            <w:pPr>
              <w:jc w:val="center"/>
              <w:rPr>
                <w:b/>
                <w:color w:val="FFFFFF" w:themeColor="background1"/>
                <w:sz w:val="18"/>
                <w:szCs w:val="18"/>
              </w:rPr>
            </w:pPr>
            <w:r>
              <w:rPr>
                <w:b/>
                <w:color w:val="FFFFFF" w:themeColor="background1"/>
                <w:sz w:val="18"/>
                <w:szCs w:val="18"/>
              </w:rPr>
              <w:t xml:space="preserve">Additional </w:t>
            </w:r>
          </w:p>
          <w:p w14:paraId="5AEED1BB" w14:textId="77777777" w:rsidR="002820A9" w:rsidRPr="007C44E4" w:rsidRDefault="002820A9" w:rsidP="00BB1691">
            <w:pPr>
              <w:jc w:val="center"/>
              <w:rPr>
                <w:b/>
                <w:color w:val="FFFFFF" w:themeColor="background1"/>
                <w:sz w:val="18"/>
                <w:szCs w:val="18"/>
              </w:rPr>
            </w:pPr>
            <w:r>
              <w:rPr>
                <w:b/>
                <w:color w:val="FFFFFF" w:themeColor="background1"/>
                <w:sz w:val="18"/>
                <w:szCs w:val="18"/>
              </w:rPr>
              <w:t xml:space="preserve">Funding </w:t>
            </w:r>
            <w:proofErr w:type="spellStart"/>
            <w:r>
              <w:rPr>
                <w:b/>
                <w:color w:val="FFFFFF" w:themeColor="background1"/>
                <w:sz w:val="18"/>
                <w:szCs w:val="18"/>
              </w:rPr>
              <w:t>reqd</w:t>
            </w:r>
            <w:proofErr w:type="spellEnd"/>
            <w:r>
              <w:rPr>
                <w:b/>
                <w:color w:val="FFFFFF" w:themeColor="background1"/>
                <w:sz w:val="18"/>
                <w:szCs w:val="18"/>
              </w:rPr>
              <w:t xml:space="preserve"> from Commissioners</w:t>
            </w:r>
          </w:p>
        </w:tc>
      </w:tr>
      <w:tr w:rsidR="002820A9" w:rsidRPr="007C44E4" w14:paraId="59008B38" w14:textId="77777777" w:rsidTr="002820A9">
        <w:trPr>
          <w:trHeight w:val="278"/>
        </w:trPr>
        <w:tc>
          <w:tcPr>
            <w:tcW w:w="2394" w:type="dxa"/>
            <w:tcBorders>
              <w:top w:val="single" w:sz="6" w:space="0" w:color="2F5496" w:themeColor="accent1" w:themeShade="BF"/>
              <w:left w:val="single" w:sz="12" w:space="0" w:color="2F5496" w:themeColor="accent1" w:themeShade="BF"/>
              <w:bottom w:val="single" w:sz="6" w:space="0" w:color="2F5496" w:themeColor="accent1" w:themeShade="BF"/>
              <w:right w:val="single" w:sz="6" w:space="0" w:color="2F5496" w:themeColor="accent1" w:themeShade="BF"/>
            </w:tcBorders>
            <w:shd w:val="clear" w:color="auto" w:fill="1F3864" w:themeFill="accent1" w:themeFillShade="80"/>
            <w:vAlign w:val="center"/>
          </w:tcPr>
          <w:p w14:paraId="323283F1" w14:textId="77777777" w:rsidR="002820A9" w:rsidRPr="007C44E4" w:rsidRDefault="002820A9" w:rsidP="00BB1691">
            <w:pPr>
              <w:tabs>
                <w:tab w:val="num" w:pos="1418"/>
              </w:tabs>
              <w:ind w:firstLine="64"/>
              <w:jc w:val="left"/>
              <w:rPr>
                <w:b/>
                <w:sz w:val="18"/>
                <w:szCs w:val="18"/>
              </w:rPr>
            </w:pPr>
          </w:p>
        </w:tc>
        <w:tc>
          <w:tcPr>
            <w:tcW w:w="1942" w:type="dxa"/>
            <w:tcBorders>
              <w:top w:val="single" w:sz="6" w:space="0" w:color="2F5496" w:themeColor="accent1" w:themeShade="BF"/>
              <w:left w:val="single" w:sz="6" w:space="0" w:color="2F5496" w:themeColor="accent1" w:themeShade="BF"/>
              <w:bottom w:val="single" w:sz="6" w:space="0" w:color="2F5496" w:themeColor="accent1" w:themeShade="BF"/>
              <w:right w:val="single" w:sz="6" w:space="0" w:color="2F5496" w:themeColor="accent1" w:themeShade="BF"/>
            </w:tcBorders>
            <w:shd w:val="clear" w:color="auto" w:fill="1F3864" w:themeFill="accent1" w:themeFillShade="80"/>
            <w:vAlign w:val="center"/>
          </w:tcPr>
          <w:p w14:paraId="56FC8566" w14:textId="77777777" w:rsidR="002820A9" w:rsidRPr="007C44E4" w:rsidRDefault="002820A9" w:rsidP="00BB1691">
            <w:pPr>
              <w:jc w:val="center"/>
              <w:rPr>
                <w:b/>
                <w:color w:val="FFFFFF" w:themeColor="background1"/>
                <w:sz w:val="18"/>
                <w:szCs w:val="18"/>
              </w:rPr>
            </w:pPr>
            <w:r w:rsidRPr="007C44E4">
              <w:rPr>
                <w:b/>
                <w:color w:val="FFFFFF" w:themeColor="background1"/>
                <w:sz w:val="18"/>
                <w:szCs w:val="18"/>
              </w:rPr>
              <w:t>£000</w:t>
            </w:r>
          </w:p>
        </w:tc>
        <w:tc>
          <w:tcPr>
            <w:tcW w:w="1942" w:type="dxa"/>
            <w:tcBorders>
              <w:top w:val="single" w:sz="6" w:space="0" w:color="2F5496" w:themeColor="accent1" w:themeShade="BF"/>
              <w:left w:val="single" w:sz="6" w:space="0" w:color="2F5496" w:themeColor="accent1" w:themeShade="BF"/>
              <w:bottom w:val="single" w:sz="6" w:space="0" w:color="2F5496" w:themeColor="accent1" w:themeShade="BF"/>
              <w:right w:val="single" w:sz="6" w:space="0" w:color="2F5496" w:themeColor="accent1" w:themeShade="BF"/>
            </w:tcBorders>
            <w:shd w:val="clear" w:color="auto" w:fill="1F3864" w:themeFill="accent1" w:themeFillShade="80"/>
            <w:vAlign w:val="center"/>
          </w:tcPr>
          <w:p w14:paraId="30967385" w14:textId="77777777" w:rsidR="002820A9" w:rsidRPr="007C44E4" w:rsidRDefault="002820A9" w:rsidP="00BB1691">
            <w:pPr>
              <w:jc w:val="center"/>
              <w:rPr>
                <w:b/>
                <w:color w:val="FFFFFF" w:themeColor="background1"/>
                <w:sz w:val="18"/>
                <w:szCs w:val="18"/>
              </w:rPr>
            </w:pPr>
            <w:r w:rsidRPr="007C44E4">
              <w:rPr>
                <w:b/>
                <w:color w:val="FFFFFF" w:themeColor="background1"/>
                <w:sz w:val="18"/>
                <w:szCs w:val="18"/>
              </w:rPr>
              <w:t>£000</w:t>
            </w:r>
          </w:p>
        </w:tc>
        <w:tc>
          <w:tcPr>
            <w:tcW w:w="1943" w:type="dxa"/>
            <w:tcBorders>
              <w:top w:val="single" w:sz="6" w:space="0" w:color="2F5496" w:themeColor="accent1" w:themeShade="BF"/>
              <w:left w:val="single" w:sz="6" w:space="0" w:color="2F5496" w:themeColor="accent1" w:themeShade="BF"/>
              <w:bottom w:val="single" w:sz="6" w:space="0" w:color="2F5496" w:themeColor="accent1" w:themeShade="BF"/>
              <w:right w:val="single" w:sz="6" w:space="0" w:color="2F5496" w:themeColor="accent1" w:themeShade="BF"/>
            </w:tcBorders>
            <w:shd w:val="clear" w:color="auto" w:fill="1F3864" w:themeFill="accent1" w:themeFillShade="80"/>
            <w:vAlign w:val="center"/>
          </w:tcPr>
          <w:p w14:paraId="16DA8A83" w14:textId="77777777" w:rsidR="002820A9" w:rsidRPr="007C44E4" w:rsidRDefault="002820A9" w:rsidP="00BB1691">
            <w:pPr>
              <w:jc w:val="center"/>
              <w:rPr>
                <w:b/>
                <w:color w:val="FFFFFF" w:themeColor="background1"/>
                <w:sz w:val="18"/>
                <w:szCs w:val="18"/>
              </w:rPr>
            </w:pPr>
            <w:r w:rsidRPr="007C44E4">
              <w:rPr>
                <w:b/>
                <w:color w:val="FFFFFF" w:themeColor="background1"/>
                <w:sz w:val="18"/>
                <w:szCs w:val="18"/>
              </w:rPr>
              <w:t>£000</w:t>
            </w:r>
          </w:p>
        </w:tc>
      </w:tr>
      <w:tr w:rsidR="00E849D6" w:rsidRPr="007C44E4" w14:paraId="6C3CF993" w14:textId="77777777" w:rsidTr="00E849D6">
        <w:trPr>
          <w:trHeight w:val="278"/>
        </w:trPr>
        <w:tc>
          <w:tcPr>
            <w:tcW w:w="2394" w:type="dxa"/>
            <w:tcBorders>
              <w:top w:val="single" w:sz="6" w:space="0" w:color="2F5496" w:themeColor="accent1" w:themeShade="BF"/>
              <w:left w:val="single" w:sz="12" w:space="0" w:color="2F5496" w:themeColor="accent1" w:themeShade="BF"/>
              <w:bottom w:val="single" w:sz="6" w:space="0" w:color="2F5496" w:themeColor="accent1" w:themeShade="BF"/>
              <w:right w:val="single" w:sz="6" w:space="0" w:color="2F5496" w:themeColor="accent1" w:themeShade="BF"/>
            </w:tcBorders>
            <w:shd w:val="clear" w:color="auto" w:fill="D9E2F3" w:themeFill="accent1" w:themeFillTint="33"/>
            <w:vAlign w:val="center"/>
          </w:tcPr>
          <w:p w14:paraId="04E9D610" w14:textId="77777777" w:rsidR="00E849D6" w:rsidRPr="007C44E4" w:rsidRDefault="00E849D6" w:rsidP="00E849D6">
            <w:pPr>
              <w:rPr>
                <w:bCs/>
                <w:sz w:val="18"/>
                <w:szCs w:val="18"/>
              </w:rPr>
            </w:pPr>
            <w:r w:rsidRPr="007C44E4">
              <w:rPr>
                <w:bCs/>
                <w:sz w:val="18"/>
                <w:szCs w:val="18"/>
              </w:rPr>
              <w:t>Soft FM</w:t>
            </w:r>
          </w:p>
        </w:tc>
        <w:tc>
          <w:tcPr>
            <w:tcW w:w="1942" w:type="dxa"/>
            <w:tcBorders>
              <w:top w:val="single" w:sz="6" w:space="0" w:color="2F5496" w:themeColor="accent1" w:themeShade="BF"/>
              <w:left w:val="single" w:sz="6" w:space="0" w:color="2F5496" w:themeColor="accent1" w:themeShade="BF"/>
              <w:bottom w:val="single" w:sz="6" w:space="0" w:color="2F5496" w:themeColor="accent1" w:themeShade="BF"/>
              <w:right w:val="single" w:sz="6" w:space="0" w:color="2F5496" w:themeColor="accent1" w:themeShade="BF"/>
            </w:tcBorders>
            <w:vAlign w:val="center"/>
          </w:tcPr>
          <w:p w14:paraId="19C5DAD0" w14:textId="77777777" w:rsidR="00E849D6" w:rsidRPr="00E849D6" w:rsidRDefault="00E849D6" w:rsidP="00E849D6">
            <w:pPr>
              <w:jc w:val="right"/>
              <w:rPr>
                <w:bCs/>
                <w:sz w:val="20"/>
                <w:szCs w:val="20"/>
              </w:rPr>
            </w:pPr>
            <w:r w:rsidRPr="00E849D6">
              <w:rPr>
                <w:sz w:val="20"/>
                <w:szCs w:val="20"/>
              </w:rPr>
              <w:t>1,846</w:t>
            </w:r>
          </w:p>
        </w:tc>
        <w:tc>
          <w:tcPr>
            <w:tcW w:w="1942" w:type="dxa"/>
            <w:tcBorders>
              <w:top w:val="single" w:sz="6" w:space="0" w:color="2F5496" w:themeColor="accent1" w:themeShade="BF"/>
              <w:left w:val="single" w:sz="6" w:space="0" w:color="2F5496" w:themeColor="accent1" w:themeShade="BF"/>
              <w:bottom w:val="single" w:sz="6" w:space="0" w:color="2F5496" w:themeColor="accent1" w:themeShade="BF"/>
              <w:right w:val="single" w:sz="6" w:space="0" w:color="2F5496" w:themeColor="accent1" w:themeShade="BF"/>
            </w:tcBorders>
            <w:vAlign w:val="center"/>
          </w:tcPr>
          <w:p w14:paraId="56681D7A" w14:textId="77777777" w:rsidR="00E849D6" w:rsidRPr="00E849D6" w:rsidRDefault="00E849D6" w:rsidP="00E849D6">
            <w:pPr>
              <w:jc w:val="right"/>
              <w:rPr>
                <w:bCs/>
                <w:sz w:val="20"/>
                <w:szCs w:val="20"/>
              </w:rPr>
            </w:pPr>
            <w:r w:rsidRPr="00E849D6">
              <w:rPr>
                <w:sz w:val="20"/>
                <w:szCs w:val="20"/>
              </w:rPr>
              <w:t>2,905</w:t>
            </w:r>
          </w:p>
        </w:tc>
        <w:tc>
          <w:tcPr>
            <w:tcW w:w="1943" w:type="dxa"/>
            <w:tcBorders>
              <w:top w:val="single" w:sz="6" w:space="0" w:color="2F5496" w:themeColor="accent1" w:themeShade="BF"/>
              <w:left w:val="single" w:sz="6" w:space="0" w:color="2F5496" w:themeColor="accent1" w:themeShade="BF"/>
              <w:bottom w:val="single" w:sz="6" w:space="0" w:color="2F5496" w:themeColor="accent1" w:themeShade="BF"/>
              <w:right w:val="single" w:sz="6" w:space="0" w:color="2F5496" w:themeColor="accent1" w:themeShade="BF"/>
            </w:tcBorders>
            <w:shd w:val="clear" w:color="auto" w:fill="auto"/>
            <w:vAlign w:val="center"/>
          </w:tcPr>
          <w:p w14:paraId="733FA8D5" w14:textId="77777777" w:rsidR="00E849D6" w:rsidRPr="00E849D6" w:rsidRDefault="00E849D6" w:rsidP="00E849D6">
            <w:pPr>
              <w:jc w:val="right"/>
              <w:rPr>
                <w:bCs/>
                <w:sz w:val="20"/>
                <w:szCs w:val="20"/>
              </w:rPr>
            </w:pPr>
            <w:r w:rsidRPr="00E849D6">
              <w:rPr>
                <w:sz w:val="20"/>
                <w:szCs w:val="20"/>
              </w:rPr>
              <w:t>1,059</w:t>
            </w:r>
          </w:p>
        </w:tc>
      </w:tr>
      <w:tr w:rsidR="00E849D6" w:rsidRPr="007C44E4" w14:paraId="511C3BCB" w14:textId="77777777" w:rsidTr="00E849D6">
        <w:trPr>
          <w:trHeight w:val="278"/>
        </w:trPr>
        <w:tc>
          <w:tcPr>
            <w:tcW w:w="2394" w:type="dxa"/>
            <w:tcBorders>
              <w:top w:val="single" w:sz="6" w:space="0" w:color="2F5496" w:themeColor="accent1" w:themeShade="BF"/>
              <w:left w:val="single" w:sz="12" w:space="0" w:color="2F5496" w:themeColor="accent1" w:themeShade="BF"/>
              <w:bottom w:val="single" w:sz="6" w:space="0" w:color="2F5496" w:themeColor="accent1" w:themeShade="BF"/>
              <w:right w:val="single" w:sz="6" w:space="0" w:color="2F5496" w:themeColor="accent1" w:themeShade="BF"/>
            </w:tcBorders>
            <w:shd w:val="clear" w:color="auto" w:fill="D9E2F3" w:themeFill="accent1" w:themeFillTint="33"/>
            <w:vAlign w:val="center"/>
          </w:tcPr>
          <w:p w14:paraId="7A3F6287" w14:textId="77777777" w:rsidR="00E849D6" w:rsidRPr="007C44E4" w:rsidRDefault="00E849D6" w:rsidP="00E849D6">
            <w:pPr>
              <w:rPr>
                <w:bCs/>
                <w:sz w:val="18"/>
                <w:szCs w:val="18"/>
              </w:rPr>
            </w:pPr>
            <w:r w:rsidRPr="007C44E4">
              <w:rPr>
                <w:bCs/>
                <w:sz w:val="18"/>
                <w:szCs w:val="18"/>
              </w:rPr>
              <w:t>Hard FM</w:t>
            </w:r>
          </w:p>
        </w:tc>
        <w:tc>
          <w:tcPr>
            <w:tcW w:w="1942" w:type="dxa"/>
            <w:tcBorders>
              <w:top w:val="single" w:sz="6" w:space="0" w:color="2F5496" w:themeColor="accent1" w:themeShade="BF"/>
              <w:left w:val="single" w:sz="6" w:space="0" w:color="2F5496" w:themeColor="accent1" w:themeShade="BF"/>
              <w:bottom w:val="single" w:sz="6" w:space="0" w:color="2F5496" w:themeColor="accent1" w:themeShade="BF"/>
              <w:right w:val="single" w:sz="6" w:space="0" w:color="2F5496" w:themeColor="accent1" w:themeShade="BF"/>
            </w:tcBorders>
            <w:vAlign w:val="center"/>
          </w:tcPr>
          <w:p w14:paraId="6CB3C50F" w14:textId="77777777" w:rsidR="00E849D6" w:rsidRPr="00E849D6" w:rsidRDefault="00E849D6" w:rsidP="00E849D6">
            <w:pPr>
              <w:jc w:val="right"/>
              <w:rPr>
                <w:bCs/>
                <w:sz w:val="20"/>
                <w:szCs w:val="20"/>
              </w:rPr>
            </w:pPr>
            <w:r w:rsidRPr="00E849D6">
              <w:rPr>
                <w:sz w:val="20"/>
                <w:szCs w:val="20"/>
              </w:rPr>
              <w:t>454</w:t>
            </w:r>
          </w:p>
        </w:tc>
        <w:tc>
          <w:tcPr>
            <w:tcW w:w="1942" w:type="dxa"/>
            <w:tcBorders>
              <w:top w:val="single" w:sz="6" w:space="0" w:color="2F5496" w:themeColor="accent1" w:themeShade="BF"/>
              <w:left w:val="single" w:sz="6" w:space="0" w:color="2F5496" w:themeColor="accent1" w:themeShade="BF"/>
              <w:bottom w:val="single" w:sz="6" w:space="0" w:color="2F5496" w:themeColor="accent1" w:themeShade="BF"/>
              <w:right w:val="single" w:sz="6" w:space="0" w:color="2F5496" w:themeColor="accent1" w:themeShade="BF"/>
            </w:tcBorders>
            <w:vAlign w:val="center"/>
          </w:tcPr>
          <w:p w14:paraId="479BBF91" w14:textId="77777777" w:rsidR="00E849D6" w:rsidRPr="00E849D6" w:rsidRDefault="00E849D6" w:rsidP="00E849D6">
            <w:pPr>
              <w:jc w:val="right"/>
              <w:rPr>
                <w:bCs/>
                <w:sz w:val="20"/>
                <w:szCs w:val="20"/>
              </w:rPr>
            </w:pPr>
            <w:r w:rsidRPr="00E849D6">
              <w:rPr>
                <w:sz w:val="20"/>
                <w:szCs w:val="20"/>
              </w:rPr>
              <w:t>901</w:t>
            </w:r>
          </w:p>
        </w:tc>
        <w:tc>
          <w:tcPr>
            <w:tcW w:w="1943" w:type="dxa"/>
            <w:tcBorders>
              <w:top w:val="single" w:sz="6" w:space="0" w:color="2F5496" w:themeColor="accent1" w:themeShade="BF"/>
              <w:left w:val="single" w:sz="6" w:space="0" w:color="2F5496" w:themeColor="accent1" w:themeShade="BF"/>
              <w:bottom w:val="single" w:sz="6" w:space="0" w:color="2F5496" w:themeColor="accent1" w:themeShade="BF"/>
              <w:right w:val="single" w:sz="6" w:space="0" w:color="2F5496" w:themeColor="accent1" w:themeShade="BF"/>
            </w:tcBorders>
            <w:shd w:val="clear" w:color="auto" w:fill="auto"/>
            <w:vAlign w:val="center"/>
          </w:tcPr>
          <w:p w14:paraId="3D1105E7" w14:textId="77777777" w:rsidR="00E849D6" w:rsidRPr="00E849D6" w:rsidRDefault="00E849D6" w:rsidP="00E849D6">
            <w:pPr>
              <w:jc w:val="right"/>
              <w:rPr>
                <w:bCs/>
                <w:sz w:val="20"/>
                <w:szCs w:val="20"/>
              </w:rPr>
            </w:pPr>
            <w:r w:rsidRPr="00E849D6">
              <w:rPr>
                <w:sz w:val="20"/>
                <w:szCs w:val="20"/>
              </w:rPr>
              <w:t>447</w:t>
            </w:r>
          </w:p>
        </w:tc>
      </w:tr>
      <w:tr w:rsidR="00E849D6" w:rsidRPr="007C44E4" w14:paraId="02BD71AB" w14:textId="77777777" w:rsidTr="00E849D6">
        <w:trPr>
          <w:trHeight w:val="278"/>
        </w:trPr>
        <w:tc>
          <w:tcPr>
            <w:tcW w:w="2394" w:type="dxa"/>
            <w:tcBorders>
              <w:top w:val="single" w:sz="6" w:space="0" w:color="2F5496" w:themeColor="accent1" w:themeShade="BF"/>
              <w:left w:val="single" w:sz="12" w:space="0" w:color="2F5496" w:themeColor="accent1" w:themeShade="BF"/>
              <w:bottom w:val="single" w:sz="6" w:space="0" w:color="2F5496" w:themeColor="accent1" w:themeShade="BF"/>
              <w:right w:val="single" w:sz="6" w:space="0" w:color="2F5496" w:themeColor="accent1" w:themeShade="BF"/>
            </w:tcBorders>
            <w:shd w:val="clear" w:color="auto" w:fill="D9E2F3" w:themeFill="accent1" w:themeFillTint="33"/>
            <w:vAlign w:val="center"/>
          </w:tcPr>
          <w:p w14:paraId="432EC286" w14:textId="77777777" w:rsidR="00E849D6" w:rsidRPr="007C44E4" w:rsidRDefault="00E849D6" w:rsidP="00E849D6">
            <w:pPr>
              <w:rPr>
                <w:bCs/>
                <w:sz w:val="18"/>
                <w:szCs w:val="18"/>
              </w:rPr>
            </w:pPr>
            <w:r w:rsidRPr="007C44E4">
              <w:rPr>
                <w:bCs/>
                <w:sz w:val="18"/>
                <w:szCs w:val="18"/>
              </w:rPr>
              <w:t>Utilities</w:t>
            </w:r>
          </w:p>
        </w:tc>
        <w:tc>
          <w:tcPr>
            <w:tcW w:w="1942" w:type="dxa"/>
            <w:tcBorders>
              <w:top w:val="single" w:sz="6" w:space="0" w:color="2F5496" w:themeColor="accent1" w:themeShade="BF"/>
              <w:left w:val="single" w:sz="6" w:space="0" w:color="2F5496" w:themeColor="accent1" w:themeShade="BF"/>
              <w:bottom w:val="single" w:sz="6" w:space="0" w:color="2F5496" w:themeColor="accent1" w:themeShade="BF"/>
              <w:right w:val="single" w:sz="6" w:space="0" w:color="2F5496" w:themeColor="accent1" w:themeShade="BF"/>
            </w:tcBorders>
            <w:vAlign w:val="center"/>
          </w:tcPr>
          <w:p w14:paraId="73E9581B" w14:textId="77777777" w:rsidR="00E849D6" w:rsidRPr="00E849D6" w:rsidRDefault="00E849D6" w:rsidP="00E849D6">
            <w:pPr>
              <w:jc w:val="right"/>
              <w:rPr>
                <w:bCs/>
                <w:sz w:val="20"/>
                <w:szCs w:val="20"/>
              </w:rPr>
            </w:pPr>
            <w:r w:rsidRPr="00E849D6">
              <w:rPr>
                <w:sz w:val="20"/>
                <w:szCs w:val="20"/>
              </w:rPr>
              <w:t>945</w:t>
            </w:r>
          </w:p>
        </w:tc>
        <w:tc>
          <w:tcPr>
            <w:tcW w:w="1942" w:type="dxa"/>
            <w:tcBorders>
              <w:top w:val="single" w:sz="6" w:space="0" w:color="2F5496" w:themeColor="accent1" w:themeShade="BF"/>
              <w:left w:val="single" w:sz="6" w:space="0" w:color="2F5496" w:themeColor="accent1" w:themeShade="BF"/>
              <w:bottom w:val="single" w:sz="6" w:space="0" w:color="2F5496" w:themeColor="accent1" w:themeShade="BF"/>
              <w:right w:val="single" w:sz="6" w:space="0" w:color="2F5496" w:themeColor="accent1" w:themeShade="BF"/>
            </w:tcBorders>
            <w:vAlign w:val="center"/>
          </w:tcPr>
          <w:p w14:paraId="59E6044F" w14:textId="77777777" w:rsidR="00E849D6" w:rsidRPr="00E849D6" w:rsidRDefault="00E849D6" w:rsidP="00E849D6">
            <w:pPr>
              <w:jc w:val="right"/>
              <w:rPr>
                <w:bCs/>
                <w:sz w:val="20"/>
                <w:szCs w:val="20"/>
              </w:rPr>
            </w:pPr>
            <w:r w:rsidRPr="00E849D6">
              <w:rPr>
                <w:sz w:val="20"/>
                <w:szCs w:val="20"/>
              </w:rPr>
              <w:t>1,880</w:t>
            </w:r>
          </w:p>
        </w:tc>
        <w:tc>
          <w:tcPr>
            <w:tcW w:w="1943" w:type="dxa"/>
            <w:tcBorders>
              <w:top w:val="single" w:sz="6" w:space="0" w:color="2F5496" w:themeColor="accent1" w:themeShade="BF"/>
              <w:left w:val="single" w:sz="6" w:space="0" w:color="2F5496" w:themeColor="accent1" w:themeShade="BF"/>
              <w:bottom w:val="single" w:sz="6" w:space="0" w:color="2F5496" w:themeColor="accent1" w:themeShade="BF"/>
              <w:right w:val="single" w:sz="6" w:space="0" w:color="2F5496" w:themeColor="accent1" w:themeShade="BF"/>
            </w:tcBorders>
            <w:shd w:val="clear" w:color="auto" w:fill="auto"/>
            <w:vAlign w:val="center"/>
          </w:tcPr>
          <w:p w14:paraId="68403851" w14:textId="77777777" w:rsidR="00E849D6" w:rsidRPr="00E849D6" w:rsidRDefault="00E849D6" w:rsidP="00E849D6">
            <w:pPr>
              <w:jc w:val="right"/>
              <w:rPr>
                <w:bCs/>
                <w:sz w:val="20"/>
                <w:szCs w:val="20"/>
              </w:rPr>
            </w:pPr>
            <w:r w:rsidRPr="00E849D6">
              <w:rPr>
                <w:sz w:val="20"/>
                <w:szCs w:val="20"/>
              </w:rPr>
              <w:t>935</w:t>
            </w:r>
          </w:p>
        </w:tc>
      </w:tr>
      <w:tr w:rsidR="00E849D6" w:rsidRPr="007C44E4" w14:paraId="17559EAD" w14:textId="77777777" w:rsidTr="00E849D6">
        <w:trPr>
          <w:trHeight w:val="278"/>
        </w:trPr>
        <w:tc>
          <w:tcPr>
            <w:tcW w:w="2394" w:type="dxa"/>
            <w:tcBorders>
              <w:top w:val="single" w:sz="6" w:space="0" w:color="2F5496" w:themeColor="accent1" w:themeShade="BF"/>
              <w:left w:val="single" w:sz="12" w:space="0" w:color="2F5496" w:themeColor="accent1" w:themeShade="BF"/>
              <w:bottom w:val="single" w:sz="6" w:space="0" w:color="2F5496" w:themeColor="accent1" w:themeShade="BF"/>
              <w:right w:val="single" w:sz="6" w:space="0" w:color="2F5496" w:themeColor="accent1" w:themeShade="BF"/>
            </w:tcBorders>
            <w:shd w:val="clear" w:color="auto" w:fill="D9E2F3" w:themeFill="accent1" w:themeFillTint="33"/>
            <w:vAlign w:val="center"/>
          </w:tcPr>
          <w:p w14:paraId="38BE525C" w14:textId="77777777" w:rsidR="00E849D6" w:rsidRPr="007C44E4" w:rsidRDefault="00E849D6" w:rsidP="00E849D6">
            <w:pPr>
              <w:rPr>
                <w:bCs/>
                <w:sz w:val="18"/>
                <w:szCs w:val="18"/>
              </w:rPr>
            </w:pPr>
            <w:r w:rsidRPr="007C44E4">
              <w:rPr>
                <w:bCs/>
                <w:sz w:val="18"/>
                <w:szCs w:val="18"/>
              </w:rPr>
              <w:t>Rates</w:t>
            </w:r>
          </w:p>
        </w:tc>
        <w:tc>
          <w:tcPr>
            <w:tcW w:w="1942" w:type="dxa"/>
            <w:tcBorders>
              <w:top w:val="single" w:sz="6" w:space="0" w:color="2F5496" w:themeColor="accent1" w:themeShade="BF"/>
              <w:left w:val="single" w:sz="6" w:space="0" w:color="2F5496" w:themeColor="accent1" w:themeShade="BF"/>
              <w:bottom w:val="single" w:sz="6" w:space="0" w:color="2F5496" w:themeColor="accent1" w:themeShade="BF"/>
              <w:right w:val="single" w:sz="6" w:space="0" w:color="2F5496" w:themeColor="accent1" w:themeShade="BF"/>
            </w:tcBorders>
            <w:vAlign w:val="center"/>
          </w:tcPr>
          <w:p w14:paraId="786A77D3" w14:textId="77777777" w:rsidR="00E849D6" w:rsidRPr="00E849D6" w:rsidRDefault="00E849D6" w:rsidP="00E849D6">
            <w:pPr>
              <w:jc w:val="right"/>
              <w:rPr>
                <w:bCs/>
                <w:sz w:val="20"/>
                <w:szCs w:val="20"/>
              </w:rPr>
            </w:pPr>
            <w:r w:rsidRPr="00E849D6">
              <w:rPr>
                <w:sz w:val="20"/>
                <w:szCs w:val="20"/>
              </w:rPr>
              <w:t>179</w:t>
            </w:r>
          </w:p>
        </w:tc>
        <w:tc>
          <w:tcPr>
            <w:tcW w:w="1942" w:type="dxa"/>
            <w:tcBorders>
              <w:top w:val="single" w:sz="6" w:space="0" w:color="2F5496" w:themeColor="accent1" w:themeShade="BF"/>
              <w:left w:val="single" w:sz="6" w:space="0" w:color="2F5496" w:themeColor="accent1" w:themeShade="BF"/>
              <w:bottom w:val="single" w:sz="6" w:space="0" w:color="2F5496" w:themeColor="accent1" w:themeShade="BF"/>
              <w:right w:val="single" w:sz="6" w:space="0" w:color="2F5496" w:themeColor="accent1" w:themeShade="BF"/>
            </w:tcBorders>
            <w:vAlign w:val="center"/>
          </w:tcPr>
          <w:p w14:paraId="2783D9C8" w14:textId="77777777" w:rsidR="00E849D6" w:rsidRPr="00E849D6" w:rsidRDefault="00E849D6" w:rsidP="00E849D6">
            <w:pPr>
              <w:jc w:val="right"/>
              <w:rPr>
                <w:bCs/>
                <w:sz w:val="20"/>
                <w:szCs w:val="20"/>
              </w:rPr>
            </w:pPr>
            <w:r w:rsidRPr="00E849D6">
              <w:rPr>
                <w:sz w:val="20"/>
                <w:szCs w:val="20"/>
              </w:rPr>
              <w:t>1,043</w:t>
            </w:r>
          </w:p>
        </w:tc>
        <w:tc>
          <w:tcPr>
            <w:tcW w:w="1943" w:type="dxa"/>
            <w:tcBorders>
              <w:top w:val="single" w:sz="6" w:space="0" w:color="2F5496" w:themeColor="accent1" w:themeShade="BF"/>
              <w:left w:val="single" w:sz="6" w:space="0" w:color="2F5496" w:themeColor="accent1" w:themeShade="BF"/>
              <w:bottom w:val="single" w:sz="6" w:space="0" w:color="2F5496" w:themeColor="accent1" w:themeShade="BF"/>
              <w:right w:val="single" w:sz="6" w:space="0" w:color="2F5496" w:themeColor="accent1" w:themeShade="BF"/>
            </w:tcBorders>
            <w:shd w:val="clear" w:color="auto" w:fill="auto"/>
            <w:vAlign w:val="center"/>
          </w:tcPr>
          <w:p w14:paraId="08469883" w14:textId="77777777" w:rsidR="00E849D6" w:rsidRPr="00E849D6" w:rsidRDefault="00E849D6" w:rsidP="00E849D6">
            <w:pPr>
              <w:jc w:val="right"/>
              <w:rPr>
                <w:bCs/>
                <w:sz w:val="20"/>
                <w:szCs w:val="20"/>
              </w:rPr>
            </w:pPr>
            <w:r w:rsidRPr="00E849D6">
              <w:rPr>
                <w:sz w:val="20"/>
                <w:szCs w:val="20"/>
              </w:rPr>
              <w:t>864</w:t>
            </w:r>
          </w:p>
        </w:tc>
      </w:tr>
      <w:tr w:rsidR="00E849D6" w:rsidRPr="007C44E4" w14:paraId="739574C1" w14:textId="77777777" w:rsidTr="00E849D6">
        <w:trPr>
          <w:trHeight w:val="278"/>
        </w:trPr>
        <w:tc>
          <w:tcPr>
            <w:tcW w:w="2394" w:type="dxa"/>
            <w:tcBorders>
              <w:top w:val="single" w:sz="6" w:space="0" w:color="2F5496" w:themeColor="accent1" w:themeShade="BF"/>
              <w:left w:val="single" w:sz="12" w:space="0" w:color="2F5496" w:themeColor="accent1" w:themeShade="BF"/>
              <w:bottom w:val="single" w:sz="6" w:space="0" w:color="2F5496" w:themeColor="accent1" w:themeShade="BF"/>
              <w:right w:val="single" w:sz="6" w:space="0" w:color="2F5496" w:themeColor="accent1" w:themeShade="BF"/>
            </w:tcBorders>
            <w:shd w:val="clear" w:color="auto" w:fill="D9E2F3" w:themeFill="accent1" w:themeFillTint="33"/>
            <w:vAlign w:val="center"/>
          </w:tcPr>
          <w:p w14:paraId="4AB51875" w14:textId="77777777" w:rsidR="00E849D6" w:rsidRPr="007C44E4" w:rsidRDefault="00E849D6" w:rsidP="00E849D6">
            <w:pPr>
              <w:rPr>
                <w:bCs/>
                <w:sz w:val="18"/>
                <w:szCs w:val="18"/>
              </w:rPr>
            </w:pPr>
            <w:r w:rsidRPr="007C44E4">
              <w:rPr>
                <w:bCs/>
                <w:sz w:val="18"/>
                <w:szCs w:val="18"/>
              </w:rPr>
              <w:t>Equipment Maintenance</w:t>
            </w:r>
          </w:p>
        </w:tc>
        <w:tc>
          <w:tcPr>
            <w:tcW w:w="1942" w:type="dxa"/>
            <w:tcBorders>
              <w:top w:val="single" w:sz="6" w:space="0" w:color="2F5496" w:themeColor="accent1" w:themeShade="BF"/>
              <w:left w:val="single" w:sz="6" w:space="0" w:color="2F5496" w:themeColor="accent1" w:themeShade="BF"/>
              <w:bottom w:val="single" w:sz="6" w:space="0" w:color="2F5496" w:themeColor="accent1" w:themeShade="BF"/>
              <w:right w:val="single" w:sz="6" w:space="0" w:color="2F5496" w:themeColor="accent1" w:themeShade="BF"/>
            </w:tcBorders>
            <w:vAlign w:val="center"/>
          </w:tcPr>
          <w:p w14:paraId="20781088" w14:textId="77777777" w:rsidR="00E849D6" w:rsidRPr="00E849D6" w:rsidRDefault="00E849D6" w:rsidP="00E849D6">
            <w:pPr>
              <w:jc w:val="right"/>
              <w:rPr>
                <w:bCs/>
                <w:sz w:val="20"/>
                <w:szCs w:val="20"/>
              </w:rPr>
            </w:pPr>
            <w:r w:rsidRPr="00E849D6">
              <w:rPr>
                <w:sz w:val="20"/>
                <w:szCs w:val="20"/>
              </w:rPr>
              <w:t>723</w:t>
            </w:r>
          </w:p>
        </w:tc>
        <w:tc>
          <w:tcPr>
            <w:tcW w:w="1942" w:type="dxa"/>
            <w:tcBorders>
              <w:top w:val="single" w:sz="6" w:space="0" w:color="2F5496" w:themeColor="accent1" w:themeShade="BF"/>
              <w:left w:val="single" w:sz="6" w:space="0" w:color="2F5496" w:themeColor="accent1" w:themeShade="BF"/>
              <w:bottom w:val="single" w:sz="6" w:space="0" w:color="2F5496" w:themeColor="accent1" w:themeShade="BF"/>
              <w:right w:val="single" w:sz="6" w:space="0" w:color="2F5496" w:themeColor="accent1" w:themeShade="BF"/>
            </w:tcBorders>
            <w:vAlign w:val="center"/>
          </w:tcPr>
          <w:p w14:paraId="391EE495" w14:textId="77777777" w:rsidR="00E849D6" w:rsidRPr="00E849D6" w:rsidRDefault="00E849D6" w:rsidP="00E849D6">
            <w:pPr>
              <w:jc w:val="right"/>
              <w:rPr>
                <w:bCs/>
                <w:sz w:val="20"/>
                <w:szCs w:val="20"/>
              </w:rPr>
            </w:pPr>
            <w:r w:rsidRPr="00E849D6">
              <w:rPr>
                <w:sz w:val="20"/>
                <w:szCs w:val="20"/>
              </w:rPr>
              <w:t>1,601</w:t>
            </w:r>
          </w:p>
        </w:tc>
        <w:tc>
          <w:tcPr>
            <w:tcW w:w="1943" w:type="dxa"/>
            <w:tcBorders>
              <w:top w:val="single" w:sz="6" w:space="0" w:color="2F5496" w:themeColor="accent1" w:themeShade="BF"/>
              <w:left w:val="single" w:sz="6" w:space="0" w:color="2F5496" w:themeColor="accent1" w:themeShade="BF"/>
              <w:bottom w:val="single" w:sz="6" w:space="0" w:color="2F5496" w:themeColor="accent1" w:themeShade="BF"/>
              <w:right w:val="single" w:sz="6" w:space="0" w:color="2F5496" w:themeColor="accent1" w:themeShade="BF"/>
            </w:tcBorders>
            <w:shd w:val="clear" w:color="auto" w:fill="auto"/>
            <w:vAlign w:val="center"/>
          </w:tcPr>
          <w:p w14:paraId="7134044A" w14:textId="77777777" w:rsidR="00E849D6" w:rsidRPr="00E849D6" w:rsidRDefault="00E849D6" w:rsidP="00E849D6">
            <w:pPr>
              <w:jc w:val="right"/>
              <w:rPr>
                <w:bCs/>
                <w:sz w:val="20"/>
                <w:szCs w:val="20"/>
              </w:rPr>
            </w:pPr>
            <w:r w:rsidRPr="00E849D6">
              <w:rPr>
                <w:sz w:val="20"/>
                <w:szCs w:val="20"/>
              </w:rPr>
              <w:t>878</w:t>
            </w:r>
          </w:p>
        </w:tc>
      </w:tr>
      <w:tr w:rsidR="00E849D6" w:rsidRPr="007C44E4" w14:paraId="12C925D4" w14:textId="77777777" w:rsidTr="00E849D6">
        <w:trPr>
          <w:trHeight w:val="278"/>
        </w:trPr>
        <w:tc>
          <w:tcPr>
            <w:tcW w:w="2394" w:type="dxa"/>
            <w:tcBorders>
              <w:top w:val="single" w:sz="6" w:space="0" w:color="2F5496" w:themeColor="accent1" w:themeShade="BF"/>
              <w:left w:val="single" w:sz="12" w:space="0" w:color="2F5496" w:themeColor="accent1" w:themeShade="BF"/>
              <w:bottom w:val="single" w:sz="6" w:space="0" w:color="2F5496" w:themeColor="accent1" w:themeShade="BF"/>
              <w:right w:val="single" w:sz="6" w:space="0" w:color="2F5496" w:themeColor="accent1" w:themeShade="BF"/>
            </w:tcBorders>
            <w:shd w:val="clear" w:color="auto" w:fill="D9E2F3" w:themeFill="accent1" w:themeFillTint="33"/>
            <w:vAlign w:val="center"/>
          </w:tcPr>
          <w:p w14:paraId="47AD0347" w14:textId="77777777" w:rsidR="00E849D6" w:rsidRPr="007C44E4" w:rsidRDefault="00E849D6" w:rsidP="00E849D6">
            <w:pPr>
              <w:rPr>
                <w:bCs/>
                <w:sz w:val="18"/>
                <w:szCs w:val="18"/>
              </w:rPr>
            </w:pPr>
            <w:r w:rsidRPr="007C44E4">
              <w:rPr>
                <w:bCs/>
                <w:sz w:val="18"/>
                <w:szCs w:val="18"/>
              </w:rPr>
              <w:t>IM&amp;T Maintenance</w:t>
            </w:r>
          </w:p>
        </w:tc>
        <w:tc>
          <w:tcPr>
            <w:tcW w:w="1942" w:type="dxa"/>
            <w:tcBorders>
              <w:top w:val="single" w:sz="6" w:space="0" w:color="2F5496" w:themeColor="accent1" w:themeShade="BF"/>
              <w:left w:val="single" w:sz="6" w:space="0" w:color="2F5496" w:themeColor="accent1" w:themeShade="BF"/>
              <w:bottom w:val="single" w:sz="6" w:space="0" w:color="2F5496" w:themeColor="accent1" w:themeShade="BF"/>
              <w:right w:val="single" w:sz="6" w:space="0" w:color="2F5496" w:themeColor="accent1" w:themeShade="BF"/>
            </w:tcBorders>
            <w:vAlign w:val="center"/>
          </w:tcPr>
          <w:p w14:paraId="53639BAD" w14:textId="77777777" w:rsidR="00E849D6" w:rsidRPr="00E849D6" w:rsidRDefault="00E849D6" w:rsidP="00E849D6">
            <w:pPr>
              <w:jc w:val="right"/>
              <w:rPr>
                <w:bCs/>
                <w:sz w:val="20"/>
                <w:szCs w:val="20"/>
              </w:rPr>
            </w:pPr>
            <w:r w:rsidRPr="00E849D6">
              <w:rPr>
                <w:sz w:val="20"/>
                <w:szCs w:val="20"/>
              </w:rPr>
              <w:t>25</w:t>
            </w:r>
          </w:p>
        </w:tc>
        <w:tc>
          <w:tcPr>
            <w:tcW w:w="1942" w:type="dxa"/>
            <w:tcBorders>
              <w:top w:val="single" w:sz="6" w:space="0" w:color="2F5496" w:themeColor="accent1" w:themeShade="BF"/>
              <w:left w:val="single" w:sz="6" w:space="0" w:color="2F5496" w:themeColor="accent1" w:themeShade="BF"/>
              <w:bottom w:val="single" w:sz="6" w:space="0" w:color="2F5496" w:themeColor="accent1" w:themeShade="BF"/>
              <w:right w:val="single" w:sz="6" w:space="0" w:color="2F5496" w:themeColor="accent1" w:themeShade="BF"/>
            </w:tcBorders>
            <w:vAlign w:val="center"/>
          </w:tcPr>
          <w:p w14:paraId="2F58105E" w14:textId="77777777" w:rsidR="00E849D6" w:rsidRPr="00E849D6" w:rsidRDefault="00E849D6" w:rsidP="00E849D6">
            <w:pPr>
              <w:jc w:val="right"/>
              <w:rPr>
                <w:bCs/>
                <w:sz w:val="20"/>
                <w:szCs w:val="20"/>
              </w:rPr>
            </w:pPr>
            <w:r w:rsidRPr="00E849D6">
              <w:rPr>
                <w:sz w:val="20"/>
                <w:szCs w:val="20"/>
              </w:rPr>
              <w:t>251</w:t>
            </w:r>
          </w:p>
        </w:tc>
        <w:tc>
          <w:tcPr>
            <w:tcW w:w="1943" w:type="dxa"/>
            <w:tcBorders>
              <w:top w:val="single" w:sz="6" w:space="0" w:color="2F5496" w:themeColor="accent1" w:themeShade="BF"/>
              <w:left w:val="single" w:sz="6" w:space="0" w:color="2F5496" w:themeColor="accent1" w:themeShade="BF"/>
              <w:bottom w:val="single" w:sz="6" w:space="0" w:color="2F5496" w:themeColor="accent1" w:themeShade="BF"/>
              <w:right w:val="single" w:sz="6" w:space="0" w:color="2F5496" w:themeColor="accent1" w:themeShade="BF"/>
            </w:tcBorders>
            <w:shd w:val="clear" w:color="auto" w:fill="auto"/>
            <w:vAlign w:val="center"/>
          </w:tcPr>
          <w:p w14:paraId="6078BBCA" w14:textId="77777777" w:rsidR="00E849D6" w:rsidRPr="00E849D6" w:rsidRDefault="00E849D6" w:rsidP="00E849D6">
            <w:pPr>
              <w:jc w:val="right"/>
              <w:rPr>
                <w:bCs/>
                <w:sz w:val="20"/>
                <w:szCs w:val="20"/>
              </w:rPr>
            </w:pPr>
            <w:r w:rsidRPr="00E849D6">
              <w:rPr>
                <w:sz w:val="20"/>
                <w:szCs w:val="20"/>
              </w:rPr>
              <w:t>226</w:t>
            </w:r>
          </w:p>
        </w:tc>
      </w:tr>
      <w:tr w:rsidR="00E849D6" w:rsidRPr="007C44E4" w14:paraId="21852F2D" w14:textId="77777777" w:rsidTr="00E849D6">
        <w:trPr>
          <w:trHeight w:val="278"/>
        </w:trPr>
        <w:tc>
          <w:tcPr>
            <w:tcW w:w="2394" w:type="dxa"/>
            <w:tcBorders>
              <w:top w:val="single" w:sz="6" w:space="0" w:color="2F5496" w:themeColor="accent1" w:themeShade="BF"/>
              <w:left w:val="single" w:sz="12" w:space="0" w:color="2F5496" w:themeColor="accent1" w:themeShade="BF"/>
              <w:bottom w:val="single" w:sz="6" w:space="0" w:color="2F5496" w:themeColor="accent1" w:themeShade="BF"/>
              <w:right w:val="single" w:sz="6" w:space="0" w:color="2F5496" w:themeColor="accent1" w:themeShade="BF"/>
            </w:tcBorders>
            <w:shd w:val="clear" w:color="auto" w:fill="D9E2F3" w:themeFill="accent1" w:themeFillTint="33"/>
            <w:vAlign w:val="center"/>
          </w:tcPr>
          <w:p w14:paraId="49BCE9A4" w14:textId="77777777" w:rsidR="00E849D6" w:rsidRPr="007C44E4" w:rsidRDefault="00E849D6" w:rsidP="00E849D6">
            <w:pPr>
              <w:rPr>
                <w:bCs/>
                <w:sz w:val="18"/>
                <w:szCs w:val="18"/>
              </w:rPr>
            </w:pPr>
            <w:r w:rsidRPr="007C44E4">
              <w:rPr>
                <w:bCs/>
                <w:sz w:val="18"/>
                <w:szCs w:val="18"/>
              </w:rPr>
              <w:t>Digital</w:t>
            </w:r>
          </w:p>
        </w:tc>
        <w:tc>
          <w:tcPr>
            <w:tcW w:w="1942" w:type="dxa"/>
            <w:tcBorders>
              <w:top w:val="single" w:sz="6" w:space="0" w:color="2F5496" w:themeColor="accent1" w:themeShade="BF"/>
              <w:left w:val="single" w:sz="6" w:space="0" w:color="2F5496" w:themeColor="accent1" w:themeShade="BF"/>
              <w:bottom w:val="single" w:sz="6" w:space="0" w:color="2F5496" w:themeColor="accent1" w:themeShade="BF"/>
              <w:right w:val="single" w:sz="6" w:space="0" w:color="2F5496" w:themeColor="accent1" w:themeShade="BF"/>
            </w:tcBorders>
            <w:vAlign w:val="center"/>
          </w:tcPr>
          <w:p w14:paraId="6F5C182F" w14:textId="77777777" w:rsidR="00E849D6" w:rsidRPr="00E849D6" w:rsidRDefault="00E849D6" w:rsidP="00E849D6">
            <w:pPr>
              <w:jc w:val="right"/>
              <w:rPr>
                <w:bCs/>
                <w:sz w:val="20"/>
                <w:szCs w:val="20"/>
              </w:rPr>
            </w:pPr>
            <w:r w:rsidRPr="00E849D6">
              <w:rPr>
                <w:sz w:val="20"/>
                <w:szCs w:val="20"/>
              </w:rPr>
              <w:t>0</w:t>
            </w:r>
          </w:p>
        </w:tc>
        <w:tc>
          <w:tcPr>
            <w:tcW w:w="1942" w:type="dxa"/>
            <w:tcBorders>
              <w:top w:val="single" w:sz="6" w:space="0" w:color="2F5496" w:themeColor="accent1" w:themeShade="BF"/>
              <w:left w:val="single" w:sz="6" w:space="0" w:color="2F5496" w:themeColor="accent1" w:themeShade="BF"/>
              <w:bottom w:val="single" w:sz="6" w:space="0" w:color="2F5496" w:themeColor="accent1" w:themeShade="BF"/>
              <w:right w:val="single" w:sz="6" w:space="0" w:color="2F5496" w:themeColor="accent1" w:themeShade="BF"/>
            </w:tcBorders>
            <w:vAlign w:val="center"/>
          </w:tcPr>
          <w:p w14:paraId="3B18BA96" w14:textId="77777777" w:rsidR="00E849D6" w:rsidRPr="00E849D6" w:rsidRDefault="00E849D6" w:rsidP="00E849D6">
            <w:pPr>
              <w:jc w:val="right"/>
              <w:rPr>
                <w:bCs/>
                <w:sz w:val="20"/>
                <w:szCs w:val="20"/>
              </w:rPr>
            </w:pPr>
            <w:r w:rsidRPr="00E849D6">
              <w:rPr>
                <w:sz w:val="20"/>
                <w:szCs w:val="20"/>
              </w:rPr>
              <w:t>297</w:t>
            </w:r>
          </w:p>
        </w:tc>
        <w:tc>
          <w:tcPr>
            <w:tcW w:w="1943" w:type="dxa"/>
            <w:tcBorders>
              <w:top w:val="single" w:sz="6" w:space="0" w:color="2F5496" w:themeColor="accent1" w:themeShade="BF"/>
              <w:left w:val="single" w:sz="6" w:space="0" w:color="2F5496" w:themeColor="accent1" w:themeShade="BF"/>
              <w:bottom w:val="single" w:sz="6" w:space="0" w:color="2F5496" w:themeColor="accent1" w:themeShade="BF"/>
              <w:right w:val="single" w:sz="6" w:space="0" w:color="2F5496" w:themeColor="accent1" w:themeShade="BF"/>
            </w:tcBorders>
            <w:shd w:val="clear" w:color="auto" w:fill="auto"/>
            <w:vAlign w:val="center"/>
          </w:tcPr>
          <w:p w14:paraId="3EBADB8B" w14:textId="77777777" w:rsidR="00E849D6" w:rsidRPr="00E849D6" w:rsidRDefault="00E849D6" w:rsidP="00E849D6">
            <w:pPr>
              <w:jc w:val="right"/>
              <w:rPr>
                <w:bCs/>
                <w:sz w:val="20"/>
                <w:szCs w:val="20"/>
              </w:rPr>
            </w:pPr>
            <w:r w:rsidRPr="00E849D6">
              <w:rPr>
                <w:sz w:val="20"/>
                <w:szCs w:val="20"/>
              </w:rPr>
              <w:t>297</w:t>
            </w:r>
          </w:p>
        </w:tc>
      </w:tr>
      <w:tr w:rsidR="00E849D6" w:rsidRPr="007C44E4" w14:paraId="51B5804E" w14:textId="77777777" w:rsidTr="00E849D6">
        <w:trPr>
          <w:trHeight w:val="278"/>
        </w:trPr>
        <w:tc>
          <w:tcPr>
            <w:tcW w:w="2394" w:type="dxa"/>
            <w:tcBorders>
              <w:top w:val="single" w:sz="6" w:space="0" w:color="2F5496" w:themeColor="accent1" w:themeShade="BF"/>
              <w:left w:val="single" w:sz="12" w:space="0" w:color="2F5496" w:themeColor="accent1" w:themeShade="BF"/>
              <w:bottom w:val="single" w:sz="6" w:space="0" w:color="2F5496" w:themeColor="accent1" w:themeShade="BF"/>
              <w:right w:val="single" w:sz="6" w:space="0" w:color="2F5496" w:themeColor="accent1" w:themeShade="BF"/>
            </w:tcBorders>
            <w:shd w:val="clear" w:color="auto" w:fill="D9E2F3" w:themeFill="accent1" w:themeFillTint="33"/>
            <w:vAlign w:val="center"/>
          </w:tcPr>
          <w:p w14:paraId="0D6F965C" w14:textId="77777777" w:rsidR="00E849D6" w:rsidRPr="007C44E4" w:rsidRDefault="00E849D6" w:rsidP="00E849D6">
            <w:pPr>
              <w:rPr>
                <w:bCs/>
                <w:sz w:val="18"/>
                <w:szCs w:val="18"/>
              </w:rPr>
            </w:pPr>
            <w:r w:rsidRPr="007C44E4">
              <w:rPr>
                <w:bCs/>
                <w:sz w:val="18"/>
                <w:szCs w:val="18"/>
              </w:rPr>
              <w:t>Insurance</w:t>
            </w:r>
          </w:p>
        </w:tc>
        <w:tc>
          <w:tcPr>
            <w:tcW w:w="1942" w:type="dxa"/>
            <w:tcBorders>
              <w:top w:val="single" w:sz="6" w:space="0" w:color="2F5496" w:themeColor="accent1" w:themeShade="BF"/>
              <w:left w:val="single" w:sz="6" w:space="0" w:color="2F5496" w:themeColor="accent1" w:themeShade="BF"/>
              <w:bottom w:val="single" w:sz="6" w:space="0" w:color="2F5496" w:themeColor="accent1" w:themeShade="BF"/>
              <w:right w:val="single" w:sz="6" w:space="0" w:color="2F5496" w:themeColor="accent1" w:themeShade="BF"/>
            </w:tcBorders>
            <w:vAlign w:val="center"/>
          </w:tcPr>
          <w:p w14:paraId="0CE80611" w14:textId="77777777" w:rsidR="00E849D6" w:rsidRPr="00E849D6" w:rsidRDefault="00E849D6" w:rsidP="00E849D6">
            <w:pPr>
              <w:jc w:val="right"/>
              <w:rPr>
                <w:bCs/>
                <w:sz w:val="20"/>
                <w:szCs w:val="20"/>
              </w:rPr>
            </w:pPr>
            <w:r w:rsidRPr="00E849D6">
              <w:rPr>
                <w:sz w:val="20"/>
                <w:szCs w:val="20"/>
              </w:rPr>
              <w:t>0</w:t>
            </w:r>
          </w:p>
        </w:tc>
        <w:tc>
          <w:tcPr>
            <w:tcW w:w="1942" w:type="dxa"/>
            <w:tcBorders>
              <w:top w:val="single" w:sz="6" w:space="0" w:color="2F5496" w:themeColor="accent1" w:themeShade="BF"/>
              <w:left w:val="single" w:sz="6" w:space="0" w:color="2F5496" w:themeColor="accent1" w:themeShade="BF"/>
              <w:bottom w:val="single" w:sz="6" w:space="0" w:color="2F5496" w:themeColor="accent1" w:themeShade="BF"/>
              <w:right w:val="single" w:sz="6" w:space="0" w:color="2F5496" w:themeColor="accent1" w:themeShade="BF"/>
            </w:tcBorders>
            <w:vAlign w:val="center"/>
          </w:tcPr>
          <w:p w14:paraId="3C3D67F5" w14:textId="77777777" w:rsidR="00E849D6" w:rsidRPr="00E849D6" w:rsidRDefault="00E849D6" w:rsidP="00E849D6">
            <w:pPr>
              <w:jc w:val="right"/>
              <w:rPr>
                <w:bCs/>
                <w:sz w:val="20"/>
                <w:szCs w:val="20"/>
              </w:rPr>
            </w:pPr>
            <w:r w:rsidRPr="00E849D6">
              <w:rPr>
                <w:sz w:val="20"/>
                <w:szCs w:val="20"/>
              </w:rPr>
              <w:t>450</w:t>
            </w:r>
          </w:p>
        </w:tc>
        <w:tc>
          <w:tcPr>
            <w:tcW w:w="1943" w:type="dxa"/>
            <w:tcBorders>
              <w:top w:val="single" w:sz="6" w:space="0" w:color="2F5496" w:themeColor="accent1" w:themeShade="BF"/>
              <w:left w:val="single" w:sz="6" w:space="0" w:color="2F5496" w:themeColor="accent1" w:themeShade="BF"/>
              <w:bottom w:val="single" w:sz="6" w:space="0" w:color="2F5496" w:themeColor="accent1" w:themeShade="BF"/>
              <w:right w:val="single" w:sz="6" w:space="0" w:color="2F5496" w:themeColor="accent1" w:themeShade="BF"/>
            </w:tcBorders>
            <w:shd w:val="clear" w:color="auto" w:fill="auto"/>
            <w:vAlign w:val="center"/>
          </w:tcPr>
          <w:p w14:paraId="1AC9FB2C" w14:textId="77777777" w:rsidR="00E849D6" w:rsidRPr="00E849D6" w:rsidRDefault="00E849D6" w:rsidP="00E849D6">
            <w:pPr>
              <w:jc w:val="right"/>
              <w:rPr>
                <w:bCs/>
                <w:sz w:val="20"/>
                <w:szCs w:val="20"/>
              </w:rPr>
            </w:pPr>
            <w:r w:rsidRPr="00E849D6">
              <w:rPr>
                <w:sz w:val="20"/>
                <w:szCs w:val="20"/>
              </w:rPr>
              <w:t>450</w:t>
            </w:r>
          </w:p>
        </w:tc>
      </w:tr>
      <w:tr w:rsidR="00E849D6" w:rsidRPr="007C44E4" w14:paraId="09A95EF4" w14:textId="77777777" w:rsidTr="00E849D6">
        <w:trPr>
          <w:trHeight w:val="278"/>
        </w:trPr>
        <w:tc>
          <w:tcPr>
            <w:tcW w:w="2394" w:type="dxa"/>
            <w:tcBorders>
              <w:top w:val="single" w:sz="6" w:space="0" w:color="2F5496" w:themeColor="accent1" w:themeShade="BF"/>
              <w:left w:val="single" w:sz="12" w:space="0" w:color="2F5496" w:themeColor="accent1" w:themeShade="BF"/>
              <w:bottom w:val="single" w:sz="12" w:space="0" w:color="2F5496" w:themeColor="accent1" w:themeShade="BF"/>
              <w:right w:val="single" w:sz="6" w:space="0" w:color="2F5496" w:themeColor="accent1" w:themeShade="BF"/>
            </w:tcBorders>
            <w:shd w:val="clear" w:color="auto" w:fill="D9E2F3" w:themeFill="accent1" w:themeFillTint="33"/>
            <w:vAlign w:val="center"/>
          </w:tcPr>
          <w:p w14:paraId="3B080874" w14:textId="77777777" w:rsidR="00E849D6" w:rsidRPr="007C44E4" w:rsidRDefault="00E849D6" w:rsidP="00E849D6">
            <w:pPr>
              <w:rPr>
                <w:b/>
                <w:sz w:val="18"/>
                <w:szCs w:val="18"/>
              </w:rPr>
            </w:pPr>
            <w:r w:rsidRPr="007C44E4">
              <w:rPr>
                <w:b/>
                <w:sz w:val="18"/>
                <w:szCs w:val="18"/>
              </w:rPr>
              <w:t>Recurring Revenue Costs</w:t>
            </w:r>
          </w:p>
        </w:tc>
        <w:tc>
          <w:tcPr>
            <w:tcW w:w="1942" w:type="dxa"/>
            <w:tcBorders>
              <w:top w:val="single" w:sz="6" w:space="0" w:color="2F5496" w:themeColor="accent1" w:themeShade="BF"/>
              <w:left w:val="single" w:sz="6" w:space="0" w:color="2F5496" w:themeColor="accent1" w:themeShade="BF"/>
              <w:bottom w:val="single" w:sz="12" w:space="0" w:color="2F5496" w:themeColor="accent1" w:themeShade="BF"/>
              <w:right w:val="single" w:sz="6" w:space="0" w:color="2F5496" w:themeColor="accent1" w:themeShade="BF"/>
            </w:tcBorders>
            <w:shd w:val="clear" w:color="auto" w:fill="F2F2F2" w:themeFill="background1" w:themeFillShade="F2"/>
            <w:vAlign w:val="center"/>
          </w:tcPr>
          <w:p w14:paraId="3E3914FF" w14:textId="77777777" w:rsidR="00E849D6" w:rsidRPr="00E849D6" w:rsidRDefault="00E849D6" w:rsidP="00E849D6">
            <w:pPr>
              <w:jc w:val="right"/>
              <w:rPr>
                <w:b/>
                <w:bCs/>
                <w:sz w:val="20"/>
                <w:szCs w:val="20"/>
              </w:rPr>
            </w:pPr>
            <w:r w:rsidRPr="00E849D6">
              <w:rPr>
                <w:b/>
                <w:bCs/>
                <w:sz w:val="20"/>
                <w:szCs w:val="20"/>
              </w:rPr>
              <w:t>4,172</w:t>
            </w:r>
          </w:p>
        </w:tc>
        <w:tc>
          <w:tcPr>
            <w:tcW w:w="1942" w:type="dxa"/>
            <w:tcBorders>
              <w:top w:val="single" w:sz="6" w:space="0" w:color="2F5496" w:themeColor="accent1" w:themeShade="BF"/>
              <w:left w:val="single" w:sz="6" w:space="0" w:color="2F5496" w:themeColor="accent1" w:themeShade="BF"/>
              <w:bottom w:val="single" w:sz="12" w:space="0" w:color="2F5496" w:themeColor="accent1" w:themeShade="BF"/>
              <w:right w:val="single" w:sz="6" w:space="0" w:color="2F5496" w:themeColor="accent1" w:themeShade="BF"/>
            </w:tcBorders>
            <w:shd w:val="clear" w:color="auto" w:fill="F2F2F2" w:themeFill="background1" w:themeFillShade="F2"/>
            <w:vAlign w:val="center"/>
          </w:tcPr>
          <w:p w14:paraId="2EE73FB9" w14:textId="77777777" w:rsidR="00E849D6" w:rsidRPr="00E849D6" w:rsidRDefault="00E849D6" w:rsidP="00E849D6">
            <w:pPr>
              <w:jc w:val="right"/>
              <w:rPr>
                <w:b/>
                <w:bCs/>
                <w:sz w:val="20"/>
                <w:szCs w:val="20"/>
              </w:rPr>
            </w:pPr>
            <w:r w:rsidRPr="00E849D6">
              <w:rPr>
                <w:b/>
                <w:bCs/>
                <w:sz w:val="20"/>
                <w:szCs w:val="20"/>
              </w:rPr>
              <w:t>9,327</w:t>
            </w:r>
          </w:p>
        </w:tc>
        <w:tc>
          <w:tcPr>
            <w:tcW w:w="1943" w:type="dxa"/>
            <w:tcBorders>
              <w:top w:val="single" w:sz="6" w:space="0" w:color="2F5496" w:themeColor="accent1" w:themeShade="BF"/>
              <w:left w:val="single" w:sz="6" w:space="0" w:color="2F5496" w:themeColor="accent1" w:themeShade="BF"/>
              <w:bottom w:val="single" w:sz="12" w:space="0" w:color="2F5496" w:themeColor="accent1" w:themeShade="BF"/>
              <w:right w:val="single" w:sz="6" w:space="0" w:color="2F5496" w:themeColor="accent1" w:themeShade="BF"/>
            </w:tcBorders>
            <w:shd w:val="clear" w:color="auto" w:fill="F2F2F2" w:themeFill="background1" w:themeFillShade="F2"/>
            <w:vAlign w:val="center"/>
          </w:tcPr>
          <w:p w14:paraId="788461D0" w14:textId="77777777" w:rsidR="00E849D6" w:rsidRPr="00E849D6" w:rsidRDefault="00E849D6" w:rsidP="00E849D6">
            <w:pPr>
              <w:jc w:val="right"/>
              <w:rPr>
                <w:b/>
                <w:bCs/>
                <w:sz w:val="20"/>
                <w:szCs w:val="20"/>
              </w:rPr>
            </w:pPr>
            <w:r w:rsidRPr="00E849D6">
              <w:rPr>
                <w:b/>
                <w:bCs/>
                <w:sz w:val="20"/>
                <w:szCs w:val="20"/>
              </w:rPr>
              <w:t>5,155</w:t>
            </w:r>
          </w:p>
        </w:tc>
      </w:tr>
    </w:tbl>
    <w:p w14:paraId="41AC69D1" w14:textId="77777777" w:rsidR="00E849D6" w:rsidRDefault="00E849D6" w:rsidP="00E849D6">
      <w:pPr>
        <w:ind w:left="720"/>
      </w:pPr>
      <w:r w:rsidRPr="00C23F61">
        <w:rPr>
          <w:rFonts w:cs="Arial"/>
          <w:i/>
          <w:sz w:val="18"/>
          <w:szCs w:val="18"/>
        </w:rPr>
        <w:t xml:space="preserve">Note: All costs are </w:t>
      </w:r>
      <w:r>
        <w:rPr>
          <w:rFonts w:cs="Arial"/>
          <w:i/>
          <w:sz w:val="18"/>
          <w:szCs w:val="18"/>
        </w:rPr>
        <w:t>at</w:t>
      </w:r>
      <w:r w:rsidRPr="00C23F61">
        <w:rPr>
          <w:rFonts w:cs="Arial"/>
          <w:i/>
          <w:sz w:val="18"/>
          <w:szCs w:val="18"/>
        </w:rPr>
        <w:t xml:space="preserve"> </w:t>
      </w:r>
      <w:r>
        <w:rPr>
          <w:rFonts w:cs="Arial"/>
          <w:i/>
          <w:sz w:val="18"/>
          <w:szCs w:val="18"/>
        </w:rPr>
        <w:t>2022-23</w:t>
      </w:r>
      <w:r w:rsidRPr="00C23F61">
        <w:rPr>
          <w:rFonts w:cs="Arial"/>
          <w:i/>
          <w:sz w:val="18"/>
          <w:szCs w:val="18"/>
        </w:rPr>
        <w:t xml:space="preserve"> price levels</w:t>
      </w:r>
    </w:p>
    <w:p w14:paraId="0E645317" w14:textId="77777777" w:rsidR="002820A9" w:rsidRPr="002820A9" w:rsidRDefault="002820A9" w:rsidP="00F548E8">
      <w:pPr>
        <w:ind w:left="720" w:hanging="720"/>
      </w:pPr>
    </w:p>
    <w:p w14:paraId="39D45CDE" w14:textId="77777777" w:rsidR="00E849D6" w:rsidRDefault="009A59A1" w:rsidP="00E849D6">
      <w:pPr>
        <w:ind w:left="720" w:hanging="720"/>
      </w:pPr>
      <w:r>
        <w:t>2.</w:t>
      </w:r>
      <w:r w:rsidR="00E849D6">
        <w:t>4</w:t>
      </w:r>
      <w:r w:rsidR="004928F5">
        <w:t>4</w:t>
      </w:r>
      <w:r w:rsidR="00E849D6">
        <w:tab/>
        <w:t xml:space="preserve">The additional funding required from Commissioners is </w:t>
      </w:r>
      <w:r w:rsidR="005B1C90">
        <w:t>s</w:t>
      </w:r>
      <w:r w:rsidR="00E849D6">
        <w:t>et out below in Table 18.</w:t>
      </w:r>
    </w:p>
    <w:p w14:paraId="22FB7D61" w14:textId="77777777" w:rsidR="00E849D6" w:rsidRDefault="00E849D6" w:rsidP="00F548E8">
      <w:pPr>
        <w:ind w:left="720" w:hanging="720"/>
      </w:pPr>
    </w:p>
    <w:p w14:paraId="2505A5B7" w14:textId="77777777" w:rsidR="00E849D6" w:rsidRPr="006D7A49" w:rsidRDefault="00E849D6" w:rsidP="006D7A49">
      <w:pPr>
        <w:pStyle w:val="Caption"/>
        <w:keepNext/>
        <w:ind w:left="720" w:firstLine="131"/>
        <w:rPr>
          <w:iCs w:val="0"/>
          <w:color w:val="2F5496"/>
          <w:sz w:val="20"/>
          <w:szCs w:val="20"/>
        </w:rPr>
      </w:pPr>
      <w:r w:rsidRPr="006D7A49">
        <w:rPr>
          <w:iCs w:val="0"/>
          <w:color w:val="2F5496"/>
          <w:sz w:val="20"/>
          <w:szCs w:val="20"/>
        </w:rPr>
        <w:t>Table 18 - Summary of Additional Funding from Commissioners</w:t>
      </w:r>
    </w:p>
    <w:tbl>
      <w:tblPr>
        <w:tblW w:w="7302" w:type="dxa"/>
        <w:tblInd w:w="841" w:type="dxa"/>
        <w:tblBorders>
          <w:top w:val="single" w:sz="8" w:space="0" w:color="2F5496" w:themeColor="accent1" w:themeShade="BF"/>
          <w:left w:val="single" w:sz="8" w:space="0" w:color="2F5496" w:themeColor="accent1" w:themeShade="BF"/>
          <w:bottom w:val="single" w:sz="8" w:space="0" w:color="2F5496" w:themeColor="accent1" w:themeShade="BF"/>
          <w:right w:val="single" w:sz="8" w:space="0" w:color="2F5496" w:themeColor="accent1" w:themeShade="BF"/>
          <w:insideH w:val="single" w:sz="8" w:space="0" w:color="2F5496" w:themeColor="accent1" w:themeShade="BF"/>
          <w:insideV w:val="single" w:sz="8" w:space="0" w:color="2F5496" w:themeColor="accent1" w:themeShade="BF"/>
        </w:tblBorders>
        <w:tblLayout w:type="fixed"/>
        <w:tblLook w:val="04A0" w:firstRow="1" w:lastRow="0" w:firstColumn="1" w:lastColumn="0" w:noHBand="0" w:noVBand="1"/>
      </w:tblPr>
      <w:tblGrid>
        <w:gridCol w:w="4062"/>
        <w:gridCol w:w="1680"/>
        <w:gridCol w:w="1560"/>
      </w:tblGrid>
      <w:tr w:rsidR="00E849D6" w:rsidRPr="00C23F61" w14:paraId="59FD3A19" w14:textId="77777777" w:rsidTr="00BB1691">
        <w:tc>
          <w:tcPr>
            <w:tcW w:w="4062" w:type="dxa"/>
            <w:shd w:val="clear" w:color="auto" w:fill="1F3864" w:themeFill="accent1" w:themeFillShade="80"/>
            <w:vAlign w:val="center"/>
          </w:tcPr>
          <w:p w14:paraId="64B32F27" w14:textId="77777777" w:rsidR="00E849D6" w:rsidRPr="0002703C" w:rsidRDefault="00E849D6" w:rsidP="00BB1691">
            <w:pPr>
              <w:spacing w:beforeLines="20" w:before="48" w:afterLines="20" w:after="48"/>
              <w:ind w:hanging="15"/>
              <w:jc w:val="left"/>
              <w:rPr>
                <w:rFonts w:cs="Arial"/>
                <w:b/>
                <w:bCs/>
                <w:color w:val="FFFFFF" w:themeColor="background1"/>
                <w:sz w:val="20"/>
                <w:szCs w:val="20"/>
              </w:rPr>
            </w:pPr>
            <w:r w:rsidRPr="0002703C">
              <w:rPr>
                <w:rFonts w:cs="Arial"/>
                <w:b/>
                <w:bCs/>
                <w:color w:val="FFFFFF" w:themeColor="background1"/>
                <w:sz w:val="20"/>
                <w:szCs w:val="20"/>
              </w:rPr>
              <w:t>Health Boards</w:t>
            </w:r>
          </w:p>
        </w:tc>
        <w:tc>
          <w:tcPr>
            <w:tcW w:w="1680" w:type="dxa"/>
            <w:shd w:val="clear" w:color="auto" w:fill="1F3864" w:themeFill="accent1" w:themeFillShade="80"/>
            <w:vAlign w:val="center"/>
          </w:tcPr>
          <w:p w14:paraId="4924C48F" w14:textId="77777777" w:rsidR="00E849D6" w:rsidRPr="0002703C" w:rsidRDefault="00E849D6" w:rsidP="00BB1691">
            <w:pPr>
              <w:spacing w:beforeLines="20" w:before="48" w:afterLines="20" w:after="48"/>
              <w:jc w:val="center"/>
              <w:rPr>
                <w:rFonts w:cs="Arial"/>
                <w:b/>
                <w:color w:val="FFFFFF" w:themeColor="background1"/>
                <w:sz w:val="20"/>
                <w:szCs w:val="20"/>
              </w:rPr>
            </w:pPr>
            <w:r>
              <w:rPr>
                <w:rFonts w:cs="Arial"/>
                <w:b/>
                <w:color w:val="FFFFFF" w:themeColor="background1"/>
                <w:sz w:val="20"/>
                <w:szCs w:val="20"/>
              </w:rPr>
              <w:t>Commissioner</w:t>
            </w:r>
            <w:r w:rsidRPr="0002703C">
              <w:rPr>
                <w:rFonts w:cs="Arial"/>
                <w:b/>
                <w:color w:val="FFFFFF" w:themeColor="background1"/>
                <w:sz w:val="20"/>
                <w:szCs w:val="20"/>
              </w:rPr>
              <w:t xml:space="preserve"> Split</w:t>
            </w:r>
          </w:p>
        </w:tc>
        <w:tc>
          <w:tcPr>
            <w:tcW w:w="1560" w:type="dxa"/>
            <w:shd w:val="clear" w:color="auto" w:fill="1F3864" w:themeFill="accent1" w:themeFillShade="80"/>
            <w:vAlign w:val="center"/>
          </w:tcPr>
          <w:p w14:paraId="2295702D" w14:textId="77777777" w:rsidR="00E849D6" w:rsidRPr="0002703C" w:rsidDel="001D3205" w:rsidRDefault="00E849D6" w:rsidP="00BB1691">
            <w:pPr>
              <w:spacing w:beforeLines="20" w:before="48" w:afterLines="20" w:after="48"/>
              <w:jc w:val="center"/>
              <w:rPr>
                <w:rFonts w:cs="Arial"/>
                <w:b/>
                <w:color w:val="FFFFFF" w:themeColor="background1"/>
                <w:sz w:val="20"/>
                <w:szCs w:val="20"/>
              </w:rPr>
            </w:pPr>
            <w:r w:rsidRPr="0002703C">
              <w:rPr>
                <w:rFonts w:cs="Arial"/>
                <w:b/>
                <w:color w:val="FFFFFF" w:themeColor="background1"/>
                <w:sz w:val="20"/>
                <w:szCs w:val="20"/>
              </w:rPr>
              <w:t>TOTAL</w:t>
            </w:r>
          </w:p>
        </w:tc>
      </w:tr>
      <w:tr w:rsidR="00E849D6" w:rsidRPr="00C23F61" w14:paraId="40096484" w14:textId="77777777" w:rsidTr="00BB1691">
        <w:tc>
          <w:tcPr>
            <w:tcW w:w="4062" w:type="dxa"/>
            <w:shd w:val="clear" w:color="auto" w:fill="1F3864" w:themeFill="accent1" w:themeFillShade="80"/>
            <w:vAlign w:val="center"/>
          </w:tcPr>
          <w:p w14:paraId="62AAC36C" w14:textId="77777777" w:rsidR="00E849D6" w:rsidRPr="0002703C" w:rsidRDefault="00E849D6" w:rsidP="00BB1691">
            <w:pPr>
              <w:spacing w:beforeLines="20" w:before="48" w:afterLines="20" w:after="48"/>
              <w:jc w:val="left"/>
              <w:rPr>
                <w:rFonts w:cs="Arial"/>
                <w:sz w:val="20"/>
                <w:szCs w:val="20"/>
              </w:rPr>
            </w:pPr>
          </w:p>
        </w:tc>
        <w:tc>
          <w:tcPr>
            <w:tcW w:w="1680" w:type="dxa"/>
            <w:tcBorders>
              <w:top w:val="single" w:sz="8" w:space="0" w:color="2F5496" w:themeColor="accent1" w:themeShade="BF"/>
              <w:left w:val="single" w:sz="8" w:space="0" w:color="2F5496" w:themeColor="accent1" w:themeShade="BF"/>
              <w:bottom w:val="single" w:sz="8" w:space="0" w:color="2F5496" w:themeColor="accent1" w:themeShade="BF"/>
              <w:right w:val="single" w:sz="8" w:space="0" w:color="2F5496" w:themeColor="accent1" w:themeShade="BF"/>
            </w:tcBorders>
            <w:shd w:val="clear" w:color="auto" w:fill="1F3864" w:themeFill="accent1" w:themeFillShade="80"/>
            <w:vAlign w:val="center"/>
          </w:tcPr>
          <w:p w14:paraId="4C17E71E" w14:textId="77777777" w:rsidR="00E849D6" w:rsidRPr="0002703C" w:rsidRDefault="00E849D6" w:rsidP="00BB1691">
            <w:pPr>
              <w:spacing w:beforeLines="20" w:before="48" w:afterLines="20" w:after="48"/>
              <w:jc w:val="center"/>
              <w:rPr>
                <w:rFonts w:cs="Arial"/>
                <w:b/>
                <w:bCs/>
                <w:color w:val="FFFFFF" w:themeColor="background1"/>
                <w:sz w:val="20"/>
                <w:szCs w:val="20"/>
              </w:rPr>
            </w:pPr>
            <w:r w:rsidRPr="0002703C">
              <w:rPr>
                <w:rFonts w:cs="Arial"/>
                <w:b/>
                <w:bCs/>
                <w:color w:val="FFFFFF" w:themeColor="background1"/>
                <w:sz w:val="20"/>
                <w:szCs w:val="20"/>
              </w:rPr>
              <w:t>%</w:t>
            </w:r>
          </w:p>
        </w:tc>
        <w:tc>
          <w:tcPr>
            <w:tcW w:w="1560" w:type="dxa"/>
            <w:tcBorders>
              <w:top w:val="single" w:sz="8" w:space="0" w:color="2F5496" w:themeColor="accent1" w:themeShade="BF"/>
              <w:left w:val="single" w:sz="8" w:space="0" w:color="2F5496" w:themeColor="accent1" w:themeShade="BF"/>
              <w:bottom w:val="single" w:sz="8" w:space="0" w:color="2F5496" w:themeColor="accent1" w:themeShade="BF"/>
              <w:right w:val="single" w:sz="8" w:space="0" w:color="2F5496" w:themeColor="accent1" w:themeShade="BF"/>
            </w:tcBorders>
            <w:shd w:val="clear" w:color="auto" w:fill="1F3864" w:themeFill="accent1" w:themeFillShade="80"/>
            <w:vAlign w:val="center"/>
          </w:tcPr>
          <w:p w14:paraId="4C0A3E6B" w14:textId="77777777" w:rsidR="00E849D6" w:rsidRPr="0002703C" w:rsidRDefault="00E849D6" w:rsidP="00BB1691">
            <w:pPr>
              <w:spacing w:beforeLines="20" w:before="48" w:afterLines="20" w:after="48"/>
              <w:jc w:val="center"/>
              <w:rPr>
                <w:rFonts w:cs="Arial"/>
                <w:b/>
                <w:bCs/>
                <w:color w:val="FFFFFF" w:themeColor="background1"/>
                <w:sz w:val="20"/>
                <w:szCs w:val="20"/>
              </w:rPr>
            </w:pPr>
            <w:r w:rsidRPr="0002703C">
              <w:rPr>
                <w:rFonts w:cs="Arial"/>
                <w:b/>
                <w:bCs/>
                <w:color w:val="FFFFFF" w:themeColor="background1"/>
                <w:sz w:val="20"/>
                <w:szCs w:val="20"/>
              </w:rPr>
              <w:t>£000</w:t>
            </w:r>
          </w:p>
        </w:tc>
      </w:tr>
      <w:tr w:rsidR="00E849D6" w:rsidRPr="00C23F61" w14:paraId="3FB4E89F" w14:textId="77777777" w:rsidTr="00BB1691">
        <w:trPr>
          <w:trHeight w:val="227"/>
        </w:trPr>
        <w:tc>
          <w:tcPr>
            <w:tcW w:w="4062" w:type="dxa"/>
            <w:shd w:val="clear" w:color="auto" w:fill="D9E2F3" w:themeFill="accent1" w:themeFillTint="33"/>
            <w:vAlign w:val="center"/>
          </w:tcPr>
          <w:p w14:paraId="4361E708" w14:textId="77777777" w:rsidR="00E849D6" w:rsidRPr="0002703C" w:rsidRDefault="00E849D6" w:rsidP="00BB1691">
            <w:pPr>
              <w:spacing w:beforeLines="20" w:before="48" w:afterLines="20" w:after="48"/>
              <w:jc w:val="left"/>
              <w:rPr>
                <w:rFonts w:cs="Arial"/>
                <w:sz w:val="20"/>
                <w:szCs w:val="20"/>
              </w:rPr>
            </w:pPr>
            <w:r w:rsidRPr="0002703C">
              <w:rPr>
                <w:rFonts w:cs="Arial"/>
                <w:b/>
                <w:i/>
                <w:sz w:val="20"/>
                <w:szCs w:val="20"/>
              </w:rPr>
              <w:t>Proposed funding from commissioners:</w:t>
            </w:r>
          </w:p>
        </w:tc>
        <w:tc>
          <w:tcPr>
            <w:tcW w:w="1680" w:type="dxa"/>
            <w:tcBorders>
              <w:top w:val="single" w:sz="8" w:space="0" w:color="2F5496" w:themeColor="accent1" w:themeShade="BF"/>
              <w:left w:val="nil"/>
              <w:bottom w:val="single" w:sz="8" w:space="0" w:color="2F5496" w:themeColor="accent1" w:themeShade="BF"/>
              <w:right w:val="single" w:sz="8" w:space="0" w:color="2F5496" w:themeColor="accent1" w:themeShade="BF"/>
            </w:tcBorders>
            <w:shd w:val="clear" w:color="auto" w:fill="D9E2F3" w:themeFill="accent1" w:themeFillTint="33"/>
            <w:vAlign w:val="center"/>
          </w:tcPr>
          <w:p w14:paraId="1DE8F7E6" w14:textId="77777777" w:rsidR="00E849D6" w:rsidRPr="001D3205" w:rsidRDefault="00E849D6" w:rsidP="00BB1691">
            <w:pPr>
              <w:jc w:val="right"/>
              <w:rPr>
                <w:sz w:val="20"/>
                <w:szCs w:val="20"/>
              </w:rPr>
            </w:pPr>
          </w:p>
        </w:tc>
        <w:tc>
          <w:tcPr>
            <w:tcW w:w="1560" w:type="dxa"/>
            <w:tcBorders>
              <w:top w:val="single" w:sz="8" w:space="0" w:color="2F5496" w:themeColor="accent1" w:themeShade="BF"/>
              <w:left w:val="nil"/>
              <w:bottom w:val="single" w:sz="8" w:space="0" w:color="2F5496" w:themeColor="accent1" w:themeShade="BF"/>
              <w:right w:val="nil"/>
            </w:tcBorders>
            <w:shd w:val="clear" w:color="auto" w:fill="D9E2F3" w:themeFill="accent1" w:themeFillTint="33"/>
          </w:tcPr>
          <w:p w14:paraId="0D7AEBCE" w14:textId="77777777" w:rsidR="00E849D6" w:rsidRPr="001D3205" w:rsidRDefault="00E849D6" w:rsidP="00BB1691">
            <w:pPr>
              <w:jc w:val="right"/>
              <w:rPr>
                <w:sz w:val="20"/>
                <w:szCs w:val="20"/>
              </w:rPr>
            </w:pPr>
          </w:p>
        </w:tc>
      </w:tr>
      <w:tr w:rsidR="00E849D6" w:rsidRPr="00C23F61" w14:paraId="4142EA35" w14:textId="77777777" w:rsidTr="00E849D6">
        <w:trPr>
          <w:trHeight w:val="227"/>
        </w:trPr>
        <w:tc>
          <w:tcPr>
            <w:tcW w:w="4062" w:type="dxa"/>
            <w:shd w:val="clear" w:color="auto" w:fill="D9E2F3" w:themeFill="accent1" w:themeFillTint="33"/>
            <w:vAlign w:val="center"/>
          </w:tcPr>
          <w:p w14:paraId="1A4CEABD" w14:textId="77777777" w:rsidR="00E849D6" w:rsidRPr="001D3205" w:rsidRDefault="00E849D6" w:rsidP="00E849D6">
            <w:pPr>
              <w:spacing w:beforeLines="20" w:before="48" w:afterLines="20" w:after="48"/>
              <w:jc w:val="left"/>
              <w:rPr>
                <w:rFonts w:cs="Arial"/>
                <w:b/>
                <w:bCs/>
                <w:sz w:val="20"/>
                <w:szCs w:val="20"/>
              </w:rPr>
            </w:pPr>
            <w:r w:rsidRPr="001D3205">
              <w:rPr>
                <w:sz w:val="20"/>
                <w:szCs w:val="20"/>
              </w:rPr>
              <w:t>Aneurin Bevan</w:t>
            </w:r>
          </w:p>
        </w:tc>
        <w:tc>
          <w:tcPr>
            <w:tcW w:w="1680" w:type="dxa"/>
            <w:tcBorders>
              <w:top w:val="single" w:sz="8" w:space="0" w:color="2F5496" w:themeColor="accent1" w:themeShade="BF"/>
              <w:left w:val="single" w:sz="8" w:space="0" w:color="2F5496" w:themeColor="accent1" w:themeShade="BF"/>
              <w:bottom w:val="single" w:sz="8" w:space="0" w:color="2F5496" w:themeColor="accent1" w:themeShade="BF"/>
              <w:right w:val="single" w:sz="8" w:space="0" w:color="2F5496" w:themeColor="accent1" w:themeShade="BF"/>
            </w:tcBorders>
            <w:vAlign w:val="center"/>
          </w:tcPr>
          <w:p w14:paraId="13D6195F" w14:textId="77777777" w:rsidR="00E849D6" w:rsidRPr="001D3205" w:rsidRDefault="00E849D6" w:rsidP="00E849D6">
            <w:pPr>
              <w:jc w:val="right"/>
              <w:rPr>
                <w:sz w:val="20"/>
                <w:szCs w:val="20"/>
              </w:rPr>
            </w:pPr>
            <w:r w:rsidRPr="0002703C">
              <w:rPr>
                <w:sz w:val="20"/>
                <w:szCs w:val="20"/>
              </w:rPr>
              <w:t>36.52%</w:t>
            </w:r>
          </w:p>
        </w:tc>
        <w:tc>
          <w:tcPr>
            <w:tcW w:w="1560" w:type="dxa"/>
            <w:tcBorders>
              <w:top w:val="single" w:sz="8" w:space="0" w:color="2F5496" w:themeColor="accent1" w:themeShade="BF"/>
              <w:left w:val="single" w:sz="8" w:space="0" w:color="2F5496" w:themeColor="accent1" w:themeShade="BF"/>
              <w:bottom w:val="single" w:sz="8" w:space="0" w:color="2F5496" w:themeColor="accent1" w:themeShade="BF"/>
              <w:right w:val="single" w:sz="8" w:space="0" w:color="2F5496" w:themeColor="accent1" w:themeShade="BF"/>
            </w:tcBorders>
            <w:vAlign w:val="center"/>
          </w:tcPr>
          <w:p w14:paraId="17981AA5" w14:textId="77777777" w:rsidR="00E849D6" w:rsidRPr="00E849D6" w:rsidDel="001D3205" w:rsidRDefault="00E849D6" w:rsidP="00E849D6">
            <w:pPr>
              <w:jc w:val="right"/>
              <w:rPr>
                <w:sz w:val="20"/>
                <w:szCs w:val="20"/>
              </w:rPr>
            </w:pPr>
            <w:r w:rsidRPr="00E849D6">
              <w:rPr>
                <w:sz w:val="20"/>
                <w:szCs w:val="20"/>
              </w:rPr>
              <w:t>1,883</w:t>
            </w:r>
          </w:p>
        </w:tc>
      </w:tr>
      <w:tr w:rsidR="00E849D6" w:rsidRPr="00C23F61" w14:paraId="3529E731" w14:textId="77777777" w:rsidTr="00E849D6">
        <w:trPr>
          <w:trHeight w:val="227"/>
        </w:trPr>
        <w:tc>
          <w:tcPr>
            <w:tcW w:w="4062" w:type="dxa"/>
            <w:shd w:val="clear" w:color="auto" w:fill="DEEAF6"/>
            <w:vAlign w:val="center"/>
          </w:tcPr>
          <w:p w14:paraId="3F1FCAEC" w14:textId="77777777" w:rsidR="00E849D6" w:rsidRPr="001D3205" w:rsidRDefault="00E849D6" w:rsidP="00E849D6">
            <w:pPr>
              <w:spacing w:beforeLines="20" w:before="48" w:afterLines="20" w:after="48"/>
              <w:jc w:val="left"/>
              <w:rPr>
                <w:rFonts w:cs="Arial"/>
                <w:b/>
                <w:bCs/>
                <w:sz w:val="20"/>
                <w:szCs w:val="20"/>
              </w:rPr>
            </w:pPr>
            <w:r w:rsidRPr="001D3205">
              <w:rPr>
                <w:sz w:val="20"/>
                <w:szCs w:val="20"/>
              </w:rPr>
              <w:t>Cardiff &amp; Vale</w:t>
            </w:r>
          </w:p>
        </w:tc>
        <w:tc>
          <w:tcPr>
            <w:tcW w:w="1680" w:type="dxa"/>
            <w:tcBorders>
              <w:top w:val="single" w:sz="8" w:space="0" w:color="2F5496" w:themeColor="accent1" w:themeShade="BF"/>
              <w:left w:val="single" w:sz="8" w:space="0" w:color="2F5496" w:themeColor="accent1" w:themeShade="BF"/>
              <w:bottom w:val="single" w:sz="8" w:space="0" w:color="2F5496" w:themeColor="accent1" w:themeShade="BF"/>
              <w:right w:val="single" w:sz="8" w:space="0" w:color="2F5496" w:themeColor="accent1" w:themeShade="BF"/>
            </w:tcBorders>
            <w:vAlign w:val="center"/>
          </w:tcPr>
          <w:p w14:paraId="41B88724" w14:textId="77777777" w:rsidR="00E849D6" w:rsidRPr="001D3205" w:rsidRDefault="00E849D6" w:rsidP="00E849D6">
            <w:pPr>
              <w:jc w:val="right"/>
              <w:rPr>
                <w:sz w:val="20"/>
                <w:szCs w:val="20"/>
              </w:rPr>
            </w:pPr>
            <w:r w:rsidRPr="0002703C">
              <w:rPr>
                <w:sz w:val="20"/>
                <w:szCs w:val="20"/>
              </w:rPr>
              <w:t>30.90%</w:t>
            </w:r>
          </w:p>
        </w:tc>
        <w:tc>
          <w:tcPr>
            <w:tcW w:w="1560" w:type="dxa"/>
            <w:tcBorders>
              <w:top w:val="single" w:sz="8" w:space="0" w:color="2F5496" w:themeColor="accent1" w:themeShade="BF"/>
              <w:left w:val="single" w:sz="8" w:space="0" w:color="2F5496" w:themeColor="accent1" w:themeShade="BF"/>
              <w:bottom w:val="single" w:sz="8" w:space="0" w:color="2F5496" w:themeColor="accent1" w:themeShade="BF"/>
              <w:right w:val="single" w:sz="8" w:space="0" w:color="2F5496" w:themeColor="accent1" w:themeShade="BF"/>
            </w:tcBorders>
            <w:vAlign w:val="center"/>
          </w:tcPr>
          <w:p w14:paraId="5F254DE3" w14:textId="77777777" w:rsidR="00E849D6" w:rsidRPr="00E849D6" w:rsidDel="001D3205" w:rsidRDefault="00E849D6" w:rsidP="00E849D6">
            <w:pPr>
              <w:jc w:val="right"/>
              <w:rPr>
                <w:sz w:val="20"/>
                <w:szCs w:val="20"/>
              </w:rPr>
            </w:pPr>
            <w:r w:rsidRPr="00E849D6">
              <w:rPr>
                <w:sz w:val="20"/>
                <w:szCs w:val="20"/>
              </w:rPr>
              <w:t>1,593</w:t>
            </w:r>
          </w:p>
        </w:tc>
      </w:tr>
      <w:tr w:rsidR="00E849D6" w:rsidRPr="00C23F61" w14:paraId="3B0FD19B" w14:textId="77777777" w:rsidTr="00E849D6">
        <w:trPr>
          <w:trHeight w:val="227"/>
        </w:trPr>
        <w:tc>
          <w:tcPr>
            <w:tcW w:w="4062" w:type="dxa"/>
            <w:shd w:val="clear" w:color="auto" w:fill="D9E2F3" w:themeFill="accent1" w:themeFillTint="33"/>
            <w:vAlign w:val="center"/>
          </w:tcPr>
          <w:p w14:paraId="23970198" w14:textId="77777777" w:rsidR="00E849D6" w:rsidRPr="001D3205" w:rsidRDefault="00E849D6" w:rsidP="00E849D6">
            <w:pPr>
              <w:spacing w:beforeLines="20" w:before="48" w:afterLines="20" w:after="48"/>
              <w:jc w:val="left"/>
              <w:rPr>
                <w:rFonts w:cs="Arial"/>
                <w:b/>
                <w:bCs/>
                <w:sz w:val="20"/>
                <w:szCs w:val="20"/>
              </w:rPr>
            </w:pPr>
            <w:r w:rsidRPr="001D3205">
              <w:rPr>
                <w:sz w:val="20"/>
                <w:szCs w:val="20"/>
              </w:rPr>
              <w:t>Cwm Taf Morgannwg</w:t>
            </w:r>
          </w:p>
        </w:tc>
        <w:tc>
          <w:tcPr>
            <w:tcW w:w="1680" w:type="dxa"/>
            <w:tcBorders>
              <w:top w:val="single" w:sz="8" w:space="0" w:color="2F5496" w:themeColor="accent1" w:themeShade="BF"/>
              <w:left w:val="single" w:sz="8" w:space="0" w:color="2F5496" w:themeColor="accent1" w:themeShade="BF"/>
              <w:bottom w:val="single" w:sz="8" w:space="0" w:color="2F5496" w:themeColor="accent1" w:themeShade="BF"/>
              <w:right w:val="single" w:sz="8" w:space="0" w:color="2F5496" w:themeColor="accent1" w:themeShade="BF"/>
            </w:tcBorders>
            <w:vAlign w:val="center"/>
          </w:tcPr>
          <w:p w14:paraId="7324DFEF" w14:textId="77777777" w:rsidR="00E849D6" w:rsidRPr="001D3205" w:rsidRDefault="00E849D6" w:rsidP="00E849D6">
            <w:pPr>
              <w:jc w:val="right"/>
              <w:rPr>
                <w:sz w:val="20"/>
                <w:szCs w:val="20"/>
              </w:rPr>
            </w:pPr>
            <w:r w:rsidRPr="0002703C">
              <w:rPr>
                <w:sz w:val="20"/>
                <w:szCs w:val="20"/>
              </w:rPr>
              <w:t>28.11%</w:t>
            </w:r>
          </w:p>
        </w:tc>
        <w:tc>
          <w:tcPr>
            <w:tcW w:w="1560" w:type="dxa"/>
            <w:tcBorders>
              <w:top w:val="single" w:sz="8" w:space="0" w:color="2F5496" w:themeColor="accent1" w:themeShade="BF"/>
              <w:left w:val="single" w:sz="8" w:space="0" w:color="2F5496" w:themeColor="accent1" w:themeShade="BF"/>
              <w:bottom w:val="single" w:sz="8" w:space="0" w:color="2F5496" w:themeColor="accent1" w:themeShade="BF"/>
              <w:right w:val="single" w:sz="8" w:space="0" w:color="2F5496" w:themeColor="accent1" w:themeShade="BF"/>
            </w:tcBorders>
            <w:vAlign w:val="center"/>
          </w:tcPr>
          <w:p w14:paraId="68AFCB1C" w14:textId="77777777" w:rsidR="00E849D6" w:rsidRPr="00E849D6" w:rsidDel="001D3205" w:rsidRDefault="00E849D6" w:rsidP="00E849D6">
            <w:pPr>
              <w:jc w:val="right"/>
              <w:rPr>
                <w:sz w:val="20"/>
                <w:szCs w:val="20"/>
              </w:rPr>
            </w:pPr>
            <w:r w:rsidRPr="00E849D6">
              <w:rPr>
                <w:sz w:val="20"/>
                <w:szCs w:val="20"/>
              </w:rPr>
              <w:t>1,449</w:t>
            </w:r>
          </w:p>
        </w:tc>
      </w:tr>
      <w:tr w:rsidR="00E849D6" w:rsidRPr="00C23F61" w14:paraId="2411499F" w14:textId="77777777" w:rsidTr="00E849D6">
        <w:trPr>
          <w:trHeight w:val="227"/>
        </w:trPr>
        <w:tc>
          <w:tcPr>
            <w:tcW w:w="4062" w:type="dxa"/>
            <w:shd w:val="clear" w:color="auto" w:fill="D9E2F3" w:themeFill="accent1" w:themeFillTint="33"/>
            <w:vAlign w:val="center"/>
          </w:tcPr>
          <w:p w14:paraId="68E8F861" w14:textId="77777777" w:rsidR="00E849D6" w:rsidRPr="001D3205" w:rsidRDefault="00E849D6" w:rsidP="00E849D6">
            <w:pPr>
              <w:spacing w:beforeLines="20" w:before="48" w:afterLines="20" w:after="48"/>
              <w:jc w:val="left"/>
              <w:rPr>
                <w:rFonts w:cs="Arial"/>
                <w:b/>
                <w:bCs/>
                <w:sz w:val="20"/>
                <w:szCs w:val="20"/>
              </w:rPr>
            </w:pPr>
            <w:r w:rsidRPr="001D3205">
              <w:rPr>
                <w:sz w:val="20"/>
                <w:szCs w:val="20"/>
              </w:rPr>
              <w:t>Swansea Bay</w:t>
            </w:r>
          </w:p>
        </w:tc>
        <w:tc>
          <w:tcPr>
            <w:tcW w:w="1680" w:type="dxa"/>
            <w:tcBorders>
              <w:top w:val="single" w:sz="8" w:space="0" w:color="2F5496" w:themeColor="accent1" w:themeShade="BF"/>
              <w:left w:val="single" w:sz="8" w:space="0" w:color="2F5496" w:themeColor="accent1" w:themeShade="BF"/>
              <w:bottom w:val="single" w:sz="8" w:space="0" w:color="2F5496" w:themeColor="accent1" w:themeShade="BF"/>
              <w:right w:val="single" w:sz="8" w:space="0" w:color="2F5496" w:themeColor="accent1" w:themeShade="BF"/>
            </w:tcBorders>
            <w:vAlign w:val="center"/>
          </w:tcPr>
          <w:p w14:paraId="4C8D8F9B" w14:textId="77777777" w:rsidR="00E849D6" w:rsidRPr="001D3205" w:rsidRDefault="00E849D6" w:rsidP="00E849D6">
            <w:pPr>
              <w:jc w:val="right"/>
              <w:rPr>
                <w:sz w:val="20"/>
                <w:szCs w:val="20"/>
              </w:rPr>
            </w:pPr>
            <w:r w:rsidRPr="0002703C">
              <w:rPr>
                <w:sz w:val="20"/>
                <w:szCs w:val="20"/>
              </w:rPr>
              <w:t>1.40%</w:t>
            </w:r>
          </w:p>
        </w:tc>
        <w:tc>
          <w:tcPr>
            <w:tcW w:w="1560" w:type="dxa"/>
            <w:tcBorders>
              <w:top w:val="single" w:sz="8" w:space="0" w:color="2F5496" w:themeColor="accent1" w:themeShade="BF"/>
              <w:left w:val="single" w:sz="8" w:space="0" w:color="2F5496" w:themeColor="accent1" w:themeShade="BF"/>
              <w:bottom w:val="single" w:sz="8" w:space="0" w:color="2F5496" w:themeColor="accent1" w:themeShade="BF"/>
              <w:right w:val="single" w:sz="8" w:space="0" w:color="2F5496" w:themeColor="accent1" w:themeShade="BF"/>
            </w:tcBorders>
            <w:vAlign w:val="center"/>
          </w:tcPr>
          <w:p w14:paraId="6DCB1C80" w14:textId="77777777" w:rsidR="00E849D6" w:rsidRPr="00E849D6" w:rsidDel="001D3205" w:rsidRDefault="00E849D6" w:rsidP="00E849D6">
            <w:pPr>
              <w:jc w:val="right"/>
              <w:rPr>
                <w:sz w:val="20"/>
                <w:szCs w:val="20"/>
              </w:rPr>
            </w:pPr>
            <w:r w:rsidRPr="00E849D6">
              <w:rPr>
                <w:sz w:val="20"/>
                <w:szCs w:val="20"/>
              </w:rPr>
              <w:t>72</w:t>
            </w:r>
          </w:p>
        </w:tc>
      </w:tr>
      <w:tr w:rsidR="00E849D6" w:rsidRPr="00C23F61" w14:paraId="3A8A47CC" w14:textId="77777777" w:rsidTr="00E849D6">
        <w:trPr>
          <w:trHeight w:val="227"/>
        </w:trPr>
        <w:tc>
          <w:tcPr>
            <w:tcW w:w="4062" w:type="dxa"/>
            <w:shd w:val="clear" w:color="auto" w:fill="D9E2F3" w:themeFill="accent1" w:themeFillTint="33"/>
            <w:vAlign w:val="center"/>
          </w:tcPr>
          <w:p w14:paraId="46421AA0" w14:textId="77777777" w:rsidR="00E849D6" w:rsidRPr="001D3205" w:rsidRDefault="00E849D6" w:rsidP="00E849D6">
            <w:pPr>
              <w:spacing w:beforeLines="20" w:before="48" w:afterLines="20" w:after="48"/>
              <w:jc w:val="left"/>
              <w:rPr>
                <w:rFonts w:cs="Arial"/>
                <w:b/>
                <w:bCs/>
                <w:sz w:val="20"/>
                <w:szCs w:val="20"/>
              </w:rPr>
            </w:pPr>
            <w:r w:rsidRPr="001D3205">
              <w:rPr>
                <w:sz w:val="20"/>
                <w:szCs w:val="20"/>
              </w:rPr>
              <w:t>Hywel Dda</w:t>
            </w:r>
          </w:p>
        </w:tc>
        <w:tc>
          <w:tcPr>
            <w:tcW w:w="1680" w:type="dxa"/>
            <w:tcBorders>
              <w:top w:val="single" w:sz="8" w:space="0" w:color="2F5496" w:themeColor="accent1" w:themeShade="BF"/>
              <w:left w:val="single" w:sz="8" w:space="0" w:color="2F5496" w:themeColor="accent1" w:themeShade="BF"/>
              <w:bottom w:val="single" w:sz="8" w:space="0" w:color="2F5496" w:themeColor="accent1" w:themeShade="BF"/>
              <w:right w:val="single" w:sz="8" w:space="0" w:color="2F5496" w:themeColor="accent1" w:themeShade="BF"/>
            </w:tcBorders>
            <w:vAlign w:val="center"/>
          </w:tcPr>
          <w:p w14:paraId="71043900" w14:textId="77777777" w:rsidR="00E849D6" w:rsidRPr="001D3205" w:rsidRDefault="00E849D6" w:rsidP="00E849D6">
            <w:pPr>
              <w:jc w:val="right"/>
              <w:rPr>
                <w:sz w:val="20"/>
                <w:szCs w:val="20"/>
              </w:rPr>
            </w:pPr>
            <w:r w:rsidRPr="0002703C">
              <w:rPr>
                <w:sz w:val="20"/>
                <w:szCs w:val="20"/>
              </w:rPr>
              <w:t>1.49%</w:t>
            </w:r>
          </w:p>
        </w:tc>
        <w:tc>
          <w:tcPr>
            <w:tcW w:w="1560" w:type="dxa"/>
            <w:tcBorders>
              <w:top w:val="single" w:sz="8" w:space="0" w:color="2F5496" w:themeColor="accent1" w:themeShade="BF"/>
              <w:left w:val="single" w:sz="8" w:space="0" w:color="2F5496" w:themeColor="accent1" w:themeShade="BF"/>
              <w:bottom w:val="single" w:sz="8" w:space="0" w:color="2F5496" w:themeColor="accent1" w:themeShade="BF"/>
              <w:right w:val="single" w:sz="8" w:space="0" w:color="2F5496" w:themeColor="accent1" w:themeShade="BF"/>
            </w:tcBorders>
            <w:vAlign w:val="center"/>
          </w:tcPr>
          <w:p w14:paraId="4A0B9CC7" w14:textId="77777777" w:rsidR="00E849D6" w:rsidRPr="00E849D6" w:rsidDel="001D3205" w:rsidRDefault="00E849D6" w:rsidP="00E849D6">
            <w:pPr>
              <w:jc w:val="right"/>
              <w:rPr>
                <w:sz w:val="20"/>
                <w:szCs w:val="20"/>
              </w:rPr>
            </w:pPr>
            <w:r w:rsidRPr="00E849D6">
              <w:rPr>
                <w:sz w:val="20"/>
                <w:szCs w:val="20"/>
              </w:rPr>
              <w:t>77</w:t>
            </w:r>
          </w:p>
        </w:tc>
      </w:tr>
      <w:tr w:rsidR="00E849D6" w:rsidRPr="00C23F61" w14:paraId="35048A2A" w14:textId="77777777" w:rsidTr="00E849D6">
        <w:trPr>
          <w:trHeight w:val="227"/>
        </w:trPr>
        <w:tc>
          <w:tcPr>
            <w:tcW w:w="4062" w:type="dxa"/>
            <w:tcBorders>
              <w:bottom w:val="single" w:sz="8" w:space="0" w:color="2F5496" w:themeColor="accent1" w:themeShade="BF"/>
            </w:tcBorders>
            <w:shd w:val="clear" w:color="auto" w:fill="D9E2F3" w:themeFill="accent1" w:themeFillTint="33"/>
            <w:vAlign w:val="center"/>
          </w:tcPr>
          <w:p w14:paraId="65F13E37" w14:textId="77777777" w:rsidR="00E849D6" w:rsidRPr="001D3205" w:rsidRDefault="00E849D6" w:rsidP="00E849D6">
            <w:pPr>
              <w:spacing w:beforeLines="20" w:before="48" w:afterLines="20" w:after="48"/>
              <w:jc w:val="left"/>
              <w:rPr>
                <w:rFonts w:cs="Arial"/>
                <w:b/>
                <w:bCs/>
                <w:sz w:val="20"/>
                <w:szCs w:val="20"/>
              </w:rPr>
            </w:pPr>
            <w:r w:rsidRPr="001D3205">
              <w:rPr>
                <w:sz w:val="20"/>
                <w:szCs w:val="20"/>
              </w:rPr>
              <w:t>Powys</w:t>
            </w:r>
          </w:p>
        </w:tc>
        <w:tc>
          <w:tcPr>
            <w:tcW w:w="1680" w:type="dxa"/>
            <w:tcBorders>
              <w:top w:val="single" w:sz="8" w:space="0" w:color="2F5496" w:themeColor="accent1" w:themeShade="BF"/>
              <w:left w:val="single" w:sz="8" w:space="0" w:color="2F5496" w:themeColor="accent1" w:themeShade="BF"/>
              <w:bottom w:val="single" w:sz="8" w:space="0" w:color="2F5496" w:themeColor="accent1" w:themeShade="BF"/>
              <w:right w:val="single" w:sz="8" w:space="0" w:color="2F5496" w:themeColor="accent1" w:themeShade="BF"/>
            </w:tcBorders>
            <w:vAlign w:val="center"/>
          </w:tcPr>
          <w:p w14:paraId="72ECAD67" w14:textId="77777777" w:rsidR="00E849D6" w:rsidRPr="001D3205" w:rsidRDefault="00E849D6" w:rsidP="00E849D6">
            <w:pPr>
              <w:jc w:val="right"/>
              <w:rPr>
                <w:sz w:val="20"/>
                <w:szCs w:val="20"/>
              </w:rPr>
            </w:pPr>
            <w:r w:rsidRPr="0002703C">
              <w:rPr>
                <w:sz w:val="20"/>
                <w:szCs w:val="20"/>
              </w:rPr>
              <w:t>1.59%</w:t>
            </w:r>
          </w:p>
        </w:tc>
        <w:tc>
          <w:tcPr>
            <w:tcW w:w="1560" w:type="dxa"/>
            <w:tcBorders>
              <w:top w:val="single" w:sz="8" w:space="0" w:color="2F5496" w:themeColor="accent1" w:themeShade="BF"/>
              <w:left w:val="single" w:sz="8" w:space="0" w:color="2F5496" w:themeColor="accent1" w:themeShade="BF"/>
              <w:bottom w:val="single" w:sz="8" w:space="0" w:color="2F5496" w:themeColor="accent1" w:themeShade="BF"/>
              <w:right w:val="single" w:sz="8" w:space="0" w:color="2F5496" w:themeColor="accent1" w:themeShade="BF"/>
            </w:tcBorders>
            <w:vAlign w:val="center"/>
          </w:tcPr>
          <w:p w14:paraId="7CC5380F" w14:textId="77777777" w:rsidR="00E849D6" w:rsidRPr="00E849D6" w:rsidDel="001D3205" w:rsidRDefault="00E849D6" w:rsidP="00E849D6">
            <w:pPr>
              <w:jc w:val="right"/>
              <w:rPr>
                <w:sz w:val="20"/>
                <w:szCs w:val="20"/>
              </w:rPr>
            </w:pPr>
            <w:r w:rsidRPr="00E849D6">
              <w:rPr>
                <w:sz w:val="20"/>
                <w:szCs w:val="20"/>
              </w:rPr>
              <w:t>82</w:t>
            </w:r>
          </w:p>
        </w:tc>
      </w:tr>
      <w:tr w:rsidR="00E849D6" w:rsidRPr="00C23F61" w14:paraId="0CAD30D3" w14:textId="77777777" w:rsidTr="00BB1691">
        <w:trPr>
          <w:trHeight w:val="227"/>
        </w:trPr>
        <w:tc>
          <w:tcPr>
            <w:tcW w:w="4062" w:type="dxa"/>
            <w:tcBorders>
              <w:top w:val="single" w:sz="8" w:space="0" w:color="2F5496" w:themeColor="accent1" w:themeShade="BF"/>
            </w:tcBorders>
            <w:shd w:val="clear" w:color="auto" w:fill="DEEAF6"/>
            <w:vAlign w:val="center"/>
          </w:tcPr>
          <w:p w14:paraId="0A354AB2" w14:textId="77777777" w:rsidR="00E849D6" w:rsidRPr="0002703C" w:rsidRDefault="00E849D6" w:rsidP="00BB1691">
            <w:pPr>
              <w:spacing w:beforeLines="20" w:before="48" w:afterLines="20" w:after="48"/>
              <w:jc w:val="left"/>
              <w:rPr>
                <w:rFonts w:cs="Arial"/>
                <w:b/>
                <w:bCs/>
                <w:color w:val="FFFFFF" w:themeColor="background1"/>
                <w:sz w:val="20"/>
                <w:szCs w:val="20"/>
              </w:rPr>
            </w:pPr>
            <w:r w:rsidRPr="0002703C">
              <w:rPr>
                <w:rFonts w:cs="Arial"/>
                <w:b/>
                <w:color w:val="000000" w:themeColor="text1"/>
                <w:sz w:val="20"/>
                <w:szCs w:val="20"/>
              </w:rPr>
              <w:t xml:space="preserve">Total </w:t>
            </w:r>
          </w:p>
        </w:tc>
        <w:tc>
          <w:tcPr>
            <w:tcW w:w="1680" w:type="dxa"/>
            <w:tcBorders>
              <w:top w:val="single" w:sz="8" w:space="0" w:color="2F5496" w:themeColor="accent1" w:themeShade="BF"/>
              <w:left w:val="single" w:sz="8" w:space="0" w:color="2F5496" w:themeColor="accent1" w:themeShade="BF"/>
              <w:bottom w:val="single" w:sz="8" w:space="0" w:color="2F5496" w:themeColor="accent1" w:themeShade="BF"/>
              <w:right w:val="single" w:sz="8" w:space="0" w:color="2F5496" w:themeColor="accent1" w:themeShade="BF"/>
            </w:tcBorders>
            <w:shd w:val="clear" w:color="auto" w:fill="F2F2F2" w:themeFill="background1" w:themeFillShade="F2"/>
            <w:vAlign w:val="center"/>
          </w:tcPr>
          <w:p w14:paraId="397F558C" w14:textId="77777777" w:rsidR="00E849D6" w:rsidRPr="001D3205" w:rsidRDefault="00E849D6" w:rsidP="00BB1691">
            <w:pPr>
              <w:jc w:val="right"/>
              <w:rPr>
                <w:b/>
                <w:sz w:val="20"/>
                <w:szCs w:val="20"/>
              </w:rPr>
            </w:pPr>
            <w:r w:rsidRPr="001D3205">
              <w:rPr>
                <w:b/>
                <w:sz w:val="20"/>
                <w:szCs w:val="20"/>
              </w:rPr>
              <w:t>100%</w:t>
            </w:r>
          </w:p>
        </w:tc>
        <w:tc>
          <w:tcPr>
            <w:tcW w:w="1560" w:type="dxa"/>
            <w:tcBorders>
              <w:top w:val="single" w:sz="8" w:space="0" w:color="2F5496" w:themeColor="accent1" w:themeShade="BF"/>
              <w:left w:val="single" w:sz="8" w:space="0" w:color="2F5496" w:themeColor="accent1" w:themeShade="BF"/>
              <w:bottom w:val="single" w:sz="8" w:space="0" w:color="2F5496" w:themeColor="accent1" w:themeShade="BF"/>
              <w:right w:val="single" w:sz="8" w:space="0" w:color="2F5496" w:themeColor="accent1" w:themeShade="BF"/>
            </w:tcBorders>
            <w:shd w:val="clear" w:color="auto" w:fill="F2F2F2" w:themeFill="background1" w:themeFillShade="F2"/>
            <w:vAlign w:val="center"/>
          </w:tcPr>
          <w:p w14:paraId="6501AF41" w14:textId="77777777" w:rsidR="00E849D6" w:rsidRPr="0002703C" w:rsidDel="001D3205" w:rsidRDefault="00E849D6" w:rsidP="00BB1691">
            <w:pPr>
              <w:jc w:val="right"/>
              <w:rPr>
                <w:b/>
                <w:sz w:val="20"/>
                <w:szCs w:val="20"/>
              </w:rPr>
            </w:pPr>
            <w:r>
              <w:rPr>
                <w:b/>
                <w:sz w:val="20"/>
                <w:szCs w:val="20"/>
              </w:rPr>
              <w:t>5,155</w:t>
            </w:r>
          </w:p>
        </w:tc>
      </w:tr>
    </w:tbl>
    <w:p w14:paraId="6B36CAD1" w14:textId="77777777" w:rsidR="00E849D6" w:rsidRDefault="00E849D6" w:rsidP="001A313B">
      <w:pPr>
        <w:ind w:left="851"/>
      </w:pPr>
      <w:r w:rsidRPr="00C23F61">
        <w:rPr>
          <w:rFonts w:cs="Arial"/>
          <w:i/>
          <w:sz w:val="18"/>
          <w:szCs w:val="18"/>
        </w:rPr>
        <w:t xml:space="preserve">Note: All costs are </w:t>
      </w:r>
      <w:r>
        <w:rPr>
          <w:rFonts w:cs="Arial"/>
          <w:i/>
          <w:sz w:val="18"/>
          <w:szCs w:val="18"/>
        </w:rPr>
        <w:t>at</w:t>
      </w:r>
      <w:r w:rsidRPr="00C23F61">
        <w:rPr>
          <w:rFonts w:cs="Arial"/>
          <w:i/>
          <w:sz w:val="18"/>
          <w:szCs w:val="18"/>
        </w:rPr>
        <w:t xml:space="preserve"> </w:t>
      </w:r>
      <w:r>
        <w:rPr>
          <w:rFonts w:cs="Arial"/>
          <w:i/>
          <w:sz w:val="18"/>
          <w:szCs w:val="18"/>
        </w:rPr>
        <w:t>2022-23</w:t>
      </w:r>
      <w:r w:rsidRPr="00C23F61">
        <w:rPr>
          <w:rFonts w:cs="Arial"/>
          <w:i/>
          <w:sz w:val="18"/>
          <w:szCs w:val="18"/>
        </w:rPr>
        <w:t xml:space="preserve"> price levels</w:t>
      </w:r>
    </w:p>
    <w:p w14:paraId="300FAEA9" w14:textId="77777777" w:rsidR="00E849D6" w:rsidRDefault="00E849D6" w:rsidP="00F548E8">
      <w:pPr>
        <w:ind w:left="720" w:hanging="720"/>
      </w:pPr>
    </w:p>
    <w:p w14:paraId="64AC5140" w14:textId="77777777" w:rsidR="000E3FFC" w:rsidRPr="00F548E8" w:rsidRDefault="001A313B" w:rsidP="00F548E8">
      <w:pPr>
        <w:ind w:left="720" w:hanging="720"/>
      </w:pPr>
      <w:r>
        <w:t>2.4</w:t>
      </w:r>
      <w:r w:rsidR="004928F5">
        <w:t>5</w:t>
      </w:r>
      <w:r>
        <w:tab/>
      </w:r>
      <w:r w:rsidR="00C11D5E" w:rsidRPr="009A59A1">
        <w:t>It is</w:t>
      </w:r>
      <w:r w:rsidR="00C11D5E" w:rsidRPr="00C11D5E">
        <w:t xml:space="preserve"> planned that the Welsh Government will fund the Annual Service Payment and increased buildings and equipment depreciation. It should be noted that there is a recurring revenue requirement for Depreciation of </w:t>
      </w:r>
      <w:r w:rsidR="00C11D5E" w:rsidRPr="000C1E64">
        <w:rPr>
          <w:b/>
          <w:bCs/>
        </w:rPr>
        <w:t>c£</w:t>
      </w:r>
      <w:r w:rsidR="002A717D" w:rsidRPr="000C1E64">
        <w:rPr>
          <w:b/>
          <w:bCs/>
        </w:rPr>
        <w:t>10.9</w:t>
      </w:r>
      <w:r w:rsidR="00C11D5E" w:rsidRPr="000C1E64">
        <w:rPr>
          <w:b/>
          <w:bCs/>
        </w:rPr>
        <w:t>m</w:t>
      </w:r>
      <w:r w:rsidR="00C11D5E" w:rsidRPr="00C11D5E">
        <w:t xml:space="preserve"> (at 2022-23 prices). In respect of the Annual Service Payment for the Project, this will not be</w:t>
      </w:r>
      <w:r w:rsidR="00C47426">
        <w:t xml:space="preserve"> finalised</w:t>
      </w:r>
      <w:r w:rsidR="00C11D5E" w:rsidRPr="00C11D5E">
        <w:t xml:space="preserve"> until the day of Financial Close</w:t>
      </w:r>
      <w:r w:rsidR="00C47426">
        <w:t>. Given commercial confidentiality,</w:t>
      </w:r>
      <w:r w:rsidR="00C11D5E" w:rsidRPr="00C11D5E">
        <w:t xml:space="preserve"> it has been deemed appropriate not to present an ASP</w:t>
      </w:r>
      <w:r w:rsidR="00C47426">
        <w:t>.</w:t>
      </w:r>
    </w:p>
    <w:p w14:paraId="41B5E582" w14:textId="77777777" w:rsidR="000E3FFC" w:rsidRPr="009A50E8" w:rsidRDefault="000E3FFC" w:rsidP="000F5FDD">
      <w:pPr>
        <w:ind w:left="360" w:hanging="360"/>
      </w:pPr>
    </w:p>
    <w:p w14:paraId="7A327D39" w14:textId="77777777" w:rsidR="000E3FFC" w:rsidRDefault="000E3FFC" w:rsidP="009A50E8">
      <w:pPr>
        <w:pStyle w:val="BJC2nd"/>
      </w:pPr>
      <w:r w:rsidRPr="009A50E8">
        <w:lastRenderedPageBreak/>
        <w:t>Non-Recurring Revenue Funding</w:t>
      </w:r>
    </w:p>
    <w:p w14:paraId="7DFADB1B" w14:textId="77777777" w:rsidR="00FE3A51" w:rsidRDefault="00FE3A51" w:rsidP="009A50E8">
      <w:pPr>
        <w:pStyle w:val="BJC2nd"/>
      </w:pPr>
    </w:p>
    <w:p w14:paraId="1BB48E20" w14:textId="77777777" w:rsidR="000E3FFC" w:rsidRPr="00C23F61" w:rsidRDefault="00705612" w:rsidP="00F548E8">
      <w:pPr>
        <w:ind w:left="720" w:hanging="720"/>
      </w:pPr>
      <w:r>
        <w:t>2.</w:t>
      </w:r>
      <w:r w:rsidR="009A59A1">
        <w:t>4</w:t>
      </w:r>
      <w:r w:rsidR="004928F5">
        <w:t>6</w:t>
      </w:r>
      <w:r w:rsidR="00F548E8">
        <w:tab/>
      </w:r>
      <w:r w:rsidR="000E3FFC" w:rsidRPr="00C23F61">
        <w:t>Non-recurring revenue costs, including accelerated depreciation, dual running, and project support will be funded by the Welsh Government and Commissioners</w:t>
      </w:r>
      <w:r w:rsidR="00874037">
        <w:t xml:space="preserve"> and are set out i</w:t>
      </w:r>
      <w:r w:rsidR="003A1E19">
        <w:t>n</w:t>
      </w:r>
      <w:r w:rsidR="00874037">
        <w:t xml:space="preserve"> </w:t>
      </w:r>
      <w:r w:rsidR="003A1E19">
        <w:t>T</w:t>
      </w:r>
      <w:r w:rsidR="00874037">
        <w:t>able</w:t>
      </w:r>
      <w:r w:rsidR="003A1E19">
        <w:t xml:space="preserve"> 1</w:t>
      </w:r>
      <w:r w:rsidR="001A313B">
        <w:t>9.</w:t>
      </w:r>
    </w:p>
    <w:p w14:paraId="78BD2A14" w14:textId="77777777" w:rsidR="00CF0D6C" w:rsidRPr="00CF0D6C" w:rsidRDefault="00CF0D6C" w:rsidP="00CF0D6C"/>
    <w:p w14:paraId="0C0433E9" w14:textId="77777777" w:rsidR="000E3FFC" w:rsidRPr="006D7A49" w:rsidRDefault="000E3FFC" w:rsidP="006D7A49">
      <w:pPr>
        <w:pStyle w:val="Caption"/>
        <w:keepNext/>
        <w:ind w:left="720" w:firstLine="131"/>
        <w:rPr>
          <w:iCs w:val="0"/>
          <w:color w:val="2F5496"/>
          <w:sz w:val="20"/>
          <w:szCs w:val="20"/>
        </w:rPr>
      </w:pPr>
      <w:r w:rsidRPr="006D7A49">
        <w:rPr>
          <w:iCs w:val="0"/>
          <w:color w:val="2F5496"/>
          <w:sz w:val="20"/>
          <w:szCs w:val="20"/>
        </w:rPr>
        <w:t xml:space="preserve">Table </w:t>
      </w:r>
      <w:r w:rsidR="00874037" w:rsidRPr="006D7A49">
        <w:rPr>
          <w:iCs w:val="0"/>
          <w:color w:val="2F5496"/>
          <w:sz w:val="20"/>
          <w:szCs w:val="20"/>
        </w:rPr>
        <w:t>1</w:t>
      </w:r>
      <w:r w:rsidR="001A313B" w:rsidRPr="006D7A49">
        <w:rPr>
          <w:iCs w:val="0"/>
          <w:color w:val="2F5496"/>
          <w:sz w:val="20"/>
          <w:szCs w:val="20"/>
        </w:rPr>
        <w:t>9</w:t>
      </w:r>
      <w:r w:rsidR="00874037" w:rsidRPr="006D7A49">
        <w:rPr>
          <w:iCs w:val="0"/>
          <w:color w:val="2F5496"/>
          <w:sz w:val="20"/>
          <w:szCs w:val="20"/>
        </w:rPr>
        <w:t xml:space="preserve"> - </w:t>
      </w:r>
      <w:r w:rsidRPr="006D7A49">
        <w:rPr>
          <w:iCs w:val="0"/>
          <w:color w:val="2F5496"/>
          <w:sz w:val="20"/>
          <w:szCs w:val="20"/>
        </w:rPr>
        <w:t>Summary Non-Recurring Revenue Requirements</w:t>
      </w:r>
    </w:p>
    <w:tbl>
      <w:tblPr>
        <w:tblpPr w:leftFromText="180" w:rightFromText="180" w:vertAnchor="text" w:horzAnchor="page" w:tblpX="2217" w:tblpY="86"/>
        <w:tblW w:w="7928" w:type="dxa"/>
        <w:tblBorders>
          <w:top w:val="single" w:sz="8" w:space="0" w:color="2F5496" w:themeColor="accent1" w:themeShade="BF"/>
          <w:left w:val="single" w:sz="8" w:space="0" w:color="2F5496" w:themeColor="accent1" w:themeShade="BF"/>
          <w:bottom w:val="single" w:sz="8" w:space="0" w:color="2F5496" w:themeColor="accent1" w:themeShade="BF"/>
          <w:right w:val="single" w:sz="8" w:space="0" w:color="2F5496" w:themeColor="accent1" w:themeShade="BF"/>
          <w:insideH w:val="single" w:sz="8" w:space="0" w:color="2F5496" w:themeColor="accent1" w:themeShade="BF"/>
          <w:insideV w:val="single" w:sz="8" w:space="0" w:color="2F5496" w:themeColor="accent1" w:themeShade="BF"/>
        </w:tblBorders>
        <w:tblLayout w:type="fixed"/>
        <w:tblLook w:val="04A0" w:firstRow="1" w:lastRow="0" w:firstColumn="1" w:lastColumn="0" w:noHBand="0" w:noVBand="1"/>
      </w:tblPr>
      <w:tblGrid>
        <w:gridCol w:w="4345"/>
        <w:gridCol w:w="1457"/>
        <w:gridCol w:w="2126"/>
      </w:tblGrid>
      <w:tr w:rsidR="000E3FFC" w:rsidRPr="00C23F61" w14:paraId="71E511C5" w14:textId="77777777" w:rsidTr="006D7A49">
        <w:tc>
          <w:tcPr>
            <w:tcW w:w="4345" w:type="dxa"/>
            <w:shd w:val="clear" w:color="auto" w:fill="1F3864" w:themeFill="accent1" w:themeFillShade="80"/>
            <w:vAlign w:val="center"/>
          </w:tcPr>
          <w:p w14:paraId="184821D4" w14:textId="77777777" w:rsidR="000E3FFC" w:rsidRPr="00C23F61" w:rsidRDefault="000E3FFC" w:rsidP="006D7A49">
            <w:pPr>
              <w:spacing w:line="276" w:lineRule="auto"/>
              <w:jc w:val="left"/>
              <w:rPr>
                <w:b/>
                <w:bCs/>
                <w:color w:val="FFFFFF" w:themeColor="background1"/>
                <w:sz w:val="20"/>
                <w:szCs w:val="20"/>
              </w:rPr>
            </w:pPr>
            <w:r w:rsidRPr="00C23F61">
              <w:rPr>
                <w:b/>
                <w:bCs/>
                <w:color w:val="FFFFFF" w:themeColor="background1"/>
                <w:sz w:val="20"/>
                <w:szCs w:val="20"/>
              </w:rPr>
              <w:t>Cost category</w:t>
            </w:r>
          </w:p>
        </w:tc>
        <w:tc>
          <w:tcPr>
            <w:tcW w:w="1457" w:type="dxa"/>
            <w:shd w:val="clear" w:color="auto" w:fill="1F3864" w:themeFill="accent1" w:themeFillShade="80"/>
          </w:tcPr>
          <w:p w14:paraId="22466DA0" w14:textId="77777777" w:rsidR="000E3FFC" w:rsidRPr="00C23F61" w:rsidRDefault="000E3FFC" w:rsidP="006D7A49">
            <w:pPr>
              <w:spacing w:line="276" w:lineRule="auto"/>
              <w:jc w:val="center"/>
              <w:rPr>
                <w:b/>
                <w:color w:val="FFFFFF" w:themeColor="background1"/>
                <w:sz w:val="20"/>
                <w:szCs w:val="20"/>
              </w:rPr>
            </w:pPr>
            <w:r w:rsidRPr="00C23F61">
              <w:rPr>
                <w:b/>
                <w:color w:val="FFFFFF" w:themeColor="background1"/>
                <w:sz w:val="20"/>
                <w:szCs w:val="20"/>
              </w:rPr>
              <w:t xml:space="preserve">Funding </w:t>
            </w:r>
            <w:proofErr w:type="spellStart"/>
            <w:r w:rsidRPr="00C23F61">
              <w:rPr>
                <w:b/>
                <w:color w:val="FFFFFF" w:themeColor="background1"/>
                <w:sz w:val="20"/>
                <w:szCs w:val="20"/>
              </w:rPr>
              <w:t>Reqd</w:t>
            </w:r>
            <w:proofErr w:type="spellEnd"/>
          </w:p>
          <w:p w14:paraId="02E86207" w14:textId="77777777" w:rsidR="000E3FFC" w:rsidRPr="00C23F61" w:rsidRDefault="000E3FFC" w:rsidP="006D7A49">
            <w:pPr>
              <w:spacing w:line="276" w:lineRule="auto"/>
              <w:jc w:val="center"/>
              <w:rPr>
                <w:b/>
                <w:color w:val="FFFFFF" w:themeColor="background1"/>
                <w:sz w:val="20"/>
                <w:szCs w:val="20"/>
              </w:rPr>
            </w:pPr>
            <w:r w:rsidRPr="00C23F61">
              <w:rPr>
                <w:b/>
                <w:color w:val="FFFFFF" w:themeColor="background1"/>
                <w:sz w:val="20"/>
                <w:szCs w:val="20"/>
              </w:rPr>
              <w:t>£000</w:t>
            </w:r>
          </w:p>
        </w:tc>
        <w:tc>
          <w:tcPr>
            <w:tcW w:w="2126" w:type="dxa"/>
            <w:shd w:val="clear" w:color="auto" w:fill="1F3864" w:themeFill="accent1" w:themeFillShade="80"/>
            <w:vAlign w:val="center"/>
          </w:tcPr>
          <w:p w14:paraId="28056449" w14:textId="77777777" w:rsidR="000E3FFC" w:rsidRPr="00C23F61" w:rsidRDefault="000E3FFC" w:rsidP="006D7A49">
            <w:pPr>
              <w:spacing w:line="276" w:lineRule="auto"/>
              <w:jc w:val="left"/>
              <w:rPr>
                <w:b/>
                <w:bCs/>
                <w:color w:val="FFFFFF" w:themeColor="background1"/>
                <w:sz w:val="20"/>
                <w:szCs w:val="20"/>
              </w:rPr>
            </w:pPr>
            <w:r w:rsidRPr="00C23F61">
              <w:rPr>
                <w:b/>
                <w:bCs/>
                <w:color w:val="FFFFFF" w:themeColor="background1"/>
                <w:sz w:val="20"/>
                <w:szCs w:val="20"/>
              </w:rPr>
              <w:t>Source of Funding</w:t>
            </w:r>
          </w:p>
        </w:tc>
      </w:tr>
      <w:tr w:rsidR="000E3FFC" w:rsidRPr="00C23F61" w14:paraId="6E593DD4" w14:textId="77777777" w:rsidTr="006D7A49">
        <w:trPr>
          <w:trHeight w:val="284"/>
        </w:trPr>
        <w:tc>
          <w:tcPr>
            <w:tcW w:w="4345" w:type="dxa"/>
            <w:shd w:val="clear" w:color="auto" w:fill="D9E2F3" w:themeFill="accent1" w:themeFillTint="33"/>
            <w:vAlign w:val="center"/>
          </w:tcPr>
          <w:p w14:paraId="7BE7ADD2" w14:textId="77777777" w:rsidR="000E3FFC" w:rsidRPr="00C23F61" w:rsidRDefault="000E3FFC" w:rsidP="006D7A49">
            <w:pPr>
              <w:rPr>
                <w:sz w:val="20"/>
                <w:szCs w:val="20"/>
              </w:rPr>
            </w:pPr>
            <w:r w:rsidRPr="00C23F61">
              <w:rPr>
                <w:sz w:val="20"/>
                <w:szCs w:val="20"/>
              </w:rPr>
              <w:t>Accelerated depreciation</w:t>
            </w:r>
          </w:p>
        </w:tc>
        <w:tc>
          <w:tcPr>
            <w:tcW w:w="1457" w:type="dxa"/>
            <w:tcBorders>
              <w:top w:val="nil"/>
              <w:left w:val="single" w:sz="8" w:space="0" w:color="2F5496" w:themeColor="accent1" w:themeShade="BF"/>
              <w:bottom w:val="single" w:sz="8" w:space="0" w:color="2E74B5"/>
              <w:right w:val="single" w:sz="8" w:space="0" w:color="2F5496" w:themeColor="accent1" w:themeShade="BF"/>
            </w:tcBorders>
            <w:vAlign w:val="center"/>
          </w:tcPr>
          <w:p w14:paraId="020449DA" w14:textId="77777777" w:rsidR="000E3FFC" w:rsidRPr="00C23F61" w:rsidRDefault="000E3FFC" w:rsidP="006D7A49">
            <w:pPr>
              <w:spacing w:before="20" w:after="20"/>
              <w:jc w:val="right"/>
              <w:rPr>
                <w:sz w:val="20"/>
                <w:szCs w:val="20"/>
              </w:rPr>
            </w:pPr>
            <w:r>
              <w:rPr>
                <w:sz w:val="20"/>
                <w:szCs w:val="20"/>
              </w:rPr>
              <w:t>31,437</w:t>
            </w:r>
          </w:p>
        </w:tc>
        <w:tc>
          <w:tcPr>
            <w:tcW w:w="2126" w:type="dxa"/>
            <w:tcBorders>
              <w:top w:val="nil"/>
              <w:left w:val="single" w:sz="8" w:space="0" w:color="2F5496" w:themeColor="accent1" w:themeShade="BF"/>
              <w:bottom w:val="single" w:sz="8" w:space="0" w:color="2E74B5"/>
              <w:right w:val="single" w:sz="8" w:space="0" w:color="2E74B5"/>
            </w:tcBorders>
            <w:shd w:val="clear" w:color="auto" w:fill="auto"/>
            <w:vAlign w:val="center"/>
          </w:tcPr>
          <w:p w14:paraId="7991EDB5" w14:textId="77777777" w:rsidR="000E3FFC" w:rsidRPr="00C23F61" w:rsidRDefault="000E3FFC" w:rsidP="006D7A49">
            <w:pPr>
              <w:rPr>
                <w:sz w:val="20"/>
                <w:szCs w:val="20"/>
              </w:rPr>
            </w:pPr>
            <w:r w:rsidRPr="00C23F61">
              <w:rPr>
                <w:rFonts w:cs="Arial"/>
                <w:sz w:val="20"/>
                <w:szCs w:val="20"/>
              </w:rPr>
              <w:t>Welsh Government</w:t>
            </w:r>
          </w:p>
        </w:tc>
      </w:tr>
      <w:tr w:rsidR="000E3FFC" w:rsidRPr="00C23F61" w14:paraId="4326D8EA" w14:textId="77777777" w:rsidTr="006D7A49">
        <w:trPr>
          <w:trHeight w:val="284"/>
        </w:trPr>
        <w:tc>
          <w:tcPr>
            <w:tcW w:w="4345" w:type="dxa"/>
            <w:shd w:val="clear" w:color="auto" w:fill="D9E2F3" w:themeFill="accent1" w:themeFillTint="33"/>
            <w:vAlign w:val="center"/>
          </w:tcPr>
          <w:p w14:paraId="70A5CF58" w14:textId="77777777" w:rsidR="000E3FFC" w:rsidRPr="00C23F61" w:rsidRDefault="000E3FFC" w:rsidP="006D7A49">
            <w:pPr>
              <w:rPr>
                <w:sz w:val="20"/>
                <w:szCs w:val="20"/>
              </w:rPr>
            </w:pPr>
            <w:r w:rsidRPr="00C23F61">
              <w:rPr>
                <w:sz w:val="20"/>
                <w:szCs w:val="20"/>
              </w:rPr>
              <w:t>Dual Site Running Costs</w:t>
            </w:r>
          </w:p>
        </w:tc>
        <w:tc>
          <w:tcPr>
            <w:tcW w:w="1457" w:type="dxa"/>
            <w:tcBorders>
              <w:top w:val="nil"/>
              <w:left w:val="single" w:sz="8" w:space="0" w:color="2F5496" w:themeColor="accent1" w:themeShade="BF"/>
              <w:bottom w:val="single" w:sz="8" w:space="0" w:color="2E74B5"/>
              <w:right w:val="single" w:sz="8" w:space="0" w:color="2F5496" w:themeColor="accent1" w:themeShade="BF"/>
            </w:tcBorders>
            <w:vAlign w:val="center"/>
          </w:tcPr>
          <w:p w14:paraId="24106160" w14:textId="77777777" w:rsidR="000E3FFC" w:rsidRPr="00C23F61" w:rsidRDefault="000E3FFC" w:rsidP="006D7A49">
            <w:pPr>
              <w:jc w:val="right"/>
              <w:rPr>
                <w:sz w:val="20"/>
                <w:szCs w:val="20"/>
              </w:rPr>
            </w:pPr>
            <w:r>
              <w:rPr>
                <w:sz w:val="20"/>
                <w:szCs w:val="20"/>
              </w:rPr>
              <w:t>2,412</w:t>
            </w:r>
          </w:p>
        </w:tc>
        <w:tc>
          <w:tcPr>
            <w:tcW w:w="2126" w:type="dxa"/>
            <w:tcBorders>
              <w:top w:val="nil"/>
              <w:left w:val="single" w:sz="8" w:space="0" w:color="2F5496" w:themeColor="accent1" w:themeShade="BF"/>
              <w:bottom w:val="single" w:sz="8" w:space="0" w:color="2E74B5"/>
              <w:right w:val="single" w:sz="8" w:space="0" w:color="2E74B5"/>
            </w:tcBorders>
            <w:shd w:val="clear" w:color="auto" w:fill="auto"/>
            <w:vAlign w:val="center"/>
          </w:tcPr>
          <w:p w14:paraId="237463D6" w14:textId="77777777" w:rsidR="000E3FFC" w:rsidRPr="00C23F61" w:rsidRDefault="000E3FFC" w:rsidP="006D7A49">
            <w:pPr>
              <w:rPr>
                <w:sz w:val="20"/>
                <w:szCs w:val="20"/>
              </w:rPr>
            </w:pPr>
            <w:r w:rsidRPr="00C23F61">
              <w:rPr>
                <w:rFonts w:cs="Arial"/>
                <w:sz w:val="20"/>
                <w:szCs w:val="20"/>
              </w:rPr>
              <w:t>Commissioners</w:t>
            </w:r>
          </w:p>
        </w:tc>
      </w:tr>
      <w:tr w:rsidR="000E3FFC" w:rsidRPr="00C23F61" w14:paraId="5650B6BE" w14:textId="77777777" w:rsidTr="006D7A49">
        <w:trPr>
          <w:trHeight w:val="284"/>
        </w:trPr>
        <w:tc>
          <w:tcPr>
            <w:tcW w:w="4345" w:type="dxa"/>
            <w:shd w:val="clear" w:color="auto" w:fill="D9E2F3" w:themeFill="accent1" w:themeFillTint="33"/>
            <w:vAlign w:val="center"/>
          </w:tcPr>
          <w:p w14:paraId="445C707C" w14:textId="77777777" w:rsidR="000E3FFC" w:rsidRPr="00C23F61" w:rsidRDefault="000E3FFC" w:rsidP="006D7A49">
            <w:pPr>
              <w:rPr>
                <w:b/>
                <w:sz w:val="20"/>
                <w:szCs w:val="20"/>
              </w:rPr>
            </w:pPr>
            <w:r w:rsidRPr="00C23F61">
              <w:rPr>
                <w:b/>
                <w:sz w:val="20"/>
                <w:szCs w:val="20"/>
              </w:rPr>
              <w:t>Total Non-Recurring Revenue Costs</w:t>
            </w:r>
          </w:p>
        </w:tc>
        <w:tc>
          <w:tcPr>
            <w:tcW w:w="1457" w:type="dxa"/>
            <w:tcBorders>
              <w:top w:val="nil"/>
              <w:left w:val="single" w:sz="8" w:space="0" w:color="2F5496" w:themeColor="accent1" w:themeShade="BF"/>
              <w:bottom w:val="single" w:sz="8" w:space="0" w:color="2E74B5"/>
              <w:right w:val="single" w:sz="8" w:space="0" w:color="2F5496" w:themeColor="accent1" w:themeShade="BF"/>
            </w:tcBorders>
            <w:shd w:val="clear" w:color="auto" w:fill="F2F2F2" w:themeFill="background1" w:themeFillShade="F2"/>
            <w:vAlign w:val="center"/>
          </w:tcPr>
          <w:p w14:paraId="295418F8" w14:textId="77777777" w:rsidR="000E3FFC" w:rsidRPr="00C23F61" w:rsidRDefault="000E3FFC" w:rsidP="006D7A49">
            <w:pPr>
              <w:spacing w:before="20" w:after="20"/>
              <w:jc w:val="right"/>
              <w:rPr>
                <w:b/>
                <w:sz w:val="20"/>
                <w:szCs w:val="20"/>
              </w:rPr>
            </w:pPr>
            <w:r>
              <w:rPr>
                <w:b/>
                <w:sz w:val="20"/>
                <w:szCs w:val="20"/>
              </w:rPr>
              <w:t>33,849</w:t>
            </w:r>
          </w:p>
        </w:tc>
        <w:tc>
          <w:tcPr>
            <w:tcW w:w="2126" w:type="dxa"/>
            <w:tcBorders>
              <w:top w:val="nil"/>
              <w:left w:val="single" w:sz="8" w:space="0" w:color="2F5496" w:themeColor="accent1" w:themeShade="BF"/>
              <w:bottom w:val="single" w:sz="8" w:space="0" w:color="2E74B5"/>
              <w:right w:val="single" w:sz="8" w:space="0" w:color="2E74B5"/>
            </w:tcBorders>
            <w:shd w:val="clear" w:color="auto" w:fill="F2F2F2" w:themeFill="background1" w:themeFillShade="F2"/>
            <w:vAlign w:val="center"/>
          </w:tcPr>
          <w:p w14:paraId="1A4EA65B" w14:textId="77777777" w:rsidR="000E3FFC" w:rsidRPr="00C23F61" w:rsidRDefault="000E3FFC" w:rsidP="006D7A49">
            <w:pPr>
              <w:rPr>
                <w:b/>
                <w:sz w:val="20"/>
                <w:szCs w:val="20"/>
              </w:rPr>
            </w:pPr>
          </w:p>
        </w:tc>
      </w:tr>
    </w:tbl>
    <w:p w14:paraId="717F6E03" w14:textId="77777777" w:rsidR="002A717D" w:rsidRDefault="002A717D" w:rsidP="002A717D">
      <w:pPr>
        <w:rPr>
          <w:rFonts w:cs="Arial"/>
          <w:i/>
          <w:sz w:val="18"/>
          <w:szCs w:val="18"/>
        </w:rPr>
      </w:pPr>
    </w:p>
    <w:p w14:paraId="40AC64DF" w14:textId="77777777" w:rsidR="002A717D" w:rsidRDefault="002A717D" w:rsidP="002A717D">
      <w:pPr>
        <w:rPr>
          <w:rFonts w:cs="Arial"/>
          <w:i/>
          <w:sz w:val="18"/>
          <w:szCs w:val="18"/>
        </w:rPr>
      </w:pPr>
    </w:p>
    <w:p w14:paraId="30A69B8D" w14:textId="77777777" w:rsidR="002A717D" w:rsidRDefault="002A717D" w:rsidP="002A717D">
      <w:pPr>
        <w:rPr>
          <w:rFonts w:cs="Arial"/>
          <w:i/>
          <w:sz w:val="18"/>
          <w:szCs w:val="18"/>
        </w:rPr>
      </w:pPr>
    </w:p>
    <w:p w14:paraId="02AA3037" w14:textId="77777777" w:rsidR="002A717D" w:rsidRDefault="002A717D" w:rsidP="002A717D">
      <w:pPr>
        <w:rPr>
          <w:rFonts w:cs="Arial"/>
          <w:i/>
          <w:sz w:val="18"/>
          <w:szCs w:val="18"/>
        </w:rPr>
      </w:pPr>
    </w:p>
    <w:p w14:paraId="5608661A" w14:textId="77777777" w:rsidR="002A717D" w:rsidRDefault="002A717D" w:rsidP="002A717D">
      <w:pPr>
        <w:rPr>
          <w:rFonts w:cs="Arial"/>
          <w:i/>
          <w:sz w:val="18"/>
          <w:szCs w:val="18"/>
        </w:rPr>
      </w:pPr>
    </w:p>
    <w:p w14:paraId="1B41CF2A" w14:textId="77777777" w:rsidR="002A717D" w:rsidRDefault="002A717D" w:rsidP="002A717D">
      <w:pPr>
        <w:rPr>
          <w:rFonts w:cs="Arial"/>
          <w:i/>
          <w:sz w:val="18"/>
          <w:szCs w:val="18"/>
        </w:rPr>
      </w:pPr>
    </w:p>
    <w:p w14:paraId="46B52EF6" w14:textId="77777777" w:rsidR="002A717D" w:rsidRDefault="002A717D" w:rsidP="002A717D">
      <w:pPr>
        <w:rPr>
          <w:rFonts w:cs="Arial"/>
          <w:i/>
          <w:sz w:val="18"/>
          <w:szCs w:val="18"/>
        </w:rPr>
      </w:pPr>
    </w:p>
    <w:p w14:paraId="2FD76FC1" w14:textId="77777777" w:rsidR="002A717D" w:rsidRDefault="002A717D" w:rsidP="002A717D">
      <w:pPr>
        <w:rPr>
          <w:rFonts w:cs="Arial"/>
          <w:i/>
          <w:sz w:val="18"/>
          <w:szCs w:val="18"/>
        </w:rPr>
      </w:pPr>
    </w:p>
    <w:p w14:paraId="76E71787" w14:textId="77777777" w:rsidR="002A717D" w:rsidRDefault="002A717D" w:rsidP="002A717D">
      <w:pPr>
        <w:rPr>
          <w:rFonts w:cs="Arial"/>
          <w:i/>
          <w:sz w:val="18"/>
          <w:szCs w:val="18"/>
        </w:rPr>
      </w:pPr>
    </w:p>
    <w:p w14:paraId="1A7E7CC6" w14:textId="77777777" w:rsidR="000E3FFC" w:rsidRPr="000C1E64" w:rsidRDefault="000E3FFC" w:rsidP="000C1E64">
      <w:pPr>
        <w:ind w:left="131" w:firstLine="720"/>
        <w:rPr>
          <w:rFonts w:cs="Arial"/>
          <w:i/>
          <w:sz w:val="18"/>
          <w:szCs w:val="18"/>
        </w:rPr>
      </w:pPr>
      <w:r w:rsidRPr="000C1E64">
        <w:rPr>
          <w:rFonts w:cs="Arial"/>
          <w:i/>
          <w:sz w:val="18"/>
          <w:szCs w:val="18"/>
        </w:rPr>
        <w:t xml:space="preserve">Note: All costs are </w:t>
      </w:r>
      <w:r w:rsidR="002A717D">
        <w:rPr>
          <w:rFonts w:cs="Arial"/>
          <w:i/>
          <w:sz w:val="18"/>
          <w:szCs w:val="18"/>
        </w:rPr>
        <w:t>at</w:t>
      </w:r>
      <w:r w:rsidRPr="000C1E64">
        <w:rPr>
          <w:rFonts w:cs="Arial"/>
          <w:i/>
          <w:sz w:val="18"/>
          <w:szCs w:val="18"/>
        </w:rPr>
        <w:t xml:space="preserve"> 2022-23 price levels.</w:t>
      </w:r>
    </w:p>
    <w:p w14:paraId="01856C9C" w14:textId="77777777" w:rsidR="001A313B" w:rsidRDefault="001A313B" w:rsidP="000E3FFC">
      <w:pPr>
        <w:ind w:left="851" w:hanging="851"/>
      </w:pPr>
      <w:bookmarkStart w:id="5" w:name="_Ref467139016"/>
    </w:p>
    <w:p w14:paraId="76A44462" w14:textId="77777777" w:rsidR="000E3FFC" w:rsidRPr="00C23F61" w:rsidRDefault="00705612" w:rsidP="000E3FFC">
      <w:pPr>
        <w:ind w:left="851" w:hanging="851"/>
      </w:pPr>
      <w:r>
        <w:t>2.</w:t>
      </w:r>
      <w:r w:rsidR="00931018">
        <w:t>4</w:t>
      </w:r>
      <w:r w:rsidR="004928F5">
        <w:t>7</w:t>
      </w:r>
      <w:r w:rsidR="000E3FFC" w:rsidRPr="00C23F61">
        <w:t xml:space="preserve"> </w:t>
      </w:r>
      <w:r w:rsidR="000E3FFC" w:rsidRPr="00C23F61">
        <w:tab/>
      </w:r>
      <w:r w:rsidR="00F548E8">
        <w:t xml:space="preserve">Table </w:t>
      </w:r>
      <w:r w:rsidR="001A313B">
        <w:t>20</w:t>
      </w:r>
      <w:r w:rsidR="00874037">
        <w:t xml:space="preserve"> </w:t>
      </w:r>
      <w:r w:rsidR="000E3FFC" w:rsidRPr="00C23F61">
        <w:t>outlines the non-recurring revenue costs for financial years:</w:t>
      </w:r>
    </w:p>
    <w:p w14:paraId="16E047C9" w14:textId="77777777" w:rsidR="000E3FFC" w:rsidRPr="00093721" w:rsidRDefault="000E3FFC" w:rsidP="000E3FFC">
      <w:pPr>
        <w:ind w:left="851" w:hanging="851"/>
        <w:rPr>
          <w:bCs/>
        </w:rPr>
      </w:pPr>
    </w:p>
    <w:p w14:paraId="352EA37E" w14:textId="77777777" w:rsidR="000E3FFC" w:rsidRPr="006D7A49" w:rsidRDefault="000E3FFC" w:rsidP="006D7A49">
      <w:pPr>
        <w:pStyle w:val="Caption"/>
        <w:keepNext/>
        <w:ind w:left="720" w:firstLine="131"/>
        <w:rPr>
          <w:iCs w:val="0"/>
          <w:color w:val="2F5496"/>
          <w:sz w:val="20"/>
          <w:szCs w:val="20"/>
        </w:rPr>
      </w:pPr>
      <w:r w:rsidRPr="006D7A49">
        <w:rPr>
          <w:iCs w:val="0"/>
          <w:color w:val="2F5496"/>
          <w:sz w:val="20"/>
          <w:szCs w:val="20"/>
        </w:rPr>
        <w:t xml:space="preserve">Table </w:t>
      </w:r>
      <w:r w:rsidR="001A313B" w:rsidRPr="006D7A49">
        <w:rPr>
          <w:iCs w:val="0"/>
          <w:color w:val="2F5496"/>
          <w:sz w:val="20"/>
          <w:szCs w:val="20"/>
        </w:rPr>
        <w:t>20</w:t>
      </w:r>
      <w:r w:rsidR="002A717D" w:rsidRPr="006D7A49">
        <w:rPr>
          <w:iCs w:val="0"/>
          <w:color w:val="2F5496"/>
          <w:sz w:val="20"/>
          <w:szCs w:val="20"/>
        </w:rPr>
        <w:t xml:space="preserve"> </w:t>
      </w:r>
      <w:r w:rsidR="00874037" w:rsidRPr="006D7A49">
        <w:rPr>
          <w:iCs w:val="0"/>
          <w:color w:val="2F5496"/>
          <w:sz w:val="20"/>
          <w:szCs w:val="20"/>
        </w:rPr>
        <w:t xml:space="preserve">- </w:t>
      </w:r>
      <w:r w:rsidRPr="006D7A49">
        <w:rPr>
          <w:iCs w:val="0"/>
          <w:color w:val="2F5496"/>
          <w:sz w:val="20"/>
          <w:szCs w:val="20"/>
        </w:rPr>
        <w:t>Profile of Non-Recurring Revenue Requirement</w:t>
      </w:r>
    </w:p>
    <w:tbl>
      <w:tblPr>
        <w:tblpPr w:leftFromText="180" w:rightFromText="180" w:vertAnchor="text" w:horzAnchor="page" w:tblpX="2351" w:tblpY="119"/>
        <w:tblW w:w="6945" w:type="dxa"/>
        <w:tblBorders>
          <w:top w:val="single" w:sz="8" w:space="0" w:color="2F5496" w:themeColor="accent1" w:themeShade="BF"/>
          <w:left w:val="single" w:sz="8" w:space="0" w:color="2F5496" w:themeColor="accent1" w:themeShade="BF"/>
          <w:bottom w:val="single" w:sz="8" w:space="0" w:color="2F5496" w:themeColor="accent1" w:themeShade="BF"/>
          <w:right w:val="single" w:sz="8" w:space="0" w:color="2F5496" w:themeColor="accent1" w:themeShade="BF"/>
          <w:insideH w:val="single" w:sz="8" w:space="0" w:color="2F5496" w:themeColor="accent1" w:themeShade="BF"/>
          <w:insideV w:val="single" w:sz="8" w:space="0" w:color="2F5496" w:themeColor="accent1" w:themeShade="BF"/>
        </w:tblBorders>
        <w:tblLayout w:type="fixed"/>
        <w:tblLook w:val="04A0" w:firstRow="1" w:lastRow="0" w:firstColumn="1" w:lastColumn="0" w:noHBand="0" w:noVBand="1"/>
      </w:tblPr>
      <w:tblGrid>
        <w:gridCol w:w="3686"/>
        <w:gridCol w:w="1086"/>
        <w:gridCol w:w="1086"/>
        <w:gridCol w:w="1087"/>
      </w:tblGrid>
      <w:tr w:rsidR="000E3FFC" w:rsidRPr="00C23F61" w14:paraId="746DC91E" w14:textId="77777777" w:rsidTr="006D7A49">
        <w:tc>
          <w:tcPr>
            <w:tcW w:w="3686" w:type="dxa"/>
            <w:shd w:val="clear" w:color="auto" w:fill="1F3864" w:themeFill="accent1" w:themeFillShade="80"/>
            <w:vAlign w:val="center"/>
          </w:tcPr>
          <w:p w14:paraId="5942D876" w14:textId="77777777" w:rsidR="000E3FFC" w:rsidRPr="00C23F61" w:rsidRDefault="000E3FFC" w:rsidP="006D7A49">
            <w:pPr>
              <w:spacing w:line="276" w:lineRule="auto"/>
              <w:jc w:val="left"/>
              <w:rPr>
                <w:b/>
                <w:bCs/>
                <w:color w:val="FFFFFF" w:themeColor="background1"/>
                <w:sz w:val="20"/>
                <w:szCs w:val="20"/>
              </w:rPr>
            </w:pPr>
            <w:r w:rsidRPr="00C23F61">
              <w:rPr>
                <w:b/>
                <w:bCs/>
                <w:color w:val="FFFFFF" w:themeColor="background1"/>
                <w:sz w:val="20"/>
                <w:szCs w:val="20"/>
              </w:rPr>
              <w:t>Cost category</w:t>
            </w:r>
          </w:p>
        </w:tc>
        <w:tc>
          <w:tcPr>
            <w:tcW w:w="1086" w:type="dxa"/>
            <w:shd w:val="clear" w:color="auto" w:fill="1F3864" w:themeFill="accent1" w:themeFillShade="80"/>
          </w:tcPr>
          <w:p w14:paraId="74770FD7" w14:textId="77777777" w:rsidR="000E3FFC" w:rsidRPr="00C23F61" w:rsidRDefault="000E3FFC" w:rsidP="006D7A49">
            <w:pPr>
              <w:spacing w:line="276" w:lineRule="auto"/>
              <w:jc w:val="center"/>
              <w:rPr>
                <w:b/>
                <w:bCs/>
                <w:color w:val="FFFFFF" w:themeColor="background1"/>
                <w:sz w:val="20"/>
                <w:szCs w:val="20"/>
              </w:rPr>
            </w:pPr>
            <w:r w:rsidRPr="00C23F61">
              <w:rPr>
                <w:b/>
                <w:bCs/>
                <w:color w:val="FFFFFF" w:themeColor="background1"/>
                <w:sz w:val="20"/>
                <w:szCs w:val="20"/>
              </w:rPr>
              <w:t>2023-24</w:t>
            </w:r>
          </w:p>
          <w:p w14:paraId="16A7974E" w14:textId="77777777" w:rsidR="000E3FFC" w:rsidRPr="00C23F61" w:rsidRDefault="000E3FFC" w:rsidP="006D7A49">
            <w:pPr>
              <w:spacing w:line="276" w:lineRule="auto"/>
              <w:jc w:val="center"/>
              <w:rPr>
                <w:b/>
                <w:bCs/>
                <w:color w:val="FFFFFF" w:themeColor="background1"/>
                <w:sz w:val="20"/>
                <w:szCs w:val="20"/>
              </w:rPr>
            </w:pPr>
            <w:r w:rsidRPr="00C23F61">
              <w:rPr>
                <w:b/>
                <w:bCs/>
                <w:color w:val="FFFFFF" w:themeColor="background1"/>
                <w:sz w:val="20"/>
                <w:szCs w:val="20"/>
              </w:rPr>
              <w:t>£000</w:t>
            </w:r>
          </w:p>
        </w:tc>
        <w:tc>
          <w:tcPr>
            <w:tcW w:w="1086" w:type="dxa"/>
            <w:shd w:val="clear" w:color="auto" w:fill="1F3864" w:themeFill="accent1" w:themeFillShade="80"/>
          </w:tcPr>
          <w:p w14:paraId="366449E7" w14:textId="77777777" w:rsidR="000E3FFC" w:rsidRPr="00C23F61" w:rsidRDefault="000E3FFC" w:rsidP="006D7A49">
            <w:pPr>
              <w:spacing w:line="276" w:lineRule="auto"/>
              <w:jc w:val="center"/>
              <w:rPr>
                <w:b/>
                <w:bCs/>
                <w:color w:val="FFFFFF" w:themeColor="background1"/>
                <w:sz w:val="20"/>
                <w:szCs w:val="20"/>
              </w:rPr>
            </w:pPr>
            <w:r w:rsidRPr="00C23F61">
              <w:rPr>
                <w:b/>
                <w:bCs/>
                <w:color w:val="FFFFFF" w:themeColor="background1"/>
                <w:sz w:val="20"/>
                <w:szCs w:val="20"/>
              </w:rPr>
              <w:t>2024-25</w:t>
            </w:r>
          </w:p>
          <w:p w14:paraId="4073F018" w14:textId="77777777" w:rsidR="000E3FFC" w:rsidRPr="00C23F61" w:rsidRDefault="000E3FFC" w:rsidP="006D7A49">
            <w:pPr>
              <w:spacing w:line="276" w:lineRule="auto"/>
              <w:jc w:val="center"/>
              <w:rPr>
                <w:b/>
                <w:bCs/>
                <w:color w:val="FFFFFF" w:themeColor="background1"/>
                <w:sz w:val="20"/>
                <w:szCs w:val="20"/>
              </w:rPr>
            </w:pPr>
            <w:r w:rsidRPr="00C23F61">
              <w:rPr>
                <w:b/>
                <w:bCs/>
                <w:color w:val="FFFFFF" w:themeColor="background1"/>
                <w:sz w:val="20"/>
                <w:szCs w:val="20"/>
              </w:rPr>
              <w:t>£000</w:t>
            </w:r>
          </w:p>
        </w:tc>
        <w:tc>
          <w:tcPr>
            <w:tcW w:w="1087" w:type="dxa"/>
            <w:shd w:val="clear" w:color="auto" w:fill="1F3864" w:themeFill="accent1" w:themeFillShade="80"/>
          </w:tcPr>
          <w:p w14:paraId="3ACEA601" w14:textId="77777777" w:rsidR="000E3FFC" w:rsidRPr="00C23F61" w:rsidRDefault="000E3FFC" w:rsidP="006D7A49">
            <w:pPr>
              <w:spacing w:line="276" w:lineRule="auto"/>
              <w:jc w:val="center"/>
              <w:rPr>
                <w:b/>
                <w:bCs/>
                <w:color w:val="FFFFFF" w:themeColor="background1"/>
                <w:sz w:val="20"/>
                <w:szCs w:val="20"/>
              </w:rPr>
            </w:pPr>
            <w:r w:rsidRPr="00C23F61">
              <w:rPr>
                <w:b/>
                <w:bCs/>
                <w:color w:val="FFFFFF" w:themeColor="background1"/>
                <w:sz w:val="20"/>
                <w:szCs w:val="20"/>
              </w:rPr>
              <w:t>2025-26</w:t>
            </w:r>
          </w:p>
          <w:p w14:paraId="24C353AD" w14:textId="77777777" w:rsidR="000E3FFC" w:rsidRPr="00C23F61" w:rsidRDefault="000E3FFC" w:rsidP="006D7A49">
            <w:pPr>
              <w:spacing w:line="276" w:lineRule="auto"/>
              <w:jc w:val="center"/>
              <w:rPr>
                <w:b/>
                <w:bCs/>
                <w:color w:val="FFFFFF" w:themeColor="background1"/>
                <w:sz w:val="20"/>
                <w:szCs w:val="20"/>
              </w:rPr>
            </w:pPr>
            <w:r w:rsidRPr="00C23F61">
              <w:rPr>
                <w:b/>
                <w:bCs/>
                <w:color w:val="FFFFFF" w:themeColor="background1"/>
                <w:sz w:val="20"/>
                <w:szCs w:val="20"/>
              </w:rPr>
              <w:t>£000</w:t>
            </w:r>
          </w:p>
        </w:tc>
      </w:tr>
      <w:tr w:rsidR="000E3FFC" w:rsidRPr="00C23F61" w14:paraId="22FD16BF" w14:textId="77777777" w:rsidTr="006D7A49">
        <w:trPr>
          <w:trHeight w:val="284"/>
        </w:trPr>
        <w:tc>
          <w:tcPr>
            <w:tcW w:w="3686" w:type="dxa"/>
            <w:shd w:val="clear" w:color="auto" w:fill="D9E2F3" w:themeFill="accent1" w:themeFillTint="33"/>
            <w:vAlign w:val="center"/>
          </w:tcPr>
          <w:p w14:paraId="32C989B9" w14:textId="77777777" w:rsidR="000E3FFC" w:rsidRPr="000F0704" w:rsidRDefault="000E3FFC" w:rsidP="006D7A49">
            <w:pPr>
              <w:rPr>
                <w:sz w:val="20"/>
                <w:szCs w:val="20"/>
              </w:rPr>
            </w:pPr>
            <w:r w:rsidRPr="000F0704">
              <w:rPr>
                <w:sz w:val="20"/>
                <w:szCs w:val="20"/>
              </w:rPr>
              <w:t>Accelerated depreciation</w:t>
            </w:r>
          </w:p>
        </w:tc>
        <w:tc>
          <w:tcPr>
            <w:tcW w:w="1086" w:type="dxa"/>
            <w:tcBorders>
              <w:top w:val="nil"/>
              <w:left w:val="single" w:sz="8" w:space="0" w:color="2F5496" w:themeColor="accent1" w:themeShade="BF"/>
              <w:bottom w:val="single" w:sz="8" w:space="0" w:color="2E74B5"/>
              <w:right w:val="single" w:sz="8" w:space="0" w:color="2E74B5"/>
            </w:tcBorders>
          </w:tcPr>
          <w:p w14:paraId="78B54190" w14:textId="77777777" w:rsidR="000E3FFC" w:rsidRPr="000F0704" w:rsidRDefault="000E3FFC" w:rsidP="006D7A49">
            <w:pPr>
              <w:jc w:val="right"/>
              <w:rPr>
                <w:sz w:val="20"/>
                <w:szCs w:val="20"/>
              </w:rPr>
            </w:pPr>
            <w:r w:rsidRPr="00CB7034">
              <w:rPr>
                <w:sz w:val="20"/>
                <w:szCs w:val="20"/>
              </w:rPr>
              <w:t>10,479</w:t>
            </w:r>
          </w:p>
        </w:tc>
        <w:tc>
          <w:tcPr>
            <w:tcW w:w="1086" w:type="dxa"/>
            <w:tcBorders>
              <w:top w:val="nil"/>
              <w:left w:val="single" w:sz="8" w:space="0" w:color="2F5496" w:themeColor="accent1" w:themeShade="BF"/>
              <w:bottom w:val="single" w:sz="8" w:space="0" w:color="2E74B5"/>
              <w:right w:val="single" w:sz="8" w:space="0" w:color="2E74B5"/>
            </w:tcBorders>
          </w:tcPr>
          <w:p w14:paraId="5CA13CD4" w14:textId="77777777" w:rsidR="000E3FFC" w:rsidRPr="000F0704" w:rsidRDefault="000E3FFC" w:rsidP="006D7A49">
            <w:pPr>
              <w:jc w:val="right"/>
              <w:rPr>
                <w:sz w:val="20"/>
                <w:szCs w:val="20"/>
              </w:rPr>
            </w:pPr>
            <w:r w:rsidRPr="00CB7034">
              <w:rPr>
                <w:sz w:val="20"/>
                <w:szCs w:val="20"/>
              </w:rPr>
              <w:t>10,479</w:t>
            </w:r>
          </w:p>
        </w:tc>
        <w:tc>
          <w:tcPr>
            <w:tcW w:w="1087" w:type="dxa"/>
            <w:tcBorders>
              <w:top w:val="nil"/>
              <w:left w:val="single" w:sz="8" w:space="0" w:color="2F5496" w:themeColor="accent1" w:themeShade="BF"/>
              <w:bottom w:val="single" w:sz="8" w:space="0" w:color="2E74B5"/>
              <w:right w:val="single" w:sz="8" w:space="0" w:color="2F5496" w:themeColor="accent1" w:themeShade="BF"/>
            </w:tcBorders>
          </w:tcPr>
          <w:p w14:paraId="30A7733F" w14:textId="77777777" w:rsidR="000E3FFC" w:rsidRPr="000F0704" w:rsidRDefault="000E3FFC" w:rsidP="006D7A49">
            <w:pPr>
              <w:jc w:val="right"/>
              <w:rPr>
                <w:sz w:val="20"/>
                <w:szCs w:val="20"/>
              </w:rPr>
            </w:pPr>
            <w:r w:rsidRPr="00CB7034">
              <w:rPr>
                <w:sz w:val="20"/>
                <w:szCs w:val="20"/>
              </w:rPr>
              <w:t>10,479</w:t>
            </w:r>
          </w:p>
        </w:tc>
      </w:tr>
      <w:tr w:rsidR="000E3FFC" w:rsidRPr="00C23F61" w14:paraId="53D97915" w14:textId="77777777" w:rsidTr="006D7A49">
        <w:trPr>
          <w:trHeight w:val="284"/>
        </w:trPr>
        <w:tc>
          <w:tcPr>
            <w:tcW w:w="3686" w:type="dxa"/>
            <w:shd w:val="clear" w:color="auto" w:fill="D9E2F3" w:themeFill="accent1" w:themeFillTint="33"/>
            <w:vAlign w:val="center"/>
          </w:tcPr>
          <w:p w14:paraId="625E7593" w14:textId="77777777" w:rsidR="000E3FFC" w:rsidRPr="000F0704" w:rsidRDefault="000E3FFC" w:rsidP="006D7A49">
            <w:pPr>
              <w:rPr>
                <w:sz w:val="20"/>
                <w:szCs w:val="20"/>
              </w:rPr>
            </w:pPr>
            <w:r w:rsidRPr="000F0704">
              <w:rPr>
                <w:sz w:val="20"/>
                <w:szCs w:val="20"/>
              </w:rPr>
              <w:t>Dual Site Running Costs</w:t>
            </w:r>
          </w:p>
        </w:tc>
        <w:tc>
          <w:tcPr>
            <w:tcW w:w="1086" w:type="dxa"/>
            <w:tcBorders>
              <w:top w:val="nil"/>
              <w:left w:val="single" w:sz="8" w:space="0" w:color="2F5496" w:themeColor="accent1" w:themeShade="BF"/>
              <w:bottom w:val="single" w:sz="8" w:space="0" w:color="2E74B5"/>
              <w:right w:val="single" w:sz="8" w:space="0" w:color="2E74B5"/>
            </w:tcBorders>
            <w:vAlign w:val="center"/>
          </w:tcPr>
          <w:p w14:paraId="5CD18096" w14:textId="77777777" w:rsidR="000E3FFC" w:rsidRPr="000F0704" w:rsidRDefault="000E3FFC" w:rsidP="006D7A49">
            <w:pPr>
              <w:jc w:val="right"/>
              <w:rPr>
                <w:sz w:val="20"/>
                <w:szCs w:val="20"/>
              </w:rPr>
            </w:pPr>
            <w:r>
              <w:rPr>
                <w:sz w:val="20"/>
                <w:szCs w:val="20"/>
              </w:rPr>
              <w:t>0</w:t>
            </w:r>
          </w:p>
        </w:tc>
        <w:tc>
          <w:tcPr>
            <w:tcW w:w="1086" w:type="dxa"/>
            <w:tcBorders>
              <w:top w:val="nil"/>
              <w:left w:val="single" w:sz="8" w:space="0" w:color="2F5496" w:themeColor="accent1" w:themeShade="BF"/>
              <w:bottom w:val="single" w:sz="8" w:space="0" w:color="2E74B5"/>
              <w:right w:val="single" w:sz="8" w:space="0" w:color="2E74B5"/>
            </w:tcBorders>
            <w:vAlign w:val="center"/>
          </w:tcPr>
          <w:p w14:paraId="6C3EE1D1" w14:textId="77777777" w:rsidR="000E3FFC" w:rsidRPr="000F0704" w:rsidRDefault="000E3FFC" w:rsidP="006D7A49">
            <w:pPr>
              <w:jc w:val="right"/>
              <w:rPr>
                <w:sz w:val="20"/>
                <w:szCs w:val="20"/>
              </w:rPr>
            </w:pPr>
            <w:r>
              <w:rPr>
                <w:sz w:val="20"/>
                <w:szCs w:val="20"/>
              </w:rPr>
              <w:t>0</w:t>
            </w:r>
          </w:p>
        </w:tc>
        <w:tc>
          <w:tcPr>
            <w:tcW w:w="1087" w:type="dxa"/>
            <w:tcBorders>
              <w:top w:val="nil"/>
              <w:left w:val="single" w:sz="8" w:space="0" w:color="2F5496" w:themeColor="accent1" w:themeShade="BF"/>
              <w:bottom w:val="single" w:sz="8" w:space="0" w:color="2E74B5"/>
              <w:right w:val="single" w:sz="8" w:space="0" w:color="2F5496" w:themeColor="accent1" w:themeShade="BF"/>
            </w:tcBorders>
            <w:vAlign w:val="center"/>
          </w:tcPr>
          <w:p w14:paraId="4369FB46" w14:textId="77777777" w:rsidR="000E3FFC" w:rsidRPr="000F0704" w:rsidRDefault="000E3FFC" w:rsidP="006D7A49">
            <w:pPr>
              <w:jc w:val="right"/>
              <w:rPr>
                <w:sz w:val="20"/>
                <w:szCs w:val="20"/>
              </w:rPr>
            </w:pPr>
            <w:r w:rsidRPr="000F0704">
              <w:rPr>
                <w:sz w:val="20"/>
                <w:szCs w:val="20"/>
              </w:rPr>
              <w:t>2,412</w:t>
            </w:r>
          </w:p>
        </w:tc>
      </w:tr>
      <w:tr w:rsidR="000E3FFC" w:rsidRPr="00005353" w14:paraId="3DEFEF5A" w14:textId="77777777" w:rsidTr="006D7A49">
        <w:trPr>
          <w:trHeight w:val="284"/>
        </w:trPr>
        <w:tc>
          <w:tcPr>
            <w:tcW w:w="3686" w:type="dxa"/>
            <w:shd w:val="clear" w:color="auto" w:fill="D9E2F3" w:themeFill="accent1" w:themeFillTint="33"/>
            <w:vAlign w:val="center"/>
          </w:tcPr>
          <w:p w14:paraId="5906ED80" w14:textId="77777777" w:rsidR="000E3FFC" w:rsidRPr="000F0704" w:rsidRDefault="000E3FFC" w:rsidP="006D7A49">
            <w:pPr>
              <w:rPr>
                <w:b/>
                <w:sz w:val="20"/>
                <w:szCs w:val="20"/>
              </w:rPr>
            </w:pPr>
            <w:r w:rsidRPr="000F0704">
              <w:rPr>
                <w:b/>
                <w:sz w:val="20"/>
                <w:szCs w:val="20"/>
              </w:rPr>
              <w:t>Total Non-Recurring Revenue Costs</w:t>
            </w:r>
          </w:p>
        </w:tc>
        <w:tc>
          <w:tcPr>
            <w:tcW w:w="1086" w:type="dxa"/>
            <w:tcBorders>
              <w:top w:val="nil"/>
              <w:left w:val="single" w:sz="8" w:space="0" w:color="2F5496" w:themeColor="accent1" w:themeShade="BF"/>
              <w:bottom w:val="single" w:sz="8" w:space="0" w:color="2E74B5"/>
              <w:right w:val="single" w:sz="8" w:space="0" w:color="2E74B5"/>
            </w:tcBorders>
            <w:shd w:val="clear" w:color="auto" w:fill="F2F2F2" w:themeFill="background1" w:themeFillShade="F2"/>
            <w:vAlign w:val="center"/>
          </w:tcPr>
          <w:p w14:paraId="79D21D4A" w14:textId="77777777" w:rsidR="000E3FFC" w:rsidRPr="000F0704" w:rsidRDefault="000E3FFC" w:rsidP="006D7A49">
            <w:pPr>
              <w:jc w:val="right"/>
              <w:rPr>
                <w:b/>
                <w:sz w:val="20"/>
                <w:szCs w:val="20"/>
              </w:rPr>
            </w:pPr>
            <w:r w:rsidRPr="000F0704">
              <w:rPr>
                <w:b/>
                <w:sz w:val="20"/>
                <w:szCs w:val="20"/>
              </w:rPr>
              <w:t>10,479</w:t>
            </w:r>
          </w:p>
        </w:tc>
        <w:tc>
          <w:tcPr>
            <w:tcW w:w="1086" w:type="dxa"/>
            <w:tcBorders>
              <w:top w:val="nil"/>
              <w:left w:val="single" w:sz="8" w:space="0" w:color="2F5496" w:themeColor="accent1" w:themeShade="BF"/>
              <w:bottom w:val="single" w:sz="8" w:space="0" w:color="2E74B5"/>
              <w:right w:val="single" w:sz="8" w:space="0" w:color="2E74B5"/>
            </w:tcBorders>
            <w:shd w:val="clear" w:color="auto" w:fill="F2F2F2" w:themeFill="background1" w:themeFillShade="F2"/>
            <w:vAlign w:val="center"/>
          </w:tcPr>
          <w:p w14:paraId="0CBA9F44" w14:textId="77777777" w:rsidR="000E3FFC" w:rsidRPr="000F0704" w:rsidRDefault="000E3FFC" w:rsidP="006D7A49">
            <w:pPr>
              <w:jc w:val="right"/>
              <w:rPr>
                <w:b/>
                <w:sz w:val="20"/>
                <w:szCs w:val="20"/>
              </w:rPr>
            </w:pPr>
            <w:r w:rsidRPr="000F0704">
              <w:rPr>
                <w:b/>
                <w:sz w:val="20"/>
                <w:szCs w:val="20"/>
              </w:rPr>
              <w:t>10,479</w:t>
            </w:r>
          </w:p>
        </w:tc>
        <w:tc>
          <w:tcPr>
            <w:tcW w:w="1087" w:type="dxa"/>
            <w:tcBorders>
              <w:top w:val="nil"/>
              <w:left w:val="single" w:sz="8" w:space="0" w:color="2F5496" w:themeColor="accent1" w:themeShade="BF"/>
              <w:bottom w:val="single" w:sz="8" w:space="0" w:color="2E74B5"/>
              <w:right w:val="single" w:sz="8" w:space="0" w:color="2F5496" w:themeColor="accent1" w:themeShade="BF"/>
            </w:tcBorders>
            <w:shd w:val="clear" w:color="auto" w:fill="F2F2F2" w:themeFill="background1" w:themeFillShade="F2"/>
            <w:vAlign w:val="center"/>
          </w:tcPr>
          <w:p w14:paraId="6E7C9F16" w14:textId="77777777" w:rsidR="000E3FFC" w:rsidRPr="000F0704" w:rsidRDefault="000E3FFC" w:rsidP="006D7A49">
            <w:pPr>
              <w:jc w:val="right"/>
              <w:rPr>
                <w:b/>
                <w:sz w:val="20"/>
                <w:szCs w:val="20"/>
              </w:rPr>
            </w:pPr>
            <w:r w:rsidRPr="000F0704">
              <w:rPr>
                <w:b/>
                <w:sz w:val="20"/>
                <w:szCs w:val="20"/>
              </w:rPr>
              <w:t>12,891</w:t>
            </w:r>
          </w:p>
        </w:tc>
      </w:tr>
    </w:tbl>
    <w:p w14:paraId="38BE19F3" w14:textId="77777777" w:rsidR="009A50E8" w:rsidRDefault="009A50E8" w:rsidP="000E3FFC">
      <w:pPr>
        <w:jc w:val="left"/>
        <w:rPr>
          <w:i/>
        </w:rPr>
      </w:pPr>
    </w:p>
    <w:p w14:paraId="6FF65957" w14:textId="77777777" w:rsidR="009A50E8" w:rsidRDefault="009A50E8" w:rsidP="000E3FFC">
      <w:pPr>
        <w:jc w:val="left"/>
        <w:rPr>
          <w:i/>
        </w:rPr>
      </w:pPr>
    </w:p>
    <w:p w14:paraId="58CE452E" w14:textId="77777777" w:rsidR="009A50E8" w:rsidRDefault="009A50E8" w:rsidP="000E3FFC">
      <w:pPr>
        <w:jc w:val="left"/>
        <w:rPr>
          <w:i/>
        </w:rPr>
      </w:pPr>
    </w:p>
    <w:p w14:paraId="7C40E92C" w14:textId="77777777" w:rsidR="009A50E8" w:rsidRDefault="009A50E8" w:rsidP="000E3FFC">
      <w:pPr>
        <w:jc w:val="left"/>
        <w:rPr>
          <w:i/>
        </w:rPr>
      </w:pPr>
    </w:p>
    <w:p w14:paraId="613E39AA" w14:textId="77777777" w:rsidR="009A50E8" w:rsidRDefault="009A50E8" w:rsidP="000E3FFC">
      <w:pPr>
        <w:jc w:val="left"/>
        <w:rPr>
          <w:i/>
        </w:rPr>
      </w:pPr>
    </w:p>
    <w:p w14:paraId="2B371230" w14:textId="77777777" w:rsidR="009A50E8" w:rsidRDefault="009A50E8" w:rsidP="000E3FFC">
      <w:pPr>
        <w:jc w:val="left"/>
        <w:rPr>
          <w:i/>
        </w:rPr>
      </w:pPr>
    </w:p>
    <w:p w14:paraId="7AC196B2" w14:textId="77777777" w:rsidR="009A50E8" w:rsidRDefault="002A717D" w:rsidP="000C1E64">
      <w:pPr>
        <w:ind w:left="720" w:firstLine="131"/>
        <w:jc w:val="left"/>
        <w:rPr>
          <w:i/>
        </w:rPr>
      </w:pPr>
      <w:r w:rsidRPr="00E365FC">
        <w:rPr>
          <w:rFonts w:cs="Arial"/>
          <w:i/>
          <w:sz w:val="18"/>
          <w:szCs w:val="18"/>
        </w:rPr>
        <w:t xml:space="preserve">Note: All costs are </w:t>
      </w:r>
      <w:r>
        <w:rPr>
          <w:rFonts w:cs="Arial"/>
          <w:i/>
          <w:sz w:val="18"/>
          <w:szCs w:val="18"/>
        </w:rPr>
        <w:t>at</w:t>
      </w:r>
      <w:r w:rsidRPr="00E365FC">
        <w:rPr>
          <w:rFonts w:cs="Arial"/>
          <w:i/>
          <w:sz w:val="18"/>
          <w:szCs w:val="18"/>
        </w:rPr>
        <w:t xml:space="preserve"> 2022-23 price levels</w:t>
      </w:r>
    </w:p>
    <w:p w14:paraId="6FBF3401" w14:textId="77777777" w:rsidR="009A50E8" w:rsidRDefault="009A50E8" w:rsidP="000E3FFC">
      <w:pPr>
        <w:jc w:val="left"/>
        <w:rPr>
          <w:b/>
          <w:iCs/>
          <w:color w:val="2E74B5"/>
          <w:szCs w:val="18"/>
        </w:rPr>
      </w:pPr>
    </w:p>
    <w:bookmarkEnd w:id="5"/>
    <w:p w14:paraId="153B089F" w14:textId="77777777" w:rsidR="00F548E8" w:rsidRDefault="00F548E8" w:rsidP="00F548E8">
      <w:pPr>
        <w:ind w:left="567" w:hanging="567"/>
        <w:textAlignment w:val="baseline"/>
        <w:rPr>
          <w:rFonts w:cs="Arial"/>
        </w:rPr>
      </w:pPr>
    </w:p>
    <w:p w14:paraId="14C671CA" w14:textId="77777777" w:rsidR="001B63F6" w:rsidRPr="007B7755" w:rsidRDefault="001B63F6" w:rsidP="00DF3489">
      <w:pPr>
        <w:pStyle w:val="ListParagraph"/>
        <w:numPr>
          <w:ilvl w:val="0"/>
          <w:numId w:val="2"/>
        </w:numPr>
        <w:tabs>
          <w:tab w:val="clear" w:pos="1440"/>
        </w:tabs>
        <w:ind w:left="567" w:hanging="567"/>
        <w:textAlignment w:val="baseline"/>
        <w:rPr>
          <w:rFonts w:cs="Arial"/>
        </w:rPr>
      </w:pPr>
      <w:r w:rsidRPr="007B7755">
        <w:rPr>
          <w:rFonts w:cs="Arial"/>
          <w:bCs/>
        </w:rPr>
        <w:t>IMPACT ASSESSMENT</w:t>
      </w:r>
      <w:r w:rsidRPr="007B7755">
        <w:rPr>
          <w:rFonts w:cs="Arial"/>
        </w:rPr>
        <w:t> </w:t>
      </w:r>
    </w:p>
    <w:p w14:paraId="1C080470" w14:textId="77777777" w:rsidR="001B63F6" w:rsidRPr="001B63F6" w:rsidRDefault="001B63F6" w:rsidP="001B63F6">
      <w:pPr>
        <w:ind w:left="705"/>
        <w:jc w:val="left"/>
        <w:textAlignment w:val="baseline"/>
        <w:rPr>
          <w:rFonts w:ascii="Segoe UI" w:hAnsi="Segoe UI" w:cs="Segoe UI"/>
          <w:sz w:val="18"/>
          <w:szCs w:val="18"/>
        </w:rPr>
      </w:pPr>
      <w:r w:rsidRPr="001B63F6">
        <w:rPr>
          <w:rFonts w:cs="Arial"/>
          <w:sz w:val="22"/>
          <w:szCs w:val="22"/>
        </w:rPr>
        <w:t> </w:t>
      </w:r>
    </w:p>
    <w:tbl>
      <w:tblPr>
        <w:tblW w:w="9010" w:type="dxa"/>
        <w:tblInd w:w="276"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169"/>
        <w:gridCol w:w="4841"/>
      </w:tblGrid>
      <w:tr w:rsidR="001B63F6" w:rsidRPr="001B63F6" w14:paraId="0C934533" w14:textId="77777777" w:rsidTr="008967A2">
        <w:trPr>
          <w:trHeight w:val="870"/>
        </w:trPr>
        <w:tc>
          <w:tcPr>
            <w:tcW w:w="4169" w:type="dxa"/>
            <w:vMerge w:val="restart"/>
            <w:tcBorders>
              <w:top w:val="single" w:sz="6" w:space="0" w:color="auto"/>
              <w:left w:val="single" w:sz="6" w:space="0" w:color="auto"/>
              <w:bottom w:val="single" w:sz="6" w:space="0" w:color="auto"/>
              <w:right w:val="single" w:sz="6" w:space="0" w:color="auto"/>
            </w:tcBorders>
            <w:shd w:val="clear" w:color="auto" w:fill="F2F2F2"/>
            <w:vAlign w:val="center"/>
            <w:hideMark/>
          </w:tcPr>
          <w:p w14:paraId="7A9EFD0C" w14:textId="77777777" w:rsidR="001B63F6" w:rsidRPr="001B63F6" w:rsidRDefault="001B63F6" w:rsidP="001B63F6">
            <w:pPr>
              <w:jc w:val="left"/>
              <w:textAlignment w:val="baseline"/>
              <w:rPr>
                <w:rFonts w:ascii="Times New Roman" w:hAnsi="Times New Roman"/>
              </w:rPr>
            </w:pPr>
            <w:r w:rsidRPr="001B63F6">
              <w:rPr>
                <w:rFonts w:cs="Arial"/>
                <w:b/>
                <w:bCs/>
                <w:sz w:val="22"/>
                <w:szCs w:val="22"/>
              </w:rPr>
              <w:t>QUALITY AND SAFETY IMPLICATIONS/IMPACT</w:t>
            </w:r>
            <w:r w:rsidRPr="001B63F6">
              <w:rPr>
                <w:rFonts w:cs="Arial"/>
                <w:sz w:val="22"/>
                <w:szCs w:val="22"/>
              </w:rPr>
              <w:t> </w:t>
            </w:r>
          </w:p>
        </w:tc>
        <w:tc>
          <w:tcPr>
            <w:tcW w:w="4841"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405EB6B0" w14:textId="77777777" w:rsidR="001B63F6" w:rsidRPr="00BD61B9" w:rsidRDefault="001B63F6" w:rsidP="008C5EBD">
            <w:pPr>
              <w:ind w:left="197" w:firstLine="141"/>
              <w:textAlignment w:val="baseline"/>
              <w:rPr>
                <w:rFonts w:ascii="Times New Roman" w:hAnsi="Times New Roman"/>
              </w:rPr>
            </w:pPr>
            <w:r w:rsidRPr="00BD61B9">
              <w:rPr>
                <w:rFonts w:cs="Arial"/>
              </w:rPr>
              <w:t>Yes (Please see detail below) </w:t>
            </w:r>
          </w:p>
        </w:tc>
      </w:tr>
      <w:tr w:rsidR="001B63F6" w:rsidRPr="001B63F6" w14:paraId="2CB8B834" w14:textId="77777777" w:rsidTr="008967A2">
        <w:trPr>
          <w:trHeight w:val="180"/>
        </w:trPr>
        <w:tc>
          <w:tcPr>
            <w:tcW w:w="0" w:type="auto"/>
            <w:vMerge/>
            <w:tcBorders>
              <w:top w:val="single" w:sz="6" w:space="0" w:color="auto"/>
              <w:left w:val="single" w:sz="6" w:space="0" w:color="auto"/>
              <w:bottom w:val="single" w:sz="6" w:space="0" w:color="auto"/>
              <w:right w:val="single" w:sz="6" w:space="0" w:color="auto"/>
            </w:tcBorders>
            <w:shd w:val="clear" w:color="auto" w:fill="auto"/>
            <w:vAlign w:val="center"/>
            <w:hideMark/>
          </w:tcPr>
          <w:p w14:paraId="08D25F0B" w14:textId="77777777" w:rsidR="001B63F6" w:rsidRPr="001B63F6" w:rsidRDefault="001B63F6" w:rsidP="001B63F6">
            <w:pPr>
              <w:jc w:val="left"/>
              <w:rPr>
                <w:rFonts w:ascii="Times New Roman" w:hAnsi="Times New Roman"/>
              </w:rPr>
            </w:pPr>
          </w:p>
        </w:tc>
        <w:tc>
          <w:tcPr>
            <w:tcW w:w="4841"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0994CE3D" w14:textId="77777777" w:rsidR="001B63F6" w:rsidRPr="00BD61B9" w:rsidRDefault="00874037" w:rsidP="000F5FDD">
            <w:pPr>
              <w:ind w:left="338" w:right="77"/>
              <w:textAlignment w:val="baseline"/>
              <w:rPr>
                <w:rFonts w:ascii="Times New Roman" w:hAnsi="Times New Roman"/>
              </w:rPr>
            </w:pPr>
            <w:r w:rsidRPr="00BD61B9">
              <w:rPr>
                <w:rFonts w:cs="Arial"/>
              </w:rPr>
              <w:t>The Clinical Service Model has been approved by commissioners and assured by Nuffield Trust.</w:t>
            </w:r>
          </w:p>
        </w:tc>
      </w:tr>
      <w:tr w:rsidR="001B63F6" w:rsidRPr="001B63F6" w14:paraId="0FD12461" w14:textId="77777777" w:rsidTr="008967A2">
        <w:trPr>
          <w:trHeight w:val="840"/>
        </w:trPr>
        <w:tc>
          <w:tcPr>
            <w:tcW w:w="4169" w:type="dxa"/>
            <w:vMerge w:val="restart"/>
            <w:tcBorders>
              <w:top w:val="single" w:sz="6" w:space="0" w:color="auto"/>
              <w:left w:val="single" w:sz="6" w:space="0" w:color="auto"/>
              <w:bottom w:val="single" w:sz="6" w:space="0" w:color="auto"/>
              <w:right w:val="single" w:sz="6" w:space="0" w:color="auto"/>
            </w:tcBorders>
            <w:shd w:val="clear" w:color="auto" w:fill="F2F2F2"/>
            <w:vAlign w:val="center"/>
            <w:hideMark/>
          </w:tcPr>
          <w:p w14:paraId="457F65A7" w14:textId="77777777" w:rsidR="001B63F6" w:rsidRPr="001B63F6" w:rsidRDefault="001B63F6" w:rsidP="001B63F6">
            <w:pPr>
              <w:jc w:val="left"/>
              <w:textAlignment w:val="baseline"/>
              <w:rPr>
                <w:rFonts w:ascii="Times New Roman" w:hAnsi="Times New Roman"/>
              </w:rPr>
            </w:pPr>
            <w:r w:rsidRPr="001B63F6">
              <w:rPr>
                <w:rFonts w:cs="Arial"/>
                <w:b/>
                <w:bCs/>
                <w:sz w:val="22"/>
                <w:szCs w:val="22"/>
              </w:rPr>
              <w:t>RELATED HEALTHCARE STANDARD </w:t>
            </w:r>
            <w:r w:rsidRPr="001B63F6">
              <w:rPr>
                <w:rFonts w:cs="Arial"/>
                <w:sz w:val="22"/>
                <w:szCs w:val="22"/>
              </w:rPr>
              <w:t> </w:t>
            </w:r>
          </w:p>
        </w:tc>
        <w:tc>
          <w:tcPr>
            <w:tcW w:w="4841"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436B8B70" w14:textId="77777777" w:rsidR="001B63F6" w:rsidRPr="00BD61B9" w:rsidRDefault="001B63F6" w:rsidP="008C5EBD">
            <w:pPr>
              <w:ind w:left="197" w:firstLine="141"/>
              <w:textAlignment w:val="baseline"/>
              <w:rPr>
                <w:rFonts w:ascii="Times New Roman" w:hAnsi="Times New Roman"/>
              </w:rPr>
            </w:pPr>
            <w:r w:rsidRPr="00BD61B9">
              <w:rPr>
                <w:rFonts w:cs="Arial"/>
              </w:rPr>
              <w:t>Safe Care </w:t>
            </w:r>
          </w:p>
        </w:tc>
      </w:tr>
      <w:tr w:rsidR="001B63F6" w:rsidRPr="001B63F6" w14:paraId="7B0D42F0" w14:textId="77777777" w:rsidTr="008967A2">
        <w:trPr>
          <w:trHeight w:val="555"/>
        </w:trPr>
        <w:tc>
          <w:tcPr>
            <w:tcW w:w="0" w:type="auto"/>
            <w:vMerge/>
            <w:tcBorders>
              <w:top w:val="single" w:sz="6" w:space="0" w:color="auto"/>
              <w:left w:val="single" w:sz="6" w:space="0" w:color="auto"/>
              <w:bottom w:val="single" w:sz="6" w:space="0" w:color="auto"/>
              <w:right w:val="single" w:sz="6" w:space="0" w:color="auto"/>
            </w:tcBorders>
            <w:shd w:val="clear" w:color="auto" w:fill="auto"/>
            <w:vAlign w:val="center"/>
            <w:hideMark/>
          </w:tcPr>
          <w:p w14:paraId="656D44CC" w14:textId="77777777" w:rsidR="001B63F6" w:rsidRPr="001B63F6" w:rsidRDefault="001B63F6" w:rsidP="001B63F6">
            <w:pPr>
              <w:jc w:val="left"/>
              <w:rPr>
                <w:rFonts w:ascii="Times New Roman" w:hAnsi="Times New Roman"/>
              </w:rPr>
            </w:pPr>
          </w:p>
        </w:tc>
        <w:tc>
          <w:tcPr>
            <w:tcW w:w="4841" w:type="dxa"/>
            <w:tcBorders>
              <w:top w:val="single" w:sz="6" w:space="0" w:color="auto"/>
              <w:left w:val="single" w:sz="6" w:space="0" w:color="auto"/>
              <w:bottom w:val="single" w:sz="6" w:space="0" w:color="auto"/>
              <w:right w:val="single" w:sz="6" w:space="0" w:color="auto"/>
            </w:tcBorders>
            <w:shd w:val="clear" w:color="auto" w:fill="auto"/>
            <w:vAlign w:val="center"/>
          </w:tcPr>
          <w:p w14:paraId="2BF542B7" w14:textId="77777777" w:rsidR="001B63F6" w:rsidRPr="00BD61B9" w:rsidRDefault="00BD61B9" w:rsidP="008C5EBD">
            <w:pPr>
              <w:ind w:left="197" w:firstLine="141"/>
              <w:textAlignment w:val="baseline"/>
              <w:rPr>
                <w:rFonts w:cs="Arial"/>
              </w:rPr>
            </w:pPr>
            <w:r w:rsidRPr="00BD61B9">
              <w:rPr>
                <w:rFonts w:cs="Arial"/>
              </w:rPr>
              <w:t>As Above</w:t>
            </w:r>
          </w:p>
        </w:tc>
      </w:tr>
      <w:tr w:rsidR="001B63F6" w:rsidRPr="001B63F6" w14:paraId="66B7642B" w14:textId="77777777" w:rsidTr="008967A2">
        <w:trPr>
          <w:trHeight w:val="780"/>
        </w:trPr>
        <w:tc>
          <w:tcPr>
            <w:tcW w:w="4169" w:type="dxa"/>
            <w:vMerge w:val="restart"/>
            <w:tcBorders>
              <w:top w:val="single" w:sz="6" w:space="0" w:color="auto"/>
              <w:left w:val="single" w:sz="6" w:space="0" w:color="auto"/>
              <w:bottom w:val="single" w:sz="6" w:space="0" w:color="auto"/>
              <w:right w:val="single" w:sz="6" w:space="0" w:color="auto"/>
            </w:tcBorders>
            <w:shd w:val="clear" w:color="auto" w:fill="F2F2F2"/>
            <w:vAlign w:val="center"/>
            <w:hideMark/>
          </w:tcPr>
          <w:p w14:paraId="46CDF6EF" w14:textId="77777777" w:rsidR="001B63F6" w:rsidRPr="001B63F6" w:rsidRDefault="001B63F6" w:rsidP="001B63F6">
            <w:pPr>
              <w:jc w:val="left"/>
              <w:textAlignment w:val="baseline"/>
              <w:rPr>
                <w:rFonts w:ascii="Times New Roman" w:hAnsi="Times New Roman"/>
              </w:rPr>
            </w:pPr>
            <w:r w:rsidRPr="001B63F6">
              <w:rPr>
                <w:rFonts w:cs="Arial"/>
                <w:b/>
                <w:bCs/>
                <w:sz w:val="22"/>
                <w:szCs w:val="22"/>
              </w:rPr>
              <w:t>EQUALITY IMPACT ASSESSMENT COMPLETED</w:t>
            </w:r>
            <w:r w:rsidRPr="001B63F6">
              <w:rPr>
                <w:rFonts w:cs="Arial"/>
                <w:sz w:val="22"/>
                <w:szCs w:val="22"/>
              </w:rPr>
              <w:t> </w:t>
            </w:r>
          </w:p>
        </w:tc>
        <w:tc>
          <w:tcPr>
            <w:tcW w:w="4841"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66871181" w14:textId="77777777" w:rsidR="001B63F6" w:rsidRPr="00BD61B9" w:rsidRDefault="001B63F6" w:rsidP="008C5EBD">
            <w:pPr>
              <w:ind w:left="197" w:firstLine="141"/>
              <w:textAlignment w:val="baseline"/>
              <w:rPr>
                <w:rFonts w:ascii="Times New Roman" w:hAnsi="Times New Roman"/>
              </w:rPr>
            </w:pPr>
            <w:r w:rsidRPr="00BD61B9">
              <w:rPr>
                <w:rFonts w:cs="Arial"/>
              </w:rPr>
              <w:t>Y</w:t>
            </w:r>
            <w:r w:rsidR="007E5404" w:rsidRPr="00BD61B9">
              <w:rPr>
                <w:rFonts w:cs="Arial"/>
              </w:rPr>
              <w:t>es</w:t>
            </w:r>
          </w:p>
        </w:tc>
      </w:tr>
      <w:tr w:rsidR="001B63F6" w:rsidRPr="001B63F6" w14:paraId="11720D08" w14:textId="77777777" w:rsidTr="008967A2">
        <w:trPr>
          <w:trHeight w:val="135"/>
        </w:trPr>
        <w:tc>
          <w:tcPr>
            <w:tcW w:w="0" w:type="auto"/>
            <w:vMerge/>
            <w:tcBorders>
              <w:top w:val="single" w:sz="6" w:space="0" w:color="auto"/>
              <w:left w:val="single" w:sz="6" w:space="0" w:color="auto"/>
              <w:bottom w:val="single" w:sz="6" w:space="0" w:color="auto"/>
              <w:right w:val="single" w:sz="6" w:space="0" w:color="auto"/>
            </w:tcBorders>
            <w:shd w:val="clear" w:color="auto" w:fill="auto"/>
            <w:vAlign w:val="center"/>
            <w:hideMark/>
          </w:tcPr>
          <w:p w14:paraId="248AAB73" w14:textId="77777777" w:rsidR="001B63F6" w:rsidRPr="001B63F6" w:rsidRDefault="001B63F6" w:rsidP="001B63F6">
            <w:pPr>
              <w:jc w:val="left"/>
              <w:rPr>
                <w:rFonts w:ascii="Times New Roman" w:hAnsi="Times New Roman"/>
              </w:rPr>
            </w:pPr>
          </w:p>
        </w:tc>
        <w:tc>
          <w:tcPr>
            <w:tcW w:w="4841"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76E02ED8" w14:textId="77777777" w:rsidR="001B63F6" w:rsidRPr="00BD61B9" w:rsidRDefault="001B63F6" w:rsidP="008C5EBD">
            <w:pPr>
              <w:ind w:left="197" w:firstLine="141"/>
              <w:textAlignment w:val="baseline"/>
              <w:rPr>
                <w:rFonts w:ascii="Times New Roman" w:hAnsi="Times New Roman"/>
              </w:rPr>
            </w:pPr>
            <w:r w:rsidRPr="00BD61B9">
              <w:rPr>
                <w:rFonts w:cs="Arial"/>
              </w:rPr>
              <w:t>Completed at Programme Level </w:t>
            </w:r>
          </w:p>
        </w:tc>
      </w:tr>
      <w:tr w:rsidR="001B63F6" w:rsidRPr="001B63F6" w14:paraId="0530782C" w14:textId="77777777" w:rsidTr="008967A2">
        <w:trPr>
          <w:trHeight w:val="840"/>
        </w:trPr>
        <w:tc>
          <w:tcPr>
            <w:tcW w:w="4169" w:type="dxa"/>
            <w:vMerge w:val="restart"/>
            <w:tcBorders>
              <w:top w:val="single" w:sz="6" w:space="0" w:color="auto"/>
              <w:left w:val="single" w:sz="6" w:space="0" w:color="auto"/>
              <w:bottom w:val="single" w:sz="6" w:space="0" w:color="auto"/>
              <w:right w:val="single" w:sz="6" w:space="0" w:color="auto"/>
            </w:tcBorders>
            <w:shd w:val="clear" w:color="auto" w:fill="F2F2F2"/>
            <w:vAlign w:val="center"/>
            <w:hideMark/>
          </w:tcPr>
          <w:p w14:paraId="5F6AA96C" w14:textId="77777777" w:rsidR="001B63F6" w:rsidRPr="001B63F6" w:rsidRDefault="001B63F6" w:rsidP="001B63F6">
            <w:pPr>
              <w:jc w:val="left"/>
              <w:textAlignment w:val="baseline"/>
              <w:rPr>
                <w:rFonts w:ascii="Times New Roman" w:hAnsi="Times New Roman"/>
              </w:rPr>
            </w:pPr>
            <w:r w:rsidRPr="001B63F6">
              <w:rPr>
                <w:rFonts w:cs="Arial"/>
                <w:b/>
                <w:bCs/>
                <w:sz w:val="22"/>
                <w:szCs w:val="22"/>
              </w:rPr>
              <w:t>LEGAL IMPLICATIONS / IMPACT</w:t>
            </w:r>
            <w:r w:rsidRPr="001B63F6">
              <w:rPr>
                <w:rFonts w:cs="Arial"/>
                <w:sz w:val="22"/>
                <w:szCs w:val="22"/>
              </w:rPr>
              <w:t> </w:t>
            </w:r>
          </w:p>
        </w:tc>
        <w:tc>
          <w:tcPr>
            <w:tcW w:w="4841"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19F272F2" w14:textId="77777777" w:rsidR="001B63F6" w:rsidRPr="00BD61B9" w:rsidRDefault="001B63F6" w:rsidP="008C5EBD">
            <w:pPr>
              <w:ind w:left="197" w:firstLine="141"/>
              <w:textAlignment w:val="baseline"/>
              <w:rPr>
                <w:rFonts w:ascii="Times New Roman" w:hAnsi="Times New Roman"/>
              </w:rPr>
            </w:pPr>
            <w:r w:rsidRPr="00BD61B9">
              <w:rPr>
                <w:rFonts w:cs="Arial"/>
              </w:rPr>
              <w:t>Yes (Include further detail below) </w:t>
            </w:r>
          </w:p>
        </w:tc>
      </w:tr>
      <w:tr w:rsidR="001B63F6" w:rsidRPr="001B63F6" w14:paraId="1C408032" w14:textId="77777777" w:rsidTr="008967A2">
        <w:trPr>
          <w:trHeight w:val="270"/>
        </w:trPr>
        <w:tc>
          <w:tcPr>
            <w:tcW w:w="0" w:type="auto"/>
            <w:vMerge/>
            <w:tcBorders>
              <w:top w:val="single" w:sz="6" w:space="0" w:color="auto"/>
              <w:left w:val="single" w:sz="6" w:space="0" w:color="auto"/>
              <w:bottom w:val="single" w:sz="6" w:space="0" w:color="auto"/>
              <w:right w:val="single" w:sz="6" w:space="0" w:color="auto"/>
            </w:tcBorders>
            <w:shd w:val="clear" w:color="auto" w:fill="auto"/>
            <w:vAlign w:val="center"/>
            <w:hideMark/>
          </w:tcPr>
          <w:p w14:paraId="2F7EE3B0" w14:textId="77777777" w:rsidR="001B63F6" w:rsidRPr="001B63F6" w:rsidRDefault="001B63F6" w:rsidP="001B63F6">
            <w:pPr>
              <w:jc w:val="left"/>
              <w:rPr>
                <w:rFonts w:ascii="Times New Roman" w:hAnsi="Times New Roman"/>
              </w:rPr>
            </w:pPr>
          </w:p>
        </w:tc>
        <w:tc>
          <w:tcPr>
            <w:tcW w:w="4841"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31F19727" w14:textId="77777777" w:rsidR="001B63F6" w:rsidRPr="00BD61B9" w:rsidRDefault="00874037" w:rsidP="000F5FDD">
            <w:pPr>
              <w:ind w:left="352" w:hanging="14"/>
              <w:textAlignment w:val="baseline"/>
              <w:rPr>
                <w:rFonts w:ascii="Times New Roman" w:hAnsi="Times New Roman"/>
              </w:rPr>
            </w:pPr>
            <w:r w:rsidRPr="00BD61B9">
              <w:rPr>
                <w:rFonts w:cs="Arial"/>
              </w:rPr>
              <w:t>The nVCC Project is</w:t>
            </w:r>
            <w:r w:rsidR="009A50E8" w:rsidRPr="00BD61B9">
              <w:rPr>
                <w:rFonts w:cs="Arial"/>
              </w:rPr>
              <w:t xml:space="preserve"> part of the WG Mutual Investment Model (MIM).</w:t>
            </w:r>
          </w:p>
        </w:tc>
      </w:tr>
      <w:tr w:rsidR="001B63F6" w:rsidRPr="001B63F6" w14:paraId="0D991EFA" w14:textId="77777777" w:rsidTr="008967A2">
        <w:trPr>
          <w:trHeight w:val="825"/>
        </w:trPr>
        <w:tc>
          <w:tcPr>
            <w:tcW w:w="4169" w:type="dxa"/>
            <w:vMerge w:val="restart"/>
            <w:tcBorders>
              <w:top w:val="single" w:sz="6" w:space="0" w:color="auto"/>
              <w:left w:val="single" w:sz="6" w:space="0" w:color="auto"/>
              <w:bottom w:val="single" w:sz="6" w:space="0" w:color="auto"/>
              <w:right w:val="single" w:sz="6" w:space="0" w:color="auto"/>
            </w:tcBorders>
            <w:shd w:val="clear" w:color="auto" w:fill="F2F2F2"/>
            <w:vAlign w:val="center"/>
            <w:hideMark/>
          </w:tcPr>
          <w:p w14:paraId="7182CD83" w14:textId="77777777" w:rsidR="001B63F6" w:rsidRPr="001B63F6" w:rsidRDefault="001B63F6" w:rsidP="001B63F6">
            <w:pPr>
              <w:jc w:val="left"/>
              <w:textAlignment w:val="baseline"/>
              <w:rPr>
                <w:rFonts w:ascii="Times New Roman" w:hAnsi="Times New Roman"/>
              </w:rPr>
            </w:pPr>
            <w:r w:rsidRPr="001B63F6">
              <w:rPr>
                <w:rFonts w:cs="Arial"/>
                <w:b/>
                <w:bCs/>
                <w:sz w:val="22"/>
                <w:szCs w:val="22"/>
              </w:rPr>
              <w:lastRenderedPageBreak/>
              <w:t>FINANCIAL IMPLICATIONS / </w:t>
            </w:r>
            <w:r w:rsidRPr="001B63F6">
              <w:rPr>
                <w:rFonts w:cs="Arial"/>
                <w:sz w:val="22"/>
                <w:szCs w:val="22"/>
              </w:rPr>
              <w:t> </w:t>
            </w:r>
          </w:p>
          <w:p w14:paraId="42130224" w14:textId="77777777" w:rsidR="001B63F6" w:rsidRPr="001B63F6" w:rsidRDefault="001B63F6" w:rsidP="001B63F6">
            <w:pPr>
              <w:jc w:val="left"/>
              <w:textAlignment w:val="baseline"/>
              <w:rPr>
                <w:rFonts w:ascii="Times New Roman" w:hAnsi="Times New Roman"/>
              </w:rPr>
            </w:pPr>
            <w:r w:rsidRPr="001B63F6">
              <w:rPr>
                <w:rFonts w:cs="Arial"/>
                <w:b/>
                <w:bCs/>
                <w:sz w:val="22"/>
                <w:szCs w:val="22"/>
              </w:rPr>
              <w:t>IMPACT</w:t>
            </w:r>
            <w:r w:rsidRPr="001B63F6">
              <w:rPr>
                <w:rFonts w:cs="Arial"/>
                <w:sz w:val="22"/>
                <w:szCs w:val="22"/>
              </w:rPr>
              <w:t> </w:t>
            </w:r>
          </w:p>
        </w:tc>
        <w:tc>
          <w:tcPr>
            <w:tcW w:w="4841"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6E45FA1D" w14:textId="77777777" w:rsidR="001B63F6" w:rsidRPr="00BD61B9" w:rsidRDefault="001B63F6" w:rsidP="008C5EBD">
            <w:pPr>
              <w:ind w:left="197" w:firstLine="141"/>
              <w:textAlignment w:val="baseline"/>
              <w:rPr>
                <w:rFonts w:ascii="Times New Roman" w:hAnsi="Times New Roman"/>
              </w:rPr>
            </w:pPr>
            <w:r w:rsidRPr="00BD61B9">
              <w:rPr>
                <w:rFonts w:cs="Arial"/>
              </w:rPr>
              <w:t>Yes (Include further detail below) </w:t>
            </w:r>
          </w:p>
        </w:tc>
      </w:tr>
      <w:tr w:rsidR="001B63F6" w:rsidRPr="001B63F6" w14:paraId="30155D3D" w14:textId="77777777" w:rsidTr="008967A2">
        <w:trPr>
          <w:trHeight w:val="285"/>
        </w:trPr>
        <w:tc>
          <w:tcPr>
            <w:tcW w:w="0" w:type="auto"/>
            <w:vMerge/>
            <w:tcBorders>
              <w:top w:val="single" w:sz="6" w:space="0" w:color="auto"/>
              <w:left w:val="single" w:sz="6" w:space="0" w:color="auto"/>
              <w:bottom w:val="single" w:sz="6" w:space="0" w:color="auto"/>
              <w:right w:val="single" w:sz="6" w:space="0" w:color="auto"/>
            </w:tcBorders>
            <w:shd w:val="clear" w:color="auto" w:fill="auto"/>
            <w:vAlign w:val="center"/>
            <w:hideMark/>
          </w:tcPr>
          <w:p w14:paraId="46461AC9" w14:textId="77777777" w:rsidR="001B63F6" w:rsidRPr="001B63F6" w:rsidRDefault="001B63F6" w:rsidP="001B63F6">
            <w:pPr>
              <w:jc w:val="left"/>
              <w:rPr>
                <w:rFonts w:ascii="Times New Roman" w:hAnsi="Times New Roman"/>
              </w:rPr>
            </w:pPr>
          </w:p>
        </w:tc>
        <w:tc>
          <w:tcPr>
            <w:tcW w:w="4841"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0A7E732E" w14:textId="77777777" w:rsidR="001B63F6" w:rsidRPr="00BD61B9" w:rsidRDefault="009A50E8" w:rsidP="000F5FDD">
            <w:pPr>
              <w:ind w:left="352"/>
              <w:textAlignment w:val="baseline"/>
              <w:rPr>
                <w:rFonts w:ascii="Times New Roman" w:hAnsi="Times New Roman"/>
              </w:rPr>
            </w:pPr>
            <w:r w:rsidRPr="00BD61B9">
              <w:rPr>
                <w:rFonts w:cs="Arial"/>
              </w:rPr>
              <w:t>Funding is required from WG and commissioners.</w:t>
            </w:r>
          </w:p>
        </w:tc>
      </w:tr>
    </w:tbl>
    <w:p w14:paraId="3EA6C979" w14:textId="77777777" w:rsidR="00BD61B9" w:rsidRDefault="001B63F6" w:rsidP="001B63F6">
      <w:pPr>
        <w:textAlignment w:val="baseline"/>
        <w:rPr>
          <w:rFonts w:cs="Arial"/>
        </w:rPr>
      </w:pPr>
      <w:r w:rsidRPr="001B63F6">
        <w:rPr>
          <w:rFonts w:cs="Arial"/>
        </w:rPr>
        <w:t> </w:t>
      </w:r>
    </w:p>
    <w:p w14:paraId="1F8BF868" w14:textId="77777777" w:rsidR="001B63F6" w:rsidRPr="004A649D" w:rsidRDefault="001B63F6" w:rsidP="00DF3489">
      <w:pPr>
        <w:pStyle w:val="ListParagraph"/>
        <w:numPr>
          <w:ilvl w:val="0"/>
          <w:numId w:val="2"/>
        </w:numPr>
        <w:tabs>
          <w:tab w:val="clear" w:pos="1440"/>
          <w:tab w:val="num" w:pos="851"/>
        </w:tabs>
        <w:ind w:left="851" w:hanging="851"/>
        <w:textAlignment w:val="baseline"/>
        <w:rPr>
          <w:rFonts w:cs="Arial"/>
          <w:strike/>
          <w:color w:val="BFBFBF" w:themeColor="background1" w:themeShade="BF"/>
        </w:rPr>
      </w:pPr>
      <w:commentRangeStart w:id="6"/>
      <w:r w:rsidRPr="004A649D">
        <w:rPr>
          <w:rFonts w:cs="Arial"/>
          <w:bCs/>
          <w:strike/>
          <w:color w:val="BFBFBF" w:themeColor="background1" w:themeShade="BF"/>
        </w:rPr>
        <w:t>RECOMMENDATION </w:t>
      </w:r>
      <w:r w:rsidRPr="004A649D">
        <w:rPr>
          <w:rFonts w:cs="Arial"/>
          <w:strike/>
          <w:color w:val="BFBFBF" w:themeColor="background1" w:themeShade="BF"/>
        </w:rPr>
        <w:t> </w:t>
      </w:r>
    </w:p>
    <w:p w14:paraId="57C57244" w14:textId="77777777" w:rsidR="001B63F6" w:rsidRPr="004A649D" w:rsidRDefault="001B63F6" w:rsidP="001B63F6">
      <w:pPr>
        <w:ind w:left="840"/>
        <w:textAlignment w:val="baseline"/>
        <w:rPr>
          <w:rFonts w:ascii="Segoe UI" w:hAnsi="Segoe UI" w:cs="Segoe UI"/>
          <w:strike/>
          <w:color w:val="BFBFBF" w:themeColor="background1" w:themeShade="BF"/>
          <w:sz w:val="18"/>
          <w:szCs w:val="18"/>
        </w:rPr>
      </w:pPr>
      <w:r w:rsidRPr="004A649D">
        <w:rPr>
          <w:rFonts w:cs="Arial"/>
          <w:strike/>
          <w:color w:val="BFBFBF" w:themeColor="background1" w:themeShade="BF"/>
          <w:sz w:val="28"/>
          <w:szCs w:val="28"/>
        </w:rPr>
        <w:t> </w:t>
      </w:r>
    </w:p>
    <w:p w14:paraId="4CBD754A" w14:textId="77777777" w:rsidR="00427111" w:rsidRPr="004A649D" w:rsidRDefault="007E5404" w:rsidP="00D30ACB">
      <w:pPr>
        <w:ind w:left="851" w:hanging="851"/>
        <w:textAlignment w:val="baseline"/>
        <w:rPr>
          <w:rFonts w:cs="Arial"/>
          <w:strike/>
          <w:color w:val="BFBFBF" w:themeColor="background1" w:themeShade="BF"/>
        </w:rPr>
      </w:pPr>
      <w:r w:rsidRPr="004A649D">
        <w:rPr>
          <w:rFonts w:cs="Arial"/>
          <w:strike/>
          <w:color w:val="BFBFBF" w:themeColor="background1" w:themeShade="BF"/>
        </w:rPr>
        <w:t>4</w:t>
      </w:r>
      <w:r w:rsidR="0038760B" w:rsidRPr="004A649D">
        <w:rPr>
          <w:rFonts w:cs="Arial"/>
          <w:strike/>
          <w:color w:val="BFBFBF" w:themeColor="background1" w:themeShade="BF"/>
        </w:rPr>
        <w:t>.1</w:t>
      </w:r>
      <w:r w:rsidRPr="004A649D">
        <w:rPr>
          <w:strike/>
          <w:color w:val="BFBFBF" w:themeColor="background1" w:themeShade="BF"/>
        </w:rPr>
        <w:tab/>
      </w:r>
      <w:r w:rsidR="001B63F6" w:rsidRPr="004A649D">
        <w:rPr>
          <w:rFonts w:cs="Arial"/>
          <w:strike/>
          <w:color w:val="BFBFBF" w:themeColor="background1" w:themeShade="BF"/>
        </w:rPr>
        <w:t>The</w:t>
      </w:r>
      <w:r w:rsidR="008243B3" w:rsidRPr="004A649D">
        <w:rPr>
          <w:rFonts w:cs="Arial"/>
          <w:strike/>
          <w:color w:val="BFBFBF" w:themeColor="background1" w:themeShade="BF"/>
        </w:rPr>
        <w:t xml:space="preserve"> </w:t>
      </w:r>
      <w:r w:rsidR="008243B3" w:rsidRPr="004A649D">
        <w:rPr>
          <w:rFonts w:cs="Arial"/>
          <w:strike/>
          <w:color w:val="BFBFBF" w:themeColor="background1" w:themeShade="BF"/>
          <w:highlight w:val="yellow"/>
        </w:rPr>
        <w:t>[insert Committee name]</w:t>
      </w:r>
      <w:r w:rsidR="008243B3" w:rsidRPr="004A649D">
        <w:rPr>
          <w:rFonts w:cs="Arial"/>
          <w:strike/>
          <w:color w:val="BFBFBF" w:themeColor="background1" w:themeShade="BF"/>
        </w:rPr>
        <w:t xml:space="preserve"> of </w:t>
      </w:r>
      <w:r w:rsidR="008243B3" w:rsidRPr="004A649D">
        <w:rPr>
          <w:rFonts w:cs="Arial"/>
          <w:strike/>
          <w:color w:val="BFBFBF" w:themeColor="background1" w:themeShade="BF"/>
          <w:highlight w:val="yellow"/>
        </w:rPr>
        <w:t>[insert LHB name]</w:t>
      </w:r>
      <w:r w:rsidR="001B63F6" w:rsidRPr="004A649D">
        <w:rPr>
          <w:rFonts w:cs="Arial"/>
          <w:strike/>
          <w:color w:val="BFBFBF" w:themeColor="background1" w:themeShade="BF"/>
        </w:rPr>
        <w:t xml:space="preserve"> </w:t>
      </w:r>
      <w:r w:rsidR="00707115" w:rsidRPr="004A649D">
        <w:rPr>
          <w:rFonts w:cs="Arial"/>
          <w:strike/>
          <w:color w:val="BFBFBF" w:themeColor="background1" w:themeShade="BF"/>
        </w:rPr>
        <w:t>Health</w:t>
      </w:r>
      <w:r w:rsidR="00436D41" w:rsidRPr="004A649D">
        <w:rPr>
          <w:rFonts w:cs="Arial"/>
          <w:strike/>
          <w:color w:val="BFBFBF" w:themeColor="background1" w:themeShade="BF"/>
        </w:rPr>
        <w:t xml:space="preserve"> Board</w:t>
      </w:r>
      <w:r w:rsidR="00A23882" w:rsidRPr="004A649D">
        <w:rPr>
          <w:rFonts w:cs="Arial"/>
          <w:strike/>
          <w:color w:val="BFBFBF" w:themeColor="background1" w:themeShade="BF"/>
        </w:rPr>
        <w:t xml:space="preserve"> </w:t>
      </w:r>
      <w:r w:rsidR="008243B3" w:rsidRPr="004A649D">
        <w:rPr>
          <w:rFonts w:cs="Arial"/>
          <w:strike/>
          <w:color w:val="BFBFBF" w:themeColor="background1" w:themeShade="BF"/>
        </w:rPr>
        <w:t>is</w:t>
      </w:r>
      <w:r w:rsidR="00707115" w:rsidRPr="004A649D">
        <w:rPr>
          <w:rFonts w:cs="Arial"/>
          <w:strike/>
          <w:color w:val="BFBFBF" w:themeColor="background1" w:themeShade="BF"/>
        </w:rPr>
        <w:t xml:space="preserve"> requested</w:t>
      </w:r>
      <w:r w:rsidR="00427111" w:rsidRPr="004A649D">
        <w:rPr>
          <w:rFonts w:cs="Arial"/>
          <w:strike/>
          <w:color w:val="BFBFBF" w:themeColor="background1" w:themeShade="BF"/>
        </w:rPr>
        <w:t xml:space="preserve"> to:</w:t>
      </w:r>
    </w:p>
    <w:p w14:paraId="1B4988E1" w14:textId="77777777" w:rsidR="00F548E8" w:rsidRPr="004A649D" w:rsidRDefault="00427111" w:rsidP="004F7CCE">
      <w:pPr>
        <w:pStyle w:val="ListParagraph"/>
        <w:numPr>
          <w:ilvl w:val="0"/>
          <w:numId w:val="4"/>
        </w:numPr>
        <w:spacing w:before="0" w:after="0"/>
        <w:ind w:left="1418" w:hanging="425"/>
        <w:jc w:val="both"/>
        <w:textAlignment w:val="baseline"/>
        <w:rPr>
          <w:rFonts w:cs="Arial"/>
          <w:b w:val="0"/>
          <w:strike/>
          <w:color w:val="BFBFBF" w:themeColor="background1" w:themeShade="BF"/>
        </w:rPr>
      </w:pPr>
      <w:r w:rsidRPr="004A649D">
        <w:rPr>
          <w:rFonts w:cs="Arial"/>
          <w:strike/>
          <w:color w:val="BFBFBF" w:themeColor="background1" w:themeShade="BF"/>
        </w:rPr>
        <w:t>Note</w:t>
      </w:r>
      <w:r w:rsidR="00F548E8" w:rsidRPr="004A649D">
        <w:rPr>
          <w:rFonts w:cs="Arial"/>
          <w:b w:val="0"/>
          <w:strike/>
          <w:color w:val="BFBFBF" w:themeColor="background1" w:themeShade="BF"/>
        </w:rPr>
        <w:t xml:space="preserve"> that the process to develop the FBC </w:t>
      </w:r>
      <w:r w:rsidR="00707115" w:rsidRPr="004A649D">
        <w:rPr>
          <w:rFonts w:cs="Arial"/>
          <w:b w:val="0"/>
          <w:strike/>
          <w:color w:val="BFBFBF" w:themeColor="background1" w:themeShade="BF"/>
        </w:rPr>
        <w:t xml:space="preserve">from the previously agreed OBC </w:t>
      </w:r>
      <w:r w:rsidR="00F548E8" w:rsidRPr="004A649D">
        <w:rPr>
          <w:rFonts w:cs="Arial"/>
          <w:b w:val="0"/>
          <w:strike/>
          <w:color w:val="BFBFBF" w:themeColor="background1" w:themeShade="BF"/>
        </w:rPr>
        <w:t xml:space="preserve">has followed Treasury Green Book </w:t>
      </w:r>
      <w:r w:rsidR="00DF3489" w:rsidRPr="004A649D">
        <w:rPr>
          <w:rFonts w:cs="Arial"/>
          <w:b w:val="0"/>
          <w:strike/>
          <w:color w:val="BFBFBF" w:themeColor="background1" w:themeShade="BF"/>
        </w:rPr>
        <w:t>Guidance</w:t>
      </w:r>
      <w:r w:rsidR="00D30ACB" w:rsidRPr="004A649D">
        <w:rPr>
          <w:rFonts w:cs="Arial"/>
          <w:b w:val="0"/>
          <w:strike/>
          <w:color w:val="BFBFBF" w:themeColor="background1" w:themeShade="BF"/>
        </w:rPr>
        <w:t>;</w:t>
      </w:r>
    </w:p>
    <w:p w14:paraId="6F14CFEA" w14:textId="77777777" w:rsidR="00F548E8" w:rsidRPr="004A649D" w:rsidRDefault="00F548E8" w:rsidP="004F7CCE">
      <w:pPr>
        <w:pStyle w:val="ListParagraph"/>
        <w:numPr>
          <w:ilvl w:val="0"/>
          <w:numId w:val="4"/>
        </w:numPr>
        <w:spacing w:before="0" w:after="0"/>
        <w:ind w:left="1418" w:hanging="425"/>
        <w:jc w:val="both"/>
        <w:textAlignment w:val="baseline"/>
        <w:rPr>
          <w:rFonts w:cs="Arial"/>
          <w:b w:val="0"/>
          <w:strike/>
          <w:color w:val="BFBFBF" w:themeColor="background1" w:themeShade="BF"/>
        </w:rPr>
      </w:pPr>
      <w:r w:rsidRPr="004A649D">
        <w:rPr>
          <w:rFonts w:cs="Arial"/>
          <w:strike/>
          <w:color w:val="BFBFBF" w:themeColor="background1" w:themeShade="BF"/>
        </w:rPr>
        <w:t>Note</w:t>
      </w:r>
      <w:r w:rsidRPr="004A649D">
        <w:rPr>
          <w:rFonts w:cs="Arial"/>
          <w:b w:val="0"/>
          <w:bCs/>
          <w:strike/>
          <w:color w:val="BFBFBF" w:themeColor="background1" w:themeShade="BF"/>
        </w:rPr>
        <w:t xml:space="preserve"> the updates made from OBC to FBC and the assurance provided </w:t>
      </w:r>
      <w:r w:rsidR="00D30ACB" w:rsidRPr="004A649D">
        <w:rPr>
          <w:rFonts w:cs="Arial"/>
          <w:b w:val="0"/>
          <w:bCs/>
          <w:strike/>
          <w:color w:val="BFBFBF" w:themeColor="background1" w:themeShade="BF"/>
        </w:rPr>
        <w:t>by the Collective Commissioning Group (CCG);</w:t>
      </w:r>
    </w:p>
    <w:p w14:paraId="0C793C59" w14:textId="3C56F664" w:rsidR="00D30ACB" w:rsidRPr="004A649D" w:rsidRDefault="00D30ACB" w:rsidP="004F7CCE">
      <w:pPr>
        <w:pStyle w:val="ListParagraph"/>
        <w:numPr>
          <w:ilvl w:val="0"/>
          <w:numId w:val="4"/>
        </w:numPr>
        <w:spacing w:before="0" w:after="0"/>
        <w:ind w:left="1418" w:hanging="425"/>
        <w:jc w:val="both"/>
        <w:textAlignment w:val="baseline"/>
        <w:rPr>
          <w:rFonts w:cs="Arial"/>
          <w:b w:val="0"/>
          <w:strike/>
          <w:color w:val="BFBFBF" w:themeColor="background1" w:themeShade="BF"/>
        </w:rPr>
      </w:pPr>
      <w:r w:rsidRPr="004A649D">
        <w:rPr>
          <w:rFonts w:cs="Arial"/>
          <w:bCs/>
          <w:strike/>
          <w:color w:val="BFBFBF" w:themeColor="background1" w:themeShade="BF"/>
        </w:rPr>
        <w:t>Note</w:t>
      </w:r>
      <w:r w:rsidRPr="004A649D">
        <w:rPr>
          <w:rFonts w:cs="Arial"/>
          <w:b w:val="0"/>
          <w:strike/>
          <w:color w:val="BFBFBF" w:themeColor="background1" w:themeShade="BF"/>
        </w:rPr>
        <w:t xml:space="preserve"> the movement in recurring revenue funding, from the uplifted OBC approved sum, for the Health Board is </w:t>
      </w:r>
      <w:r w:rsidRPr="004A649D">
        <w:rPr>
          <w:rFonts w:cs="Arial"/>
          <w:b w:val="0"/>
          <w:strike/>
          <w:color w:val="BFBFBF" w:themeColor="background1" w:themeShade="BF"/>
          <w:highlight w:val="yellow"/>
        </w:rPr>
        <w:t>£</w:t>
      </w:r>
      <w:proofErr w:type="spellStart"/>
      <w:r w:rsidRPr="004A649D">
        <w:rPr>
          <w:rFonts w:cs="Arial"/>
          <w:b w:val="0"/>
          <w:strike/>
          <w:color w:val="BFBFBF" w:themeColor="background1" w:themeShade="BF"/>
          <w:highlight w:val="yellow"/>
        </w:rPr>
        <w:t>xm</w:t>
      </w:r>
      <w:proofErr w:type="spellEnd"/>
      <w:r w:rsidRPr="004A649D">
        <w:rPr>
          <w:rFonts w:cs="Arial"/>
          <w:b w:val="0"/>
          <w:strike/>
          <w:color w:val="BFBFBF" w:themeColor="background1" w:themeShade="BF"/>
        </w:rPr>
        <w:t>;</w:t>
      </w:r>
    </w:p>
    <w:p w14:paraId="220CCB05" w14:textId="2201147B" w:rsidR="009E5773" w:rsidRPr="004A649D" w:rsidRDefault="00707115" w:rsidP="004F7CCE">
      <w:pPr>
        <w:pStyle w:val="ListParagraph"/>
        <w:numPr>
          <w:ilvl w:val="0"/>
          <w:numId w:val="4"/>
        </w:numPr>
        <w:spacing w:before="0" w:after="0"/>
        <w:ind w:left="1418" w:hanging="425"/>
        <w:jc w:val="both"/>
        <w:textAlignment w:val="baseline"/>
        <w:rPr>
          <w:rFonts w:cs="Arial"/>
          <w:b w:val="0"/>
          <w:strike/>
          <w:color w:val="BFBFBF" w:themeColor="background1" w:themeShade="BF"/>
        </w:rPr>
      </w:pPr>
      <w:r w:rsidRPr="004A649D">
        <w:rPr>
          <w:rFonts w:cs="Arial"/>
          <w:strike/>
          <w:color w:val="BFBFBF" w:themeColor="background1" w:themeShade="BF"/>
        </w:rPr>
        <w:t>Approve</w:t>
      </w:r>
      <w:r w:rsidR="00F548E8" w:rsidRPr="004A649D">
        <w:rPr>
          <w:rFonts w:cs="Arial"/>
          <w:b w:val="0"/>
          <w:bCs/>
          <w:strike/>
          <w:color w:val="BFBFBF" w:themeColor="background1" w:themeShade="BF"/>
        </w:rPr>
        <w:t xml:space="preserve"> the </w:t>
      </w:r>
      <w:r w:rsidRPr="004A649D">
        <w:rPr>
          <w:rFonts w:cs="Arial"/>
          <w:b w:val="0"/>
          <w:bCs/>
          <w:strike/>
          <w:color w:val="BFBFBF" w:themeColor="background1" w:themeShade="BF"/>
        </w:rPr>
        <w:t>investment requested of</w:t>
      </w:r>
      <w:r w:rsidR="00931018" w:rsidRPr="004A649D">
        <w:rPr>
          <w:rFonts w:cs="Arial"/>
          <w:b w:val="0"/>
          <w:bCs/>
          <w:strike/>
          <w:color w:val="BFBFBF" w:themeColor="background1" w:themeShade="BF"/>
        </w:rPr>
        <w:t xml:space="preserve"> </w:t>
      </w:r>
      <w:r w:rsidR="00931018" w:rsidRPr="004A649D">
        <w:rPr>
          <w:rFonts w:cs="Arial"/>
          <w:b w:val="0"/>
          <w:bCs/>
          <w:strike/>
          <w:color w:val="BFBFBF" w:themeColor="background1" w:themeShade="BF"/>
          <w:highlight w:val="yellow"/>
        </w:rPr>
        <w:t>£</w:t>
      </w:r>
      <w:proofErr w:type="spellStart"/>
      <w:r w:rsidR="00F27393" w:rsidRPr="004A649D">
        <w:rPr>
          <w:rFonts w:cs="Arial"/>
          <w:b w:val="0"/>
          <w:bCs/>
          <w:strike/>
          <w:color w:val="BFBFBF" w:themeColor="background1" w:themeShade="BF"/>
          <w:highlight w:val="yellow"/>
        </w:rPr>
        <w:t>x</w:t>
      </w:r>
      <w:r w:rsidR="00931018" w:rsidRPr="004A649D">
        <w:rPr>
          <w:rFonts w:cs="Arial"/>
          <w:b w:val="0"/>
          <w:bCs/>
          <w:strike/>
          <w:color w:val="BFBFBF" w:themeColor="background1" w:themeShade="BF"/>
          <w:highlight w:val="yellow"/>
        </w:rPr>
        <w:t>m</w:t>
      </w:r>
      <w:proofErr w:type="spellEnd"/>
      <w:r w:rsidR="00931018" w:rsidRPr="004A649D">
        <w:rPr>
          <w:rFonts w:cs="Arial"/>
          <w:b w:val="0"/>
          <w:bCs/>
          <w:strike/>
          <w:color w:val="BFBFBF" w:themeColor="background1" w:themeShade="BF"/>
        </w:rPr>
        <w:t xml:space="preserve"> f</w:t>
      </w:r>
      <w:r w:rsidR="00D30ACB" w:rsidRPr="004A649D">
        <w:rPr>
          <w:rFonts w:cs="Arial"/>
          <w:b w:val="0"/>
          <w:bCs/>
          <w:strike/>
          <w:color w:val="BFBFBF" w:themeColor="background1" w:themeShade="BF"/>
        </w:rPr>
        <w:t>ro</w:t>
      </w:r>
      <w:r w:rsidR="00931018" w:rsidRPr="004A649D">
        <w:rPr>
          <w:rFonts w:cs="Arial"/>
          <w:b w:val="0"/>
          <w:bCs/>
          <w:strike/>
          <w:color w:val="BFBFBF" w:themeColor="background1" w:themeShade="BF"/>
        </w:rPr>
        <w:t>m</w:t>
      </w:r>
      <w:r w:rsidRPr="004A649D">
        <w:rPr>
          <w:rFonts w:cs="Arial"/>
          <w:b w:val="0"/>
          <w:bCs/>
          <w:strike/>
          <w:color w:val="BFBFBF" w:themeColor="background1" w:themeShade="BF"/>
        </w:rPr>
        <w:t xml:space="preserve"> the Health Board by </w:t>
      </w:r>
      <w:r w:rsidR="008243B3" w:rsidRPr="004A649D">
        <w:rPr>
          <w:rFonts w:cs="Arial"/>
          <w:b w:val="0"/>
          <w:bCs/>
          <w:strike/>
          <w:color w:val="BFBFBF" w:themeColor="background1" w:themeShade="BF"/>
        </w:rPr>
        <w:t>Velindre University NHS</w:t>
      </w:r>
      <w:r w:rsidR="00931018" w:rsidRPr="004A649D">
        <w:rPr>
          <w:rFonts w:cs="Arial"/>
          <w:b w:val="0"/>
          <w:bCs/>
          <w:strike/>
          <w:color w:val="BFBFBF" w:themeColor="background1" w:themeShade="BF"/>
        </w:rPr>
        <w:t xml:space="preserve"> </w:t>
      </w:r>
      <w:r w:rsidRPr="004A649D">
        <w:rPr>
          <w:rFonts w:cs="Arial"/>
          <w:b w:val="0"/>
          <w:bCs/>
          <w:strike/>
          <w:color w:val="BFBFBF" w:themeColor="background1" w:themeShade="BF"/>
        </w:rPr>
        <w:t>Trust</w:t>
      </w:r>
      <w:r w:rsidR="0047763E" w:rsidRPr="004A649D">
        <w:rPr>
          <w:rFonts w:cs="Arial"/>
          <w:b w:val="0"/>
          <w:bCs/>
          <w:strike/>
          <w:color w:val="BFBFBF" w:themeColor="background1" w:themeShade="BF"/>
        </w:rPr>
        <w:t xml:space="preserve"> set out in section</w:t>
      </w:r>
      <w:r w:rsidR="00F308A9" w:rsidRPr="004A649D">
        <w:rPr>
          <w:rFonts w:cs="Arial"/>
          <w:b w:val="0"/>
          <w:bCs/>
          <w:strike/>
          <w:color w:val="BFBFBF" w:themeColor="background1" w:themeShade="BF"/>
        </w:rPr>
        <w:t xml:space="preserve"> 2d</w:t>
      </w:r>
      <w:r w:rsidR="00D30ACB" w:rsidRPr="004A649D">
        <w:rPr>
          <w:rFonts w:cs="Arial"/>
          <w:b w:val="0"/>
          <w:bCs/>
          <w:strike/>
          <w:color w:val="BFBFBF" w:themeColor="background1" w:themeShade="BF"/>
        </w:rPr>
        <w:t>;</w:t>
      </w:r>
    </w:p>
    <w:p w14:paraId="5FD54A7E" w14:textId="77777777" w:rsidR="00DF3489" w:rsidRPr="004A649D" w:rsidRDefault="00436D41" w:rsidP="004F7CCE">
      <w:pPr>
        <w:pStyle w:val="ListParagraph"/>
        <w:numPr>
          <w:ilvl w:val="0"/>
          <w:numId w:val="4"/>
        </w:numPr>
        <w:spacing w:before="0" w:after="0"/>
        <w:ind w:left="1418" w:hanging="425"/>
        <w:jc w:val="both"/>
        <w:textAlignment w:val="baseline"/>
        <w:rPr>
          <w:rFonts w:cs="Arial"/>
          <w:b w:val="0"/>
          <w:strike/>
          <w:color w:val="BFBFBF" w:themeColor="background1" w:themeShade="BF"/>
        </w:rPr>
      </w:pPr>
      <w:r w:rsidRPr="004A649D">
        <w:rPr>
          <w:rFonts w:cs="Arial"/>
          <w:strike/>
          <w:color w:val="BFBFBF" w:themeColor="background1" w:themeShade="BF"/>
        </w:rPr>
        <w:t>Approve</w:t>
      </w:r>
      <w:r w:rsidR="00DF3489" w:rsidRPr="004A649D">
        <w:rPr>
          <w:rFonts w:cs="Arial"/>
          <w:b w:val="0"/>
          <w:bCs/>
          <w:strike/>
          <w:color w:val="BFBFBF" w:themeColor="background1" w:themeShade="BF"/>
        </w:rPr>
        <w:t xml:space="preserve"> the </w:t>
      </w:r>
      <w:r w:rsidR="007E5404" w:rsidRPr="004A649D">
        <w:rPr>
          <w:rFonts w:cs="Arial"/>
          <w:b w:val="0"/>
          <w:strike/>
          <w:color w:val="BFBFBF" w:themeColor="background1" w:themeShade="BF"/>
        </w:rPr>
        <w:t>Full Business Case</w:t>
      </w:r>
      <w:r w:rsidR="00DF3489" w:rsidRPr="004A649D">
        <w:rPr>
          <w:rFonts w:cs="Arial"/>
          <w:b w:val="0"/>
          <w:strike/>
          <w:color w:val="BFBFBF" w:themeColor="background1" w:themeShade="BF"/>
        </w:rPr>
        <w:t>,</w:t>
      </w:r>
      <w:r w:rsidR="008C5EBD" w:rsidRPr="004A649D">
        <w:rPr>
          <w:rFonts w:cs="Arial"/>
          <w:b w:val="0"/>
          <w:strike/>
          <w:color w:val="BFBFBF" w:themeColor="background1" w:themeShade="BF"/>
        </w:rPr>
        <w:t xml:space="preserve"> excluding the Commercial Case</w:t>
      </w:r>
      <w:r w:rsidR="00DF3489" w:rsidRPr="004A649D">
        <w:rPr>
          <w:rFonts w:cs="Arial"/>
          <w:b w:val="0"/>
          <w:strike/>
          <w:color w:val="BFBFBF" w:themeColor="background1" w:themeShade="BF"/>
        </w:rPr>
        <w:t>.</w:t>
      </w:r>
      <w:commentRangeEnd w:id="6"/>
      <w:r w:rsidR="004A649D" w:rsidRPr="004A649D">
        <w:rPr>
          <w:rStyle w:val="CommentReference"/>
          <w:rFonts w:eastAsia="Times New Roman"/>
          <w:b w:val="0"/>
          <w:strike/>
          <w:color w:val="BFBFBF" w:themeColor="background1" w:themeShade="BF"/>
          <w:lang w:val="en-GB" w:eastAsia="en-GB"/>
        </w:rPr>
        <w:commentReference w:id="6"/>
      </w:r>
    </w:p>
    <w:p w14:paraId="1497AF26" w14:textId="77777777" w:rsidR="007E5404" w:rsidRDefault="007E5404" w:rsidP="00DF3489">
      <w:pPr>
        <w:pStyle w:val="ListParagraph"/>
        <w:numPr>
          <w:ilvl w:val="0"/>
          <w:numId w:val="0"/>
        </w:numPr>
        <w:spacing w:before="0" w:after="0"/>
        <w:ind w:left="1843"/>
        <w:textAlignment w:val="baseline"/>
        <w:rPr>
          <w:rFonts w:cs="Arial"/>
        </w:rPr>
      </w:pPr>
    </w:p>
    <w:p w14:paraId="1A270373" w14:textId="77777777" w:rsidR="005A51BF" w:rsidRPr="007E5404" w:rsidRDefault="005A51BF" w:rsidP="00DF3489">
      <w:pPr>
        <w:pStyle w:val="ListParagraph"/>
        <w:numPr>
          <w:ilvl w:val="0"/>
          <w:numId w:val="0"/>
        </w:numPr>
        <w:spacing w:before="0" w:after="0"/>
        <w:ind w:left="1843"/>
        <w:textAlignment w:val="baseline"/>
        <w:rPr>
          <w:rFonts w:cs="Arial"/>
        </w:rPr>
      </w:pPr>
    </w:p>
    <w:p w14:paraId="65BC008E" w14:textId="77777777" w:rsidR="001B63F6" w:rsidRDefault="001B63F6" w:rsidP="00BD6CB9">
      <w:pPr>
        <w:ind w:hanging="851"/>
      </w:pPr>
    </w:p>
    <w:p w14:paraId="786E471C" w14:textId="77777777" w:rsidR="009A50E8" w:rsidRDefault="009A50E8">
      <w:pPr>
        <w:spacing w:after="160" w:line="259" w:lineRule="auto"/>
        <w:jc w:val="left"/>
        <w:rPr>
          <w:b/>
          <w:bCs/>
        </w:rPr>
      </w:pPr>
      <w:r>
        <w:rPr>
          <w:b/>
          <w:bCs/>
        </w:rPr>
        <w:br w:type="page"/>
      </w:r>
    </w:p>
    <w:p w14:paraId="39AB0338" w14:textId="77777777" w:rsidR="008C5EBD" w:rsidRPr="00C12879" w:rsidRDefault="00DF3489" w:rsidP="000C1E64">
      <w:pPr>
        <w:rPr>
          <w:b/>
          <w:bCs/>
          <w:sz w:val="28"/>
          <w:szCs w:val="28"/>
        </w:rPr>
      </w:pPr>
      <w:r w:rsidRPr="00C12879">
        <w:rPr>
          <w:b/>
          <w:bCs/>
          <w:sz w:val="28"/>
          <w:szCs w:val="28"/>
        </w:rPr>
        <w:lastRenderedPageBreak/>
        <w:t>Appendix 1</w:t>
      </w:r>
      <w:r w:rsidRPr="00C12879">
        <w:rPr>
          <w:b/>
          <w:bCs/>
          <w:sz w:val="28"/>
          <w:szCs w:val="28"/>
        </w:rPr>
        <w:tab/>
        <w:t>Strategic Case</w:t>
      </w:r>
      <w:r w:rsidR="005A51BF" w:rsidRPr="00C12879">
        <w:rPr>
          <w:b/>
          <w:bCs/>
          <w:sz w:val="28"/>
          <w:szCs w:val="28"/>
        </w:rPr>
        <w:t xml:space="preserve"> </w:t>
      </w:r>
    </w:p>
    <w:p w14:paraId="70A75388" w14:textId="77777777" w:rsidR="00DF3489" w:rsidRDefault="00DF3489" w:rsidP="000C1E64"/>
    <w:p w14:paraId="5E3C8097" w14:textId="77777777" w:rsidR="00DF3489" w:rsidRDefault="00DF3489" w:rsidP="000C1E64"/>
    <w:p w14:paraId="521E082E" w14:textId="77777777" w:rsidR="00DF3489" w:rsidRDefault="00DF3489" w:rsidP="000C1E64"/>
    <w:p w14:paraId="652CB90E" w14:textId="77777777" w:rsidR="00DF3489" w:rsidRPr="00C12879" w:rsidRDefault="00DF3489" w:rsidP="000C1E64">
      <w:pPr>
        <w:rPr>
          <w:b/>
          <w:bCs/>
          <w:sz w:val="28"/>
          <w:szCs w:val="28"/>
        </w:rPr>
      </w:pPr>
      <w:r w:rsidRPr="00C12879">
        <w:rPr>
          <w:b/>
          <w:bCs/>
          <w:sz w:val="28"/>
          <w:szCs w:val="28"/>
        </w:rPr>
        <w:t>Appendix 2</w:t>
      </w:r>
      <w:r w:rsidRPr="00C12879">
        <w:rPr>
          <w:b/>
          <w:bCs/>
          <w:sz w:val="28"/>
          <w:szCs w:val="28"/>
        </w:rPr>
        <w:tab/>
        <w:t>Economic Case</w:t>
      </w:r>
      <w:r w:rsidR="005A51BF" w:rsidRPr="00C12879">
        <w:rPr>
          <w:b/>
          <w:bCs/>
          <w:sz w:val="28"/>
          <w:szCs w:val="28"/>
        </w:rPr>
        <w:t xml:space="preserve"> </w:t>
      </w:r>
    </w:p>
    <w:p w14:paraId="7FC440F3" w14:textId="77777777" w:rsidR="00DF3489" w:rsidRDefault="00DF3489" w:rsidP="000C1E64"/>
    <w:p w14:paraId="26FC9594" w14:textId="77777777" w:rsidR="00DF3489" w:rsidRDefault="00DF3489" w:rsidP="000C1E64"/>
    <w:p w14:paraId="43030670" w14:textId="77777777" w:rsidR="00DF3489" w:rsidRDefault="00DF3489" w:rsidP="000C1E64"/>
    <w:p w14:paraId="661ACEF3" w14:textId="77777777" w:rsidR="00DF3489" w:rsidRPr="00C12879" w:rsidRDefault="00DF3489" w:rsidP="000C1E64">
      <w:pPr>
        <w:rPr>
          <w:b/>
          <w:bCs/>
          <w:sz w:val="28"/>
          <w:szCs w:val="28"/>
        </w:rPr>
      </w:pPr>
      <w:r w:rsidRPr="00C12879">
        <w:rPr>
          <w:b/>
          <w:bCs/>
          <w:sz w:val="28"/>
          <w:szCs w:val="28"/>
        </w:rPr>
        <w:t>Appendix 3</w:t>
      </w:r>
      <w:r w:rsidRPr="00C12879">
        <w:rPr>
          <w:b/>
          <w:bCs/>
          <w:sz w:val="28"/>
          <w:szCs w:val="28"/>
        </w:rPr>
        <w:tab/>
        <w:t>Management Case</w:t>
      </w:r>
      <w:r w:rsidR="005A51BF" w:rsidRPr="00C12879">
        <w:rPr>
          <w:b/>
          <w:bCs/>
          <w:sz w:val="28"/>
          <w:szCs w:val="28"/>
        </w:rPr>
        <w:t xml:space="preserve"> </w:t>
      </w:r>
    </w:p>
    <w:p w14:paraId="2D823F6F" w14:textId="77777777" w:rsidR="00931018" w:rsidRDefault="00931018" w:rsidP="000C1E64"/>
    <w:p w14:paraId="78C8422A" w14:textId="77777777" w:rsidR="00DF3489" w:rsidRDefault="00DF3489" w:rsidP="000C1E64"/>
    <w:p w14:paraId="359F31FB" w14:textId="77777777" w:rsidR="00DF3489" w:rsidRDefault="00DF3489" w:rsidP="000C1E64"/>
    <w:p w14:paraId="374D333D" w14:textId="77777777" w:rsidR="00DF3489" w:rsidRPr="005A51BF" w:rsidRDefault="00DF3489" w:rsidP="00931018">
      <w:pPr>
        <w:spacing w:after="160" w:line="259" w:lineRule="auto"/>
        <w:jc w:val="left"/>
        <w:rPr>
          <w:b/>
          <w:bCs/>
        </w:rPr>
      </w:pPr>
      <w:r w:rsidRPr="00C12879">
        <w:rPr>
          <w:b/>
          <w:bCs/>
          <w:sz w:val="28"/>
          <w:szCs w:val="28"/>
        </w:rPr>
        <w:t>Appendix 4</w:t>
      </w:r>
      <w:r w:rsidRPr="00C12879">
        <w:rPr>
          <w:b/>
          <w:bCs/>
          <w:sz w:val="28"/>
          <w:szCs w:val="28"/>
        </w:rPr>
        <w:tab/>
        <w:t>Financial Case</w:t>
      </w:r>
      <w:r w:rsidR="005A51BF" w:rsidRPr="00C12879">
        <w:rPr>
          <w:b/>
          <w:bCs/>
          <w:sz w:val="28"/>
          <w:szCs w:val="28"/>
        </w:rPr>
        <w:t xml:space="preserve"> </w:t>
      </w:r>
    </w:p>
    <w:p w14:paraId="27B388D3" w14:textId="77777777" w:rsidR="008C5EBD" w:rsidRDefault="008C5EBD" w:rsidP="00161910">
      <w:pPr>
        <w:ind w:hanging="426"/>
      </w:pPr>
    </w:p>
    <w:p w14:paraId="2D94BC14" w14:textId="77777777" w:rsidR="008C5EBD" w:rsidRDefault="008C5EBD" w:rsidP="00161910">
      <w:pPr>
        <w:ind w:hanging="426"/>
      </w:pPr>
    </w:p>
    <w:p w14:paraId="3E00124C" w14:textId="77777777" w:rsidR="008C5EBD" w:rsidRDefault="008C5EBD" w:rsidP="00161910">
      <w:pPr>
        <w:ind w:hanging="426"/>
      </w:pPr>
    </w:p>
    <w:p w14:paraId="23CACEF1" w14:textId="77777777" w:rsidR="008C5EBD" w:rsidRDefault="008C5EBD" w:rsidP="00161910">
      <w:pPr>
        <w:ind w:hanging="426"/>
      </w:pPr>
    </w:p>
    <w:p w14:paraId="3671CB84" w14:textId="77777777" w:rsidR="00242670" w:rsidRDefault="00242670" w:rsidP="00931018">
      <w:pPr>
        <w:ind w:hanging="426"/>
      </w:pPr>
    </w:p>
    <w:sectPr w:rsidR="00242670" w:rsidSect="009A20AC">
      <w:footerReference w:type="default" r:id="rId18"/>
      <w:pgSz w:w="11906" w:h="16838"/>
      <w:pgMar w:top="1135" w:right="1440" w:bottom="1276" w:left="1440"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comment w:id="6" w:author="Melanie Wilkey (Cardiff and Vale UHB - COMMISSIONING)" w:date="2023-03-15T08:20:00Z" w:initials="MW(aVU-C">
    <w:p w14:paraId="6A7334BF" w14:textId="61DB3CBD" w:rsidR="004A649D" w:rsidRDefault="004A649D">
      <w:pPr>
        <w:pStyle w:val="CommentText"/>
      </w:pPr>
      <w:r>
        <w:rPr>
          <w:rStyle w:val="CommentReference"/>
        </w:rPr>
        <w:annotationRef/>
      </w:r>
      <w:r>
        <w:t xml:space="preserve">These are </w:t>
      </w:r>
      <w:proofErr w:type="spellStart"/>
      <w:r>
        <w:t>Velindre’s</w:t>
      </w:r>
      <w:proofErr w:type="spellEnd"/>
      <w:r>
        <w:t xml:space="preserve"> suggested recommendations. These have been replaced with the CAVUHB recommendations in the cover paper. </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6A7334BF"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6A7334BF" w16cid:durableId="27BBFE4C"/>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23C49A9" w14:textId="77777777" w:rsidR="00520F46" w:rsidRDefault="00520F46" w:rsidP="000B55DC">
      <w:r>
        <w:separator/>
      </w:r>
    </w:p>
  </w:endnote>
  <w:endnote w:type="continuationSeparator" w:id="0">
    <w:p w14:paraId="1B21CD63" w14:textId="77777777" w:rsidR="00520F46" w:rsidRDefault="00520F46" w:rsidP="000B55DC">
      <w:r>
        <w:continuationSeparator/>
      </w:r>
    </w:p>
  </w:endnote>
  <w:endnote w:type="continuationNotice" w:id="1">
    <w:p w14:paraId="4265578C" w14:textId="77777777" w:rsidR="00520F46" w:rsidRDefault="00520F4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old">
    <w:panose1 w:val="020B0704020202020204"/>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swiss"/>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imSun">
    <w:altName w:val="宋体"/>
    <w:panose1 w:val="02010600030101010101"/>
    <w:charset w:val="86"/>
    <w:family w:val="auto"/>
    <w:pitch w:val="variable"/>
    <w:sig w:usb0="00000003" w:usb1="288F0000" w:usb2="00000016" w:usb3="00000000" w:csb0="00040001" w:csb1="00000000"/>
  </w:font>
  <w:font w:name="Segoe UI">
    <w:panose1 w:val="020B0502040204020203"/>
    <w:charset w:val="00"/>
    <w:family w:val="swiss"/>
    <w:pitch w:val="variable"/>
    <w:sig w:usb0="E4002EFF" w:usb1="C000E47F"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170949588"/>
      <w:docPartObj>
        <w:docPartGallery w:val="Page Numbers (Bottom of Page)"/>
        <w:docPartUnique/>
      </w:docPartObj>
    </w:sdtPr>
    <w:sdtEndPr>
      <w:rPr>
        <w:noProof/>
      </w:rPr>
    </w:sdtEndPr>
    <w:sdtContent>
      <w:p w14:paraId="639CFDCE" w14:textId="77777777" w:rsidR="00BB1691" w:rsidRDefault="00BB1691">
        <w:pPr>
          <w:pStyle w:val="Footer"/>
        </w:pPr>
        <w:r>
          <w:t xml:space="preserve">Page | </w:t>
        </w:r>
        <w:r>
          <w:fldChar w:fldCharType="begin"/>
        </w:r>
        <w:r>
          <w:instrText xml:space="preserve"> PAGE   \* MERGEFORMAT </w:instrText>
        </w:r>
        <w:r>
          <w:fldChar w:fldCharType="separate"/>
        </w:r>
        <w:r w:rsidR="00671C2B">
          <w:rPr>
            <w:noProof/>
          </w:rPr>
          <w:t>7</w:t>
        </w:r>
        <w:r>
          <w:rPr>
            <w:noProof/>
          </w:rPr>
          <w:fldChar w:fldCharType="end"/>
        </w:r>
      </w:p>
    </w:sdtContent>
  </w:sdt>
  <w:p w14:paraId="18C1B815" w14:textId="77777777" w:rsidR="00BB1691" w:rsidRDefault="00BB169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F8A8704" w14:textId="77777777" w:rsidR="00520F46" w:rsidRDefault="00520F46" w:rsidP="000B55DC">
      <w:r>
        <w:separator/>
      </w:r>
    </w:p>
  </w:footnote>
  <w:footnote w:type="continuationSeparator" w:id="0">
    <w:p w14:paraId="3D797794" w14:textId="77777777" w:rsidR="00520F46" w:rsidRDefault="00520F46" w:rsidP="000B55DC">
      <w:r>
        <w:continuationSeparator/>
      </w:r>
    </w:p>
  </w:footnote>
  <w:footnote w:type="continuationNotice" w:id="1">
    <w:p w14:paraId="62DF1477" w14:textId="77777777" w:rsidR="00520F46" w:rsidRDefault="00520F46"/>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7028A5"/>
    <w:multiLevelType w:val="hybridMultilevel"/>
    <w:tmpl w:val="157A37D4"/>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1" w15:restartNumberingAfterBreak="0">
    <w:nsid w:val="0A0802DE"/>
    <w:multiLevelType w:val="multilevel"/>
    <w:tmpl w:val="DDB28644"/>
    <w:lvl w:ilvl="0">
      <w:start w:val="1"/>
      <w:numFmt w:val="decimal"/>
      <w:lvlText w:val="%1"/>
      <w:lvlJc w:val="left"/>
      <w:pPr>
        <w:tabs>
          <w:tab w:val="num" w:pos="851"/>
        </w:tabs>
        <w:ind w:left="851" w:hanging="851"/>
      </w:pPr>
      <w:rPr>
        <w:rFonts w:ascii="Arial Bold" w:hAnsi="Arial Bold" w:cs="Times New Roman" w:hint="default"/>
        <w:b/>
        <w:i w:val="0"/>
        <w:color w:val="0D3795"/>
        <w:sz w:val="28"/>
        <w:szCs w:val="28"/>
      </w:rPr>
    </w:lvl>
    <w:lvl w:ilvl="1">
      <w:start w:val="1"/>
      <w:numFmt w:val="bullet"/>
      <w:lvlText w:val=""/>
      <w:lvlJc w:val="left"/>
      <w:pPr>
        <w:tabs>
          <w:tab w:val="num" w:pos="851"/>
        </w:tabs>
        <w:ind w:left="851" w:hanging="851"/>
      </w:pPr>
      <w:rPr>
        <w:rFonts w:ascii="Symbol" w:hAnsi="Symbol" w:hint="default"/>
        <w:b w:val="0"/>
        <w:bCs w:val="0"/>
        <w:i w:val="0"/>
        <w:iCs w:val="0"/>
        <w:caps w:val="0"/>
        <w:smallCaps w:val="0"/>
        <w:strike w:val="0"/>
        <w:dstrike w:val="0"/>
        <w:noProof w:val="0"/>
        <w:vanish w:val="0"/>
        <w:color w:val="auto"/>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num" w:pos="5981"/>
        </w:tabs>
        <w:ind w:left="5981" w:hanging="851"/>
      </w:pPr>
      <w:rPr>
        <w:rFonts w:ascii="Arial" w:hAnsi="Arial" w:cs="Times New Roman" w:hint="default"/>
        <w:b w:val="0"/>
        <w:i w:val="0"/>
        <w:color w:val="000000" w:themeColor="text1"/>
        <w:sz w:val="24"/>
        <w:szCs w:val="22"/>
        <w:u w:val="none"/>
      </w:rPr>
    </w:lvl>
    <w:lvl w:ilvl="3">
      <w:start w:val="1"/>
      <w:numFmt w:val="decimal"/>
      <w:lvlText w:val="%1.%2.%3.%4"/>
      <w:lvlJc w:val="left"/>
      <w:pPr>
        <w:tabs>
          <w:tab w:val="num" w:pos="1077"/>
        </w:tabs>
        <w:ind w:left="1077" w:hanging="1077"/>
      </w:pPr>
      <w:rPr>
        <w:rFonts w:ascii="Helvetica" w:hAnsi="Helvetica" w:cs="Times New Roman" w:hint="default"/>
        <w:b w:val="0"/>
        <w:i w:val="0"/>
        <w:color w:val="004E73"/>
        <w:sz w:val="22"/>
        <w:szCs w:val="22"/>
        <w:u w:val="none"/>
      </w:rPr>
    </w:lvl>
    <w:lvl w:ilvl="4">
      <w:start w:val="1"/>
      <w:numFmt w:val="decimal"/>
      <w:lvlText w:val="%1.%2.%3.%4.%5"/>
      <w:lvlJc w:val="left"/>
      <w:pPr>
        <w:tabs>
          <w:tab w:val="num" w:pos="1008"/>
        </w:tabs>
        <w:ind w:left="1008" w:hanging="1008"/>
      </w:pPr>
      <w:rPr>
        <w:rFonts w:cs="Times New Roman" w:hint="default"/>
        <w:u w:val="single"/>
      </w:rPr>
    </w:lvl>
    <w:lvl w:ilvl="5">
      <w:start w:val="1"/>
      <w:numFmt w:val="decimal"/>
      <w:lvlText w:val="%1.%2.%3.%4.%5.%6"/>
      <w:lvlJc w:val="left"/>
      <w:pPr>
        <w:tabs>
          <w:tab w:val="num" w:pos="1152"/>
        </w:tabs>
        <w:ind w:left="1152" w:hanging="1152"/>
      </w:pPr>
      <w:rPr>
        <w:rFonts w:cs="Times New Roman" w:hint="default"/>
        <w:u w:val="single"/>
      </w:rPr>
    </w:lvl>
    <w:lvl w:ilvl="6">
      <w:start w:val="1"/>
      <w:numFmt w:val="decimal"/>
      <w:lvlText w:val="%1.%2.%3.%4.%5.%6.%7"/>
      <w:lvlJc w:val="left"/>
      <w:pPr>
        <w:tabs>
          <w:tab w:val="num" w:pos="1296"/>
        </w:tabs>
        <w:ind w:left="1296" w:hanging="1296"/>
      </w:pPr>
      <w:rPr>
        <w:rFonts w:cs="Times New Roman" w:hint="default"/>
        <w:u w:val="single"/>
      </w:rPr>
    </w:lvl>
    <w:lvl w:ilvl="7">
      <w:start w:val="1"/>
      <w:numFmt w:val="decimal"/>
      <w:lvlText w:val="%1.%2.%3.%4.%5.%6.%7.%8"/>
      <w:lvlJc w:val="left"/>
      <w:pPr>
        <w:tabs>
          <w:tab w:val="num" w:pos="1440"/>
        </w:tabs>
        <w:ind w:left="1440" w:hanging="1440"/>
      </w:pPr>
      <w:rPr>
        <w:rFonts w:cs="Times New Roman" w:hint="default"/>
        <w:u w:val="single"/>
      </w:rPr>
    </w:lvl>
    <w:lvl w:ilvl="8">
      <w:start w:val="1"/>
      <w:numFmt w:val="decimal"/>
      <w:lvlText w:val="%1.%2.%3.%4.%5.%6.%7.%8.%9"/>
      <w:lvlJc w:val="left"/>
      <w:pPr>
        <w:tabs>
          <w:tab w:val="num" w:pos="1584"/>
        </w:tabs>
        <w:ind w:left="1584" w:hanging="1584"/>
      </w:pPr>
      <w:rPr>
        <w:rFonts w:cs="Times New Roman" w:hint="default"/>
        <w:u w:val="single"/>
      </w:rPr>
    </w:lvl>
  </w:abstractNum>
  <w:abstractNum w:abstractNumId="2" w15:restartNumberingAfterBreak="0">
    <w:nsid w:val="0D5535EF"/>
    <w:multiLevelType w:val="hybridMultilevel"/>
    <w:tmpl w:val="8520895C"/>
    <w:lvl w:ilvl="0" w:tplc="E674A684">
      <w:start w:val="1"/>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50B6BAA"/>
    <w:multiLevelType w:val="hybridMultilevel"/>
    <w:tmpl w:val="B838C9D0"/>
    <w:lvl w:ilvl="0" w:tplc="BBA2BA42">
      <w:start w:val="1"/>
      <w:numFmt w:val="decimal"/>
      <w:pStyle w:val="BJC3rdLevel"/>
      <w:lvlText w:val="%1.1"/>
      <w:lvlJc w:val="left"/>
      <w:rPr>
        <w:rFonts w:cs="Times New Roman"/>
        <w:b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8090019">
      <w:start w:val="1"/>
      <w:numFmt w:val="lowerLetter"/>
      <w:lvlText w:val="%2."/>
      <w:lvlJc w:val="left"/>
      <w:pPr>
        <w:ind w:left="1648" w:hanging="360"/>
      </w:pPr>
    </w:lvl>
    <w:lvl w:ilvl="2" w:tplc="0809001B">
      <w:start w:val="1"/>
      <w:numFmt w:val="lowerRoman"/>
      <w:lvlText w:val="%3."/>
      <w:lvlJc w:val="right"/>
      <w:pPr>
        <w:ind w:left="2368" w:hanging="180"/>
      </w:pPr>
    </w:lvl>
    <w:lvl w:ilvl="3" w:tplc="0809000F" w:tentative="1">
      <w:start w:val="1"/>
      <w:numFmt w:val="decimal"/>
      <w:lvlText w:val="%4."/>
      <w:lvlJc w:val="left"/>
      <w:pPr>
        <w:ind w:left="3088" w:hanging="360"/>
      </w:pPr>
    </w:lvl>
    <w:lvl w:ilvl="4" w:tplc="08090019" w:tentative="1">
      <w:start w:val="1"/>
      <w:numFmt w:val="lowerLetter"/>
      <w:lvlText w:val="%5."/>
      <w:lvlJc w:val="left"/>
      <w:pPr>
        <w:ind w:left="3808" w:hanging="360"/>
      </w:pPr>
    </w:lvl>
    <w:lvl w:ilvl="5" w:tplc="0809001B" w:tentative="1">
      <w:start w:val="1"/>
      <w:numFmt w:val="lowerRoman"/>
      <w:lvlText w:val="%6."/>
      <w:lvlJc w:val="right"/>
      <w:pPr>
        <w:ind w:left="4528" w:hanging="180"/>
      </w:pPr>
    </w:lvl>
    <w:lvl w:ilvl="6" w:tplc="0809000F" w:tentative="1">
      <w:start w:val="1"/>
      <w:numFmt w:val="decimal"/>
      <w:lvlText w:val="%7."/>
      <w:lvlJc w:val="left"/>
      <w:pPr>
        <w:ind w:left="5248" w:hanging="360"/>
      </w:pPr>
    </w:lvl>
    <w:lvl w:ilvl="7" w:tplc="08090019" w:tentative="1">
      <w:start w:val="1"/>
      <w:numFmt w:val="lowerLetter"/>
      <w:lvlText w:val="%8."/>
      <w:lvlJc w:val="left"/>
      <w:pPr>
        <w:ind w:left="5968" w:hanging="360"/>
      </w:pPr>
    </w:lvl>
    <w:lvl w:ilvl="8" w:tplc="0809001B" w:tentative="1">
      <w:start w:val="1"/>
      <w:numFmt w:val="lowerRoman"/>
      <w:lvlText w:val="%9."/>
      <w:lvlJc w:val="right"/>
      <w:pPr>
        <w:ind w:left="6688" w:hanging="180"/>
      </w:pPr>
    </w:lvl>
  </w:abstractNum>
  <w:abstractNum w:abstractNumId="4" w15:restartNumberingAfterBreak="0">
    <w:nsid w:val="184B2376"/>
    <w:multiLevelType w:val="hybridMultilevel"/>
    <w:tmpl w:val="E2207630"/>
    <w:lvl w:ilvl="0" w:tplc="1809000F">
      <w:start w:val="1"/>
      <w:numFmt w:val="bullet"/>
      <w:lvlText w:val=""/>
      <w:lvlJc w:val="left"/>
      <w:pPr>
        <w:ind w:left="5473" w:hanging="360"/>
      </w:pPr>
      <w:rPr>
        <w:rFonts w:ascii="Symbol" w:hAnsi="Symbol" w:hint="default"/>
        <w:color w:val="auto"/>
      </w:rPr>
    </w:lvl>
    <w:lvl w:ilvl="1" w:tplc="08090003">
      <w:start w:val="1"/>
      <w:numFmt w:val="bullet"/>
      <w:lvlText w:val="o"/>
      <w:lvlJc w:val="left"/>
      <w:pPr>
        <w:tabs>
          <w:tab w:val="num" w:pos="1414"/>
        </w:tabs>
        <w:ind w:left="1414" w:hanging="360"/>
      </w:pPr>
      <w:rPr>
        <w:rFonts w:ascii="Courier New" w:hAnsi="Courier New" w:cs="Courier New" w:hint="default"/>
      </w:rPr>
    </w:lvl>
    <w:lvl w:ilvl="2" w:tplc="08090003">
      <w:start w:val="1"/>
      <w:numFmt w:val="bullet"/>
      <w:lvlText w:val="o"/>
      <w:lvlJc w:val="left"/>
      <w:pPr>
        <w:tabs>
          <w:tab w:val="num" w:pos="2134"/>
        </w:tabs>
        <w:ind w:left="2134" w:hanging="360"/>
      </w:pPr>
      <w:rPr>
        <w:rFonts w:ascii="Courier New" w:hAnsi="Courier New" w:cs="Courier New" w:hint="default"/>
      </w:rPr>
    </w:lvl>
    <w:lvl w:ilvl="3" w:tplc="08090003">
      <w:start w:val="1"/>
      <w:numFmt w:val="bullet"/>
      <w:lvlText w:val="o"/>
      <w:lvlJc w:val="left"/>
      <w:pPr>
        <w:tabs>
          <w:tab w:val="num" w:pos="2854"/>
        </w:tabs>
        <w:ind w:left="2854" w:hanging="360"/>
      </w:pPr>
      <w:rPr>
        <w:rFonts w:ascii="Courier New" w:hAnsi="Courier New" w:cs="Courier New" w:hint="default"/>
      </w:rPr>
    </w:lvl>
    <w:lvl w:ilvl="4" w:tplc="08090019">
      <w:start w:val="1"/>
      <w:numFmt w:val="decimal"/>
      <w:lvlText w:val="%5."/>
      <w:lvlJc w:val="left"/>
      <w:pPr>
        <w:tabs>
          <w:tab w:val="num" w:pos="3574"/>
        </w:tabs>
        <w:ind w:left="3574" w:hanging="360"/>
      </w:pPr>
      <w:rPr>
        <w:rFonts w:cs="Times New Roman"/>
      </w:rPr>
    </w:lvl>
    <w:lvl w:ilvl="5" w:tplc="0809001B">
      <w:start w:val="1"/>
      <w:numFmt w:val="decimal"/>
      <w:lvlText w:val="%6."/>
      <w:lvlJc w:val="left"/>
      <w:pPr>
        <w:tabs>
          <w:tab w:val="num" w:pos="4294"/>
        </w:tabs>
        <w:ind w:left="4294" w:hanging="360"/>
      </w:pPr>
      <w:rPr>
        <w:rFonts w:cs="Times New Roman"/>
      </w:rPr>
    </w:lvl>
    <w:lvl w:ilvl="6" w:tplc="0809000F">
      <w:start w:val="1"/>
      <w:numFmt w:val="decimal"/>
      <w:lvlText w:val="%7."/>
      <w:lvlJc w:val="left"/>
      <w:pPr>
        <w:tabs>
          <w:tab w:val="num" w:pos="5014"/>
        </w:tabs>
        <w:ind w:left="5014" w:hanging="360"/>
      </w:pPr>
      <w:rPr>
        <w:rFonts w:cs="Times New Roman"/>
      </w:rPr>
    </w:lvl>
    <w:lvl w:ilvl="7" w:tplc="08090019">
      <w:start w:val="1"/>
      <w:numFmt w:val="decimal"/>
      <w:lvlText w:val="%8."/>
      <w:lvlJc w:val="left"/>
      <w:pPr>
        <w:tabs>
          <w:tab w:val="num" w:pos="5734"/>
        </w:tabs>
        <w:ind w:left="5734" w:hanging="360"/>
      </w:pPr>
      <w:rPr>
        <w:rFonts w:cs="Times New Roman"/>
      </w:rPr>
    </w:lvl>
    <w:lvl w:ilvl="8" w:tplc="0809001B">
      <w:start w:val="1"/>
      <w:numFmt w:val="decimal"/>
      <w:lvlText w:val="%9."/>
      <w:lvlJc w:val="left"/>
      <w:pPr>
        <w:tabs>
          <w:tab w:val="num" w:pos="6454"/>
        </w:tabs>
        <w:ind w:left="6454" w:hanging="360"/>
      </w:pPr>
      <w:rPr>
        <w:rFonts w:cs="Times New Roman"/>
      </w:rPr>
    </w:lvl>
  </w:abstractNum>
  <w:abstractNum w:abstractNumId="5" w15:restartNumberingAfterBreak="0">
    <w:nsid w:val="1958793A"/>
    <w:multiLevelType w:val="hybridMultilevel"/>
    <w:tmpl w:val="24F4E698"/>
    <w:lvl w:ilvl="0" w:tplc="2F5AF27C">
      <w:start w:val="5"/>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E7B1DD1"/>
    <w:multiLevelType w:val="hybridMultilevel"/>
    <w:tmpl w:val="CDC0C0FE"/>
    <w:lvl w:ilvl="0" w:tplc="9676B7F6">
      <w:start w:val="1"/>
      <w:numFmt w:val="lowerLetter"/>
      <w:lvlText w:val="%1)"/>
      <w:lvlJc w:val="left"/>
      <w:pPr>
        <w:ind w:left="1538" w:hanging="360"/>
      </w:pPr>
      <w:rPr>
        <w:rFonts w:hint="default"/>
      </w:rPr>
    </w:lvl>
    <w:lvl w:ilvl="1" w:tplc="08090019">
      <w:start w:val="1"/>
      <w:numFmt w:val="lowerLetter"/>
      <w:lvlText w:val="%2."/>
      <w:lvlJc w:val="left"/>
      <w:pPr>
        <w:ind w:left="2258" w:hanging="360"/>
      </w:pPr>
    </w:lvl>
    <w:lvl w:ilvl="2" w:tplc="0809001B" w:tentative="1">
      <w:start w:val="1"/>
      <w:numFmt w:val="lowerRoman"/>
      <w:lvlText w:val="%3."/>
      <w:lvlJc w:val="right"/>
      <w:pPr>
        <w:ind w:left="2978" w:hanging="180"/>
      </w:pPr>
    </w:lvl>
    <w:lvl w:ilvl="3" w:tplc="0809000F" w:tentative="1">
      <w:start w:val="1"/>
      <w:numFmt w:val="decimal"/>
      <w:lvlText w:val="%4."/>
      <w:lvlJc w:val="left"/>
      <w:pPr>
        <w:ind w:left="3698" w:hanging="360"/>
      </w:pPr>
    </w:lvl>
    <w:lvl w:ilvl="4" w:tplc="08090019" w:tentative="1">
      <w:start w:val="1"/>
      <w:numFmt w:val="lowerLetter"/>
      <w:lvlText w:val="%5."/>
      <w:lvlJc w:val="left"/>
      <w:pPr>
        <w:ind w:left="4418" w:hanging="360"/>
      </w:pPr>
    </w:lvl>
    <w:lvl w:ilvl="5" w:tplc="0809001B" w:tentative="1">
      <w:start w:val="1"/>
      <w:numFmt w:val="lowerRoman"/>
      <w:lvlText w:val="%6."/>
      <w:lvlJc w:val="right"/>
      <w:pPr>
        <w:ind w:left="5138" w:hanging="180"/>
      </w:pPr>
    </w:lvl>
    <w:lvl w:ilvl="6" w:tplc="0809000F" w:tentative="1">
      <w:start w:val="1"/>
      <w:numFmt w:val="decimal"/>
      <w:lvlText w:val="%7."/>
      <w:lvlJc w:val="left"/>
      <w:pPr>
        <w:ind w:left="5858" w:hanging="360"/>
      </w:pPr>
    </w:lvl>
    <w:lvl w:ilvl="7" w:tplc="08090019" w:tentative="1">
      <w:start w:val="1"/>
      <w:numFmt w:val="lowerLetter"/>
      <w:lvlText w:val="%8."/>
      <w:lvlJc w:val="left"/>
      <w:pPr>
        <w:ind w:left="6578" w:hanging="360"/>
      </w:pPr>
    </w:lvl>
    <w:lvl w:ilvl="8" w:tplc="0809001B" w:tentative="1">
      <w:start w:val="1"/>
      <w:numFmt w:val="lowerRoman"/>
      <w:lvlText w:val="%9."/>
      <w:lvlJc w:val="right"/>
      <w:pPr>
        <w:ind w:left="7298" w:hanging="180"/>
      </w:pPr>
    </w:lvl>
  </w:abstractNum>
  <w:abstractNum w:abstractNumId="7" w15:restartNumberingAfterBreak="0">
    <w:nsid w:val="1FC15566"/>
    <w:multiLevelType w:val="hybridMultilevel"/>
    <w:tmpl w:val="03401852"/>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8" w15:restartNumberingAfterBreak="0">
    <w:nsid w:val="28230790"/>
    <w:multiLevelType w:val="multilevel"/>
    <w:tmpl w:val="0809001D"/>
    <w:lvl w:ilvl="0">
      <w:start w:val="1"/>
      <w:numFmt w:val="decimal"/>
      <w:lvlText w:val="%1)"/>
      <w:lvlJc w:val="left"/>
      <w:pPr>
        <w:ind w:left="1440" w:hanging="360"/>
      </w:pPr>
    </w:lvl>
    <w:lvl w:ilvl="1">
      <w:start w:val="1"/>
      <w:numFmt w:val="lowerLetter"/>
      <w:lvlText w:val="%2)"/>
      <w:lvlJc w:val="left"/>
      <w:pPr>
        <w:ind w:left="1800" w:hanging="360"/>
      </w:pPr>
    </w:lvl>
    <w:lvl w:ilvl="2">
      <w:start w:val="1"/>
      <w:numFmt w:val="lowerRoman"/>
      <w:lvlText w:val="%3)"/>
      <w:lvlJc w:val="left"/>
      <w:pPr>
        <w:ind w:left="2160" w:hanging="360"/>
      </w:pPr>
    </w:lvl>
    <w:lvl w:ilvl="3">
      <w:start w:val="1"/>
      <w:numFmt w:val="decimal"/>
      <w:lvlText w:val="(%4)"/>
      <w:lvlJc w:val="left"/>
      <w:pPr>
        <w:ind w:left="2520" w:hanging="360"/>
      </w:pPr>
    </w:lvl>
    <w:lvl w:ilvl="4">
      <w:start w:val="1"/>
      <w:numFmt w:val="lowerLetter"/>
      <w:lvlText w:val="(%5)"/>
      <w:lvlJc w:val="left"/>
      <w:pPr>
        <w:ind w:left="2880" w:hanging="360"/>
      </w:pPr>
    </w:lvl>
    <w:lvl w:ilvl="5">
      <w:start w:val="1"/>
      <w:numFmt w:val="lowerRoman"/>
      <w:lvlText w:val="(%6)"/>
      <w:lvlJc w:val="left"/>
      <w:pPr>
        <w:ind w:left="3240" w:hanging="360"/>
      </w:pPr>
    </w:lvl>
    <w:lvl w:ilvl="6">
      <w:start w:val="1"/>
      <w:numFmt w:val="decimal"/>
      <w:lvlText w:val="%7."/>
      <w:lvlJc w:val="left"/>
      <w:pPr>
        <w:ind w:left="3600" w:hanging="360"/>
      </w:pPr>
    </w:lvl>
    <w:lvl w:ilvl="7">
      <w:start w:val="1"/>
      <w:numFmt w:val="lowerLetter"/>
      <w:lvlText w:val="%8."/>
      <w:lvlJc w:val="left"/>
      <w:pPr>
        <w:ind w:left="3960" w:hanging="360"/>
      </w:pPr>
    </w:lvl>
    <w:lvl w:ilvl="8">
      <w:start w:val="1"/>
      <w:numFmt w:val="lowerRoman"/>
      <w:lvlText w:val="%9."/>
      <w:lvlJc w:val="left"/>
      <w:pPr>
        <w:ind w:left="4320" w:hanging="360"/>
      </w:pPr>
    </w:lvl>
  </w:abstractNum>
  <w:abstractNum w:abstractNumId="9" w15:restartNumberingAfterBreak="0">
    <w:nsid w:val="2D252748"/>
    <w:multiLevelType w:val="multilevel"/>
    <w:tmpl w:val="5B6808F8"/>
    <w:lvl w:ilvl="0">
      <w:start w:val="1"/>
      <w:numFmt w:val="decimal"/>
      <w:lvlText w:val="%1."/>
      <w:lvlJc w:val="left"/>
      <w:pPr>
        <w:tabs>
          <w:tab w:val="num" w:pos="1440"/>
        </w:tabs>
        <w:ind w:left="1440" w:hanging="360"/>
      </w:pPr>
      <w:rPr>
        <w:rFonts w:hint="default"/>
        <w:b/>
        <w:bCs/>
      </w:rPr>
    </w:lvl>
    <w:lvl w:ilvl="1">
      <w:start w:val="1"/>
      <w:numFmt w:val="decimal"/>
      <w:lvlText w:val="%2."/>
      <w:lvlJc w:val="left"/>
      <w:pPr>
        <w:tabs>
          <w:tab w:val="num" w:pos="2160"/>
        </w:tabs>
        <w:ind w:left="2160" w:hanging="360"/>
      </w:pPr>
      <w:rPr>
        <w:rFonts w:hint="default"/>
      </w:rPr>
    </w:lvl>
    <w:lvl w:ilvl="2">
      <w:start w:val="1"/>
      <w:numFmt w:val="decimal"/>
      <w:lvlText w:val="%3."/>
      <w:lvlJc w:val="left"/>
      <w:pPr>
        <w:tabs>
          <w:tab w:val="num" w:pos="2880"/>
        </w:tabs>
        <w:ind w:left="2880" w:hanging="360"/>
      </w:pPr>
      <w:rPr>
        <w:rFonts w:hint="default"/>
      </w:rPr>
    </w:lvl>
    <w:lvl w:ilvl="3">
      <w:start w:val="1"/>
      <w:numFmt w:val="decimal"/>
      <w:lvlText w:val="%4."/>
      <w:lvlJc w:val="left"/>
      <w:pPr>
        <w:tabs>
          <w:tab w:val="num" w:pos="3600"/>
        </w:tabs>
        <w:ind w:left="3600" w:hanging="360"/>
      </w:pPr>
      <w:rPr>
        <w:rFonts w:hint="default"/>
      </w:rPr>
    </w:lvl>
    <w:lvl w:ilvl="4">
      <w:start w:val="1"/>
      <w:numFmt w:val="decimal"/>
      <w:lvlText w:val="%5."/>
      <w:lvlJc w:val="left"/>
      <w:pPr>
        <w:tabs>
          <w:tab w:val="num" w:pos="4320"/>
        </w:tabs>
        <w:ind w:left="4320" w:hanging="360"/>
      </w:pPr>
      <w:rPr>
        <w:rFonts w:hint="default"/>
      </w:rPr>
    </w:lvl>
    <w:lvl w:ilvl="5">
      <w:start w:val="1"/>
      <w:numFmt w:val="decimal"/>
      <w:lvlText w:val="%6."/>
      <w:lvlJc w:val="left"/>
      <w:pPr>
        <w:tabs>
          <w:tab w:val="num" w:pos="5040"/>
        </w:tabs>
        <w:ind w:left="5040" w:hanging="360"/>
      </w:pPr>
      <w:rPr>
        <w:rFonts w:hint="default"/>
      </w:rPr>
    </w:lvl>
    <w:lvl w:ilvl="6">
      <w:start w:val="1"/>
      <w:numFmt w:val="decimal"/>
      <w:lvlText w:val="%7."/>
      <w:lvlJc w:val="left"/>
      <w:pPr>
        <w:tabs>
          <w:tab w:val="num" w:pos="5760"/>
        </w:tabs>
        <w:ind w:left="5760" w:hanging="360"/>
      </w:pPr>
      <w:rPr>
        <w:rFonts w:hint="default"/>
      </w:rPr>
    </w:lvl>
    <w:lvl w:ilvl="7">
      <w:start w:val="1"/>
      <w:numFmt w:val="decimal"/>
      <w:lvlText w:val="%8."/>
      <w:lvlJc w:val="left"/>
      <w:pPr>
        <w:tabs>
          <w:tab w:val="num" w:pos="6480"/>
        </w:tabs>
        <w:ind w:left="6480" w:hanging="360"/>
      </w:pPr>
      <w:rPr>
        <w:rFonts w:hint="default"/>
      </w:rPr>
    </w:lvl>
    <w:lvl w:ilvl="8">
      <w:start w:val="1"/>
      <w:numFmt w:val="decimal"/>
      <w:lvlText w:val="%9."/>
      <w:lvlJc w:val="left"/>
      <w:pPr>
        <w:tabs>
          <w:tab w:val="num" w:pos="7200"/>
        </w:tabs>
        <w:ind w:left="7200" w:hanging="360"/>
      </w:pPr>
      <w:rPr>
        <w:rFonts w:hint="default"/>
      </w:rPr>
    </w:lvl>
  </w:abstractNum>
  <w:abstractNum w:abstractNumId="10" w15:restartNumberingAfterBreak="0">
    <w:nsid w:val="36C721AA"/>
    <w:multiLevelType w:val="hybridMultilevel"/>
    <w:tmpl w:val="8AAE9F56"/>
    <w:lvl w:ilvl="0" w:tplc="1B4A5D30">
      <w:start w:val="2"/>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9C7371C"/>
    <w:multiLevelType w:val="hybridMultilevel"/>
    <w:tmpl w:val="EBF47EFA"/>
    <w:lvl w:ilvl="0" w:tplc="08090001">
      <w:start w:val="1"/>
      <w:numFmt w:val="bullet"/>
      <w:lvlText w:val=""/>
      <w:lvlJc w:val="left"/>
      <w:pPr>
        <w:ind w:left="788" w:hanging="360"/>
      </w:pPr>
      <w:rPr>
        <w:rFonts w:ascii="Symbol" w:hAnsi="Symbol" w:hint="default"/>
      </w:rPr>
    </w:lvl>
    <w:lvl w:ilvl="1" w:tplc="08090003" w:tentative="1">
      <w:start w:val="1"/>
      <w:numFmt w:val="bullet"/>
      <w:lvlText w:val="o"/>
      <w:lvlJc w:val="left"/>
      <w:pPr>
        <w:ind w:left="1508" w:hanging="360"/>
      </w:pPr>
      <w:rPr>
        <w:rFonts w:ascii="Courier New" w:hAnsi="Courier New" w:cs="Courier New" w:hint="default"/>
      </w:rPr>
    </w:lvl>
    <w:lvl w:ilvl="2" w:tplc="08090005" w:tentative="1">
      <w:start w:val="1"/>
      <w:numFmt w:val="bullet"/>
      <w:lvlText w:val=""/>
      <w:lvlJc w:val="left"/>
      <w:pPr>
        <w:ind w:left="2228" w:hanging="360"/>
      </w:pPr>
      <w:rPr>
        <w:rFonts w:ascii="Wingdings" w:hAnsi="Wingdings" w:hint="default"/>
      </w:rPr>
    </w:lvl>
    <w:lvl w:ilvl="3" w:tplc="08090001" w:tentative="1">
      <w:start w:val="1"/>
      <w:numFmt w:val="bullet"/>
      <w:lvlText w:val=""/>
      <w:lvlJc w:val="left"/>
      <w:pPr>
        <w:ind w:left="2948" w:hanging="360"/>
      </w:pPr>
      <w:rPr>
        <w:rFonts w:ascii="Symbol" w:hAnsi="Symbol" w:hint="default"/>
      </w:rPr>
    </w:lvl>
    <w:lvl w:ilvl="4" w:tplc="08090003" w:tentative="1">
      <w:start w:val="1"/>
      <w:numFmt w:val="bullet"/>
      <w:lvlText w:val="o"/>
      <w:lvlJc w:val="left"/>
      <w:pPr>
        <w:ind w:left="3668" w:hanging="360"/>
      </w:pPr>
      <w:rPr>
        <w:rFonts w:ascii="Courier New" w:hAnsi="Courier New" w:cs="Courier New" w:hint="default"/>
      </w:rPr>
    </w:lvl>
    <w:lvl w:ilvl="5" w:tplc="08090005" w:tentative="1">
      <w:start w:val="1"/>
      <w:numFmt w:val="bullet"/>
      <w:lvlText w:val=""/>
      <w:lvlJc w:val="left"/>
      <w:pPr>
        <w:ind w:left="4388" w:hanging="360"/>
      </w:pPr>
      <w:rPr>
        <w:rFonts w:ascii="Wingdings" w:hAnsi="Wingdings" w:hint="default"/>
      </w:rPr>
    </w:lvl>
    <w:lvl w:ilvl="6" w:tplc="08090001" w:tentative="1">
      <w:start w:val="1"/>
      <w:numFmt w:val="bullet"/>
      <w:lvlText w:val=""/>
      <w:lvlJc w:val="left"/>
      <w:pPr>
        <w:ind w:left="5108" w:hanging="360"/>
      </w:pPr>
      <w:rPr>
        <w:rFonts w:ascii="Symbol" w:hAnsi="Symbol" w:hint="default"/>
      </w:rPr>
    </w:lvl>
    <w:lvl w:ilvl="7" w:tplc="08090003" w:tentative="1">
      <w:start w:val="1"/>
      <w:numFmt w:val="bullet"/>
      <w:lvlText w:val="o"/>
      <w:lvlJc w:val="left"/>
      <w:pPr>
        <w:ind w:left="5828" w:hanging="360"/>
      </w:pPr>
      <w:rPr>
        <w:rFonts w:ascii="Courier New" w:hAnsi="Courier New" w:cs="Courier New" w:hint="default"/>
      </w:rPr>
    </w:lvl>
    <w:lvl w:ilvl="8" w:tplc="08090005" w:tentative="1">
      <w:start w:val="1"/>
      <w:numFmt w:val="bullet"/>
      <w:lvlText w:val=""/>
      <w:lvlJc w:val="left"/>
      <w:pPr>
        <w:ind w:left="6548" w:hanging="360"/>
      </w:pPr>
      <w:rPr>
        <w:rFonts w:ascii="Wingdings" w:hAnsi="Wingdings" w:hint="default"/>
      </w:rPr>
    </w:lvl>
  </w:abstractNum>
  <w:abstractNum w:abstractNumId="12" w15:restartNumberingAfterBreak="0">
    <w:nsid w:val="3B9B6ED3"/>
    <w:multiLevelType w:val="multilevel"/>
    <w:tmpl w:val="A738B4DA"/>
    <w:lvl w:ilvl="0">
      <w:start w:val="2"/>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3F821BEA"/>
    <w:multiLevelType w:val="hybridMultilevel"/>
    <w:tmpl w:val="75DA89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9E47DE9"/>
    <w:multiLevelType w:val="multilevel"/>
    <w:tmpl w:val="7BE6C9C0"/>
    <w:lvl w:ilvl="0">
      <w:start w:val="1"/>
      <w:numFmt w:val="decimal"/>
      <w:lvlText w:val="%1"/>
      <w:lvlJc w:val="left"/>
      <w:pPr>
        <w:ind w:left="720" w:hanging="720"/>
      </w:pPr>
      <w:rPr>
        <w:rFonts w:hint="default"/>
      </w:rPr>
    </w:lvl>
    <w:lvl w:ilvl="1">
      <w:start w:val="1"/>
      <w:numFmt w:val="decimal"/>
      <w:lvlText w:val="%1.%2"/>
      <w:lvlJc w:val="left"/>
      <w:pPr>
        <w:ind w:left="720" w:hanging="720"/>
      </w:pPr>
      <w:rPr>
        <w:rFonts w:hint="default"/>
        <w:b w:val="0"/>
        <w:bCs/>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4C9D6444"/>
    <w:multiLevelType w:val="multilevel"/>
    <w:tmpl w:val="0809001D"/>
    <w:lvl w:ilvl="0">
      <w:start w:val="1"/>
      <w:numFmt w:val="decimal"/>
      <w:lvlText w:val="%1)"/>
      <w:lvlJc w:val="left"/>
      <w:pPr>
        <w:ind w:left="1080" w:hanging="360"/>
      </w:pPr>
    </w:lvl>
    <w:lvl w:ilvl="1">
      <w:start w:val="1"/>
      <w:numFmt w:val="lowerLetter"/>
      <w:lvlText w:val="%2)"/>
      <w:lvlJc w:val="left"/>
      <w:pPr>
        <w:ind w:left="1440" w:hanging="360"/>
      </w:pPr>
    </w:lvl>
    <w:lvl w:ilvl="2">
      <w:start w:val="1"/>
      <w:numFmt w:val="lowerRoman"/>
      <w:lvlText w:val="%3)"/>
      <w:lvlJc w:val="left"/>
      <w:pPr>
        <w:ind w:left="1800" w:hanging="360"/>
      </w:pPr>
    </w:lvl>
    <w:lvl w:ilvl="3">
      <w:start w:val="1"/>
      <w:numFmt w:val="decimal"/>
      <w:lvlText w:val="(%4)"/>
      <w:lvlJc w:val="left"/>
      <w:pPr>
        <w:ind w:left="2160" w:hanging="360"/>
      </w:pPr>
    </w:lvl>
    <w:lvl w:ilvl="4">
      <w:start w:val="1"/>
      <w:numFmt w:val="lowerLetter"/>
      <w:lvlText w:val="(%5)"/>
      <w:lvlJc w:val="left"/>
      <w:pPr>
        <w:ind w:left="2520" w:hanging="360"/>
      </w:pPr>
    </w:lvl>
    <w:lvl w:ilvl="5">
      <w:start w:val="1"/>
      <w:numFmt w:val="lowerRoman"/>
      <w:lvlText w:val="(%6)"/>
      <w:lvlJc w:val="left"/>
      <w:pPr>
        <w:ind w:left="2880" w:hanging="360"/>
      </w:pPr>
    </w:lvl>
    <w:lvl w:ilvl="6">
      <w:start w:val="1"/>
      <w:numFmt w:val="decimal"/>
      <w:lvlText w:val="%7."/>
      <w:lvlJc w:val="left"/>
      <w:pPr>
        <w:ind w:left="3240" w:hanging="360"/>
      </w:pPr>
    </w:lvl>
    <w:lvl w:ilvl="7">
      <w:start w:val="1"/>
      <w:numFmt w:val="lowerLetter"/>
      <w:lvlText w:val="%8."/>
      <w:lvlJc w:val="left"/>
      <w:pPr>
        <w:ind w:left="3600" w:hanging="360"/>
      </w:pPr>
    </w:lvl>
    <w:lvl w:ilvl="8">
      <w:start w:val="1"/>
      <w:numFmt w:val="lowerRoman"/>
      <w:lvlText w:val="%9."/>
      <w:lvlJc w:val="left"/>
      <w:pPr>
        <w:ind w:left="3960" w:hanging="360"/>
      </w:pPr>
    </w:lvl>
  </w:abstractNum>
  <w:abstractNum w:abstractNumId="16" w15:restartNumberingAfterBreak="0">
    <w:nsid w:val="50BF7CE5"/>
    <w:multiLevelType w:val="multilevel"/>
    <w:tmpl w:val="0809001D"/>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7" w15:restartNumberingAfterBreak="0">
    <w:nsid w:val="579535B0"/>
    <w:multiLevelType w:val="hybridMultilevel"/>
    <w:tmpl w:val="A316065C"/>
    <w:lvl w:ilvl="0" w:tplc="08090001">
      <w:start w:val="1"/>
      <w:numFmt w:val="bullet"/>
      <w:lvlText w:val=""/>
      <w:lvlJc w:val="left"/>
      <w:pPr>
        <w:ind w:left="1211" w:hanging="360"/>
      </w:pPr>
      <w:rPr>
        <w:rFonts w:ascii="Symbol" w:hAnsi="Symbol" w:hint="default"/>
      </w:rPr>
    </w:lvl>
    <w:lvl w:ilvl="1" w:tplc="08090003">
      <w:start w:val="1"/>
      <w:numFmt w:val="bullet"/>
      <w:lvlText w:val="o"/>
      <w:lvlJc w:val="left"/>
      <w:pPr>
        <w:ind w:left="1931" w:hanging="360"/>
      </w:pPr>
      <w:rPr>
        <w:rFonts w:ascii="Courier New" w:hAnsi="Courier New" w:cs="Courier New" w:hint="default"/>
      </w:rPr>
    </w:lvl>
    <w:lvl w:ilvl="2" w:tplc="08090005" w:tentative="1">
      <w:start w:val="1"/>
      <w:numFmt w:val="bullet"/>
      <w:lvlText w:val=""/>
      <w:lvlJc w:val="left"/>
      <w:pPr>
        <w:ind w:left="2651" w:hanging="360"/>
      </w:pPr>
      <w:rPr>
        <w:rFonts w:ascii="Wingdings" w:hAnsi="Wingdings" w:hint="default"/>
      </w:rPr>
    </w:lvl>
    <w:lvl w:ilvl="3" w:tplc="08090001" w:tentative="1">
      <w:start w:val="1"/>
      <w:numFmt w:val="bullet"/>
      <w:lvlText w:val=""/>
      <w:lvlJc w:val="left"/>
      <w:pPr>
        <w:ind w:left="3371" w:hanging="360"/>
      </w:pPr>
      <w:rPr>
        <w:rFonts w:ascii="Symbol" w:hAnsi="Symbol" w:hint="default"/>
      </w:rPr>
    </w:lvl>
    <w:lvl w:ilvl="4" w:tplc="08090003" w:tentative="1">
      <w:start w:val="1"/>
      <w:numFmt w:val="bullet"/>
      <w:lvlText w:val="o"/>
      <w:lvlJc w:val="left"/>
      <w:pPr>
        <w:ind w:left="4091" w:hanging="360"/>
      </w:pPr>
      <w:rPr>
        <w:rFonts w:ascii="Courier New" w:hAnsi="Courier New" w:cs="Courier New" w:hint="default"/>
      </w:rPr>
    </w:lvl>
    <w:lvl w:ilvl="5" w:tplc="08090005" w:tentative="1">
      <w:start w:val="1"/>
      <w:numFmt w:val="bullet"/>
      <w:lvlText w:val=""/>
      <w:lvlJc w:val="left"/>
      <w:pPr>
        <w:ind w:left="4811" w:hanging="360"/>
      </w:pPr>
      <w:rPr>
        <w:rFonts w:ascii="Wingdings" w:hAnsi="Wingdings" w:hint="default"/>
      </w:rPr>
    </w:lvl>
    <w:lvl w:ilvl="6" w:tplc="08090001" w:tentative="1">
      <w:start w:val="1"/>
      <w:numFmt w:val="bullet"/>
      <w:lvlText w:val=""/>
      <w:lvlJc w:val="left"/>
      <w:pPr>
        <w:ind w:left="5531" w:hanging="360"/>
      </w:pPr>
      <w:rPr>
        <w:rFonts w:ascii="Symbol" w:hAnsi="Symbol" w:hint="default"/>
      </w:rPr>
    </w:lvl>
    <w:lvl w:ilvl="7" w:tplc="08090003" w:tentative="1">
      <w:start w:val="1"/>
      <w:numFmt w:val="bullet"/>
      <w:lvlText w:val="o"/>
      <w:lvlJc w:val="left"/>
      <w:pPr>
        <w:ind w:left="6251" w:hanging="360"/>
      </w:pPr>
      <w:rPr>
        <w:rFonts w:ascii="Courier New" w:hAnsi="Courier New" w:cs="Courier New" w:hint="default"/>
      </w:rPr>
    </w:lvl>
    <w:lvl w:ilvl="8" w:tplc="08090005" w:tentative="1">
      <w:start w:val="1"/>
      <w:numFmt w:val="bullet"/>
      <w:lvlText w:val=""/>
      <w:lvlJc w:val="left"/>
      <w:pPr>
        <w:ind w:left="6971" w:hanging="360"/>
      </w:pPr>
      <w:rPr>
        <w:rFonts w:ascii="Wingdings" w:hAnsi="Wingdings" w:hint="default"/>
      </w:rPr>
    </w:lvl>
  </w:abstractNum>
  <w:abstractNum w:abstractNumId="18" w15:restartNumberingAfterBreak="0">
    <w:nsid w:val="60AF676C"/>
    <w:multiLevelType w:val="multilevel"/>
    <w:tmpl w:val="C916FE54"/>
    <w:lvl w:ilvl="0">
      <w:start w:val="1"/>
      <w:numFmt w:val="decimal"/>
      <w:pStyle w:val="Heading1"/>
      <w:lvlText w:val="%1"/>
      <w:lvlJc w:val="left"/>
      <w:pPr>
        <w:ind w:left="720" w:hanging="360"/>
      </w:pPr>
      <w:rPr>
        <w:rFonts w:hint="default"/>
      </w:rPr>
    </w:lvl>
    <w:lvl w:ilvl="1">
      <w:start w:val="1"/>
      <w:numFmt w:val="decimal"/>
      <w:isLgl/>
      <w:lvlText w:val="%1.%2"/>
      <w:lvlJc w:val="left"/>
      <w:pPr>
        <w:ind w:left="1570" w:hanging="360"/>
      </w:pPr>
      <w:rPr>
        <w:rFonts w:ascii="Arial" w:hAnsi="Arial" w:cs="Arial" w:hint="default"/>
        <w:b w:val="0"/>
        <w:bCs w:val="0"/>
        <w:i w:val="0"/>
        <w:color w:val="auto"/>
      </w:rPr>
    </w:lvl>
    <w:lvl w:ilvl="2">
      <w:start w:val="1"/>
      <w:numFmt w:val="decimal"/>
      <w:isLgl/>
      <w:lvlText w:val="%1.%2.%3"/>
      <w:lvlJc w:val="left"/>
      <w:pPr>
        <w:ind w:left="2780" w:hanging="720"/>
      </w:pPr>
      <w:rPr>
        <w:rFonts w:hint="default"/>
      </w:rPr>
    </w:lvl>
    <w:lvl w:ilvl="3">
      <w:start w:val="1"/>
      <w:numFmt w:val="decimal"/>
      <w:isLgl/>
      <w:lvlText w:val="%1.%2.%3.%4"/>
      <w:lvlJc w:val="left"/>
      <w:pPr>
        <w:ind w:left="3990" w:hanging="1080"/>
      </w:pPr>
      <w:rPr>
        <w:rFonts w:hint="default"/>
      </w:rPr>
    </w:lvl>
    <w:lvl w:ilvl="4">
      <w:start w:val="1"/>
      <w:numFmt w:val="decimal"/>
      <w:isLgl/>
      <w:lvlText w:val="%1.%2.%3.%4.%5"/>
      <w:lvlJc w:val="left"/>
      <w:pPr>
        <w:ind w:left="4840" w:hanging="1080"/>
      </w:pPr>
      <w:rPr>
        <w:rFonts w:hint="default"/>
      </w:rPr>
    </w:lvl>
    <w:lvl w:ilvl="5">
      <w:start w:val="1"/>
      <w:numFmt w:val="decimal"/>
      <w:isLgl/>
      <w:lvlText w:val="%1.%2.%3.%4.%5.%6"/>
      <w:lvlJc w:val="left"/>
      <w:pPr>
        <w:ind w:left="6050" w:hanging="1440"/>
      </w:pPr>
      <w:rPr>
        <w:rFonts w:hint="default"/>
      </w:rPr>
    </w:lvl>
    <w:lvl w:ilvl="6">
      <w:start w:val="1"/>
      <w:numFmt w:val="decimal"/>
      <w:isLgl/>
      <w:lvlText w:val="%1.%2.%3.%4.%5.%6.%7"/>
      <w:lvlJc w:val="left"/>
      <w:pPr>
        <w:ind w:left="6900" w:hanging="1440"/>
      </w:pPr>
      <w:rPr>
        <w:rFonts w:hint="default"/>
      </w:rPr>
    </w:lvl>
    <w:lvl w:ilvl="7">
      <w:start w:val="1"/>
      <w:numFmt w:val="decimal"/>
      <w:isLgl/>
      <w:lvlText w:val="%1.%2.%3.%4.%5.%6.%7.%8"/>
      <w:lvlJc w:val="left"/>
      <w:pPr>
        <w:ind w:left="8110" w:hanging="1800"/>
      </w:pPr>
      <w:rPr>
        <w:rFonts w:hint="default"/>
      </w:rPr>
    </w:lvl>
    <w:lvl w:ilvl="8">
      <w:start w:val="1"/>
      <w:numFmt w:val="decimal"/>
      <w:isLgl/>
      <w:lvlText w:val="%1.%2.%3.%4.%5.%6.%7.%8.%9"/>
      <w:lvlJc w:val="left"/>
      <w:pPr>
        <w:ind w:left="8960" w:hanging="1800"/>
      </w:pPr>
      <w:rPr>
        <w:rFonts w:hint="default"/>
      </w:rPr>
    </w:lvl>
  </w:abstractNum>
  <w:abstractNum w:abstractNumId="19" w15:restartNumberingAfterBreak="0">
    <w:nsid w:val="638E158F"/>
    <w:multiLevelType w:val="multilevel"/>
    <w:tmpl w:val="A2F05ADA"/>
    <w:lvl w:ilvl="0">
      <w:start w:val="1"/>
      <w:numFmt w:val="decimal"/>
      <w:lvlText w:val="%1"/>
      <w:lvlJc w:val="left"/>
      <w:pPr>
        <w:tabs>
          <w:tab w:val="num" w:pos="1986"/>
        </w:tabs>
        <w:ind w:left="1986" w:hanging="851"/>
      </w:pPr>
      <w:rPr>
        <w:rFonts w:ascii="Arial Bold" w:hAnsi="Arial Bold" w:cs="Times New Roman" w:hint="default"/>
        <w:b/>
        <w:i w:val="0"/>
        <w:color w:val="0D3795"/>
        <w:sz w:val="28"/>
        <w:szCs w:val="28"/>
      </w:rPr>
    </w:lvl>
    <w:lvl w:ilvl="1">
      <w:start w:val="1"/>
      <w:numFmt w:val="decimal"/>
      <w:lvlText w:val="%1.%2"/>
      <w:lvlJc w:val="left"/>
      <w:pPr>
        <w:tabs>
          <w:tab w:val="num" w:pos="1561"/>
        </w:tabs>
        <w:ind w:left="1561" w:hanging="851"/>
      </w:pPr>
      <w:rPr>
        <w:rFonts w:ascii="Arial" w:hAnsi="Arial" w:cs="Arial" w:hint="default"/>
        <w:b w:val="0"/>
        <w:bCs w:val="0"/>
        <w:i w:val="0"/>
        <w:iCs w:val="0"/>
        <w:caps w:val="0"/>
        <w:smallCaps w:val="0"/>
        <w:strike w:val="0"/>
        <w:dstrike w:val="0"/>
        <w:snapToGrid w:val="0"/>
        <w:vanish w:val="0"/>
        <w:color w:val="auto"/>
        <w:spacing w:val="0"/>
        <w:w w:val="0"/>
        <w:kern w:val="0"/>
        <w:position w:val="0"/>
        <w:sz w:val="24"/>
        <w:szCs w:val="24"/>
        <w:u w:val="none"/>
        <w:vertAlign w:val="baseline"/>
      </w:rPr>
    </w:lvl>
    <w:lvl w:ilvl="2">
      <w:start w:val="1"/>
      <w:numFmt w:val="decimal"/>
      <w:lvlText w:val="%1.%2.%3"/>
      <w:lvlJc w:val="left"/>
      <w:pPr>
        <w:tabs>
          <w:tab w:val="num" w:pos="851"/>
        </w:tabs>
        <w:ind w:left="851" w:hanging="851"/>
      </w:pPr>
      <w:rPr>
        <w:rFonts w:ascii="Arial" w:hAnsi="Arial" w:cs="Times New Roman" w:hint="default"/>
        <w:b w:val="0"/>
        <w:i w:val="0"/>
        <w:color w:val="auto"/>
        <w:sz w:val="22"/>
        <w:szCs w:val="22"/>
        <w:u w:val="none"/>
      </w:rPr>
    </w:lvl>
    <w:lvl w:ilvl="3">
      <w:start w:val="1"/>
      <w:numFmt w:val="decimal"/>
      <w:lvlText w:val="%1.%2.%3.%4"/>
      <w:lvlJc w:val="left"/>
      <w:pPr>
        <w:tabs>
          <w:tab w:val="num" w:pos="1077"/>
        </w:tabs>
        <w:ind w:left="1077" w:hanging="1077"/>
      </w:pPr>
      <w:rPr>
        <w:rFonts w:ascii="Helvetica" w:hAnsi="Helvetica" w:cs="Times New Roman" w:hint="default"/>
        <w:b w:val="0"/>
        <w:i w:val="0"/>
        <w:color w:val="004E73"/>
        <w:sz w:val="22"/>
        <w:szCs w:val="22"/>
        <w:u w:val="none"/>
      </w:rPr>
    </w:lvl>
    <w:lvl w:ilvl="4">
      <w:start w:val="1"/>
      <w:numFmt w:val="decimal"/>
      <w:lvlText w:val="%1.%2.%3.%4.%5"/>
      <w:lvlJc w:val="left"/>
      <w:pPr>
        <w:tabs>
          <w:tab w:val="num" w:pos="1008"/>
        </w:tabs>
        <w:ind w:left="1008" w:hanging="1008"/>
      </w:pPr>
      <w:rPr>
        <w:rFonts w:cs="Times New Roman" w:hint="default"/>
        <w:u w:val="single"/>
      </w:rPr>
    </w:lvl>
    <w:lvl w:ilvl="5">
      <w:start w:val="1"/>
      <w:numFmt w:val="decimal"/>
      <w:lvlText w:val="%1.%2.%3.%4.%5.%6"/>
      <w:lvlJc w:val="left"/>
      <w:pPr>
        <w:tabs>
          <w:tab w:val="num" w:pos="1152"/>
        </w:tabs>
        <w:ind w:left="1152" w:hanging="1152"/>
      </w:pPr>
      <w:rPr>
        <w:rFonts w:cs="Times New Roman" w:hint="default"/>
        <w:u w:val="single"/>
      </w:rPr>
    </w:lvl>
    <w:lvl w:ilvl="6">
      <w:start w:val="1"/>
      <w:numFmt w:val="decimal"/>
      <w:lvlText w:val="%1.%2.%3.%4.%5.%6.%7"/>
      <w:lvlJc w:val="left"/>
      <w:pPr>
        <w:tabs>
          <w:tab w:val="num" w:pos="1296"/>
        </w:tabs>
        <w:ind w:left="1296" w:hanging="1296"/>
      </w:pPr>
      <w:rPr>
        <w:rFonts w:cs="Times New Roman" w:hint="default"/>
        <w:u w:val="single"/>
      </w:rPr>
    </w:lvl>
    <w:lvl w:ilvl="7">
      <w:start w:val="1"/>
      <w:numFmt w:val="decimal"/>
      <w:lvlText w:val="%1.%2.%3.%4.%5.%6.%7.%8"/>
      <w:lvlJc w:val="left"/>
      <w:pPr>
        <w:tabs>
          <w:tab w:val="num" w:pos="1440"/>
        </w:tabs>
        <w:ind w:left="1440" w:hanging="1440"/>
      </w:pPr>
      <w:rPr>
        <w:rFonts w:cs="Times New Roman" w:hint="default"/>
        <w:u w:val="single"/>
      </w:rPr>
    </w:lvl>
    <w:lvl w:ilvl="8">
      <w:start w:val="1"/>
      <w:numFmt w:val="decimal"/>
      <w:lvlText w:val="%1.%2.%3.%4.%5.%6.%7.%8.%9"/>
      <w:lvlJc w:val="left"/>
      <w:pPr>
        <w:tabs>
          <w:tab w:val="num" w:pos="1584"/>
        </w:tabs>
        <w:ind w:left="1584" w:hanging="1584"/>
      </w:pPr>
      <w:rPr>
        <w:rFonts w:cs="Times New Roman" w:hint="default"/>
        <w:u w:val="single"/>
      </w:rPr>
    </w:lvl>
  </w:abstractNum>
  <w:abstractNum w:abstractNumId="20" w15:restartNumberingAfterBreak="0">
    <w:nsid w:val="693B4396"/>
    <w:multiLevelType w:val="hybridMultilevel"/>
    <w:tmpl w:val="D78EE4DC"/>
    <w:lvl w:ilvl="0" w:tplc="E6666D20">
      <w:start w:val="2"/>
      <w:numFmt w:val="bullet"/>
      <w:lvlText w:val="-"/>
      <w:lvlJc w:val="left"/>
      <w:pPr>
        <w:ind w:left="1080" w:hanging="360"/>
      </w:pPr>
      <w:rPr>
        <w:rFonts w:ascii="Arial" w:eastAsia="Times New Roman" w:hAnsi="Arial" w:cs="Aria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1" w15:restartNumberingAfterBreak="0">
    <w:nsid w:val="6B0B4651"/>
    <w:multiLevelType w:val="multilevel"/>
    <w:tmpl w:val="99DE7C66"/>
    <w:lvl w:ilvl="0">
      <w:start w:val="2"/>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71825AB3"/>
    <w:multiLevelType w:val="hybridMultilevel"/>
    <w:tmpl w:val="BF2A2DF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741E6555"/>
    <w:multiLevelType w:val="multilevel"/>
    <w:tmpl w:val="DDB28644"/>
    <w:lvl w:ilvl="0">
      <w:start w:val="1"/>
      <w:numFmt w:val="decimal"/>
      <w:lvlText w:val="%1"/>
      <w:lvlJc w:val="left"/>
      <w:pPr>
        <w:tabs>
          <w:tab w:val="num" w:pos="851"/>
        </w:tabs>
        <w:ind w:left="851" w:hanging="851"/>
      </w:pPr>
      <w:rPr>
        <w:rFonts w:ascii="Arial Bold" w:hAnsi="Arial Bold" w:cs="Times New Roman" w:hint="default"/>
        <w:b/>
        <w:i w:val="0"/>
        <w:color w:val="0D3795"/>
        <w:sz w:val="28"/>
        <w:szCs w:val="28"/>
      </w:rPr>
    </w:lvl>
    <w:lvl w:ilvl="1">
      <w:start w:val="1"/>
      <w:numFmt w:val="bullet"/>
      <w:lvlText w:val=""/>
      <w:lvlJc w:val="left"/>
      <w:pPr>
        <w:tabs>
          <w:tab w:val="num" w:pos="851"/>
        </w:tabs>
        <w:ind w:left="851" w:hanging="851"/>
      </w:pPr>
      <w:rPr>
        <w:rFonts w:ascii="Symbol" w:hAnsi="Symbol" w:hint="default"/>
        <w:b w:val="0"/>
        <w:bCs w:val="0"/>
        <w:i w:val="0"/>
        <w:iCs w:val="0"/>
        <w:caps w:val="0"/>
        <w:smallCaps w:val="0"/>
        <w:strike w:val="0"/>
        <w:dstrike w:val="0"/>
        <w:noProof w:val="0"/>
        <w:vanish w:val="0"/>
        <w:color w:val="auto"/>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num" w:pos="5981"/>
        </w:tabs>
        <w:ind w:left="5981" w:hanging="851"/>
      </w:pPr>
      <w:rPr>
        <w:rFonts w:ascii="Arial" w:hAnsi="Arial" w:cs="Times New Roman" w:hint="default"/>
        <w:b w:val="0"/>
        <w:i w:val="0"/>
        <w:color w:val="000000" w:themeColor="text1"/>
        <w:sz w:val="24"/>
        <w:szCs w:val="22"/>
        <w:u w:val="none"/>
      </w:rPr>
    </w:lvl>
    <w:lvl w:ilvl="3">
      <w:start w:val="1"/>
      <w:numFmt w:val="decimal"/>
      <w:lvlText w:val="%1.%2.%3.%4"/>
      <w:lvlJc w:val="left"/>
      <w:pPr>
        <w:tabs>
          <w:tab w:val="num" w:pos="1077"/>
        </w:tabs>
        <w:ind w:left="1077" w:hanging="1077"/>
      </w:pPr>
      <w:rPr>
        <w:rFonts w:ascii="Helvetica" w:hAnsi="Helvetica" w:cs="Times New Roman" w:hint="default"/>
        <w:b w:val="0"/>
        <w:i w:val="0"/>
        <w:color w:val="004E73"/>
        <w:sz w:val="22"/>
        <w:szCs w:val="22"/>
        <w:u w:val="none"/>
      </w:rPr>
    </w:lvl>
    <w:lvl w:ilvl="4">
      <w:start w:val="1"/>
      <w:numFmt w:val="decimal"/>
      <w:lvlText w:val="%1.%2.%3.%4.%5"/>
      <w:lvlJc w:val="left"/>
      <w:pPr>
        <w:tabs>
          <w:tab w:val="num" w:pos="1008"/>
        </w:tabs>
        <w:ind w:left="1008" w:hanging="1008"/>
      </w:pPr>
      <w:rPr>
        <w:rFonts w:cs="Times New Roman" w:hint="default"/>
        <w:u w:val="single"/>
      </w:rPr>
    </w:lvl>
    <w:lvl w:ilvl="5">
      <w:start w:val="1"/>
      <w:numFmt w:val="decimal"/>
      <w:lvlText w:val="%1.%2.%3.%4.%5.%6"/>
      <w:lvlJc w:val="left"/>
      <w:pPr>
        <w:tabs>
          <w:tab w:val="num" w:pos="1152"/>
        </w:tabs>
        <w:ind w:left="1152" w:hanging="1152"/>
      </w:pPr>
      <w:rPr>
        <w:rFonts w:cs="Times New Roman" w:hint="default"/>
        <w:u w:val="single"/>
      </w:rPr>
    </w:lvl>
    <w:lvl w:ilvl="6">
      <w:start w:val="1"/>
      <w:numFmt w:val="decimal"/>
      <w:lvlText w:val="%1.%2.%3.%4.%5.%6.%7"/>
      <w:lvlJc w:val="left"/>
      <w:pPr>
        <w:tabs>
          <w:tab w:val="num" w:pos="1296"/>
        </w:tabs>
        <w:ind w:left="1296" w:hanging="1296"/>
      </w:pPr>
      <w:rPr>
        <w:rFonts w:cs="Times New Roman" w:hint="default"/>
        <w:u w:val="single"/>
      </w:rPr>
    </w:lvl>
    <w:lvl w:ilvl="7">
      <w:start w:val="1"/>
      <w:numFmt w:val="decimal"/>
      <w:lvlText w:val="%1.%2.%3.%4.%5.%6.%7.%8"/>
      <w:lvlJc w:val="left"/>
      <w:pPr>
        <w:tabs>
          <w:tab w:val="num" w:pos="1440"/>
        </w:tabs>
        <w:ind w:left="1440" w:hanging="1440"/>
      </w:pPr>
      <w:rPr>
        <w:rFonts w:cs="Times New Roman" w:hint="default"/>
        <w:u w:val="single"/>
      </w:rPr>
    </w:lvl>
    <w:lvl w:ilvl="8">
      <w:start w:val="1"/>
      <w:numFmt w:val="decimal"/>
      <w:lvlText w:val="%1.%2.%3.%4.%5.%6.%7.%8.%9"/>
      <w:lvlJc w:val="left"/>
      <w:pPr>
        <w:tabs>
          <w:tab w:val="num" w:pos="1584"/>
        </w:tabs>
        <w:ind w:left="1584" w:hanging="1584"/>
      </w:pPr>
      <w:rPr>
        <w:rFonts w:cs="Times New Roman" w:hint="default"/>
        <w:u w:val="single"/>
      </w:rPr>
    </w:lvl>
  </w:abstractNum>
  <w:abstractNum w:abstractNumId="24" w15:restartNumberingAfterBreak="0">
    <w:nsid w:val="7A3752C8"/>
    <w:multiLevelType w:val="hybridMultilevel"/>
    <w:tmpl w:val="0F0ECC0C"/>
    <w:lvl w:ilvl="0" w:tplc="F2C0486E">
      <w:start w:val="1"/>
      <w:numFmt w:val="decimal"/>
      <w:pStyle w:val="ListParagraph"/>
      <w:lvlText w:val="%1."/>
      <w:lvlJc w:val="left"/>
      <w:pPr>
        <w:ind w:left="360" w:hanging="360"/>
      </w:p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25" w15:restartNumberingAfterBreak="0">
    <w:nsid w:val="7AC235D5"/>
    <w:multiLevelType w:val="hybridMultilevel"/>
    <w:tmpl w:val="E656F2C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7B400694"/>
    <w:multiLevelType w:val="hybridMultilevel"/>
    <w:tmpl w:val="3296EEC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9"/>
  </w:num>
  <w:num w:numId="3">
    <w:abstractNumId w:val="14"/>
  </w:num>
  <w:num w:numId="4">
    <w:abstractNumId w:val="2"/>
  </w:num>
  <w:num w:numId="5">
    <w:abstractNumId w:val="6"/>
  </w:num>
  <w:num w:numId="6">
    <w:abstractNumId w:val="11"/>
  </w:num>
  <w:num w:numId="7">
    <w:abstractNumId w:val="13"/>
  </w:num>
  <w:num w:numId="8">
    <w:abstractNumId w:val="20"/>
  </w:num>
  <w:num w:numId="9">
    <w:abstractNumId w:val="3"/>
  </w:num>
  <w:num w:numId="10">
    <w:abstractNumId w:val="18"/>
  </w:num>
  <w:num w:numId="11">
    <w:abstractNumId w:val="5"/>
  </w:num>
  <w:num w:numId="12">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4"/>
  </w:num>
  <w:num w:numId="16">
    <w:abstractNumId w:val="16"/>
  </w:num>
  <w:num w:numId="17">
    <w:abstractNumId w:val="8"/>
  </w:num>
  <w:num w:numId="18">
    <w:abstractNumId w:val="15"/>
  </w:num>
  <w:num w:numId="19">
    <w:abstractNumId w:val="26"/>
  </w:num>
  <w:num w:numId="20">
    <w:abstractNumId w:val="25"/>
  </w:num>
  <w:num w:numId="21">
    <w:abstractNumId w:val="22"/>
  </w:num>
  <w:num w:numId="22">
    <w:abstractNumId w:val="21"/>
  </w:num>
  <w:num w:numId="23">
    <w:abstractNumId w:val="12"/>
  </w:num>
  <w:num w:numId="24">
    <w:abstractNumId w:val="17"/>
  </w:num>
  <w:num w:numId="25">
    <w:abstractNumId w:val="7"/>
  </w:num>
  <w:num w:numId="26">
    <w:abstractNumId w:val="0"/>
  </w:num>
  <w:num w:numId="27">
    <w:abstractNumId w:val="19"/>
  </w:num>
  <w:num w:numId="28">
    <w:abstractNumId w:val="23"/>
  </w:num>
  <w:num w:numId="29">
    <w:abstractNumId w:val="4"/>
  </w:num>
  <w:num w:numId="30">
    <w:abstractNumId w:val="1"/>
  </w:num>
  <w:num w:numId="31">
    <w:abstractNumId w:val="10"/>
  </w:num>
  <w:numIdMacAtCleanup w:val="10"/>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Melanie Wilkey (Cardiff and Vale UHB - COMMISSIONING)">
    <w15:presenceInfo w15:providerId="AD" w15:userId="S-1-5-21-978635462-3828570294-627434887-73404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B63F6"/>
    <w:rsid w:val="000019D3"/>
    <w:rsid w:val="000027CA"/>
    <w:rsid w:val="00012801"/>
    <w:rsid w:val="00012CCE"/>
    <w:rsid w:val="00014B1E"/>
    <w:rsid w:val="00033E3A"/>
    <w:rsid w:val="00034ED4"/>
    <w:rsid w:val="00035162"/>
    <w:rsid w:val="00035191"/>
    <w:rsid w:val="00042465"/>
    <w:rsid w:val="00042B87"/>
    <w:rsid w:val="00066808"/>
    <w:rsid w:val="00090389"/>
    <w:rsid w:val="00093721"/>
    <w:rsid w:val="0009435A"/>
    <w:rsid w:val="00097983"/>
    <w:rsid w:val="000A2A4A"/>
    <w:rsid w:val="000A3114"/>
    <w:rsid w:val="000B55DC"/>
    <w:rsid w:val="000C1AB8"/>
    <w:rsid w:val="000C1C19"/>
    <w:rsid w:val="000C1E64"/>
    <w:rsid w:val="000D14AD"/>
    <w:rsid w:val="000D7739"/>
    <w:rsid w:val="000D7D68"/>
    <w:rsid w:val="000E10B1"/>
    <w:rsid w:val="000E1A04"/>
    <w:rsid w:val="000E3FFC"/>
    <w:rsid w:val="000F10B8"/>
    <w:rsid w:val="000F128F"/>
    <w:rsid w:val="000F5FDD"/>
    <w:rsid w:val="00101831"/>
    <w:rsid w:val="00104497"/>
    <w:rsid w:val="001062C0"/>
    <w:rsid w:val="0011034F"/>
    <w:rsid w:val="00113D0B"/>
    <w:rsid w:val="00115193"/>
    <w:rsid w:val="001174EE"/>
    <w:rsid w:val="00121129"/>
    <w:rsid w:val="001228D1"/>
    <w:rsid w:val="001304FB"/>
    <w:rsid w:val="00132E87"/>
    <w:rsid w:val="00133E1B"/>
    <w:rsid w:val="001359FB"/>
    <w:rsid w:val="00137387"/>
    <w:rsid w:val="00142D1C"/>
    <w:rsid w:val="00147EF3"/>
    <w:rsid w:val="001511DF"/>
    <w:rsid w:val="00152B1D"/>
    <w:rsid w:val="00154443"/>
    <w:rsid w:val="00161910"/>
    <w:rsid w:val="001621D3"/>
    <w:rsid w:val="001660DE"/>
    <w:rsid w:val="0017143B"/>
    <w:rsid w:val="00175E6E"/>
    <w:rsid w:val="001768B3"/>
    <w:rsid w:val="00184641"/>
    <w:rsid w:val="00187078"/>
    <w:rsid w:val="00194B49"/>
    <w:rsid w:val="001A313B"/>
    <w:rsid w:val="001A55B2"/>
    <w:rsid w:val="001A673C"/>
    <w:rsid w:val="001B1133"/>
    <w:rsid w:val="001B63F6"/>
    <w:rsid w:val="001B723F"/>
    <w:rsid w:val="001C0A69"/>
    <w:rsid w:val="001C3409"/>
    <w:rsid w:val="001C51A2"/>
    <w:rsid w:val="001C640A"/>
    <w:rsid w:val="001D1C20"/>
    <w:rsid w:val="001D4670"/>
    <w:rsid w:val="001E14C9"/>
    <w:rsid w:val="001F399A"/>
    <w:rsid w:val="001F7911"/>
    <w:rsid w:val="00221A5E"/>
    <w:rsid w:val="00223F1F"/>
    <w:rsid w:val="00225D58"/>
    <w:rsid w:val="002325CF"/>
    <w:rsid w:val="00233719"/>
    <w:rsid w:val="00240059"/>
    <w:rsid w:val="00242670"/>
    <w:rsid w:val="0025077A"/>
    <w:rsid w:val="002673E6"/>
    <w:rsid w:val="00275B56"/>
    <w:rsid w:val="00275FA4"/>
    <w:rsid w:val="002820A9"/>
    <w:rsid w:val="00282542"/>
    <w:rsid w:val="002917EB"/>
    <w:rsid w:val="002917ED"/>
    <w:rsid w:val="00292F52"/>
    <w:rsid w:val="00296A7F"/>
    <w:rsid w:val="002972AC"/>
    <w:rsid w:val="002A717D"/>
    <w:rsid w:val="002B2EFD"/>
    <w:rsid w:val="002B578D"/>
    <w:rsid w:val="002B71A4"/>
    <w:rsid w:val="002B7634"/>
    <w:rsid w:val="002C34F4"/>
    <w:rsid w:val="002C59D6"/>
    <w:rsid w:val="002D312C"/>
    <w:rsid w:val="002D323C"/>
    <w:rsid w:val="002D3788"/>
    <w:rsid w:val="002D3842"/>
    <w:rsid w:val="002E1903"/>
    <w:rsid w:val="002E5C7B"/>
    <w:rsid w:val="0031339E"/>
    <w:rsid w:val="00331F3B"/>
    <w:rsid w:val="00347711"/>
    <w:rsid w:val="00352F28"/>
    <w:rsid w:val="00360021"/>
    <w:rsid w:val="00380B1B"/>
    <w:rsid w:val="0038760B"/>
    <w:rsid w:val="00390980"/>
    <w:rsid w:val="00390AE0"/>
    <w:rsid w:val="00390DE2"/>
    <w:rsid w:val="003961A8"/>
    <w:rsid w:val="00397DCC"/>
    <w:rsid w:val="003A1E19"/>
    <w:rsid w:val="003B39B4"/>
    <w:rsid w:val="003C4180"/>
    <w:rsid w:val="003C593D"/>
    <w:rsid w:val="003D0563"/>
    <w:rsid w:val="003D133D"/>
    <w:rsid w:val="003D1645"/>
    <w:rsid w:val="003D7F86"/>
    <w:rsid w:val="003E4959"/>
    <w:rsid w:val="003F0DDC"/>
    <w:rsid w:val="003F18F5"/>
    <w:rsid w:val="003F5D32"/>
    <w:rsid w:val="00410EFE"/>
    <w:rsid w:val="00414C80"/>
    <w:rsid w:val="0041617F"/>
    <w:rsid w:val="0041787C"/>
    <w:rsid w:val="00423AB1"/>
    <w:rsid w:val="00423E2D"/>
    <w:rsid w:val="00423F07"/>
    <w:rsid w:val="00423FEF"/>
    <w:rsid w:val="00427111"/>
    <w:rsid w:val="0043465F"/>
    <w:rsid w:val="00436D41"/>
    <w:rsid w:val="004419A4"/>
    <w:rsid w:val="004439ED"/>
    <w:rsid w:val="0044693B"/>
    <w:rsid w:val="00447C80"/>
    <w:rsid w:val="004626E7"/>
    <w:rsid w:val="00463014"/>
    <w:rsid w:val="00463B65"/>
    <w:rsid w:val="004648F8"/>
    <w:rsid w:val="00467D5E"/>
    <w:rsid w:val="00474401"/>
    <w:rsid w:val="0047763E"/>
    <w:rsid w:val="004928F5"/>
    <w:rsid w:val="004A649D"/>
    <w:rsid w:val="004A6E44"/>
    <w:rsid w:val="004A7D66"/>
    <w:rsid w:val="004B2CB5"/>
    <w:rsid w:val="004B6645"/>
    <w:rsid w:val="004B6D68"/>
    <w:rsid w:val="004C2159"/>
    <w:rsid w:val="004C2795"/>
    <w:rsid w:val="004C3ECB"/>
    <w:rsid w:val="004D56EA"/>
    <w:rsid w:val="004D5E9F"/>
    <w:rsid w:val="004E183F"/>
    <w:rsid w:val="004F5538"/>
    <w:rsid w:val="004F7CCE"/>
    <w:rsid w:val="00504BCC"/>
    <w:rsid w:val="005061D1"/>
    <w:rsid w:val="00507D6E"/>
    <w:rsid w:val="005105F0"/>
    <w:rsid w:val="00511F7B"/>
    <w:rsid w:val="00520751"/>
    <w:rsid w:val="00520F46"/>
    <w:rsid w:val="00525BB8"/>
    <w:rsid w:val="00530700"/>
    <w:rsid w:val="005441F2"/>
    <w:rsid w:val="005459DF"/>
    <w:rsid w:val="005506DB"/>
    <w:rsid w:val="005511BA"/>
    <w:rsid w:val="00551C44"/>
    <w:rsid w:val="00557B11"/>
    <w:rsid w:val="00565BE9"/>
    <w:rsid w:val="005662C9"/>
    <w:rsid w:val="005753F4"/>
    <w:rsid w:val="005758C3"/>
    <w:rsid w:val="00577072"/>
    <w:rsid w:val="00582BF0"/>
    <w:rsid w:val="00582D55"/>
    <w:rsid w:val="00585521"/>
    <w:rsid w:val="00590F6F"/>
    <w:rsid w:val="0059367D"/>
    <w:rsid w:val="005A47F3"/>
    <w:rsid w:val="005A51BF"/>
    <w:rsid w:val="005A6829"/>
    <w:rsid w:val="005A751F"/>
    <w:rsid w:val="005A7E8B"/>
    <w:rsid w:val="005B1C46"/>
    <w:rsid w:val="005B1C90"/>
    <w:rsid w:val="005C1C2C"/>
    <w:rsid w:val="005C319D"/>
    <w:rsid w:val="005C5F70"/>
    <w:rsid w:val="005E3ACE"/>
    <w:rsid w:val="005E4262"/>
    <w:rsid w:val="005F48D6"/>
    <w:rsid w:val="005F7C89"/>
    <w:rsid w:val="00603892"/>
    <w:rsid w:val="0061048E"/>
    <w:rsid w:val="00617DB7"/>
    <w:rsid w:val="0062629C"/>
    <w:rsid w:val="0063072E"/>
    <w:rsid w:val="00635E1A"/>
    <w:rsid w:val="00641A7F"/>
    <w:rsid w:val="00645914"/>
    <w:rsid w:val="006544F9"/>
    <w:rsid w:val="0065546C"/>
    <w:rsid w:val="00657F79"/>
    <w:rsid w:val="006633A9"/>
    <w:rsid w:val="00664FD8"/>
    <w:rsid w:val="00671C2B"/>
    <w:rsid w:val="0067224C"/>
    <w:rsid w:val="00673376"/>
    <w:rsid w:val="00680B14"/>
    <w:rsid w:val="00682925"/>
    <w:rsid w:val="00690586"/>
    <w:rsid w:val="00697718"/>
    <w:rsid w:val="006A3800"/>
    <w:rsid w:val="006A475F"/>
    <w:rsid w:val="006B2626"/>
    <w:rsid w:val="006C3713"/>
    <w:rsid w:val="006D0013"/>
    <w:rsid w:val="006D0048"/>
    <w:rsid w:val="006D199E"/>
    <w:rsid w:val="006D2656"/>
    <w:rsid w:val="006D2BE7"/>
    <w:rsid w:val="006D46CE"/>
    <w:rsid w:val="006D7A49"/>
    <w:rsid w:val="006E0A75"/>
    <w:rsid w:val="006E5EBC"/>
    <w:rsid w:val="006E6505"/>
    <w:rsid w:val="006F2E5A"/>
    <w:rsid w:val="006F4418"/>
    <w:rsid w:val="006F5690"/>
    <w:rsid w:val="006F5D50"/>
    <w:rsid w:val="007025E7"/>
    <w:rsid w:val="0070551F"/>
    <w:rsid w:val="00705612"/>
    <w:rsid w:val="00706A77"/>
    <w:rsid w:val="00707115"/>
    <w:rsid w:val="0071073C"/>
    <w:rsid w:val="0071141A"/>
    <w:rsid w:val="00711AD2"/>
    <w:rsid w:val="00721F85"/>
    <w:rsid w:val="007350D9"/>
    <w:rsid w:val="007358A6"/>
    <w:rsid w:val="00736C28"/>
    <w:rsid w:val="007371E3"/>
    <w:rsid w:val="007462AE"/>
    <w:rsid w:val="007732F5"/>
    <w:rsid w:val="00780A39"/>
    <w:rsid w:val="00781F96"/>
    <w:rsid w:val="00782E7B"/>
    <w:rsid w:val="0078669E"/>
    <w:rsid w:val="00787E2F"/>
    <w:rsid w:val="00791D80"/>
    <w:rsid w:val="0079336E"/>
    <w:rsid w:val="00795F65"/>
    <w:rsid w:val="007963AD"/>
    <w:rsid w:val="007A0A41"/>
    <w:rsid w:val="007B1B3D"/>
    <w:rsid w:val="007B4C63"/>
    <w:rsid w:val="007B7755"/>
    <w:rsid w:val="007C18A4"/>
    <w:rsid w:val="007C44E4"/>
    <w:rsid w:val="007C455D"/>
    <w:rsid w:val="007C633B"/>
    <w:rsid w:val="007D7291"/>
    <w:rsid w:val="007E428B"/>
    <w:rsid w:val="007E5404"/>
    <w:rsid w:val="007F2879"/>
    <w:rsid w:val="00801924"/>
    <w:rsid w:val="0080224C"/>
    <w:rsid w:val="0081088F"/>
    <w:rsid w:val="00814E51"/>
    <w:rsid w:val="0081661F"/>
    <w:rsid w:val="008243B3"/>
    <w:rsid w:val="00842EBE"/>
    <w:rsid w:val="0085010C"/>
    <w:rsid w:val="00855C06"/>
    <w:rsid w:val="00856807"/>
    <w:rsid w:val="00874037"/>
    <w:rsid w:val="008803F7"/>
    <w:rsid w:val="00887B32"/>
    <w:rsid w:val="008907A5"/>
    <w:rsid w:val="008929AB"/>
    <w:rsid w:val="008953BB"/>
    <w:rsid w:val="008967A2"/>
    <w:rsid w:val="008A0AA7"/>
    <w:rsid w:val="008B0864"/>
    <w:rsid w:val="008B09D3"/>
    <w:rsid w:val="008B2758"/>
    <w:rsid w:val="008C5EBD"/>
    <w:rsid w:val="008C75A9"/>
    <w:rsid w:val="008D0D84"/>
    <w:rsid w:val="008D1A07"/>
    <w:rsid w:val="008D4497"/>
    <w:rsid w:val="008E4F02"/>
    <w:rsid w:val="008F0DFF"/>
    <w:rsid w:val="00900CBC"/>
    <w:rsid w:val="00906084"/>
    <w:rsid w:val="0091264E"/>
    <w:rsid w:val="0091302B"/>
    <w:rsid w:val="009140E4"/>
    <w:rsid w:val="00915098"/>
    <w:rsid w:val="0091576C"/>
    <w:rsid w:val="00915F01"/>
    <w:rsid w:val="0092047C"/>
    <w:rsid w:val="00931018"/>
    <w:rsid w:val="00934BF8"/>
    <w:rsid w:val="009352DA"/>
    <w:rsid w:val="0093795D"/>
    <w:rsid w:val="0095099D"/>
    <w:rsid w:val="00951E3C"/>
    <w:rsid w:val="00956127"/>
    <w:rsid w:val="0096184C"/>
    <w:rsid w:val="00965BA0"/>
    <w:rsid w:val="00967A4A"/>
    <w:rsid w:val="0097142C"/>
    <w:rsid w:val="00980B4F"/>
    <w:rsid w:val="009838AD"/>
    <w:rsid w:val="00986C4D"/>
    <w:rsid w:val="00990D52"/>
    <w:rsid w:val="00994D9F"/>
    <w:rsid w:val="009A0C3F"/>
    <w:rsid w:val="009A20AC"/>
    <w:rsid w:val="009A50E8"/>
    <w:rsid w:val="009A59A1"/>
    <w:rsid w:val="009C1230"/>
    <w:rsid w:val="009C6C7F"/>
    <w:rsid w:val="009C7DCE"/>
    <w:rsid w:val="009E2BB5"/>
    <w:rsid w:val="009E3F36"/>
    <w:rsid w:val="009E3FBA"/>
    <w:rsid w:val="009E5773"/>
    <w:rsid w:val="009E6E2E"/>
    <w:rsid w:val="009E7653"/>
    <w:rsid w:val="009F0DE4"/>
    <w:rsid w:val="009F3CC3"/>
    <w:rsid w:val="009F5447"/>
    <w:rsid w:val="00A00391"/>
    <w:rsid w:val="00A11E22"/>
    <w:rsid w:val="00A13F03"/>
    <w:rsid w:val="00A15BF9"/>
    <w:rsid w:val="00A23882"/>
    <w:rsid w:val="00A335C5"/>
    <w:rsid w:val="00A34521"/>
    <w:rsid w:val="00A3456B"/>
    <w:rsid w:val="00A35FA3"/>
    <w:rsid w:val="00A44418"/>
    <w:rsid w:val="00A475E6"/>
    <w:rsid w:val="00A513DF"/>
    <w:rsid w:val="00A54E6B"/>
    <w:rsid w:val="00A65A47"/>
    <w:rsid w:val="00A662FE"/>
    <w:rsid w:val="00A6656A"/>
    <w:rsid w:val="00A73096"/>
    <w:rsid w:val="00A75133"/>
    <w:rsid w:val="00A77A0B"/>
    <w:rsid w:val="00A83907"/>
    <w:rsid w:val="00A84080"/>
    <w:rsid w:val="00A908CB"/>
    <w:rsid w:val="00A917A9"/>
    <w:rsid w:val="00AA09BB"/>
    <w:rsid w:val="00AA197C"/>
    <w:rsid w:val="00AA4C56"/>
    <w:rsid w:val="00AB1E2F"/>
    <w:rsid w:val="00AC0069"/>
    <w:rsid w:val="00AC35C4"/>
    <w:rsid w:val="00AC3B53"/>
    <w:rsid w:val="00AE14E0"/>
    <w:rsid w:val="00AE5599"/>
    <w:rsid w:val="00AE5AFF"/>
    <w:rsid w:val="00AF289B"/>
    <w:rsid w:val="00B02CD0"/>
    <w:rsid w:val="00B06EA8"/>
    <w:rsid w:val="00B11E2E"/>
    <w:rsid w:val="00B17F7B"/>
    <w:rsid w:val="00B26E8E"/>
    <w:rsid w:val="00B3095A"/>
    <w:rsid w:val="00B36F73"/>
    <w:rsid w:val="00B563A5"/>
    <w:rsid w:val="00B64027"/>
    <w:rsid w:val="00B84743"/>
    <w:rsid w:val="00B94CA6"/>
    <w:rsid w:val="00BA794B"/>
    <w:rsid w:val="00BB1691"/>
    <w:rsid w:val="00BB42E4"/>
    <w:rsid w:val="00BC668E"/>
    <w:rsid w:val="00BD438A"/>
    <w:rsid w:val="00BD61B9"/>
    <w:rsid w:val="00BD6CB9"/>
    <w:rsid w:val="00BF269C"/>
    <w:rsid w:val="00BF6893"/>
    <w:rsid w:val="00BF6F9D"/>
    <w:rsid w:val="00C04CCF"/>
    <w:rsid w:val="00C1157E"/>
    <w:rsid w:val="00C11D5E"/>
    <w:rsid w:val="00C12879"/>
    <w:rsid w:val="00C23C2A"/>
    <w:rsid w:val="00C24D03"/>
    <w:rsid w:val="00C2610D"/>
    <w:rsid w:val="00C448C0"/>
    <w:rsid w:val="00C47426"/>
    <w:rsid w:val="00C546E8"/>
    <w:rsid w:val="00C55151"/>
    <w:rsid w:val="00C611EE"/>
    <w:rsid w:val="00C745C2"/>
    <w:rsid w:val="00C80D9A"/>
    <w:rsid w:val="00C84A87"/>
    <w:rsid w:val="00C9027C"/>
    <w:rsid w:val="00C96B4B"/>
    <w:rsid w:val="00CA015B"/>
    <w:rsid w:val="00CC59FC"/>
    <w:rsid w:val="00CD5F64"/>
    <w:rsid w:val="00CE19BB"/>
    <w:rsid w:val="00CF0D6C"/>
    <w:rsid w:val="00CF318B"/>
    <w:rsid w:val="00D01AC9"/>
    <w:rsid w:val="00D04BF2"/>
    <w:rsid w:val="00D1140A"/>
    <w:rsid w:val="00D1278B"/>
    <w:rsid w:val="00D20C3D"/>
    <w:rsid w:val="00D24639"/>
    <w:rsid w:val="00D30ACB"/>
    <w:rsid w:val="00D36E71"/>
    <w:rsid w:val="00D46F29"/>
    <w:rsid w:val="00D4709A"/>
    <w:rsid w:val="00D543F5"/>
    <w:rsid w:val="00D77551"/>
    <w:rsid w:val="00D94C27"/>
    <w:rsid w:val="00DA2BDF"/>
    <w:rsid w:val="00DA78F2"/>
    <w:rsid w:val="00DB40A7"/>
    <w:rsid w:val="00DC295E"/>
    <w:rsid w:val="00DD448F"/>
    <w:rsid w:val="00DD5179"/>
    <w:rsid w:val="00DD5F88"/>
    <w:rsid w:val="00DF3489"/>
    <w:rsid w:val="00E01D28"/>
    <w:rsid w:val="00E03E85"/>
    <w:rsid w:val="00E203AB"/>
    <w:rsid w:val="00E244C5"/>
    <w:rsid w:val="00E262A6"/>
    <w:rsid w:val="00E3774F"/>
    <w:rsid w:val="00E43E7F"/>
    <w:rsid w:val="00E50223"/>
    <w:rsid w:val="00E5098C"/>
    <w:rsid w:val="00E528EB"/>
    <w:rsid w:val="00E556E6"/>
    <w:rsid w:val="00E57B94"/>
    <w:rsid w:val="00E60476"/>
    <w:rsid w:val="00E61D71"/>
    <w:rsid w:val="00E66E37"/>
    <w:rsid w:val="00E6743B"/>
    <w:rsid w:val="00E776E7"/>
    <w:rsid w:val="00E77901"/>
    <w:rsid w:val="00E849D6"/>
    <w:rsid w:val="00E86FC3"/>
    <w:rsid w:val="00E908E1"/>
    <w:rsid w:val="00E91A6D"/>
    <w:rsid w:val="00E929A3"/>
    <w:rsid w:val="00EA5364"/>
    <w:rsid w:val="00EB0AF5"/>
    <w:rsid w:val="00EC6BE5"/>
    <w:rsid w:val="00ED2B6F"/>
    <w:rsid w:val="00ED7103"/>
    <w:rsid w:val="00EE2799"/>
    <w:rsid w:val="00EE2DF7"/>
    <w:rsid w:val="00EE7DA1"/>
    <w:rsid w:val="00EF1AF3"/>
    <w:rsid w:val="00F01D78"/>
    <w:rsid w:val="00F0589E"/>
    <w:rsid w:val="00F10C9F"/>
    <w:rsid w:val="00F23066"/>
    <w:rsid w:val="00F253D5"/>
    <w:rsid w:val="00F27393"/>
    <w:rsid w:val="00F308A9"/>
    <w:rsid w:val="00F32309"/>
    <w:rsid w:val="00F40F21"/>
    <w:rsid w:val="00F511EA"/>
    <w:rsid w:val="00F517A0"/>
    <w:rsid w:val="00F54230"/>
    <w:rsid w:val="00F548E8"/>
    <w:rsid w:val="00F55723"/>
    <w:rsid w:val="00F55FAB"/>
    <w:rsid w:val="00F56312"/>
    <w:rsid w:val="00F60CE4"/>
    <w:rsid w:val="00F65B47"/>
    <w:rsid w:val="00F90FDB"/>
    <w:rsid w:val="00F93203"/>
    <w:rsid w:val="00F966BE"/>
    <w:rsid w:val="00FA28B8"/>
    <w:rsid w:val="00FA33D8"/>
    <w:rsid w:val="00FA372A"/>
    <w:rsid w:val="00FA6A79"/>
    <w:rsid w:val="00FB0A1E"/>
    <w:rsid w:val="00FB4829"/>
    <w:rsid w:val="00FB56E4"/>
    <w:rsid w:val="00FB7183"/>
    <w:rsid w:val="00FC1628"/>
    <w:rsid w:val="00FD0E19"/>
    <w:rsid w:val="00FD1996"/>
    <w:rsid w:val="00FD2A04"/>
    <w:rsid w:val="00FD504D"/>
    <w:rsid w:val="00FD72DD"/>
    <w:rsid w:val="00FE1C39"/>
    <w:rsid w:val="00FE3A51"/>
    <w:rsid w:val="00FE585F"/>
    <w:rsid w:val="00FE5DD6"/>
    <w:rsid w:val="00FF1840"/>
    <w:rsid w:val="02DDFA0D"/>
    <w:rsid w:val="10411B77"/>
    <w:rsid w:val="16191B36"/>
    <w:rsid w:val="17B88737"/>
    <w:rsid w:val="1B2F4268"/>
    <w:rsid w:val="1F5CA4F3"/>
    <w:rsid w:val="29EEEF91"/>
    <w:rsid w:val="2C748C7E"/>
    <w:rsid w:val="3048D999"/>
    <w:rsid w:val="38728C3E"/>
    <w:rsid w:val="3F1A3405"/>
    <w:rsid w:val="40E75E3E"/>
    <w:rsid w:val="4F246ED9"/>
    <w:rsid w:val="56E2D724"/>
    <w:rsid w:val="5B7EFEE4"/>
    <w:rsid w:val="5CD05CA7"/>
    <w:rsid w:val="5D7ED3BE"/>
    <w:rsid w:val="620C0776"/>
    <w:rsid w:val="661D223F"/>
    <w:rsid w:val="7189422C"/>
    <w:rsid w:val="79BA6CAD"/>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717344"/>
  <w15:docId w15:val="{8F87034A-F25C-4808-AEE8-04840F5D24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1B63F6"/>
    <w:pPr>
      <w:spacing w:after="0" w:line="240" w:lineRule="auto"/>
      <w:jc w:val="both"/>
    </w:pPr>
    <w:rPr>
      <w:rFonts w:ascii="Arial" w:eastAsia="Times New Roman" w:hAnsi="Arial" w:cs="Times New Roman"/>
      <w:sz w:val="24"/>
      <w:szCs w:val="24"/>
      <w:lang w:eastAsia="en-GB"/>
    </w:rPr>
  </w:style>
  <w:style w:type="paragraph" w:styleId="Heading1">
    <w:name w:val="heading 1"/>
    <w:aliases w:val="BC 1st Heading,Centered 1,Section,Section Heading,Paragraph No,Oscar Faber 1,RR level 1,SAHeading 1,Headerm,Ch,Ch1,Chapter,Outline1,h1,Se,MPS Standard Heading 1,PA Chapter,numbered indent 1,ni1,Heading.CAPS,NAME,H1,Main Section,NHS Heading 1,1"/>
    <w:basedOn w:val="Normal"/>
    <w:next w:val="Normal"/>
    <w:link w:val="Heading1Char"/>
    <w:autoRedefine/>
    <w:qFormat/>
    <w:rsid w:val="006E5EBC"/>
    <w:pPr>
      <w:keepNext/>
      <w:keepLines/>
      <w:pageBreakBefore/>
      <w:numPr>
        <w:numId w:val="10"/>
      </w:numPr>
      <w:ind w:left="851" w:hanging="851"/>
      <w:jc w:val="left"/>
      <w:outlineLvl w:val="0"/>
    </w:pPr>
    <w:rPr>
      <w:rFonts w:ascii="Arial Bold" w:hAnsi="Arial Bold" w:cs="Arial"/>
      <w:bCs/>
      <w:caps/>
      <w:color w:val="0D3795"/>
      <w:kern w:val="32"/>
      <w:sz w:val="28"/>
      <w:szCs w:val="32"/>
    </w:rPr>
  </w:style>
  <w:style w:type="paragraph" w:styleId="Heading2">
    <w:name w:val="heading 2"/>
    <w:aliases w:val="Numbered - 2,PARA2,PA Major Section,h2,2,sub-sect,21,sub-sect1,22,sub-sect2,23,sub-sect3,24,sub-sect4,25,sub-sect5,211,sub-sect11,(1.1,1.2,1.3 etc),section header,Major,Major1,Major2,Major11,Heaidng 2,H2,l2,no section,Logica LevelSeas.com,nmh"/>
    <w:basedOn w:val="Normal"/>
    <w:next w:val="Normal"/>
    <w:link w:val="Heading2Char"/>
    <w:unhideWhenUsed/>
    <w:qFormat/>
    <w:rsid w:val="000E3FFC"/>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Heading3">
    <w:name w:val="heading 3"/>
    <w:aliases w:val="Para Heading 3,h3,Centered 3,Tribal heading 3,1.1.1 Style now,Minor,Level 1 - 1,Numbered para,Outline3,Level 2.1,Oscar Faber 3,SZRptH3,add-phara,A,B,C,Para,(13pt),(12pt),Mia,Mia1,H3,Mi,HAA-SubSection,Apx par,1.2.3.,niveau3,Heading 31,h31,3,l3"/>
    <w:basedOn w:val="Normal"/>
    <w:next w:val="Normal"/>
    <w:link w:val="Heading3Char"/>
    <w:unhideWhenUsed/>
    <w:qFormat/>
    <w:rsid w:val="006E5EBC"/>
    <w:pPr>
      <w:keepNext/>
      <w:keepLines/>
      <w:spacing w:before="40"/>
      <w:outlineLvl w:val="2"/>
    </w:pPr>
    <w:rPr>
      <w:rFonts w:asciiTheme="majorHAnsi" w:eastAsiaTheme="majorEastAsia" w:hAnsiTheme="majorHAnsi" w:cstheme="majorBidi"/>
      <w:color w:val="1F3763" w:themeColor="accent1" w:themeShade="7F"/>
    </w:rPr>
  </w:style>
  <w:style w:type="paragraph" w:styleId="Heading4">
    <w:name w:val="heading 4"/>
    <w:aliases w:val="PARA4,h4,Level 2 - a,Sub-Minor,Te1,Te2,Te3,Te4,Te5,Te6,Te7,Te8,Te9,Te10,Te11,Te91,Te12,Te21,Te31,Te41,Te51,Te61,Te71,Te81,Te92,Te101,Te111,Te911,Te13,Te22,Te32,Te42,Te52,Te62,Te72,Te82,Te93,Te102,Te112,Te912,Te14,Te23,Te33,Te43,Te53,Te63,Te73"/>
    <w:basedOn w:val="Normal"/>
    <w:next w:val="Normal"/>
    <w:link w:val="Heading4Char"/>
    <w:qFormat/>
    <w:rsid w:val="00641A7F"/>
    <w:pPr>
      <w:keepNext/>
      <w:tabs>
        <w:tab w:val="num" w:pos="1077"/>
      </w:tabs>
      <w:spacing w:after="120"/>
      <w:ind w:left="1077" w:hanging="1077"/>
      <w:outlineLvl w:val="3"/>
    </w:pPr>
    <w:rPr>
      <w:rFonts w:ascii="Arial Bold" w:hAnsi="Arial Bold"/>
      <w:b/>
      <w:bCs/>
      <w:color w:val="004E73"/>
    </w:rPr>
  </w:style>
  <w:style w:type="paragraph" w:styleId="Heading6">
    <w:name w:val="heading 6"/>
    <w:aliases w:val="Legal Level 1.,Level 5.1,Level 1,Bp,Numbered Points,level 1 bullet,RR level 6,PIM 6,bullet2,Sub Titles,DO NOT USE_h6,Bullet list,T1,Lev 6,6,Requirement,h6,Heading6,H6,Bullet list1,Bullet list2,Bullet list3,Bullet list4,Bullet list5,sub-dash,s"/>
    <w:basedOn w:val="Normal"/>
    <w:next w:val="Normal"/>
    <w:link w:val="Heading6Char"/>
    <w:qFormat/>
    <w:rsid w:val="00641A7F"/>
    <w:pPr>
      <w:tabs>
        <w:tab w:val="num" w:pos="1152"/>
      </w:tabs>
      <w:spacing w:before="240"/>
      <w:ind w:left="1152" w:hanging="1152"/>
      <w:outlineLvl w:val="5"/>
    </w:pPr>
    <w:rPr>
      <w:rFonts w:ascii="Times New Roman" w:hAnsi="Times New Roman"/>
      <w:b/>
      <w:bCs/>
      <w:szCs w:val="22"/>
    </w:rPr>
  </w:style>
  <w:style w:type="paragraph" w:styleId="Heading7">
    <w:name w:val="heading 7"/>
    <w:aliases w:val="Legal Level 1.1.,Nu,numbered point,RR level 7,PA Appendix Major,Main Body Text,L7,Lev 7,7,ExhibitTitle,Objective,heading7,req3,st,letter list,letter list1,letter list2,letter list3,letter list4,letter list5,letter list6,letter list7,letter li"/>
    <w:basedOn w:val="Normal"/>
    <w:next w:val="Normal"/>
    <w:link w:val="Heading7Char"/>
    <w:qFormat/>
    <w:rsid w:val="00641A7F"/>
    <w:pPr>
      <w:tabs>
        <w:tab w:val="num" w:pos="1296"/>
      </w:tabs>
      <w:spacing w:before="240"/>
      <w:ind w:left="1296" w:hanging="1296"/>
      <w:outlineLvl w:val="6"/>
    </w:pPr>
    <w:rPr>
      <w:rFonts w:ascii="Times New Roman" w:hAnsi="Times New Roman"/>
    </w:rPr>
  </w:style>
  <w:style w:type="paragraph" w:styleId="Heading8">
    <w:name w:val="heading 8"/>
    <w:aliases w:val="Legal Level 1.1.1.,N (It),RR level 8,PA Appendix Minor,Lev 8,8,FigureTitle,Condition,requirement,req2,req,action,action1,action2,action3,action4,action5,action6,action7,action8,Center Bold,T8,Appendices Sub-Heading, action, action1, action2"/>
    <w:basedOn w:val="Normal"/>
    <w:next w:val="Normal"/>
    <w:link w:val="Heading8Char"/>
    <w:qFormat/>
    <w:rsid w:val="00641A7F"/>
    <w:pPr>
      <w:tabs>
        <w:tab w:val="num" w:pos="1440"/>
      </w:tabs>
      <w:spacing w:before="240"/>
      <w:ind w:left="1440" w:hanging="1440"/>
      <w:outlineLvl w:val="7"/>
    </w:pPr>
    <w:rPr>
      <w:rFonts w:ascii="Times New Roman" w:hAnsi="Times New Roman"/>
      <w:i/>
      <w:iCs/>
    </w:rPr>
  </w:style>
  <w:style w:type="paragraph" w:styleId="Heading9">
    <w:name w:val="heading 9"/>
    <w:basedOn w:val="Normal"/>
    <w:next w:val="Normal"/>
    <w:link w:val="Heading9Char"/>
    <w:qFormat/>
    <w:rsid w:val="00641A7F"/>
    <w:pPr>
      <w:tabs>
        <w:tab w:val="num" w:pos="1584"/>
      </w:tabs>
      <w:spacing w:before="240"/>
      <w:ind w:left="1584" w:hanging="1584"/>
      <w:outlineLvl w:val="8"/>
    </w:pPr>
    <w:rPr>
      <w:rFonts w:cs="Arial"/>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ListParagraphChar">
    <w:name w:val="List Paragraph Char"/>
    <w:aliases w:val="Bullet point text Char,Body Paragraph Char,Bulleted list Char,Dot pt Char,List Paragraph Char Char Char Char,Indicator Text Char,Numbered Para 1 Char,List Paragraph1 Char,Bullet Points Char,MAIN CONTENT Char,List Paragraph11 Char"/>
    <w:link w:val="ListParagraph"/>
    <w:uiPriority w:val="34"/>
    <w:qFormat/>
    <w:locked/>
    <w:rsid w:val="001B63F6"/>
    <w:rPr>
      <w:rFonts w:ascii="Arial" w:eastAsia="SimSun" w:hAnsi="Arial" w:cs="Times New Roman"/>
      <w:b/>
      <w:sz w:val="24"/>
      <w:szCs w:val="24"/>
      <w:lang w:val="en-AU" w:eastAsia="zh-CN"/>
    </w:rPr>
  </w:style>
  <w:style w:type="paragraph" w:styleId="ListParagraph">
    <w:name w:val="List Paragraph"/>
    <w:aliases w:val="Bullet point text,Body Paragraph,Bulleted list,Dot pt,List Paragraph Char Char Char,Indicator Text,Numbered Para 1,List Paragraph1,Bullet Points,MAIN CONTENT,List Paragraph11,List Paragraph12,F5 List Paragraph,Bullet Style,Heading 2_sj"/>
    <w:basedOn w:val="Normal"/>
    <w:link w:val="ListParagraphChar"/>
    <w:uiPriority w:val="34"/>
    <w:qFormat/>
    <w:rsid w:val="001B63F6"/>
    <w:pPr>
      <w:numPr>
        <w:numId w:val="1"/>
      </w:numPr>
      <w:spacing w:before="240" w:after="120"/>
      <w:jc w:val="left"/>
    </w:pPr>
    <w:rPr>
      <w:rFonts w:eastAsia="SimSun"/>
      <w:b/>
      <w:lang w:val="en-AU" w:eastAsia="zh-CN"/>
    </w:rPr>
  </w:style>
  <w:style w:type="paragraph" w:customStyle="1" w:styleId="msonormal0">
    <w:name w:val="msonormal"/>
    <w:basedOn w:val="Normal"/>
    <w:rsid w:val="001B63F6"/>
    <w:pPr>
      <w:spacing w:before="100" w:beforeAutospacing="1" w:after="100" w:afterAutospacing="1"/>
      <w:jc w:val="left"/>
    </w:pPr>
    <w:rPr>
      <w:rFonts w:ascii="Times New Roman" w:hAnsi="Times New Roman"/>
    </w:rPr>
  </w:style>
  <w:style w:type="paragraph" w:customStyle="1" w:styleId="paragraph">
    <w:name w:val="paragraph"/>
    <w:basedOn w:val="Normal"/>
    <w:rsid w:val="001B63F6"/>
    <w:pPr>
      <w:spacing w:before="100" w:beforeAutospacing="1" w:after="100" w:afterAutospacing="1"/>
      <w:jc w:val="left"/>
    </w:pPr>
    <w:rPr>
      <w:rFonts w:ascii="Times New Roman" w:hAnsi="Times New Roman"/>
    </w:rPr>
  </w:style>
  <w:style w:type="character" w:customStyle="1" w:styleId="textrun">
    <w:name w:val="textrun"/>
    <w:basedOn w:val="DefaultParagraphFont"/>
    <w:rsid w:val="001B63F6"/>
  </w:style>
  <w:style w:type="character" w:customStyle="1" w:styleId="normaltextrun">
    <w:name w:val="normaltextrun"/>
    <w:basedOn w:val="DefaultParagraphFont"/>
    <w:rsid w:val="001B63F6"/>
  </w:style>
  <w:style w:type="character" w:customStyle="1" w:styleId="eop">
    <w:name w:val="eop"/>
    <w:basedOn w:val="DefaultParagraphFont"/>
    <w:rsid w:val="001B63F6"/>
  </w:style>
  <w:style w:type="character" w:customStyle="1" w:styleId="contentcontrolboundarysink">
    <w:name w:val="contentcontrolboundarysink"/>
    <w:basedOn w:val="DefaultParagraphFont"/>
    <w:rsid w:val="001B63F6"/>
  </w:style>
  <w:style w:type="character" w:customStyle="1" w:styleId="contentcontrol">
    <w:name w:val="contentcontrol"/>
    <w:basedOn w:val="DefaultParagraphFont"/>
    <w:rsid w:val="001B63F6"/>
  </w:style>
  <w:style w:type="paragraph" w:customStyle="1" w:styleId="outlineelement">
    <w:name w:val="outlineelement"/>
    <w:basedOn w:val="Normal"/>
    <w:rsid w:val="001B63F6"/>
    <w:pPr>
      <w:spacing w:before="100" w:beforeAutospacing="1" w:after="100" w:afterAutospacing="1"/>
      <w:jc w:val="left"/>
    </w:pPr>
    <w:rPr>
      <w:rFonts w:ascii="Times New Roman" w:hAnsi="Times New Roman"/>
    </w:rPr>
  </w:style>
  <w:style w:type="character" w:customStyle="1" w:styleId="spellingerrorsuperscript">
    <w:name w:val="spellingerrorsuperscript"/>
    <w:basedOn w:val="DefaultParagraphFont"/>
    <w:rsid w:val="001B63F6"/>
  </w:style>
  <w:style w:type="paragraph" w:customStyle="1" w:styleId="Default">
    <w:name w:val="Default"/>
    <w:rsid w:val="00530700"/>
    <w:pPr>
      <w:autoSpaceDE w:val="0"/>
      <w:autoSpaceDN w:val="0"/>
      <w:adjustRightInd w:val="0"/>
      <w:spacing w:after="0" w:line="240" w:lineRule="auto"/>
    </w:pPr>
    <w:rPr>
      <w:rFonts w:ascii="Calibri" w:hAnsi="Calibri" w:cs="Calibri"/>
      <w:color w:val="000000"/>
      <w:sz w:val="24"/>
      <w:szCs w:val="24"/>
    </w:rPr>
  </w:style>
  <w:style w:type="character" w:styleId="CommentReference">
    <w:name w:val="annotation reference"/>
    <w:basedOn w:val="DefaultParagraphFont"/>
    <w:uiPriority w:val="99"/>
    <w:semiHidden/>
    <w:unhideWhenUsed/>
    <w:rsid w:val="0095099D"/>
    <w:rPr>
      <w:sz w:val="16"/>
      <w:szCs w:val="16"/>
    </w:rPr>
  </w:style>
  <w:style w:type="paragraph" w:styleId="CommentText">
    <w:name w:val="annotation text"/>
    <w:basedOn w:val="Normal"/>
    <w:link w:val="CommentTextChar"/>
    <w:uiPriority w:val="99"/>
    <w:semiHidden/>
    <w:unhideWhenUsed/>
    <w:rsid w:val="0095099D"/>
    <w:rPr>
      <w:sz w:val="20"/>
      <w:szCs w:val="20"/>
    </w:rPr>
  </w:style>
  <w:style w:type="character" w:customStyle="1" w:styleId="CommentTextChar">
    <w:name w:val="Comment Text Char"/>
    <w:basedOn w:val="DefaultParagraphFont"/>
    <w:link w:val="CommentText"/>
    <w:uiPriority w:val="99"/>
    <w:semiHidden/>
    <w:rsid w:val="0095099D"/>
    <w:rPr>
      <w:rFonts w:ascii="Arial" w:eastAsia="Times New Roman" w:hAnsi="Arial" w:cs="Times New Roman"/>
      <w:sz w:val="20"/>
      <w:szCs w:val="20"/>
      <w:lang w:eastAsia="en-GB"/>
    </w:rPr>
  </w:style>
  <w:style w:type="paragraph" w:styleId="CommentSubject">
    <w:name w:val="annotation subject"/>
    <w:basedOn w:val="CommentText"/>
    <w:next w:val="CommentText"/>
    <w:link w:val="CommentSubjectChar"/>
    <w:uiPriority w:val="99"/>
    <w:semiHidden/>
    <w:unhideWhenUsed/>
    <w:rsid w:val="0095099D"/>
    <w:rPr>
      <w:b/>
      <w:bCs/>
    </w:rPr>
  </w:style>
  <w:style w:type="character" w:customStyle="1" w:styleId="CommentSubjectChar">
    <w:name w:val="Comment Subject Char"/>
    <w:basedOn w:val="CommentTextChar"/>
    <w:link w:val="CommentSubject"/>
    <w:uiPriority w:val="99"/>
    <w:semiHidden/>
    <w:rsid w:val="0095099D"/>
    <w:rPr>
      <w:rFonts w:ascii="Arial" w:eastAsia="Times New Roman" w:hAnsi="Arial" w:cs="Times New Roman"/>
      <w:b/>
      <w:bCs/>
      <w:sz w:val="20"/>
      <w:szCs w:val="20"/>
      <w:lang w:eastAsia="en-GB"/>
    </w:rPr>
  </w:style>
  <w:style w:type="paragraph" w:styleId="Revision">
    <w:name w:val="Revision"/>
    <w:hidden/>
    <w:uiPriority w:val="99"/>
    <w:semiHidden/>
    <w:rsid w:val="0095099D"/>
    <w:pPr>
      <w:spacing w:after="0" w:line="240" w:lineRule="auto"/>
    </w:pPr>
    <w:rPr>
      <w:rFonts w:ascii="Arial" w:eastAsia="Times New Roman" w:hAnsi="Arial" w:cs="Times New Roman"/>
      <w:sz w:val="24"/>
      <w:szCs w:val="24"/>
      <w:lang w:eastAsia="en-GB"/>
    </w:rPr>
  </w:style>
  <w:style w:type="paragraph" w:styleId="BalloonText">
    <w:name w:val="Balloon Text"/>
    <w:basedOn w:val="Normal"/>
    <w:link w:val="BalloonTextChar"/>
    <w:uiPriority w:val="99"/>
    <w:semiHidden/>
    <w:unhideWhenUsed/>
    <w:rsid w:val="0095099D"/>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5099D"/>
    <w:rPr>
      <w:rFonts w:ascii="Segoe UI" w:eastAsia="Times New Roman" w:hAnsi="Segoe UI" w:cs="Segoe UI"/>
      <w:sz w:val="18"/>
      <w:szCs w:val="18"/>
      <w:lang w:eastAsia="en-GB"/>
    </w:rPr>
  </w:style>
  <w:style w:type="paragraph" w:styleId="Header">
    <w:name w:val="header"/>
    <w:basedOn w:val="Normal"/>
    <w:link w:val="HeaderChar"/>
    <w:uiPriority w:val="99"/>
    <w:unhideWhenUsed/>
    <w:rsid w:val="000B55DC"/>
    <w:pPr>
      <w:tabs>
        <w:tab w:val="center" w:pos="4513"/>
        <w:tab w:val="right" w:pos="9026"/>
      </w:tabs>
    </w:pPr>
  </w:style>
  <w:style w:type="character" w:customStyle="1" w:styleId="HeaderChar">
    <w:name w:val="Header Char"/>
    <w:basedOn w:val="DefaultParagraphFont"/>
    <w:link w:val="Header"/>
    <w:uiPriority w:val="99"/>
    <w:rsid w:val="000B55DC"/>
    <w:rPr>
      <w:rFonts w:ascii="Arial" w:eastAsia="Times New Roman" w:hAnsi="Arial" w:cs="Times New Roman"/>
      <w:sz w:val="24"/>
      <w:szCs w:val="24"/>
      <w:lang w:eastAsia="en-GB"/>
    </w:rPr>
  </w:style>
  <w:style w:type="paragraph" w:styleId="Footer">
    <w:name w:val="footer"/>
    <w:basedOn w:val="Normal"/>
    <w:link w:val="FooterChar"/>
    <w:uiPriority w:val="99"/>
    <w:unhideWhenUsed/>
    <w:rsid w:val="000B55DC"/>
    <w:pPr>
      <w:tabs>
        <w:tab w:val="center" w:pos="4513"/>
        <w:tab w:val="right" w:pos="9026"/>
      </w:tabs>
    </w:pPr>
  </w:style>
  <w:style w:type="character" w:customStyle="1" w:styleId="FooterChar">
    <w:name w:val="Footer Char"/>
    <w:basedOn w:val="DefaultParagraphFont"/>
    <w:link w:val="Footer"/>
    <w:uiPriority w:val="99"/>
    <w:rsid w:val="000B55DC"/>
    <w:rPr>
      <w:rFonts w:ascii="Arial" w:eastAsia="Times New Roman" w:hAnsi="Arial" w:cs="Times New Roman"/>
      <w:sz w:val="24"/>
      <w:szCs w:val="24"/>
      <w:lang w:eastAsia="en-GB"/>
    </w:rPr>
  </w:style>
  <w:style w:type="table" w:styleId="TableGrid">
    <w:name w:val="Table Grid"/>
    <w:basedOn w:val="TableNormal"/>
    <w:uiPriority w:val="39"/>
    <w:rsid w:val="00E556E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aliases w:val="BC 1st Heading Char,Centered 1 Char,Section Char,Section Heading Char,Paragraph No Char,Oscar Faber 1 Char,RR level 1 Char,SAHeading 1 Char,Headerm Char,Ch Char,Ch1 Char,Chapter Char,Outline1 Char,h1 Char,Se Char,PA Chapter Char,ni1 Char"/>
    <w:basedOn w:val="DefaultParagraphFont"/>
    <w:link w:val="Heading1"/>
    <w:rsid w:val="006E5EBC"/>
    <w:rPr>
      <w:rFonts w:ascii="Arial Bold" w:eastAsia="Times New Roman" w:hAnsi="Arial Bold" w:cs="Arial"/>
      <w:bCs/>
      <w:caps/>
      <w:color w:val="0D3795"/>
      <w:kern w:val="32"/>
      <w:sz w:val="28"/>
      <w:szCs w:val="32"/>
      <w:lang w:eastAsia="en-GB"/>
    </w:rPr>
  </w:style>
  <w:style w:type="paragraph" w:customStyle="1" w:styleId="BJC3rdLevel">
    <w:name w:val="BJC 3rd Level"/>
    <w:basedOn w:val="Heading3"/>
    <w:link w:val="BJC3rdLevelChar"/>
    <w:qFormat/>
    <w:rsid w:val="006E5EBC"/>
    <w:pPr>
      <w:keepLines w:val="0"/>
      <w:numPr>
        <w:numId w:val="9"/>
      </w:numPr>
      <w:spacing w:before="0"/>
      <w:ind w:left="720" w:hanging="720"/>
    </w:pPr>
    <w:rPr>
      <w:rFonts w:ascii="Arial" w:eastAsiaTheme="minorHAnsi" w:hAnsi="Arial" w:cs="Arial"/>
      <w:bCs/>
      <w:color w:val="auto"/>
      <w:szCs w:val="26"/>
      <w:lang w:eastAsia="en-US"/>
    </w:rPr>
  </w:style>
  <w:style w:type="character" w:customStyle="1" w:styleId="BJC3rdLevelChar">
    <w:name w:val="BJC 3rd Level Char"/>
    <w:basedOn w:val="DefaultParagraphFont"/>
    <w:link w:val="BJC3rdLevel"/>
    <w:rsid w:val="006E5EBC"/>
    <w:rPr>
      <w:rFonts w:ascii="Arial" w:hAnsi="Arial" w:cs="Arial"/>
      <w:bCs/>
      <w:sz w:val="24"/>
      <w:szCs w:val="26"/>
    </w:rPr>
  </w:style>
  <w:style w:type="character" w:customStyle="1" w:styleId="Heading3Char">
    <w:name w:val="Heading 3 Char"/>
    <w:aliases w:val="Para Heading 3 Char,h3 Char,Centered 3 Char,Tribal heading 3 Char,1.1.1 Style now Char,Minor Char,Level 1 - 1 Char,Numbered para Char,Outline3 Char,Level 2.1 Char,Oscar Faber 3 Char,SZRptH3 Char,add-phara Char,A Char,B Char,C Char,H3 Char"/>
    <w:basedOn w:val="DefaultParagraphFont"/>
    <w:link w:val="Heading3"/>
    <w:uiPriority w:val="9"/>
    <w:semiHidden/>
    <w:rsid w:val="006E5EBC"/>
    <w:rPr>
      <w:rFonts w:asciiTheme="majorHAnsi" w:eastAsiaTheme="majorEastAsia" w:hAnsiTheme="majorHAnsi" w:cstheme="majorBidi"/>
      <w:color w:val="1F3763" w:themeColor="accent1" w:themeShade="7F"/>
      <w:sz w:val="24"/>
      <w:szCs w:val="24"/>
      <w:lang w:eastAsia="en-GB"/>
    </w:rPr>
  </w:style>
  <w:style w:type="paragraph" w:styleId="Caption">
    <w:name w:val="caption"/>
    <w:basedOn w:val="Normal"/>
    <w:next w:val="Normal"/>
    <w:link w:val="CaptionChar"/>
    <w:unhideWhenUsed/>
    <w:qFormat/>
    <w:rsid w:val="000E3FFC"/>
    <w:pPr>
      <w:ind w:left="851"/>
    </w:pPr>
    <w:rPr>
      <w:b/>
      <w:i/>
      <w:iCs/>
      <w:color w:val="2E74B5"/>
      <w:szCs w:val="18"/>
    </w:rPr>
  </w:style>
  <w:style w:type="character" w:customStyle="1" w:styleId="CaptionChar">
    <w:name w:val="Caption Char"/>
    <w:link w:val="Caption"/>
    <w:rsid w:val="000E3FFC"/>
    <w:rPr>
      <w:rFonts w:ascii="Arial" w:eastAsia="Times New Roman" w:hAnsi="Arial" w:cs="Times New Roman"/>
      <w:b/>
      <w:i/>
      <w:iCs/>
      <w:color w:val="2E74B5"/>
      <w:sz w:val="24"/>
      <w:szCs w:val="18"/>
      <w:lang w:eastAsia="en-GB"/>
    </w:rPr>
  </w:style>
  <w:style w:type="paragraph" w:customStyle="1" w:styleId="BJC2nd">
    <w:name w:val="BJC 2nd"/>
    <w:basedOn w:val="Normal"/>
    <w:autoRedefine/>
    <w:qFormat/>
    <w:rsid w:val="009A50E8"/>
    <w:pPr>
      <w:keepNext/>
      <w:keepLines/>
      <w:ind w:right="544" w:firstLine="720"/>
      <w:outlineLvl w:val="1"/>
    </w:pPr>
    <w:rPr>
      <w:rFonts w:eastAsiaTheme="minorHAnsi" w:cs="Arial"/>
      <w:b/>
      <w:bCs/>
      <w:iCs/>
      <w:lang w:eastAsia="en-US"/>
    </w:rPr>
  </w:style>
  <w:style w:type="character" w:customStyle="1" w:styleId="Heading2Char">
    <w:name w:val="Heading 2 Char"/>
    <w:aliases w:val="Numbered - 2 Char,PARA2 Char,PA Major Section Char,h2 Char,2 Char,sub-sect Char,21 Char,sub-sect1 Char,22 Char,sub-sect2 Char,23 Char,sub-sect3 Char,24 Char,sub-sect4 Char,25 Char,sub-sect5 Char,211 Char,sub-sect11 Char,(1.1 Char,1.2 Char"/>
    <w:basedOn w:val="DefaultParagraphFont"/>
    <w:link w:val="Heading2"/>
    <w:rsid w:val="000E3FFC"/>
    <w:rPr>
      <w:rFonts w:asciiTheme="majorHAnsi" w:eastAsiaTheme="majorEastAsia" w:hAnsiTheme="majorHAnsi" w:cstheme="majorBidi"/>
      <w:color w:val="2F5496" w:themeColor="accent1" w:themeShade="BF"/>
      <w:sz w:val="26"/>
      <w:szCs w:val="26"/>
      <w:lang w:eastAsia="en-GB"/>
    </w:rPr>
  </w:style>
  <w:style w:type="character" w:customStyle="1" w:styleId="ui-provider">
    <w:name w:val="ui-provider"/>
    <w:basedOn w:val="DefaultParagraphFont"/>
    <w:rsid w:val="009A50E8"/>
  </w:style>
  <w:style w:type="character" w:customStyle="1" w:styleId="Heading4Char">
    <w:name w:val="Heading 4 Char"/>
    <w:aliases w:val="PARA4 Char,h4 Char,Level 2 - a Char,Sub-Minor Char,Te1 Char,Te2 Char,Te3 Char,Te4 Char,Te5 Char,Te6 Char,Te7 Char,Te8 Char,Te9 Char,Te10 Char,Te11 Char,Te91 Char,Te12 Char,Te21 Char,Te31 Char,Te41 Char,Te51 Char,Te61 Char,Te71 Char"/>
    <w:basedOn w:val="DefaultParagraphFont"/>
    <w:link w:val="Heading4"/>
    <w:rsid w:val="00641A7F"/>
    <w:rPr>
      <w:rFonts w:ascii="Arial Bold" w:eastAsia="Times New Roman" w:hAnsi="Arial Bold" w:cs="Times New Roman"/>
      <w:b/>
      <w:bCs/>
      <w:color w:val="004E73"/>
      <w:sz w:val="24"/>
      <w:szCs w:val="24"/>
      <w:lang w:eastAsia="en-GB"/>
    </w:rPr>
  </w:style>
  <w:style w:type="character" w:customStyle="1" w:styleId="Heading6Char">
    <w:name w:val="Heading 6 Char"/>
    <w:aliases w:val="Legal Level 1. Char,Level 5.1 Char,Level 1 Char,Bp Char,Numbered Points Char,level 1 bullet Char,RR level 6 Char,PIM 6 Char,bullet2 Char,Sub Titles Char,DO NOT USE_h6 Char,Bullet list Char,T1 Char,Lev 6 Char,6 Char,Requirement Char,s Char"/>
    <w:basedOn w:val="DefaultParagraphFont"/>
    <w:link w:val="Heading6"/>
    <w:rsid w:val="00641A7F"/>
    <w:rPr>
      <w:rFonts w:ascii="Times New Roman" w:eastAsia="Times New Roman" w:hAnsi="Times New Roman" w:cs="Times New Roman"/>
      <w:b/>
      <w:bCs/>
      <w:sz w:val="24"/>
      <w:lang w:eastAsia="en-GB"/>
    </w:rPr>
  </w:style>
  <w:style w:type="character" w:customStyle="1" w:styleId="Heading7Char">
    <w:name w:val="Heading 7 Char"/>
    <w:aliases w:val="Legal Level 1.1. Char,Nu Char,numbered point Char,RR level 7 Char,PA Appendix Major Char,Main Body Text Char,L7 Char,Lev 7 Char,7 Char,ExhibitTitle Char,Objective Char,heading7 Char,req3 Char,st Char,letter list Char,letter list1 Char"/>
    <w:basedOn w:val="DefaultParagraphFont"/>
    <w:link w:val="Heading7"/>
    <w:rsid w:val="00641A7F"/>
    <w:rPr>
      <w:rFonts w:ascii="Times New Roman" w:eastAsia="Times New Roman" w:hAnsi="Times New Roman" w:cs="Times New Roman"/>
      <w:sz w:val="24"/>
      <w:szCs w:val="24"/>
      <w:lang w:eastAsia="en-GB"/>
    </w:rPr>
  </w:style>
  <w:style w:type="character" w:customStyle="1" w:styleId="Heading8Char">
    <w:name w:val="Heading 8 Char"/>
    <w:aliases w:val="Legal Level 1.1.1. Char,N (It) Char,RR level 8 Char,PA Appendix Minor Char,Lev 8 Char,8 Char,FigureTitle Char,Condition Char,requirement Char,req2 Char,req Char,action Char,action1 Char,action2 Char,action3 Char,action4 Char,action5 Char"/>
    <w:basedOn w:val="DefaultParagraphFont"/>
    <w:link w:val="Heading8"/>
    <w:rsid w:val="00641A7F"/>
    <w:rPr>
      <w:rFonts w:ascii="Times New Roman" w:eastAsia="Times New Roman" w:hAnsi="Times New Roman" w:cs="Times New Roman"/>
      <w:i/>
      <w:iCs/>
      <w:sz w:val="24"/>
      <w:szCs w:val="24"/>
      <w:lang w:eastAsia="en-GB"/>
    </w:rPr>
  </w:style>
  <w:style w:type="character" w:customStyle="1" w:styleId="Heading9Char">
    <w:name w:val="Heading 9 Char"/>
    <w:basedOn w:val="DefaultParagraphFont"/>
    <w:link w:val="Heading9"/>
    <w:rsid w:val="00641A7F"/>
    <w:rPr>
      <w:rFonts w:ascii="Arial" w:eastAsia="Times New Roman" w:hAnsi="Arial" w:cs="Arial"/>
      <w:sz w:val="24"/>
      <w:lang w:eastAsia="en-GB"/>
    </w:rPr>
  </w:style>
  <w:style w:type="character" w:customStyle="1" w:styleId="BulletChar">
    <w:name w:val="Bullet Char"/>
    <w:aliases w:val="bl Char,Bullet L1 Char,bl1 Char,bl1 Char Char,bl Char Char"/>
    <w:link w:val="Bullet"/>
    <w:locked/>
    <w:rsid w:val="00641A7F"/>
    <w:rPr>
      <w:rFonts w:ascii="Arial" w:hAnsi="Arial" w:cs="Arial"/>
      <w:sz w:val="24"/>
    </w:rPr>
  </w:style>
  <w:style w:type="paragraph" w:customStyle="1" w:styleId="Bullet">
    <w:name w:val="Bullet"/>
    <w:aliases w:val="bl,Bullet L1,bl1"/>
    <w:basedOn w:val="Normal"/>
    <w:link w:val="BulletChar"/>
    <w:qFormat/>
    <w:rsid w:val="00641A7F"/>
    <w:pPr>
      <w:spacing w:after="120"/>
    </w:pPr>
    <w:rPr>
      <w:rFonts w:eastAsiaTheme="minorHAnsi" w:cs="Arial"/>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90015254">
      <w:bodyDiv w:val="1"/>
      <w:marLeft w:val="0"/>
      <w:marRight w:val="0"/>
      <w:marTop w:val="0"/>
      <w:marBottom w:val="0"/>
      <w:divBdr>
        <w:top w:val="none" w:sz="0" w:space="0" w:color="auto"/>
        <w:left w:val="none" w:sz="0" w:space="0" w:color="auto"/>
        <w:bottom w:val="none" w:sz="0" w:space="0" w:color="auto"/>
        <w:right w:val="none" w:sz="0" w:space="0" w:color="auto"/>
      </w:divBdr>
    </w:div>
    <w:div w:id="1447650989">
      <w:bodyDiv w:val="1"/>
      <w:marLeft w:val="0"/>
      <w:marRight w:val="0"/>
      <w:marTop w:val="0"/>
      <w:marBottom w:val="0"/>
      <w:divBdr>
        <w:top w:val="none" w:sz="0" w:space="0" w:color="auto"/>
        <w:left w:val="none" w:sz="0" w:space="0" w:color="auto"/>
        <w:bottom w:val="none" w:sz="0" w:space="0" w:color="auto"/>
        <w:right w:val="none" w:sz="0" w:space="0" w:color="auto"/>
      </w:divBdr>
      <w:divsChild>
        <w:div w:id="49619156">
          <w:marLeft w:val="0"/>
          <w:marRight w:val="0"/>
          <w:marTop w:val="0"/>
          <w:marBottom w:val="0"/>
          <w:divBdr>
            <w:top w:val="none" w:sz="0" w:space="0" w:color="auto"/>
            <w:left w:val="none" w:sz="0" w:space="0" w:color="auto"/>
            <w:bottom w:val="none" w:sz="0" w:space="0" w:color="auto"/>
            <w:right w:val="none" w:sz="0" w:space="0" w:color="auto"/>
          </w:divBdr>
          <w:divsChild>
            <w:div w:id="1323696995">
              <w:marLeft w:val="-75"/>
              <w:marRight w:val="0"/>
              <w:marTop w:val="30"/>
              <w:marBottom w:val="30"/>
              <w:divBdr>
                <w:top w:val="none" w:sz="0" w:space="0" w:color="auto"/>
                <w:left w:val="none" w:sz="0" w:space="0" w:color="auto"/>
                <w:bottom w:val="none" w:sz="0" w:space="0" w:color="auto"/>
                <w:right w:val="none" w:sz="0" w:space="0" w:color="auto"/>
              </w:divBdr>
              <w:divsChild>
                <w:div w:id="203059502">
                  <w:marLeft w:val="0"/>
                  <w:marRight w:val="0"/>
                  <w:marTop w:val="0"/>
                  <w:marBottom w:val="0"/>
                  <w:divBdr>
                    <w:top w:val="none" w:sz="0" w:space="0" w:color="auto"/>
                    <w:left w:val="none" w:sz="0" w:space="0" w:color="auto"/>
                    <w:bottom w:val="none" w:sz="0" w:space="0" w:color="auto"/>
                    <w:right w:val="none" w:sz="0" w:space="0" w:color="auto"/>
                  </w:divBdr>
                  <w:divsChild>
                    <w:div w:id="1268536843">
                      <w:marLeft w:val="0"/>
                      <w:marRight w:val="0"/>
                      <w:marTop w:val="0"/>
                      <w:marBottom w:val="0"/>
                      <w:divBdr>
                        <w:top w:val="none" w:sz="0" w:space="0" w:color="auto"/>
                        <w:left w:val="none" w:sz="0" w:space="0" w:color="auto"/>
                        <w:bottom w:val="none" w:sz="0" w:space="0" w:color="auto"/>
                        <w:right w:val="none" w:sz="0" w:space="0" w:color="auto"/>
                      </w:divBdr>
                    </w:div>
                  </w:divsChild>
                </w:div>
                <w:div w:id="211235754">
                  <w:marLeft w:val="0"/>
                  <w:marRight w:val="0"/>
                  <w:marTop w:val="0"/>
                  <w:marBottom w:val="0"/>
                  <w:divBdr>
                    <w:top w:val="none" w:sz="0" w:space="0" w:color="auto"/>
                    <w:left w:val="none" w:sz="0" w:space="0" w:color="auto"/>
                    <w:bottom w:val="none" w:sz="0" w:space="0" w:color="auto"/>
                    <w:right w:val="none" w:sz="0" w:space="0" w:color="auto"/>
                  </w:divBdr>
                  <w:divsChild>
                    <w:div w:id="1120343802">
                      <w:marLeft w:val="0"/>
                      <w:marRight w:val="0"/>
                      <w:marTop w:val="0"/>
                      <w:marBottom w:val="0"/>
                      <w:divBdr>
                        <w:top w:val="none" w:sz="0" w:space="0" w:color="auto"/>
                        <w:left w:val="none" w:sz="0" w:space="0" w:color="auto"/>
                        <w:bottom w:val="none" w:sz="0" w:space="0" w:color="auto"/>
                        <w:right w:val="none" w:sz="0" w:space="0" w:color="auto"/>
                      </w:divBdr>
                    </w:div>
                  </w:divsChild>
                </w:div>
                <w:div w:id="227033131">
                  <w:marLeft w:val="0"/>
                  <w:marRight w:val="0"/>
                  <w:marTop w:val="0"/>
                  <w:marBottom w:val="0"/>
                  <w:divBdr>
                    <w:top w:val="none" w:sz="0" w:space="0" w:color="auto"/>
                    <w:left w:val="none" w:sz="0" w:space="0" w:color="auto"/>
                    <w:bottom w:val="none" w:sz="0" w:space="0" w:color="auto"/>
                    <w:right w:val="none" w:sz="0" w:space="0" w:color="auto"/>
                  </w:divBdr>
                  <w:divsChild>
                    <w:div w:id="1535653839">
                      <w:marLeft w:val="0"/>
                      <w:marRight w:val="0"/>
                      <w:marTop w:val="0"/>
                      <w:marBottom w:val="0"/>
                      <w:divBdr>
                        <w:top w:val="none" w:sz="0" w:space="0" w:color="auto"/>
                        <w:left w:val="none" w:sz="0" w:space="0" w:color="auto"/>
                        <w:bottom w:val="none" w:sz="0" w:space="0" w:color="auto"/>
                        <w:right w:val="none" w:sz="0" w:space="0" w:color="auto"/>
                      </w:divBdr>
                    </w:div>
                  </w:divsChild>
                </w:div>
                <w:div w:id="256447174">
                  <w:marLeft w:val="0"/>
                  <w:marRight w:val="0"/>
                  <w:marTop w:val="0"/>
                  <w:marBottom w:val="0"/>
                  <w:divBdr>
                    <w:top w:val="none" w:sz="0" w:space="0" w:color="auto"/>
                    <w:left w:val="none" w:sz="0" w:space="0" w:color="auto"/>
                    <w:bottom w:val="none" w:sz="0" w:space="0" w:color="auto"/>
                    <w:right w:val="none" w:sz="0" w:space="0" w:color="auto"/>
                  </w:divBdr>
                  <w:divsChild>
                    <w:div w:id="997728922">
                      <w:marLeft w:val="0"/>
                      <w:marRight w:val="0"/>
                      <w:marTop w:val="0"/>
                      <w:marBottom w:val="0"/>
                      <w:divBdr>
                        <w:top w:val="none" w:sz="0" w:space="0" w:color="auto"/>
                        <w:left w:val="none" w:sz="0" w:space="0" w:color="auto"/>
                        <w:bottom w:val="none" w:sz="0" w:space="0" w:color="auto"/>
                        <w:right w:val="none" w:sz="0" w:space="0" w:color="auto"/>
                      </w:divBdr>
                    </w:div>
                  </w:divsChild>
                </w:div>
                <w:div w:id="256641427">
                  <w:marLeft w:val="0"/>
                  <w:marRight w:val="0"/>
                  <w:marTop w:val="0"/>
                  <w:marBottom w:val="0"/>
                  <w:divBdr>
                    <w:top w:val="none" w:sz="0" w:space="0" w:color="auto"/>
                    <w:left w:val="none" w:sz="0" w:space="0" w:color="auto"/>
                    <w:bottom w:val="none" w:sz="0" w:space="0" w:color="auto"/>
                    <w:right w:val="none" w:sz="0" w:space="0" w:color="auto"/>
                  </w:divBdr>
                  <w:divsChild>
                    <w:div w:id="132672970">
                      <w:marLeft w:val="0"/>
                      <w:marRight w:val="0"/>
                      <w:marTop w:val="0"/>
                      <w:marBottom w:val="0"/>
                      <w:divBdr>
                        <w:top w:val="none" w:sz="0" w:space="0" w:color="auto"/>
                        <w:left w:val="none" w:sz="0" w:space="0" w:color="auto"/>
                        <w:bottom w:val="none" w:sz="0" w:space="0" w:color="auto"/>
                        <w:right w:val="none" w:sz="0" w:space="0" w:color="auto"/>
                      </w:divBdr>
                    </w:div>
                  </w:divsChild>
                </w:div>
                <w:div w:id="359673585">
                  <w:marLeft w:val="0"/>
                  <w:marRight w:val="0"/>
                  <w:marTop w:val="0"/>
                  <w:marBottom w:val="0"/>
                  <w:divBdr>
                    <w:top w:val="none" w:sz="0" w:space="0" w:color="auto"/>
                    <w:left w:val="none" w:sz="0" w:space="0" w:color="auto"/>
                    <w:bottom w:val="none" w:sz="0" w:space="0" w:color="auto"/>
                    <w:right w:val="none" w:sz="0" w:space="0" w:color="auto"/>
                  </w:divBdr>
                  <w:divsChild>
                    <w:div w:id="483012295">
                      <w:marLeft w:val="0"/>
                      <w:marRight w:val="0"/>
                      <w:marTop w:val="0"/>
                      <w:marBottom w:val="0"/>
                      <w:divBdr>
                        <w:top w:val="none" w:sz="0" w:space="0" w:color="auto"/>
                        <w:left w:val="none" w:sz="0" w:space="0" w:color="auto"/>
                        <w:bottom w:val="none" w:sz="0" w:space="0" w:color="auto"/>
                        <w:right w:val="none" w:sz="0" w:space="0" w:color="auto"/>
                      </w:divBdr>
                    </w:div>
                  </w:divsChild>
                </w:div>
                <w:div w:id="421335697">
                  <w:marLeft w:val="0"/>
                  <w:marRight w:val="0"/>
                  <w:marTop w:val="0"/>
                  <w:marBottom w:val="0"/>
                  <w:divBdr>
                    <w:top w:val="none" w:sz="0" w:space="0" w:color="auto"/>
                    <w:left w:val="none" w:sz="0" w:space="0" w:color="auto"/>
                    <w:bottom w:val="none" w:sz="0" w:space="0" w:color="auto"/>
                    <w:right w:val="none" w:sz="0" w:space="0" w:color="auto"/>
                  </w:divBdr>
                  <w:divsChild>
                    <w:div w:id="710492245">
                      <w:marLeft w:val="0"/>
                      <w:marRight w:val="0"/>
                      <w:marTop w:val="0"/>
                      <w:marBottom w:val="0"/>
                      <w:divBdr>
                        <w:top w:val="none" w:sz="0" w:space="0" w:color="auto"/>
                        <w:left w:val="none" w:sz="0" w:space="0" w:color="auto"/>
                        <w:bottom w:val="none" w:sz="0" w:space="0" w:color="auto"/>
                        <w:right w:val="none" w:sz="0" w:space="0" w:color="auto"/>
                      </w:divBdr>
                    </w:div>
                  </w:divsChild>
                </w:div>
                <w:div w:id="490415988">
                  <w:marLeft w:val="0"/>
                  <w:marRight w:val="0"/>
                  <w:marTop w:val="0"/>
                  <w:marBottom w:val="0"/>
                  <w:divBdr>
                    <w:top w:val="none" w:sz="0" w:space="0" w:color="auto"/>
                    <w:left w:val="none" w:sz="0" w:space="0" w:color="auto"/>
                    <w:bottom w:val="none" w:sz="0" w:space="0" w:color="auto"/>
                    <w:right w:val="none" w:sz="0" w:space="0" w:color="auto"/>
                  </w:divBdr>
                  <w:divsChild>
                    <w:div w:id="1157185254">
                      <w:marLeft w:val="0"/>
                      <w:marRight w:val="0"/>
                      <w:marTop w:val="0"/>
                      <w:marBottom w:val="0"/>
                      <w:divBdr>
                        <w:top w:val="none" w:sz="0" w:space="0" w:color="auto"/>
                        <w:left w:val="none" w:sz="0" w:space="0" w:color="auto"/>
                        <w:bottom w:val="none" w:sz="0" w:space="0" w:color="auto"/>
                        <w:right w:val="none" w:sz="0" w:space="0" w:color="auto"/>
                      </w:divBdr>
                    </w:div>
                  </w:divsChild>
                </w:div>
                <w:div w:id="539057318">
                  <w:marLeft w:val="0"/>
                  <w:marRight w:val="0"/>
                  <w:marTop w:val="0"/>
                  <w:marBottom w:val="0"/>
                  <w:divBdr>
                    <w:top w:val="none" w:sz="0" w:space="0" w:color="auto"/>
                    <w:left w:val="none" w:sz="0" w:space="0" w:color="auto"/>
                    <w:bottom w:val="none" w:sz="0" w:space="0" w:color="auto"/>
                    <w:right w:val="none" w:sz="0" w:space="0" w:color="auto"/>
                  </w:divBdr>
                  <w:divsChild>
                    <w:div w:id="507839072">
                      <w:marLeft w:val="0"/>
                      <w:marRight w:val="0"/>
                      <w:marTop w:val="0"/>
                      <w:marBottom w:val="0"/>
                      <w:divBdr>
                        <w:top w:val="none" w:sz="0" w:space="0" w:color="auto"/>
                        <w:left w:val="none" w:sz="0" w:space="0" w:color="auto"/>
                        <w:bottom w:val="none" w:sz="0" w:space="0" w:color="auto"/>
                        <w:right w:val="none" w:sz="0" w:space="0" w:color="auto"/>
                      </w:divBdr>
                    </w:div>
                  </w:divsChild>
                </w:div>
                <w:div w:id="568348049">
                  <w:marLeft w:val="0"/>
                  <w:marRight w:val="0"/>
                  <w:marTop w:val="0"/>
                  <w:marBottom w:val="0"/>
                  <w:divBdr>
                    <w:top w:val="none" w:sz="0" w:space="0" w:color="auto"/>
                    <w:left w:val="none" w:sz="0" w:space="0" w:color="auto"/>
                    <w:bottom w:val="none" w:sz="0" w:space="0" w:color="auto"/>
                    <w:right w:val="none" w:sz="0" w:space="0" w:color="auto"/>
                  </w:divBdr>
                  <w:divsChild>
                    <w:div w:id="1576890537">
                      <w:marLeft w:val="0"/>
                      <w:marRight w:val="0"/>
                      <w:marTop w:val="0"/>
                      <w:marBottom w:val="0"/>
                      <w:divBdr>
                        <w:top w:val="none" w:sz="0" w:space="0" w:color="auto"/>
                        <w:left w:val="none" w:sz="0" w:space="0" w:color="auto"/>
                        <w:bottom w:val="none" w:sz="0" w:space="0" w:color="auto"/>
                        <w:right w:val="none" w:sz="0" w:space="0" w:color="auto"/>
                      </w:divBdr>
                    </w:div>
                  </w:divsChild>
                </w:div>
                <w:div w:id="574978281">
                  <w:marLeft w:val="0"/>
                  <w:marRight w:val="0"/>
                  <w:marTop w:val="0"/>
                  <w:marBottom w:val="0"/>
                  <w:divBdr>
                    <w:top w:val="none" w:sz="0" w:space="0" w:color="auto"/>
                    <w:left w:val="none" w:sz="0" w:space="0" w:color="auto"/>
                    <w:bottom w:val="none" w:sz="0" w:space="0" w:color="auto"/>
                    <w:right w:val="none" w:sz="0" w:space="0" w:color="auto"/>
                  </w:divBdr>
                  <w:divsChild>
                    <w:div w:id="1267733773">
                      <w:marLeft w:val="0"/>
                      <w:marRight w:val="0"/>
                      <w:marTop w:val="0"/>
                      <w:marBottom w:val="0"/>
                      <w:divBdr>
                        <w:top w:val="none" w:sz="0" w:space="0" w:color="auto"/>
                        <w:left w:val="none" w:sz="0" w:space="0" w:color="auto"/>
                        <w:bottom w:val="none" w:sz="0" w:space="0" w:color="auto"/>
                        <w:right w:val="none" w:sz="0" w:space="0" w:color="auto"/>
                      </w:divBdr>
                    </w:div>
                  </w:divsChild>
                </w:div>
                <w:div w:id="615143652">
                  <w:marLeft w:val="0"/>
                  <w:marRight w:val="0"/>
                  <w:marTop w:val="0"/>
                  <w:marBottom w:val="0"/>
                  <w:divBdr>
                    <w:top w:val="none" w:sz="0" w:space="0" w:color="auto"/>
                    <w:left w:val="none" w:sz="0" w:space="0" w:color="auto"/>
                    <w:bottom w:val="none" w:sz="0" w:space="0" w:color="auto"/>
                    <w:right w:val="none" w:sz="0" w:space="0" w:color="auto"/>
                  </w:divBdr>
                  <w:divsChild>
                    <w:div w:id="966279584">
                      <w:marLeft w:val="0"/>
                      <w:marRight w:val="0"/>
                      <w:marTop w:val="0"/>
                      <w:marBottom w:val="0"/>
                      <w:divBdr>
                        <w:top w:val="none" w:sz="0" w:space="0" w:color="auto"/>
                        <w:left w:val="none" w:sz="0" w:space="0" w:color="auto"/>
                        <w:bottom w:val="none" w:sz="0" w:space="0" w:color="auto"/>
                        <w:right w:val="none" w:sz="0" w:space="0" w:color="auto"/>
                      </w:divBdr>
                    </w:div>
                  </w:divsChild>
                </w:div>
                <w:div w:id="652561439">
                  <w:marLeft w:val="0"/>
                  <w:marRight w:val="0"/>
                  <w:marTop w:val="0"/>
                  <w:marBottom w:val="0"/>
                  <w:divBdr>
                    <w:top w:val="none" w:sz="0" w:space="0" w:color="auto"/>
                    <w:left w:val="none" w:sz="0" w:space="0" w:color="auto"/>
                    <w:bottom w:val="none" w:sz="0" w:space="0" w:color="auto"/>
                    <w:right w:val="none" w:sz="0" w:space="0" w:color="auto"/>
                  </w:divBdr>
                  <w:divsChild>
                    <w:div w:id="689724774">
                      <w:marLeft w:val="0"/>
                      <w:marRight w:val="0"/>
                      <w:marTop w:val="0"/>
                      <w:marBottom w:val="0"/>
                      <w:divBdr>
                        <w:top w:val="none" w:sz="0" w:space="0" w:color="auto"/>
                        <w:left w:val="none" w:sz="0" w:space="0" w:color="auto"/>
                        <w:bottom w:val="none" w:sz="0" w:space="0" w:color="auto"/>
                        <w:right w:val="none" w:sz="0" w:space="0" w:color="auto"/>
                      </w:divBdr>
                    </w:div>
                  </w:divsChild>
                </w:div>
                <w:div w:id="753161025">
                  <w:marLeft w:val="0"/>
                  <w:marRight w:val="0"/>
                  <w:marTop w:val="0"/>
                  <w:marBottom w:val="0"/>
                  <w:divBdr>
                    <w:top w:val="none" w:sz="0" w:space="0" w:color="auto"/>
                    <w:left w:val="none" w:sz="0" w:space="0" w:color="auto"/>
                    <w:bottom w:val="none" w:sz="0" w:space="0" w:color="auto"/>
                    <w:right w:val="none" w:sz="0" w:space="0" w:color="auto"/>
                  </w:divBdr>
                  <w:divsChild>
                    <w:div w:id="745034178">
                      <w:marLeft w:val="0"/>
                      <w:marRight w:val="0"/>
                      <w:marTop w:val="0"/>
                      <w:marBottom w:val="0"/>
                      <w:divBdr>
                        <w:top w:val="none" w:sz="0" w:space="0" w:color="auto"/>
                        <w:left w:val="none" w:sz="0" w:space="0" w:color="auto"/>
                        <w:bottom w:val="none" w:sz="0" w:space="0" w:color="auto"/>
                        <w:right w:val="none" w:sz="0" w:space="0" w:color="auto"/>
                      </w:divBdr>
                    </w:div>
                  </w:divsChild>
                </w:div>
                <w:div w:id="789740870">
                  <w:marLeft w:val="0"/>
                  <w:marRight w:val="0"/>
                  <w:marTop w:val="0"/>
                  <w:marBottom w:val="0"/>
                  <w:divBdr>
                    <w:top w:val="none" w:sz="0" w:space="0" w:color="auto"/>
                    <w:left w:val="none" w:sz="0" w:space="0" w:color="auto"/>
                    <w:bottom w:val="none" w:sz="0" w:space="0" w:color="auto"/>
                    <w:right w:val="none" w:sz="0" w:space="0" w:color="auto"/>
                  </w:divBdr>
                  <w:divsChild>
                    <w:div w:id="1563054110">
                      <w:marLeft w:val="0"/>
                      <w:marRight w:val="0"/>
                      <w:marTop w:val="0"/>
                      <w:marBottom w:val="0"/>
                      <w:divBdr>
                        <w:top w:val="none" w:sz="0" w:space="0" w:color="auto"/>
                        <w:left w:val="none" w:sz="0" w:space="0" w:color="auto"/>
                        <w:bottom w:val="none" w:sz="0" w:space="0" w:color="auto"/>
                        <w:right w:val="none" w:sz="0" w:space="0" w:color="auto"/>
                      </w:divBdr>
                    </w:div>
                  </w:divsChild>
                </w:div>
                <w:div w:id="888103768">
                  <w:marLeft w:val="0"/>
                  <w:marRight w:val="0"/>
                  <w:marTop w:val="0"/>
                  <w:marBottom w:val="0"/>
                  <w:divBdr>
                    <w:top w:val="none" w:sz="0" w:space="0" w:color="auto"/>
                    <w:left w:val="none" w:sz="0" w:space="0" w:color="auto"/>
                    <w:bottom w:val="none" w:sz="0" w:space="0" w:color="auto"/>
                    <w:right w:val="none" w:sz="0" w:space="0" w:color="auto"/>
                  </w:divBdr>
                  <w:divsChild>
                    <w:div w:id="629214670">
                      <w:marLeft w:val="0"/>
                      <w:marRight w:val="0"/>
                      <w:marTop w:val="0"/>
                      <w:marBottom w:val="0"/>
                      <w:divBdr>
                        <w:top w:val="none" w:sz="0" w:space="0" w:color="auto"/>
                        <w:left w:val="none" w:sz="0" w:space="0" w:color="auto"/>
                        <w:bottom w:val="none" w:sz="0" w:space="0" w:color="auto"/>
                        <w:right w:val="none" w:sz="0" w:space="0" w:color="auto"/>
                      </w:divBdr>
                    </w:div>
                  </w:divsChild>
                </w:div>
                <w:div w:id="907884129">
                  <w:marLeft w:val="0"/>
                  <w:marRight w:val="0"/>
                  <w:marTop w:val="0"/>
                  <w:marBottom w:val="0"/>
                  <w:divBdr>
                    <w:top w:val="none" w:sz="0" w:space="0" w:color="auto"/>
                    <w:left w:val="none" w:sz="0" w:space="0" w:color="auto"/>
                    <w:bottom w:val="none" w:sz="0" w:space="0" w:color="auto"/>
                    <w:right w:val="none" w:sz="0" w:space="0" w:color="auto"/>
                  </w:divBdr>
                  <w:divsChild>
                    <w:div w:id="1515100">
                      <w:marLeft w:val="0"/>
                      <w:marRight w:val="0"/>
                      <w:marTop w:val="0"/>
                      <w:marBottom w:val="0"/>
                      <w:divBdr>
                        <w:top w:val="none" w:sz="0" w:space="0" w:color="auto"/>
                        <w:left w:val="none" w:sz="0" w:space="0" w:color="auto"/>
                        <w:bottom w:val="none" w:sz="0" w:space="0" w:color="auto"/>
                        <w:right w:val="none" w:sz="0" w:space="0" w:color="auto"/>
                      </w:divBdr>
                    </w:div>
                  </w:divsChild>
                </w:div>
                <w:div w:id="943920460">
                  <w:marLeft w:val="0"/>
                  <w:marRight w:val="0"/>
                  <w:marTop w:val="0"/>
                  <w:marBottom w:val="0"/>
                  <w:divBdr>
                    <w:top w:val="none" w:sz="0" w:space="0" w:color="auto"/>
                    <w:left w:val="none" w:sz="0" w:space="0" w:color="auto"/>
                    <w:bottom w:val="none" w:sz="0" w:space="0" w:color="auto"/>
                    <w:right w:val="none" w:sz="0" w:space="0" w:color="auto"/>
                  </w:divBdr>
                  <w:divsChild>
                    <w:div w:id="282617277">
                      <w:marLeft w:val="0"/>
                      <w:marRight w:val="0"/>
                      <w:marTop w:val="0"/>
                      <w:marBottom w:val="0"/>
                      <w:divBdr>
                        <w:top w:val="none" w:sz="0" w:space="0" w:color="auto"/>
                        <w:left w:val="none" w:sz="0" w:space="0" w:color="auto"/>
                        <w:bottom w:val="none" w:sz="0" w:space="0" w:color="auto"/>
                        <w:right w:val="none" w:sz="0" w:space="0" w:color="auto"/>
                      </w:divBdr>
                    </w:div>
                  </w:divsChild>
                </w:div>
                <w:div w:id="1003244929">
                  <w:marLeft w:val="0"/>
                  <w:marRight w:val="0"/>
                  <w:marTop w:val="0"/>
                  <w:marBottom w:val="0"/>
                  <w:divBdr>
                    <w:top w:val="none" w:sz="0" w:space="0" w:color="auto"/>
                    <w:left w:val="none" w:sz="0" w:space="0" w:color="auto"/>
                    <w:bottom w:val="none" w:sz="0" w:space="0" w:color="auto"/>
                    <w:right w:val="none" w:sz="0" w:space="0" w:color="auto"/>
                  </w:divBdr>
                  <w:divsChild>
                    <w:div w:id="27920062">
                      <w:marLeft w:val="0"/>
                      <w:marRight w:val="0"/>
                      <w:marTop w:val="0"/>
                      <w:marBottom w:val="0"/>
                      <w:divBdr>
                        <w:top w:val="none" w:sz="0" w:space="0" w:color="auto"/>
                        <w:left w:val="none" w:sz="0" w:space="0" w:color="auto"/>
                        <w:bottom w:val="none" w:sz="0" w:space="0" w:color="auto"/>
                        <w:right w:val="none" w:sz="0" w:space="0" w:color="auto"/>
                      </w:divBdr>
                    </w:div>
                  </w:divsChild>
                </w:div>
                <w:div w:id="1010525694">
                  <w:marLeft w:val="0"/>
                  <w:marRight w:val="0"/>
                  <w:marTop w:val="0"/>
                  <w:marBottom w:val="0"/>
                  <w:divBdr>
                    <w:top w:val="none" w:sz="0" w:space="0" w:color="auto"/>
                    <w:left w:val="none" w:sz="0" w:space="0" w:color="auto"/>
                    <w:bottom w:val="none" w:sz="0" w:space="0" w:color="auto"/>
                    <w:right w:val="none" w:sz="0" w:space="0" w:color="auto"/>
                  </w:divBdr>
                  <w:divsChild>
                    <w:div w:id="1505632343">
                      <w:marLeft w:val="0"/>
                      <w:marRight w:val="0"/>
                      <w:marTop w:val="0"/>
                      <w:marBottom w:val="0"/>
                      <w:divBdr>
                        <w:top w:val="none" w:sz="0" w:space="0" w:color="auto"/>
                        <w:left w:val="none" w:sz="0" w:space="0" w:color="auto"/>
                        <w:bottom w:val="none" w:sz="0" w:space="0" w:color="auto"/>
                        <w:right w:val="none" w:sz="0" w:space="0" w:color="auto"/>
                      </w:divBdr>
                    </w:div>
                  </w:divsChild>
                </w:div>
                <w:div w:id="1044914636">
                  <w:marLeft w:val="0"/>
                  <w:marRight w:val="0"/>
                  <w:marTop w:val="0"/>
                  <w:marBottom w:val="0"/>
                  <w:divBdr>
                    <w:top w:val="none" w:sz="0" w:space="0" w:color="auto"/>
                    <w:left w:val="none" w:sz="0" w:space="0" w:color="auto"/>
                    <w:bottom w:val="none" w:sz="0" w:space="0" w:color="auto"/>
                    <w:right w:val="none" w:sz="0" w:space="0" w:color="auto"/>
                  </w:divBdr>
                  <w:divsChild>
                    <w:div w:id="1005204809">
                      <w:marLeft w:val="0"/>
                      <w:marRight w:val="0"/>
                      <w:marTop w:val="0"/>
                      <w:marBottom w:val="0"/>
                      <w:divBdr>
                        <w:top w:val="none" w:sz="0" w:space="0" w:color="auto"/>
                        <w:left w:val="none" w:sz="0" w:space="0" w:color="auto"/>
                        <w:bottom w:val="none" w:sz="0" w:space="0" w:color="auto"/>
                        <w:right w:val="none" w:sz="0" w:space="0" w:color="auto"/>
                      </w:divBdr>
                    </w:div>
                  </w:divsChild>
                </w:div>
                <w:div w:id="1168834929">
                  <w:marLeft w:val="0"/>
                  <w:marRight w:val="0"/>
                  <w:marTop w:val="0"/>
                  <w:marBottom w:val="0"/>
                  <w:divBdr>
                    <w:top w:val="none" w:sz="0" w:space="0" w:color="auto"/>
                    <w:left w:val="none" w:sz="0" w:space="0" w:color="auto"/>
                    <w:bottom w:val="none" w:sz="0" w:space="0" w:color="auto"/>
                    <w:right w:val="none" w:sz="0" w:space="0" w:color="auto"/>
                  </w:divBdr>
                  <w:divsChild>
                    <w:div w:id="1404720583">
                      <w:marLeft w:val="0"/>
                      <w:marRight w:val="0"/>
                      <w:marTop w:val="0"/>
                      <w:marBottom w:val="0"/>
                      <w:divBdr>
                        <w:top w:val="none" w:sz="0" w:space="0" w:color="auto"/>
                        <w:left w:val="none" w:sz="0" w:space="0" w:color="auto"/>
                        <w:bottom w:val="none" w:sz="0" w:space="0" w:color="auto"/>
                        <w:right w:val="none" w:sz="0" w:space="0" w:color="auto"/>
                      </w:divBdr>
                    </w:div>
                  </w:divsChild>
                </w:div>
                <w:div w:id="1207135827">
                  <w:marLeft w:val="0"/>
                  <w:marRight w:val="0"/>
                  <w:marTop w:val="0"/>
                  <w:marBottom w:val="0"/>
                  <w:divBdr>
                    <w:top w:val="none" w:sz="0" w:space="0" w:color="auto"/>
                    <w:left w:val="none" w:sz="0" w:space="0" w:color="auto"/>
                    <w:bottom w:val="none" w:sz="0" w:space="0" w:color="auto"/>
                    <w:right w:val="none" w:sz="0" w:space="0" w:color="auto"/>
                  </w:divBdr>
                  <w:divsChild>
                    <w:div w:id="1789078599">
                      <w:marLeft w:val="0"/>
                      <w:marRight w:val="0"/>
                      <w:marTop w:val="0"/>
                      <w:marBottom w:val="0"/>
                      <w:divBdr>
                        <w:top w:val="none" w:sz="0" w:space="0" w:color="auto"/>
                        <w:left w:val="none" w:sz="0" w:space="0" w:color="auto"/>
                        <w:bottom w:val="none" w:sz="0" w:space="0" w:color="auto"/>
                        <w:right w:val="none" w:sz="0" w:space="0" w:color="auto"/>
                      </w:divBdr>
                    </w:div>
                  </w:divsChild>
                </w:div>
                <w:div w:id="1226061430">
                  <w:marLeft w:val="0"/>
                  <w:marRight w:val="0"/>
                  <w:marTop w:val="0"/>
                  <w:marBottom w:val="0"/>
                  <w:divBdr>
                    <w:top w:val="none" w:sz="0" w:space="0" w:color="auto"/>
                    <w:left w:val="none" w:sz="0" w:space="0" w:color="auto"/>
                    <w:bottom w:val="none" w:sz="0" w:space="0" w:color="auto"/>
                    <w:right w:val="none" w:sz="0" w:space="0" w:color="auto"/>
                  </w:divBdr>
                  <w:divsChild>
                    <w:div w:id="1471437725">
                      <w:marLeft w:val="0"/>
                      <w:marRight w:val="0"/>
                      <w:marTop w:val="0"/>
                      <w:marBottom w:val="0"/>
                      <w:divBdr>
                        <w:top w:val="none" w:sz="0" w:space="0" w:color="auto"/>
                        <w:left w:val="none" w:sz="0" w:space="0" w:color="auto"/>
                        <w:bottom w:val="none" w:sz="0" w:space="0" w:color="auto"/>
                        <w:right w:val="none" w:sz="0" w:space="0" w:color="auto"/>
                      </w:divBdr>
                    </w:div>
                  </w:divsChild>
                </w:div>
                <w:div w:id="1320959517">
                  <w:marLeft w:val="0"/>
                  <w:marRight w:val="0"/>
                  <w:marTop w:val="0"/>
                  <w:marBottom w:val="0"/>
                  <w:divBdr>
                    <w:top w:val="none" w:sz="0" w:space="0" w:color="auto"/>
                    <w:left w:val="none" w:sz="0" w:space="0" w:color="auto"/>
                    <w:bottom w:val="none" w:sz="0" w:space="0" w:color="auto"/>
                    <w:right w:val="none" w:sz="0" w:space="0" w:color="auto"/>
                  </w:divBdr>
                  <w:divsChild>
                    <w:div w:id="1398163273">
                      <w:marLeft w:val="0"/>
                      <w:marRight w:val="0"/>
                      <w:marTop w:val="0"/>
                      <w:marBottom w:val="0"/>
                      <w:divBdr>
                        <w:top w:val="none" w:sz="0" w:space="0" w:color="auto"/>
                        <w:left w:val="none" w:sz="0" w:space="0" w:color="auto"/>
                        <w:bottom w:val="none" w:sz="0" w:space="0" w:color="auto"/>
                        <w:right w:val="none" w:sz="0" w:space="0" w:color="auto"/>
                      </w:divBdr>
                    </w:div>
                  </w:divsChild>
                </w:div>
                <w:div w:id="1332217475">
                  <w:marLeft w:val="0"/>
                  <w:marRight w:val="0"/>
                  <w:marTop w:val="0"/>
                  <w:marBottom w:val="0"/>
                  <w:divBdr>
                    <w:top w:val="none" w:sz="0" w:space="0" w:color="auto"/>
                    <w:left w:val="none" w:sz="0" w:space="0" w:color="auto"/>
                    <w:bottom w:val="none" w:sz="0" w:space="0" w:color="auto"/>
                    <w:right w:val="none" w:sz="0" w:space="0" w:color="auto"/>
                  </w:divBdr>
                  <w:divsChild>
                    <w:div w:id="132211541">
                      <w:marLeft w:val="0"/>
                      <w:marRight w:val="0"/>
                      <w:marTop w:val="0"/>
                      <w:marBottom w:val="0"/>
                      <w:divBdr>
                        <w:top w:val="none" w:sz="0" w:space="0" w:color="auto"/>
                        <w:left w:val="none" w:sz="0" w:space="0" w:color="auto"/>
                        <w:bottom w:val="none" w:sz="0" w:space="0" w:color="auto"/>
                        <w:right w:val="none" w:sz="0" w:space="0" w:color="auto"/>
                      </w:divBdr>
                    </w:div>
                  </w:divsChild>
                </w:div>
                <w:div w:id="1390228748">
                  <w:marLeft w:val="0"/>
                  <w:marRight w:val="0"/>
                  <w:marTop w:val="0"/>
                  <w:marBottom w:val="0"/>
                  <w:divBdr>
                    <w:top w:val="none" w:sz="0" w:space="0" w:color="auto"/>
                    <w:left w:val="none" w:sz="0" w:space="0" w:color="auto"/>
                    <w:bottom w:val="none" w:sz="0" w:space="0" w:color="auto"/>
                    <w:right w:val="none" w:sz="0" w:space="0" w:color="auto"/>
                  </w:divBdr>
                  <w:divsChild>
                    <w:div w:id="619995198">
                      <w:marLeft w:val="0"/>
                      <w:marRight w:val="0"/>
                      <w:marTop w:val="0"/>
                      <w:marBottom w:val="0"/>
                      <w:divBdr>
                        <w:top w:val="none" w:sz="0" w:space="0" w:color="auto"/>
                        <w:left w:val="none" w:sz="0" w:space="0" w:color="auto"/>
                        <w:bottom w:val="none" w:sz="0" w:space="0" w:color="auto"/>
                        <w:right w:val="none" w:sz="0" w:space="0" w:color="auto"/>
                      </w:divBdr>
                    </w:div>
                  </w:divsChild>
                </w:div>
                <w:div w:id="1446583649">
                  <w:marLeft w:val="0"/>
                  <w:marRight w:val="0"/>
                  <w:marTop w:val="0"/>
                  <w:marBottom w:val="0"/>
                  <w:divBdr>
                    <w:top w:val="none" w:sz="0" w:space="0" w:color="auto"/>
                    <w:left w:val="none" w:sz="0" w:space="0" w:color="auto"/>
                    <w:bottom w:val="none" w:sz="0" w:space="0" w:color="auto"/>
                    <w:right w:val="none" w:sz="0" w:space="0" w:color="auto"/>
                  </w:divBdr>
                  <w:divsChild>
                    <w:div w:id="1666201756">
                      <w:marLeft w:val="0"/>
                      <w:marRight w:val="0"/>
                      <w:marTop w:val="0"/>
                      <w:marBottom w:val="0"/>
                      <w:divBdr>
                        <w:top w:val="none" w:sz="0" w:space="0" w:color="auto"/>
                        <w:left w:val="none" w:sz="0" w:space="0" w:color="auto"/>
                        <w:bottom w:val="none" w:sz="0" w:space="0" w:color="auto"/>
                        <w:right w:val="none" w:sz="0" w:space="0" w:color="auto"/>
                      </w:divBdr>
                    </w:div>
                  </w:divsChild>
                </w:div>
                <w:div w:id="1466892823">
                  <w:marLeft w:val="0"/>
                  <w:marRight w:val="0"/>
                  <w:marTop w:val="0"/>
                  <w:marBottom w:val="0"/>
                  <w:divBdr>
                    <w:top w:val="none" w:sz="0" w:space="0" w:color="auto"/>
                    <w:left w:val="none" w:sz="0" w:space="0" w:color="auto"/>
                    <w:bottom w:val="none" w:sz="0" w:space="0" w:color="auto"/>
                    <w:right w:val="none" w:sz="0" w:space="0" w:color="auto"/>
                  </w:divBdr>
                  <w:divsChild>
                    <w:div w:id="1498377302">
                      <w:marLeft w:val="0"/>
                      <w:marRight w:val="0"/>
                      <w:marTop w:val="0"/>
                      <w:marBottom w:val="0"/>
                      <w:divBdr>
                        <w:top w:val="none" w:sz="0" w:space="0" w:color="auto"/>
                        <w:left w:val="none" w:sz="0" w:space="0" w:color="auto"/>
                        <w:bottom w:val="none" w:sz="0" w:space="0" w:color="auto"/>
                        <w:right w:val="none" w:sz="0" w:space="0" w:color="auto"/>
                      </w:divBdr>
                    </w:div>
                  </w:divsChild>
                </w:div>
                <w:div w:id="1499468366">
                  <w:marLeft w:val="0"/>
                  <w:marRight w:val="0"/>
                  <w:marTop w:val="0"/>
                  <w:marBottom w:val="0"/>
                  <w:divBdr>
                    <w:top w:val="none" w:sz="0" w:space="0" w:color="auto"/>
                    <w:left w:val="none" w:sz="0" w:space="0" w:color="auto"/>
                    <w:bottom w:val="none" w:sz="0" w:space="0" w:color="auto"/>
                    <w:right w:val="none" w:sz="0" w:space="0" w:color="auto"/>
                  </w:divBdr>
                  <w:divsChild>
                    <w:div w:id="1226329880">
                      <w:marLeft w:val="0"/>
                      <w:marRight w:val="0"/>
                      <w:marTop w:val="0"/>
                      <w:marBottom w:val="0"/>
                      <w:divBdr>
                        <w:top w:val="none" w:sz="0" w:space="0" w:color="auto"/>
                        <w:left w:val="none" w:sz="0" w:space="0" w:color="auto"/>
                        <w:bottom w:val="none" w:sz="0" w:space="0" w:color="auto"/>
                        <w:right w:val="none" w:sz="0" w:space="0" w:color="auto"/>
                      </w:divBdr>
                    </w:div>
                  </w:divsChild>
                </w:div>
                <w:div w:id="1534615352">
                  <w:marLeft w:val="0"/>
                  <w:marRight w:val="0"/>
                  <w:marTop w:val="0"/>
                  <w:marBottom w:val="0"/>
                  <w:divBdr>
                    <w:top w:val="none" w:sz="0" w:space="0" w:color="auto"/>
                    <w:left w:val="none" w:sz="0" w:space="0" w:color="auto"/>
                    <w:bottom w:val="none" w:sz="0" w:space="0" w:color="auto"/>
                    <w:right w:val="none" w:sz="0" w:space="0" w:color="auto"/>
                  </w:divBdr>
                  <w:divsChild>
                    <w:div w:id="1909681619">
                      <w:marLeft w:val="0"/>
                      <w:marRight w:val="0"/>
                      <w:marTop w:val="0"/>
                      <w:marBottom w:val="0"/>
                      <w:divBdr>
                        <w:top w:val="none" w:sz="0" w:space="0" w:color="auto"/>
                        <w:left w:val="none" w:sz="0" w:space="0" w:color="auto"/>
                        <w:bottom w:val="none" w:sz="0" w:space="0" w:color="auto"/>
                        <w:right w:val="none" w:sz="0" w:space="0" w:color="auto"/>
                      </w:divBdr>
                    </w:div>
                  </w:divsChild>
                </w:div>
                <w:div w:id="1608729516">
                  <w:marLeft w:val="0"/>
                  <w:marRight w:val="0"/>
                  <w:marTop w:val="0"/>
                  <w:marBottom w:val="0"/>
                  <w:divBdr>
                    <w:top w:val="none" w:sz="0" w:space="0" w:color="auto"/>
                    <w:left w:val="none" w:sz="0" w:space="0" w:color="auto"/>
                    <w:bottom w:val="none" w:sz="0" w:space="0" w:color="auto"/>
                    <w:right w:val="none" w:sz="0" w:space="0" w:color="auto"/>
                  </w:divBdr>
                  <w:divsChild>
                    <w:div w:id="1263762793">
                      <w:marLeft w:val="0"/>
                      <w:marRight w:val="0"/>
                      <w:marTop w:val="0"/>
                      <w:marBottom w:val="0"/>
                      <w:divBdr>
                        <w:top w:val="none" w:sz="0" w:space="0" w:color="auto"/>
                        <w:left w:val="none" w:sz="0" w:space="0" w:color="auto"/>
                        <w:bottom w:val="none" w:sz="0" w:space="0" w:color="auto"/>
                        <w:right w:val="none" w:sz="0" w:space="0" w:color="auto"/>
                      </w:divBdr>
                    </w:div>
                  </w:divsChild>
                </w:div>
                <w:div w:id="1640723787">
                  <w:marLeft w:val="0"/>
                  <w:marRight w:val="0"/>
                  <w:marTop w:val="0"/>
                  <w:marBottom w:val="0"/>
                  <w:divBdr>
                    <w:top w:val="none" w:sz="0" w:space="0" w:color="auto"/>
                    <w:left w:val="none" w:sz="0" w:space="0" w:color="auto"/>
                    <w:bottom w:val="none" w:sz="0" w:space="0" w:color="auto"/>
                    <w:right w:val="none" w:sz="0" w:space="0" w:color="auto"/>
                  </w:divBdr>
                  <w:divsChild>
                    <w:div w:id="193083572">
                      <w:marLeft w:val="0"/>
                      <w:marRight w:val="0"/>
                      <w:marTop w:val="0"/>
                      <w:marBottom w:val="0"/>
                      <w:divBdr>
                        <w:top w:val="none" w:sz="0" w:space="0" w:color="auto"/>
                        <w:left w:val="none" w:sz="0" w:space="0" w:color="auto"/>
                        <w:bottom w:val="none" w:sz="0" w:space="0" w:color="auto"/>
                        <w:right w:val="none" w:sz="0" w:space="0" w:color="auto"/>
                      </w:divBdr>
                    </w:div>
                  </w:divsChild>
                </w:div>
                <w:div w:id="1682581111">
                  <w:marLeft w:val="0"/>
                  <w:marRight w:val="0"/>
                  <w:marTop w:val="0"/>
                  <w:marBottom w:val="0"/>
                  <w:divBdr>
                    <w:top w:val="none" w:sz="0" w:space="0" w:color="auto"/>
                    <w:left w:val="none" w:sz="0" w:space="0" w:color="auto"/>
                    <w:bottom w:val="none" w:sz="0" w:space="0" w:color="auto"/>
                    <w:right w:val="none" w:sz="0" w:space="0" w:color="auto"/>
                  </w:divBdr>
                  <w:divsChild>
                    <w:div w:id="1619948001">
                      <w:marLeft w:val="0"/>
                      <w:marRight w:val="0"/>
                      <w:marTop w:val="0"/>
                      <w:marBottom w:val="0"/>
                      <w:divBdr>
                        <w:top w:val="none" w:sz="0" w:space="0" w:color="auto"/>
                        <w:left w:val="none" w:sz="0" w:space="0" w:color="auto"/>
                        <w:bottom w:val="none" w:sz="0" w:space="0" w:color="auto"/>
                        <w:right w:val="none" w:sz="0" w:space="0" w:color="auto"/>
                      </w:divBdr>
                    </w:div>
                  </w:divsChild>
                </w:div>
                <w:div w:id="1784182650">
                  <w:marLeft w:val="0"/>
                  <w:marRight w:val="0"/>
                  <w:marTop w:val="0"/>
                  <w:marBottom w:val="0"/>
                  <w:divBdr>
                    <w:top w:val="none" w:sz="0" w:space="0" w:color="auto"/>
                    <w:left w:val="none" w:sz="0" w:space="0" w:color="auto"/>
                    <w:bottom w:val="none" w:sz="0" w:space="0" w:color="auto"/>
                    <w:right w:val="none" w:sz="0" w:space="0" w:color="auto"/>
                  </w:divBdr>
                  <w:divsChild>
                    <w:div w:id="2116367310">
                      <w:marLeft w:val="0"/>
                      <w:marRight w:val="0"/>
                      <w:marTop w:val="0"/>
                      <w:marBottom w:val="0"/>
                      <w:divBdr>
                        <w:top w:val="none" w:sz="0" w:space="0" w:color="auto"/>
                        <w:left w:val="none" w:sz="0" w:space="0" w:color="auto"/>
                        <w:bottom w:val="none" w:sz="0" w:space="0" w:color="auto"/>
                        <w:right w:val="none" w:sz="0" w:space="0" w:color="auto"/>
                      </w:divBdr>
                    </w:div>
                  </w:divsChild>
                </w:div>
                <w:div w:id="1896744815">
                  <w:marLeft w:val="0"/>
                  <w:marRight w:val="0"/>
                  <w:marTop w:val="0"/>
                  <w:marBottom w:val="0"/>
                  <w:divBdr>
                    <w:top w:val="none" w:sz="0" w:space="0" w:color="auto"/>
                    <w:left w:val="none" w:sz="0" w:space="0" w:color="auto"/>
                    <w:bottom w:val="none" w:sz="0" w:space="0" w:color="auto"/>
                    <w:right w:val="none" w:sz="0" w:space="0" w:color="auto"/>
                  </w:divBdr>
                  <w:divsChild>
                    <w:div w:id="636187102">
                      <w:marLeft w:val="0"/>
                      <w:marRight w:val="0"/>
                      <w:marTop w:val="0"/>
                      <w:marBottom w:val="0"/>
                      <w:divBdr>
                        <w:top w:val="none" w:sz="0" w:space="0" w:color="auto"/>
                        <w:left w:val="none" w:sz="0" w:space="0" w:color="auto"/>
                        <w:bottom w:val="none" w:sz="0" w:space="0" w:color="auto"/>
                        <w:right w:val="none" w:sz="0" w:space="0" w:color="auto"/>
                      </w:divBdr>
                    </w:div>
                  </w:divsChild>
                </w:div>
                <w:div w:id="1962835051">
                  <w:marLeft w:val="0"/>
                  <w:marRight w:val="0"/>
                  <w:marTop w:val="0"/>
                  <w:marBottom w:val="0"/>
                  <w:divBdr>
                    <w:top w:val="none" w:sz="0" w:space="0" w:color="auto"/>
                    <w:left w:val="none" w:sz="0" w:space="0" w:color="auto"/>
                    <w:bottom w:val="none" w:sz="0" w:space="0" w:color="auto"/>
                    <w:right w:val="none" w:sz="0" w:space="0" w:color="auto"/>
                  </w:divBdr>
                  <w:divsChild>
                    <w:div w:id="1663926240">
                      <w:marLeft w:val="0"/>
                      <w:marRight w:val="0"/>
                      <w:marTop w:val="0"/>
                      <w:marBottom w:val="0"/>
                      <w:divBdr>
                        <w:top w:val="none" w:sz="0" w:space="0" w:color="auto"/>
                        <w:left w:val="none" w:sz="0" w:space="0" w:color="auto"/>
                        <w:bottom w:val="none" w:sz="0" w:space="0" w:color="auto"/>
                        <w:right w:val="none" w:sz="0" w:space="0" w:color="auto"/>
                      </w:divBdr>
                    </w:div>
                  </w:divsChild>
                </w:div>
                <w:div w:id="2022512669">
                  <w:marLeft w:val="0"/>
                  <w:marRight w:val="0"/>
                  <w:marTop w:val="0"/>
                  <w:marBottom w:val="0"/>
                  <w:divBdr>
                    <w:top w:val="none" w:sz="0" w:space="0" w:color="auto"/>
                    <w:left w:val="none" w:sz="0" w:space="0" w:color="auto"/>
                    <w:bottom w:val="none" w:sz="0" w:space="0" w:color="auto"/>
                    <w:right w:val="none" w:sz="0" w:space="0" w:color="auto"/>
                  </w:divBdr>
                  <w:divsChild>
                    <w:div w:id="784275751">
                      <w:marLeft w:val="0"/>
                      <w:marRight w:val="0"/>
                      <w:marTop w:val="0"/>
                      <w:marBottom w:val="0"/>
                      <w:divBdr>
                        <w:top w:val="none" w:sz="0" w:space="0" w:color="auto"/>
                        <w:left w:val="none" w:sz="0" w:space="0" w:color="auto"/>
                        <w:bottom w:val="none" w:sz="0" w:space="0" w:color="auto"/>
                        <w:right w:val="none" w:sz="0" w:space="0" w:color="auto"/>
                      </w:divBdr>
                    </w:div>
                  </w:divsChild>
                </w:div>
                <w:div w:id="2076078597">
                  <w:marLeft w:val="0"/>
                  <w:marRight w:val="0"/>
                  <w:marTop w:val="0"/>
                  <w:marBottom w:val="0"/>
                  <w:divBdr>
                    <w:top w:val="none" w:sz="0" w:space="0" w:color="auto"/>
                    <w:left w:val="none" w:sz="0" w:space="0" w:color="auto"/>
                    <w:bottom w:val="none" w:sz="0" w:space="0" w:color="auto"/>
                    <w:right w:val="none" w:sz="0" w:space="0" w:color="auto"/>
                  </w:divBdr>
                  <w:divsChild>
                    <w:div w:id="1021669033">
                      <w:marLeft w:val="0"/>
                      <w:marRight w:val="0"/>
                      <w:marTop w:val="0"/>
                      <w:marBottom w:val="0"/>
                      <w:divBdr>
                        <w:top w:val="none" w:sz="0" w:space="0" w:color="auto"/>
                        <w:left w:val="none" w:sz="0" w:space="0" w:color="auto"/>
                        <w:bottom w:val="none" w:sz="0" w:space="0" w:color="auto"/>
                        <w:right w:val="none" w:sz="0" w:space="0" w:color="auto"/>
                      </w:divBdr>
                    </w:div>
                  </w:divsChild>
                </w:div>
                <w:div w:id="2115713280">
                  <w:marLeft w:val="0"/>
                  <w:marRight w:val="0"/>
                  <w:marTop w:val="0"/>
                  <w:marBottom w:val="0"/>
                  <w:divBdr>
                    <w:top w:val="none" w:sz="0" w:space="0" w:color="auto"/>
                    <w:left w:val="none" w:sz="0" w:space="0" w:color="auto"/>
                    <w:bottom w:val="none" w:sz="0" w:space="0" w:color="auto"/>
                    <w:right w:val="none" w:sz="0" w:space="0" w:color="auto"/>
                  </w:divBdr>
                  <w:divsChild>
                    <w:div w:id="1706784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977341">
          <w:marLeft w:val="0"/>
          <w:marRight w:val="0"/>
          <w:marTop w:val="0"/>
          <w:marBottom w:val="0"/>
          <w:divBdr>
            <w:top w:val="none" w:sz="0" w:space="0" w:color="auto"/>
            <w:left w:val="none" w:sz="0" w:space="0" w:color="auto"/>
            <w:bottom w:val="none" w:sz="0" w:space="0" w:color="auto"/>
            <w:right w:val="none" w:sz="0" w:space="0" w:color="auto"/>
          </w:divBdr>
          <w:divsChild>
            <w:div w:id="636685159">
              <w:marLeft w:val="-75"/>
              <w:marRight w:val="0"/>
              <w:marTop w:val="30"/>
              <w:marBottom w:val="30"/>
              <w:divBdr>
                <w:top w:val="none" w:sz="0" w:space="0" w:color="auto"/>
                <w:left w:val="none" w:sz="0" w:space="0" w:color="auto"/>
                <w:bottom w:val="none" w:sz="0" w:space="0" w:color="auto"/>
                <w:right w:val="none" w:sz="0" w:space="0" w:color="auto"/>
              </w:divBdr>
              <w:divsChild>
                <w:div w:id="70471936">
                  <w:marLeft w:val="0"/>
                  <w:marRight w:val="0"/>
                  <w:marTop w:val="0"/>
                  <w:marBottom w:val="0"/>
                  <w:divBdr>
                    <w:top w:val="none" w:sz="0" w:space="0" w:color="auto"/>
                    <w:left w:val="none" w:sz="0" w:space="0" w:color="auto"/>
                    <w:bottom w:val="none" w:sz="0" w:space="0" w:color="auto"/>
                    <w:right w:val="none" w:sz="0" w:space="0" w:color="auto"/>
                  </w:divBdr>
                  <w:divsChild>
                    <w:div w:id="25909728">
                      <w:marLeft w:val="0"/>
                      <w:marRight w:val="0"/>
                      <w:marTop w:val="0"/>
                      <w:marBottom w:val="0"/>
                      <w:divBdr>
                        <w:top w:val="none" w:sz="0" w:space="0" w:color="auto"/>
                        <w:left w:val="none" w:sz="0" w:space="0" w:color="auto"/>
                        <w:bottom w:val="none" w:sz="0" w:space="0" w:color="auto"/>
                        <w:right w:val="none" w:sz="0" w:space="0" w:color="auto"/>
                      </w:divBdr>
                    </w:div>
                  </w:divsChild>
                </w:div>
                <w:div w:id="128859992">
                  <w:marLeft w:val="0"/>
                  <w:marRight w:val="0"/>
                  <w:marTop w:val="0"/>
                  <w:marBottom w:val="0"/>
                  <w:divBdr>
                    <w:top w:val="none" w:sz="0" w:space="0" w:color="auto"/>
                    <w:left w:val="none" w:sz="0" w:space="0" w:color="auto"/>
                    <w:bottom w:val="none" w:sz="0" w:space="0" w:color="auto"/>
                    <w:right w:val="none" w:sz="0" w:space="0" w:color="auto"/>
                  </w:divBdr>
                  <w:divsChild>
                    <w:div w:id="352191949">
                      <w:marLeft w:val="0"/>
                      <w:marRight w:val="0"/>
                      <w:marTop w:val="0"/>
                      <w:marBottom w:val="0"/>
                      <w:divBdr>
                        <w:top w:val="none" w:sz="0" w:space="0" w:color="auto"/>
                        <w:left w:val="none" w:sz="0" w:space="0" w:color="auto"/>
                        <w:bottom w:val="none" w:sz="0" w:space="0" w:color="auto"/>
                        <w:right w:val="none" w:sz="0" w:space="0" w:color="auto"/>
                      </w:divBdr>
                    </w:div>
                  </w:divsChild>
                </w:div>
                <w:div w:id="676422529">
                  <w:marLeft w:val="0"/>
                  <w:marRight w:val="0"/>
                  <w:marTop w:val="0"/>
                  <w:marBottom w:val="0"/>
                  <w:divBdr>
                    <w:top w:val="none" w:sz="0" w:space="0" w:color="auto"/>
                    <w:left w:val="none" w:sz="0" w:space="0" w:color="auto"/>
                    <w:bottom w:val="none" w:sz="0" w:space="0" w:color="auto"/>
                    <w:right w:val="none" w:sz="0" w:space="0" w:color="auto"/>
                  </w:divBdr>
                  <w:divsChild>
                    <w:div w:id="668216645">
                      <w:marLeft w:val="0"/>
                      <w:marRight w:val="0"/>
                      <w:marTop w:val="0"/>
                      <w:marBottom w:val="0"/>
                      <w:divBdr>
                        <w:top w:val="none" w:sz="0" w:space="0" w:color="auto"/>
                        <w:left w:val="none" w:sz="0" w:space="0" w:color="auto"/>
                        <w:bottom w:val="none" w:sz="0" w:space="0" w:color="auto"/>
                        <w:right w:val="none" w:sz="0" w:space="0" w:color="auto"/>
                      </w:divBdr>
                    </w:div>
                    <w:div w:id="1438215350">
                      <w:marLeft w:val="0"/>
                      <w:marRight w:val="0"/>
                      <w:marTop w:val="0"/>
                      <w:marBottom w:val="0"/>
                      <w:divBdr>
                        <w:top w:val="none" w:sz="0" w:space="0" w:color="auto"/>
                        <w:left w:val="none" w:sz="0" w:space="0" w:color="auto"/>
                        <w:bottom w:val="none" w:sz="0" w:space="0" w:color="auto"/>
                        <w:right w:val="none" w:sz="0" w:space="0" w:color="auto"/>
                      </w:divBdr>
                    </w:div>
                  </w:divsChild>
                </w:div>
                <w:div w:id="684987175">
                  <w:marLeft w:val="0"/>
                  <w:marRight w:val="0"/>
                  <w:marTop w:val="0"/>
                  <w:marBottom w:val="0"/>
                  <w:divBdr>
                    <w:top w:val="none" w:sz="0" w:space="0" w:color="auto"/>
                    <w:left w:val="none" w:sz="0" w:space="0" w:color="auto"/>
                    <w:bottom w:val="none" w:sz="0" w:space="0" w:color="auto"/>
                    <w:right w:val="none" w:sz="0" w:space="0" w:color="auto"/>
                  </w:divBdr>
                  <w:divsChild>
                    <w:div w:id="605189166">
                      <w:marLeft w:val="0"/>
                      <w:marRight w:val="0"/>
                      <w:marTop w:val="0"/>
                      <w:marBottom w:val="0"/>
                      <w:divBdr>
                        <w:top w:val="none" w:sz="0" w:space="0" w:color="auto"/>
                        <w:left w:val="none" w:sz="0" w:space="0" w:color="auto"/>
                        <w:bottom w:val="none" w:sz="0" w:space="0" w:color="auto"/>
                        <w:right w:val="none" w:sz="0" w:space="0" w:color="auto"/>
                      </w:divBdr>
                    </w:div>
                  </w:divsChild>
                </w:div>
                <w:div w:id="754010544">
                  <w:marLeft w:val="0"/>
                  <w:marRight w:val="0"/>
                  <w:marTop w:val="0"/>
                  <w:marBottom w:val="0"/>
                  <w:divBdr>
                    <w:top w:val="none" w:sz="0" w:space="0" w:color="auto"/>
                    <w:left w:val="none" w:sz="0" w:space="0" w:color="auto"/>
                    <w:bottom w:val="none" w:sz="0" w:space="0" w:color="auto"/>
                    <w:right w:val="none" w:sz="0" w:space="0" w:color="auto"/>
                  </w:divBdr>
                  <w:divsChild>
                    <w:div w:id="1392733496">
                      <w:marLeft w:val="0"/>
                      <w:marRight w:val="0"/>
                      <w:marTop w:val="0"/>
                      <w:marBottom w:val="0"/>
                      <w:divBdr>
                        <w:top w:val="none" w:sz="0" w:space="0" w:color="auto"/>
                        <w:left w:val="none" w:sz="0" w:space="0" w:color="auto"/>
                        <w:bottom w:val="none" w:sz="0" w:space="0" w:color="auto"/>
                        <w:right w:val="none" w:sz="0" w:space="0" w:color="auto"/>
                      </w:divBdr>
                    </w:div>
                  </w:divsChild>
                </w:div>
                <w:div w:id="937636757">
                  <w:marLeft w:val="0"/>
                  <w:marRight w:val="0"/>
                  <w:marTop w:val="0"/>
                  <w:marBottom w:val="0"/>
                  <w:divBdr>
                    <w:top w:val="none" w:sz="0" w:space="0" w:color="auto"/>
                    <w:left w:val="none" w:sz="0" w:space="0" w:color="auto"/>
                    <w:bottom w:val="none" w:sz="0" w:space="0" w:color="auto"/>
                    <w:right w:val="none" w:sz="0" w:space="0" w:color="auto"/>
                  </w:divBdr>
                  <w:divsChild>
                    <w:div w:id="1100949832">
                      <w:marLeft w:val="0"/>
                      <w:marRight w:val="0"/>
                      <w:marTop w:val="0"/>
                      <w:marBottom w:val="0"/>
                      <w:divBdr>
                        <w:top w:val="none" w:sz="0" w:space="0" w:color="auto"/>
                        <w:left w:val="none" w:sz="0" w:space="0" w:color="auto"/>
                        <w:bottom w:val="none" w:sz="0" w:space="0" w:color="auto"/>
                        <w:right w:val="none" w:sz="0" w:space="0" w:color="auto"/>
                      </w:divBdr>
                    </w:div>
                  </w:divsChild>
                </w:div>
                <w:div w:id="996566859">
                  <w:marLeft w:val="0"/>
                  <w:marRight w:val="0"/>
                  <w:marTop w:val="0"/>
                  <w:marBottom w:val="0"/>
                  <w:divBdr>
                    <w:top w:val="none" w:sz="0" w:space="0" w:color="auto"/>
                    <w:left w:val="none" w:sz="0" w:space="0" w:color="auto"/>
                    <w:bottom w:val="none" w:sz="0" w:space="0" w:color="auto"/>
                    <w:right w:val="none" w:sz="0" w:space="0" w:color="auto"/>
                  </w:divBdr>
                  <w:divsChild>
                    <w:div w:id="377824440">
                      <w:marLeft w:val="0"/>
                      <w:marRight w:val="0"/>
                      <w:marTop w:val="0"/>
                      <w:marBottom w:val="0"/>
                      <w:divBdr>
                        <w:top w:val="none" w:sz="0" w:space="0" w:color="auto"/>
                        <w:left w:val="none" w:sz="0" w:space="0" w:color="auto"/>
                        <w:bottom w:val="none" w:sz="0" w:space="0" w:color="auto"/>
                        <w:right w:val="none" w:sz="0" w:space="0" w:color="auto"/>
                      </w:divBdr>
                    </w:div>
                  </w:divsChild>
                </w:div>
                <w:div w:id="1240359417">
                  <w:marLeft w:val="0"/>
                  <w:marRight w:val="0"/>
                  <w:marTop w:val="0"/>
                  <w:marBottom w:val="0"/>
                  <w:divBdr>
                    <w:top w:val="none" w:sz="0" w:space="0" w:color="auto"/>
                    <w:left w:val="none" w:sz="0" w:space="0" w:color="auto"/>
                    <w:bottom w:val="none" w:sz="0" w:space="0" w:color="auto"/>
                    <w:right w:val="none" w:sz="0" w:space="0" w:color="auto"/>
                  </w:divBdr>
                  <w:divsChild>
                    <w:div w:id="832186810">
                      <w:marLeft w:val="0"/>
                      <w:marRight w:val="0"/>
                      <w:marTop w:val="0"/>
                      <w:marBottom w:val="0"/>
                      <w:divBdr>
                        <w:top w:val="none" w:sz="0" w:space="0" w:color="auto"/>
                        <w:left w:val="none" w:sz="0" w:space="0" w:color="auto"/>
                        <w:bottom w:val="none" w:sz="0" w:space="0" w:color="auto"/>
                        <w:right w:val="none" w:sz="0" w:space="0" w:color="auto"/>
                      </w:divBdr>
                    </w:div>
                  </w:divsChild>
                </w:div>
                <w:div w:id="1418210905">
                  <w:marLeft w:val="0"/>
                  <w:marRight w:val="0"/>
                  <w:marTop w:val="0"/>
                  <w:marBottom w:val="0"/>
                  <w:divBdr>
                    <w:top w:val="none" w:sz="0" w:space="0" w:color="auto"/>
                    <w:left w:val="none" w:sz="0" w:space="0" w:color="auto"/>
                    <w:bottom w:val="none" w:sz="0" w:space="0" w:color="auto"/>
                    <w:right w:val="none" w:sz="0" w:space="0" w:color="auto"/>
                  </w:divBdr>
                  <w:divsChild>
                    <w:div w:id="743008">
                      <w:marLeft w:val="0"/>
                      <w:marRight w:val="0"/>
                      <w:marTop w:val="0"/>
                      <w:marBottom w:val="0"/>
                      <w:divBdr>
                        <w:top w:val="none" w:sz="0" w:space="0" w:color="auto"/>
                        <w:left w:val="none" w:sz="0" w:space="0" w:color="auto"/>
                        <w:bottom w:val="none" w:sz="0" w:space="0" w:color="auto"/>
                        <w:right w:val="none" w:sz="0" w:space="0" w:color="auto"/>
                      </w:divBdr>
                    </w:div>
                  </w:divsChild>
                </w:div>
                <w:div w:id="1463767800">
                  <w:marLeft w:val="0"/>
                  <w:marRight w:val="0"/>
                  <w:marTop w:val="0"/>
                  <w:marBottom w:val="0"/>
                  <w:divBdr>
                    <w:top w:val="none" w:sz="0" w:space="0" w:color="auto"/>
                    <w:left w:val="none" w:sz="0" w:space="0" w:color="auto"/>
                    <w:bottom w:val="none" w:sz="0" w:space="0" w:color="auto"/>
                    <w:right w:val="none" w:sz="0" w:space="0" w:color="auto"/>
                  </w:divBdr>
                  <w:divsChild>
                    <w:div w:id="560560786">
                      <w:marLeft w:val="0"/>
                      <w:marRight w:val="0"/>
                      <w:marTop w:val="0"/>
                      <w:marBottom w:val="0"/>
                      <w:divBdr>
                        <w:top w:val="none" w:sz="0" w:space="0" w:color="auto"/>
                        <w:left w:val="none" w:sz="0" w:space="0" w:color="auto"/>
                        <w:bottom w:val="none" w:sz="0" w:space="0" w:color="auto"/>
                        <w:right w:val="none" w:sz="0" w:space="0" w:color="auto"/>
                      </w:divBdr>
                    </w:div>
                  </w:divsChild>
                </w:div>
                <w:div w:id="1831099874">
                  <w:marLeft w:val="0"/>
                  <w:marRight w:val="0"/>
                  <w:marTop w:val="0"/>
                  <w:marBottom w:val="0"/>
                  <w:divBdr>
                    <w:top w:val="none" w:sz="0" w:space="0" w:color="auto"/>
                    <w:left w:val="none" w:sz="0" w:space="0" w:color="auto"/>
                    <w:bottom w:val="none" w:sz="0" w:space="0" w:color="auto"/>
                    <w:right w:val="none" w:sz="0" w:space="0" w:color="auto"/>
                  </w:divBdr>
                  <w:divsChild>
                    <w:div w:id="1930237392">
                      <w:marLeft w:val="0"/>
                      <w:marRight w:val="0"/>
                      <w:marTop w:val="0"/>
                      <w:marBottom w:val="0"/>
                      <w:divBdr>
                        <w:top w:val="none" w:sz="0" w:space="0" w:color="auto"/>
                        <w:left w:val="none" w:sz="0" w:space="0" w:color="auto"/>
                        <w:bottom w:val="none" w:sz="0" w:space="0" w:color="auto"/>
                        <w:right w:val="none" w:sz="0" w:space="0" w:color="auto"/>
                      </w:divBdr>
                    </w:div>
                  </w:divsChild>
                </w:div>
                <w:div w:id="1841189717">
                  <w:marLeft w:val="0"/>
                  <w:marRight w:val="0"/>
                  <w:marTop w:val="0"/>
                  <w:marBottom w:val="0"/>
                  <w:divBdr>
                    <w:top w:val="none" w:sz="0" w:space="0" w:color="auto"/>
                    <w:left w:val="none" w:sz="0" w:space="0" w:color="auto"/>
                    <w:bottom w:val="none" w:sz="0" w:space="0" w:color="auto"/>
                    <w:right w:val="none" w:sz="0" w:space="0" w:color="auto"/>
                  </w:divBdr>
                  <w:divsChild>
                    <w:div w:id="350033834">
                      <w:marLeft w:val="0"/>
                      <w:marRight w:val="0"/>
                      <w:marTop w:val="0"/>
                      <w:marBottom w:val="0"/>
                      <w:divBdr>
                        <w:top w:val="none" w:sz="0" w:space="0" w:color="auto"/>
                        <w:left w:val="none" w:sz="0" w:space="0" w:color="auto"/>
                        <w:bottom w:val="none" w:sz="0" w:space="0" w:color="auto"/>
                        <w:right w:val="none" w:sz="0" w:space="0" w:color="auto"/>
                      </w:divBdr>
                    </w:div>
                  </w:divsChild>
                </w:div>
                <w:div w:id="1868643416">
                  <w:marLeft w:val="0"/>
                  <w:marRight w:val="0"/>
                  <w:marTop w:val="0"/>
                  <w:marBottom w:val="0"/>
                  <w:divBdr>
                    <w:top w:val="none" w:sz="0" w:space="0" w:color="auto"/>
                    <w:left w:val="none" w:sz="0" w:space="0" w:color="auto"/>
                    <w:bottom w:val="none" w:sz="0" w:space="0" w:color="auto"/>
                    <w:right w:val="none" w:sz="0" w:space="0" w:color="auto"/>
                  </w:divBdr>
                  <w:divsChild>
                    <w:div w:id="1148983387">
                      <w:marLeft w:val="0"/>
                      <w:marRight w:val="0"/>
                      <w:marTop w:val="0"/>
                      <w:marBottom w:val="0"/>
                      <w:divBdr>
                        <w:top w:val="none" w:sz="0" w:space="0" w:color="auto"/>
                        <w:left w:val="none" w:sz="0" w:space="0" w:color="auto"/>
                        <w:bottom w:val="none" w:sz="0" w:space="0" w:color="auto"/>
                        <w:right w:val="none" w:sz="0" w:space="0" w:color="auto"/>
                      </w:divBdr>
                    </w:div>
                  </w:divsChild>
                </w:div>
                <w:div w:id="2059474302">
                  <w:marLeft w:val="0"/>
                  <w:marRight w:val="0"/>
                  <w:marTop w:val="0"/>
                  <w:marBottom w:val="0"/>
                  <w:divBdr>
                    <w:top w:val="none" w:sz="0" w:space="0" w:color="auto"/>
                    <w:left w:val="none" w:sz="0" w:space="0" w:color="auto"/>
                    <w:bottom w:val="none" w:sz="0" w:space="0" w:color="auto"/>
                    <w:right w:val="none" w:sz="0" w:space="0" w:color="auto"/>
                  </w:divBdr>
                  <w:divsChild>
                    <w:div w:id="2021001570">
                      <w:marLeft w:val="0"/>
                      <w:marRight w:val="0"/>
                      <w:marTop w:val="0"/>
                      <w:marBottom w:val="0"/>
                      <w:divBdr>
                        <w:top w:val="none" w:sz="0" w:space="0" w:color="auto"/>
                        <w:left w:val="none" w:sz="0" w:space="0" w:color="auto"/>
                        <w:bottom w:val="none" w:sz="0" w:space="0" w:color="auto"/>
                        <w:right w:val="none" w:sz="0" w:space="0" w:color="auto"/>
                      </w:divBdr>
                    </w:div>
                  </w:divsChild>
                </w:div>
                <w:div w:id="2142186439">
                  <w:marLeft w:val="0"/>
                  <w:marRight w:val="0"/>
                  <w:marTop w:val="0"/>
                  <w:marBottom w:val="0"/>
                  <w:divBdr>
                    <w:top w:val="none" w:sz="0" w:space="0" w:color="auto"/>
                    <w:left w:val="none" w:sz="0" w:space="0" w:color="auto"/>
                    <w:bottom w:val="none" w:sz="0" w:space="0" w:color="auto"/>
                    <w:right w:val="none" w:sz="0" w:space="0" w:color="auto"/>
                  </w:divBdr>
                  <w:divsChild>
                    <w:div w:id="858274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639307">
          <w:marLeft w:val="0"/>
          <w:marRight w:val="0"/>
          <w:marTop w:val="0"/>
          <w:marBottom w:val="0"/>
          <w:divBdr>
            <w:top w:val="none" w:sz="0" w:space="0" w:color="auto"/>
            <w:left w:val="none" w:sz="0" w:space="0" w:color="auto"/>
            <w:bottom w:val="none" w:sz="0" w:space="0" w:color="auto"/>
            <w:right w:val="none" w:sz="0" w:space="0" w:color="auto"/>
          </w:divBdr>
          <w:divsChild>
            <w:div w:id="378869788">
              <w:marLeft w:val="0"/>
              <w:marRight w:val="0"/>
              <w:marTop w:val="0"/>
              <w:marBottom w:val="0"/>
              <w:divBdr>
                <w:top w:val="none" w:sz="0" w:space="0" w:color="auto"/>
                <w:left w:val="none" w:sz="0" w:space="0" w:color="auto"/>
                <w:bottom w:val="none" w:sz="0" w:space="0" w:color="auto"/>
                <w:right w:val="none" w:sz="0" w:space="0" w:color="auto"/>
              </w:divBdr>
            </w:div>
            <w:div w:id="473524396">
              <w:marLeft w:val="0"/>
              <w:marRight w:val="0"/>
              <w:marTop w:val="0"/>
              <w:marBottom w:val="0"/>
              <w:divBdr>
                <w:top w:val="none" w:sz="0" w:space="0" w:color="auto"/>
                <w:left w:val="none" w:sz="0" w:space="0" w:color="auto"/>
                <w:bottom w:val="none" w:sz="0" w:space="0" w:color="auto"/>
                <w:right w:val="none" w:sz="0" w:space="0" w:color="auto"/>
              </w:divBdr>
            </w:div>
            <w:div w:id="859776419">
              <w:marLeft w:val="0"/>
              <w:marRight w:val="0"/>
              <w:marTop w:val="0"/>
              <w:marBottom w:val="0"/>
              <w:divBdr>
                <w:top w:val="none" w:sz="0" w:space="0" w:color="auto"/>
                <w:left w:val="none" w:sz="0" w:space="0" w:color="auto"/>
                <w:bottom w:val="none" w:sz="0" w:space="0" w:color="auto"/>
                <w:right w:val="none" w:sz="0" w:space="0" w:color="auto"/>
              </w:divBdr>
            </w:div>
            <w:div w:id="1586457459">
              <w:marLeft w:val="0"/>
              <w:marRight w:val="0"/>
              <w:marTop w:val="0"/>
              <w:marBottom w:val="0"/>
              <w:divBdr>
                <w:top w:val="none" w:sz="0" w:space="0" w:color="auto"/>
                <w:left w:val="none" w:sz="0" w:space="0" w:color="auto"/>
                <w:bottom w:val="none" w:sz="0" w:space="0" w:color="auto"/>
                <w:right w:val="none" w:sz="0" w:space="0" w:color="auto"/>
              </w:divBdr>
            </w:div>
            <w:div w:id="1759138258">
              <w:marLeft w:val="0"/>
              <w:marRight w:val="0"/>
              <w:marTop w:val="0"/>
              <w:marBottom w:val="0"/>
              <w:divBdr>
                <w:top w:val="none" w:sz="0" w:space="0" w:color="auto"/>
                <w:left w:val="none" w:sz="0" w:space="0" w:color="auto"/>
                <w:bottom w:val="none" w:sz="0" w:space="0" w:color="auto"/>
                <w:right w:val="none" w:sz="0" w:space="0" w:color="auto"/>
              </w:divBdr>
            </w:div>
          </w:divsChild>
        </w:div>
        <w:div w:id="141509972">
          <w:marLeft w:val="0"/>
          <w:marRight w:val="0"/>
          <w:marTop w:val="0"/>
          <w:marBottom w:val="0"/>
          <w:divBdr>
            <w:top w:val="none" w:sz="0" w:space="0" w:color="auto"/>
            <w:left w:val="none" w:sz="0" w:space="0" w:color="auto"/>
            <w:bottom w:val="none" w:sz="0" w:space="0" w:color="auto"/>
            <w:right w:val="none" w:sz="0" w:space="0" w:color="auto"/>
          </w:divBdr>
        </w:div>
        <w:div w:id="148719430">
          <w:marLeft w:val="0"/>
          <w:marRight w:val="0"/>
          <w:marTop w:val="0"/>
          <w:marBottom w:val="0"/>
          <w:divBdr>
            <w:top w:val="none" w:sz="0" w:space="0" w:color="auto"/>
            <w:left w:val="none" w:sz="0" w:space="0" w:color="auto"/>
            <w:bottom w:val="none" w:sz="0" w:space="0" w:color="auto"/>
            <w:right w:val="none" w:sz="0" w:space="0" w:color="auto"/>
          </w:divBdr>
          <w:divsChild>
            <w:div w:id="73286970">
              <w:marLeft w:val="0"/>
              <w:marRight w:val="0"/>
              <w:marTop w:val="0"/>
              <w:marBottom w:val="0"/>
              <w:divBdr>
                <w:top w:val="none" w:sz="0" w:space="0" w:color="auto"/>
                <w:left w:val="none" w:sz="0" w:space="0" w:color="auto"/>
                <w:bottom w:val="none" w:sz="0" w:space="0" w:color="auto"/>
                <w:right w:val="none" w:sz="0" w:space="0" w:color="auto"/>
              </w:divBdr>
            </w:div>
            <w:div w:id="1418093885">
              <w:marLeft w:val="0"/>
              <w:marRight w:val="0"/>
              <w:marTop w:val="0"/>
              <w:marBottom w:val="0"/>
              <w:divBdr>
                <w:top w:val="none" w:sz="0" w:space="0" w:color="auto"/>
                <w:left w:val="none" w:sz="0" w:space="0" w:color="auto"/>
                <w:bottom w:val="none" w:sz="0" w:space="0" w:color="auto"/>
                <w:right w:val="none" w:sz="0" w:space="0" w:color="auto"/>
              </w:divBdr>
            </w:div>
            <w:div w:id="1518426210">
              <w:marLeft w:val="0"/>
              <w:marRight w:val="0"/>
              <w:marTop w:val="0"/>
              <w:marBottom w:val="0"/>
              <w:divBdr>
                <w:top w:val="none" w:sz="0" w:space="0" w:color="auto"/>
                <w:left w:val="none" w:sz="0" w:space="0" w:color="auto"/>
                <w:bottom w:val="none" w:sz="0" w:space="0" w:color="auto"/>
                <w:right w:val="none" w:sz="0" w:space="0" w:color="auto"/>
              </w:divBdr>
            </w:div>
            <w:div w:id="1546064274">
              <w:marLeft w:val="0"/>
              <w:marRight w:val="0"/>
              <w:marTop w:val="0"/>
              <w:marBottom w:val="0"/>
              <w:divBdr>
                <w:top w:val="none" w:sz="0" w:space="0" w:color="auto"/>
                <w:left w:val="none" w:sz="0" w:space="0" w:color="auto"/>
                <w:bottom w:val="none" w:sz="0" w:space="0" w:color="auto"/>
                <w:right w:val="none" w:sz="0" w:space="0" w:color="auto"/>
              </w:divBdr>
            </w:div>
            <w:div w:id="1955018518">
              <w:marLeft w:val="0"/>
              <w:marRight w:val="0"/>
              <w:marTop w:val="0"/>
              <w:marBottom w:val="0"/>
              <w:divBdr>
                <w:top w:val="none" w:sz="0" w:space="0" w:color="auto"/>
                <w:left w:val="none" w:sz="0" w:space="0" w:color="auto"/>
                <w:bottom w:val="none" w:sz="0" w:space="0" w:color="auto"/>
                <w:right w:val="none" w:sz="0" w:space="0" w:color="auto"/>
              </w:divBdr>
            </w:div>
          </w:divsChild>
        </w:div>
        <w:div w:id="168915096">
          <w:marLeft w:val="0"/>
          <w:marRight w:val="0"/>
          <w:marTop w:val="0"/>
          <w:marBottom w:val="0"/>
          <w:divBdr>
            <w:top w:val="none" w:sz="0" w:space="0" w:color="auto"/>
            <w:left w:val="none" w:sz="0" w:space="0" w:color="auto"/>
            <w:bottom w:val="none" w:sz="0" w:space="0" w:color="auto"/>
            <w:right w:val="none" w:sz="0" w:space="0" w:color="auto"/>
          </w:divBdr>
          <w:divsChild>
            <w:div w:id="2067222434">
              <w:marLeft w:val="-75"/>
              <w:marRight w:val="0"/>
              <w:marTop w:val="30"/>
              <w:marBottom w:val="30"/>
              <w:divBdr>
                <w:top w:val="none" w:sz="0" w:space="0" w:color="auto"/>
                <w:left w:val="none" w:sz="0" w:space="0" w:color="auto"/>
                <w:bottom w:val="none" w:sz="0" w:space="0" w:color="auto"/>
                <w:right w:val="none" w:sz="0" w:space="0" w:color="auto"/>
              </w:divBdr>
              <w:divsChild>
                <w:div w:id="365836108">
                  <w:marLeft w:val="0"/>
                  <w:marRight w:val="0"/>
                  <w:marTop w:val="0"/>
                  <w:marBottom w:val="0"/>
                  <w:divBdr>
                    <w:top w:val="none" w:sz="0" w:space="0" w:color="auto"/>
                    <w:left w:val="none" w:sz="0" w:space="0" w:color="auto"/>
                    <w:bottom w:val="none" w:sz="0" w:space="0" w:color="auto"/>
                    <w:right w:val="none" w:sz="0" w:space="0" w:color="auto"/>
                  </w:divBdr>
                  <w:divsChild>
                    <w:div w:id="717584369">
                      <w:marLeft w:val="0"/>
                      <w:marRight w:val="0"/>
                      <w:marTop w:val="0"/>
                      <w:marBottom w:val="0"/>
                      <w:divBdr>
                        <w:top w:val="none" w:sz="0" w:space="0" w:color="auto"/>
                        <w:left w:val="none" w:sz="0" w:space="0" w:color="auto"/>
                        <w:bottom w:val="none" w:sz="0" w:space="0" w:color="auto"/>
                        <w:right w:val="none" w:sz="0" w:space="0" w:color="auto"/>
                      </w:divBdr>
                    </w:div>
                  </w:divsChild>
                </w:div>
                <w:div w:id="1736121766">
                  <w:marLeft w:val="0"/>
                  <w:marRight w:val="0"/>
                  <w:marTop w:val="0"/>
                  <w:marBottom w:val="0"/>
                  <w:divBdr>
                    <w:top w:val="none" w:sz="0" w:space="0" w:color="auto"/>
                    <w:left w:val="none" w:sz="0" w:space="0" w:color="auto"/>
                    <w:bottom w:val="none" w:sz="0" w:space="0" w:color="auto"/>
                    <w:right w:val="none" w:sz="0" w:space="0" w:color="auto"/>
                  </w:divBdr>
                  <w:divsChild>
                    <w:div w:id="17321217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079782">
          <w:marLeft w:val="0"/>
          <w:marRight w:val="0"/>
          <w:marTop w:val="0"/>
          <w:marBottom w:val="0"/>
          <w:divBdr>
            <w:top w:val="none" w:sz="0" w:space="0" w:color="auto"/>
            <w:left w:val="none" w:sz="0" w:space="0" w:color="auto"/>
            <w:bottom w:val="none" w:sz="0" w:space="0" w:color="auto"/>
            <w:right w:val="none" w:sz="0" w:space="0" w:color="auto"/>
          </w:divBdr>
          <w:divsChild>
            <w:div w:id="969163408">
              <w:marLeft w:val="0"/>
              <w:marRight w:val="0"/>
              <w:marTop w:val="0"/>
              <w:marBottom w:val="0"/>
              <w:divBdr>
                <w:top w:val="none" w:sz="0" w:space="0" w:color="auto"/>
                <w:left w:val="none" w:sz="0" w:space="0" w:color="auto"/>
                <w:bottom w:val="none" w:sz="0" w:space="0" w:color="auto"/>
                <w:right w:val="none" w:sz="0" w:space="0" w:color="auto"/>
              </w:divBdr>
            </w:div>
            <w:div w:id="1575385821">
              <w:marLeft w:val="0"/>
              <w:marRight w:val="0"/>
              <w:marTop w:val="0"/>
              <w:marBottom w:val="0"/>
              <w:divBdr>
                <w:top w:val="none" w:sz="0" w:space="0" w:color="auto"/>
                <w:left w:val="none" w:sz="0" w:space="0" w:color="auto"/>
                <w:bottom w:val="none" w:sz="0" w:space="0" w:color="auto"/>
                <w:right w:val="none" w:sz="0" w:space="0" w:color="auto"/>
              </w:divBdr>
            </w:div>
          </w:divsChild>
        </w:div>
        <w:div w:id="198907196">
          <w:marLeft w:val="0"/>
          <w:marRight w:val="0"/>
          <w:marTop w:val="0"/>
          <w:marBottom w:val="0"/>
          <w:divBdr>
            <w:top w:val="none" w:sz="0" w:space="0" w:color="auto"/>
            <w:left w:val="none" w:sz="0" w:space="0" w:color="auto"/>
            <w:bottom w:val="none" w:sz="0" w:space="0" w:color="auto"/>
            <w:right w:val="none" w:sz="0" w:space="0" w:color="auto"/>
          </w:divBdr>
          <w:divsChild>
            <w:div w:id="516115726">
              <w:marLeft w:val="0"/>
              <w:marRight w:val="0"/>
              <w:marTop w:val="0"/>
              <w:marBottom w:val="0"/>
              <w:divBdr>
                <w:top w:val="none" w:sz="0" w:space="0" w:color="auto"/>
                <w:left w:val="none" w:sz="0" w:space="0" w:color="auto"/>
                <w:bottom w:val="none" w:sz="0" w:space="0" w:color="auto"/>
                <w:right w:val="none" w:sz="0" w:space="0" w:color="auto"/>
              </w:divBdr>
            </w:div>
            <w:div w:id="1125739344">
              <w:marLeft w:val="0"/>
              <w:marRight w:val="0"/>
              <w:marTop w:val="0"/>
              <w:marBottom w:val="0"/>
              <w:divBdr>
                <w:top w:val="none" w:sz="0" w:space="0" w:color="auto"/>
                <w:left w:val="none" w:sz="0" w:space="0" w:color="auto"/>
                <w:bottom w:val="none" w:sz="0" w:space="0" w:color="auto"/>
                <w:right w:val="none" w:sz="0" w:space="0" w:color="auto"/>
              </w:divBdr>
            </w:div>
            <w:div w:id="2126774346">
              <w:marLeft w:val="0"/>
              <w:marRight w:val="0"/>
              <w:marTop w:val="0"/>
              <w:marBottom w:val="0"/>
              <w:divBdr>
                <w:top w:val="none" w:sz="0" w:space="0" w:color="auto"/>
                <w:left w:val="none" w:sz="0" w:space="0" w:color="auto"/>
                <w:bottom w:val="none" w:sz="0" w:space="0" w:color="auto"/>
                <w:right w:val="none" w:sz="0" w:space="0" w:color="auto"/>
              </w:divBdr>
            </w:div>
          </w:divsChild>
        </w:div>
        <w:div w:id="272443883">
          <w:marLeft w:val="0"/>
          <w:marRight w:val="0"/>
          <w:marTop w:val="0"/>
          <w:marBottom w:val="0"/>
          <w:divBdr>
            <w:top w:val="none" w:sz="0" w:space="0" w:color="auto"/>
            <w:left w:val="none" w:sz="0" w:space="0" w:color="auto"/>
            <w:bottom w:val="none" w:sz="0" w:space="0" w:color="auto"/>
            <w:right w:val="none" w:sz="0" w:space="0" w:color="auto"/>
          </w:divBdr>
          <w:divsChild>
            <w:div w:id="102310573">
              <w:marLeft w:val="0"/>
              <w:marRight w:val="0"/>
              <w:marTop w:val="0"/>
              <w:marBottom w:val="0"/>
              <w:divBdr>
                <w:top w:val="none" w:sz="0" w:space="0" w:color="auto"/>
                <w:left w:val="none" w:sz="0" w:space="0" w:color="auto"/>
                <w:bottom w:val="none" w:sz="0" w:space="0" w:color="auto"/>
                <w:right w:val="none" w:sz="0" w:space="0" w:color="auto"/>
              </w:divBdr>
            </w:div>
            <w:div w:id="428237481">
              <w:marLeft w:val="0"/>
              <w:marRight w:val="0"/>
              <w:marTop w:val="0"/>
              <w:marBottom w:val="0"/>
              <w:divBdr>
                <w:top w:val="none" w:sz="0" w:space="0" w:color="auto"/>
                <w:left w:val="none" w:sz="0" w:space="0" w:color="auto"/>
                <w:bottom w:val="none" w:sz="0" w:space="0" w:color="auto"/>
                <w:right w:val="none" w:sz="0" w:space="0" w:color="auto"/>
              </w:divBdr>
            </w:div>
            <w:div w:id="1314798103">
              <w:marLeft w:val="0"/>
              <w:marRight w:val="0"/>
              <w:marTop w:val="0"/>
              <w:marBottom w:val="0"/>
              <w:divBdr>
                <w:top w:val="none" w:sz="0" w:space="0" w:color="auto"/>
                <w:left w:val="none" w:sz="0" w:space="0" w:color="auto"/>
                <w:bottom w:val="none" w:sz="0" w:space="0" w:color="auto"/>
                <w:right w:val="none" w:sz="0" w:space="0" w:color="auto"/>
              </w:divBdr>
            </w:div>
            <w:div w:id="1354115526">
              <w:marLeft w:val="0"/>
              <w:marRight w:val="0"/>
              <w:marTop w:val="0"/>
              <w:marBottom w:val="0"/>
              <w:divBdr>
                <w:top w:val="none" w:sz="0" w:space="0" w:color="auto"/>
                <w:left w:val="none" w:sz="0" w:space="0" w:color="auto"/>
                <w:bottom w:val="none" w:sz="0" w:space="0" w:color="auto"/>
                <w:right w:val="none" w:sz="0" w:space="0" w:color="auto"/>
              </w:divBdr>
            </w:div>
            <w:div w:id="1491559905">
              <w:marLeft w:val="0"/>
              <w:marRight w:val="0"/>
              <w:marTop w:val="0"/>
              <w:marBottom w:val="0"/>
              <w:divBdr>
                <w:top w:val="none" w:sz="0" w:space="0" w:color="auto"/>
                <w:left w:val="none" w:sz="0" w:space="0" w:color="auto"/>
                <w:bottom w:val="none" w:sz="0" w:space="0" w:color="auto"/>
                <w:right w:val="none" w:sz="0" w:space="0" w:color="auto"/>
              </w:divBdr>
            </w:div>
          </w:divsChild>
        </w:div>
        <w:div w:id="274604482">
          <w:marLeft w:val="0"/>
          <w:marRight w:val="0"/>
          <w:marTop w:val="0"/>
          <w:marBottom w:val="0"/>
          <w:divBdr>
            <w:top w:val="none" w:sz="0" w:space="0" w:color="auto"/>
            <w:left w:val="none" w:sz="0" w:space="0" w:color="auto"/>
            <w:bottom w:val="none" w:sz="0" w:space="0" w:color="auto"/>
            <w:right w:val="none" w:sz="0" w:space="0" w:color="auto"/>
          </w:divBdr>
        </w:div>
        <w:div w:id="308216879">
          <w:marLeft w:val="0"/>
          <w:marRight w:val="0"/>
          <w:marTop w:val="0"/>
          <w:marBottom w:val="0"/>
          <w:divBdr>
            <w:top w:val="none" w:sz="0" w:space="0" w:color="auto"/>
            <w:left w:val="none" w:sz="0" w:space="0" w:color="auto"/>
            <w:bottom w:val="none" w:sz="0" w:space="0" w:color="auto"/>
            <w:right w:val="none" w:sz="0" w:space="0" w:color="auto"/>
          </w:divBdr>
        </w:div>
        <w:div w:id="309754345">
          <w:marLeft w:val="0"/>
          <w:marRight w:val="0"/>
          <w:marTop w:val="0"/>
          <w:marBottom w:val="0"/>
          <w:divBdr>
            <w:top w:val="none" w:sz="0" w:space="0" w:color="auto"/>
            <w:left w:val="none" w:sz="0" w:space="0" w:color="auto"/>
            <w:bottom w:val="none" w:sz="0" w:space="0" w:color="auto"/>
            <w:right w:val="none" w:sz="0" w:space="0" w:color="auto"/>
          </w:divBdr>
          <w:divsChild>
            <w:div w:id="92676702">
              <w:marLeft w:val="0"/>
              <w:marRight w:val="0"/>
              <w:marTop w:val="0"/>
              <w:marBottom w:val="0"/>
              <w:divBdr>
                <w:top w:val="none" w:sz="0" w:space="0" w:color="auto"/>
                <w:left w:val="none" w:sz="0" w:space="0" w:color="auto"/>
                <w:bottom w:val="none" w:sz="0" w:space="0" w:color="auto"/>
                <w:right w:val="none" w:sz="0" w:space="0" w:color="auto"/>
              </w:divBdr>
            </w:div>
            <w:div w:id="379285347">
              <w:marLeft w:val="0"/>
              <w:marRight w:val="0"/>
              <w:marTop w:val="0"/>
              <w:marBottom w:val="0"/>
              <w:divBdr>
                <w:top w:val="none" w:sz="0" w:space="0" w:color="auto"/>
                <w:left w:val="none" w:sz="0" w:space="0" w:color="auto"/>
                <w:bottom w:val="none" w:sz="0" w:space="0" w:color="auto"/>
                <w:right w:val="none" w:sz="0" w:space="0" w:color="auto"/>
              </w:divBdr>
            </w:div>
            <w:div w:id="675618779">
              <w:marLeft w:val="0"/>
              <w:marRight w:val="0"/>
              <w:marTop w:val="0"/>
              <w:marBottom w:val="0"/>
              <w:divBdr>
                <w:top w:val="none" w:sz="0" w:space="0" w:color="auto"/>
                <w:left w:val="none" w:sz="0" w:space="0" w:color="auto"/>
                <w:bottom w:val="none" w:sz="0" w:space="0" w:color="auto"/>
                <w:right w:val="none" w:sz="0" w:space="0" w:color="auto"/>
              </w:divBdr>
            </w:div>
            <w:div w:id="778716379">
              <w:marLeft w:val="0"/>
              <w:marRight w:val="0"/>
              <w:marTop w:val="0"/>
              <w:marBottom w:val="0"/>
              <w:divBdr>
                <w:top w:val="none" w:sz="0" w:space="0" w:color="auto"/>
                <w:left w:val="none" w:sz="0" w:space="0" w:color="auto"/>
                <w:bottom w:val="none" w:sz="0" w:space="0" w:color="auto"/>
                <w:right w:val="none" w:sz="0" w:space="0" w:color="auto"/>
              </w:divBdr>
            </w:div>
            <w:div w:id="1642344059">
              <w:marLeft w:val="0"/>
              <w:marRight w:val="0"/>
              <w:marTop w:val="0"/>
              <w:marBottom w:val="0"/>
              <w:divBdr>
                <w:top w:val="none" w:sz="0" w:space="0" w:color="auto"/>
                <w:left w:val="none" w:sz="0" w:space="0" w:color="auto"/>
                <w:bottom w:val="none" w:sz="0" w:space="0" w:color="auto"/>
                <w:right w:val="none" w:sz="0" w:space="0" w:color="auto"/>
              </w:divBdr>
            </w:div>
          </w:divsChild>
        </w:div>
        <w:div w:id="348991065">
          <w:marLeft w:val="0"/>
          <w:marRight w:val="0"/>
          <w:marTop w:val="0"/>
          <w:marBottom w:val="0"/>
          <w:divBdr>
            <w:top w:val="none" w:sz="0" w:space="0" w:color="auto"/>
            <w:left w:val="none" w:sz="0" w:space="0" w:color="auto"/>
            <w:bottom w:val="none" w:sz="0" w:space="0" w:color="auto"/>
            <w:right w:val="none" w:sz="0" w:space="0" w:color="auto"/>
          </w:divBdr>
        </w:div>
        <w:div w:id="352154474">
          <w:marLeft w:val="0"/>
          <w:marRight w:val="0"/>
          <w:marTop w:val="0"/>
          <w:marBottom w:val="0"/>
          <w:divBdr>
            <w:top w:val="none" w:sz="0" w:space="0" w:color="auto"/>
            <w:left w:val="none" w:sz="0" w:space="0" w:color="auto"/>
            <w:bottom w:val="none" w:sz="0" w:space="0" w:color="auto"/>
            <w:right w:val="none" w:sz="0" w:space="0" w:color="auto"/>
          </w:divBdr>
          <w:divsChild>
            <w:div w:id="394072">
              <w:marLeft w:val="0"/>
              <w:marRight w:val="0"/>
              <w:marTop w:val="0"/>
              <w:marBottom w:val="0"/>
              <w:divBdr>
                <w:top w:val="none" w:sz="0" w:space="0" w:color="auto"/>
                <w:left w:val="none" w:sz="0" w:space="0" w:color="auto"/>
                <w:bottom w:val="none" w:sz="0" w:space="0" w:color="auto"/>
                <w:right w:val="none" w:sz="0" w:space="0" w:color="auto"/>
              </w:divBdr>
            </w:div>
            <w:div w:id="759446356">
              <w:marLeft w:val="0"/>
              <w:marRight w:val="0"/>
              <w:marTop w:val="0"/>
              <w:marBottom w:val="0"/>
              <w:divBdr>
                <w:top w:val="none" w:sz="0" w:space="0" w:color="auto"/>
                <w:left w:val="none" w:sz="0" w:space="0" w:color="auto"/>
                <w:bottom w:val="none" w:sz="0" w:space="0" w:color="auto"/>
                <w:right w:val="none" w:sz="0" w:space="0" w:color="auto"/>
              </w:divBdr>
            </w:div>
            <w:div w:id="1040057122">
              <w:marLeft w:val="0"/>
              <w:marRight w:val="0"/>
              <w:marTop w:val="0"/>
              <w:marBottom w:val="0"/>
              <w:divBdr>
                <w:top w:val="none" w:sz="0" w:space="0" w:color="auto"/>
                <w:left w:val="none" w:sz="0" w:space="0" w:color="auto"/>
                <w:bottom w:val="none" w:sz="0" w:space="0" w:color="auto"/>
                <w:right w:val="none" w:sz="0" w:space="0" w:color="auto"/>
              </w:divBdr>
            </w:div>
            <w:div w:id="1113131951">
              <w:marLeft w:val="0"/>
              <w:marRight w:val="0"/>
              <w:marTop w:val="0"/>
              <w:marBottom w:val="0"/>
              <w:divBdr>
                <w:top w:val="none" w:sz="0" w:space="0" w:color="auto"/>
                <w:left w:val="none" w:sz="0" w:space="0" w:color="auto"/>
                <w:bottom w:val="none" w:sz="0" w:space="0" w:color="auto"/>
                <w:right w:val="none" w:sz="0" w:space="0" w:color="auto"/>
              </w:divBdr>
            </w:div>
            <w:div w:id="1185440364">
              <w:marLeft w:val="0"/>
              <w:marRight w:val="0"/>
              <w:marTop w:val="0"/>
              <w:marBottom w:val="0"/>
              <w:divBdr>
                <w:top w:val="none" w:sz="0" w:space="0" w:color="auto"/>
                <w:left w:val="none" w:sz="0" w:space="0" w:color="auto"/>
                <w:bottom w:val="none" w:sz="0" w:space="0" w:color="auto"/>
                <w:right w:val="none" w:sz="0" w:space="0" w:color="auto"/>
              </w:divBdr>
            </w:div>
          </w:divsChild>
        </w:div>
        <w:div w:id="365179925">
          <w:marLeft w:val="0"/>
          <w:marRight w:val="0"/>
          <w:marTop w:val="0"/>
          <w:marBottom w:val="0"/>
          <w:divBdr>
            <w:top w:val="none" w:sz="0" w:space="0" w:color="auto"/>
            <w:left w:val="none" w:sz="0" w:space="0" w:color="auto"/>
            <w:bottom w:val="none" w:sz="0" w:space="0" w:color="auto"/>
            <w:right w:val="none" w:sz="0" w:space="0" w:color="auto"/>
          </w:divBdr>
          <w:divsChild>
            <w:div w:id="715665218">
              <w:marLeft w:val="-75"/>
              <w:marRight w:val="0"/>
              <w:marTop w:val="30"/>
              <w:marBottom w:val="30"/>
              <w:divBdr>
                <w:top w:val="none" w:sz="0" w:space="0" w:color="auto"/>
                <w:left w:val="none" w:sz="0" w:space="0" w:color="auto"/>
                <w:bottom w:val="none" w:sz="0" w:space="0" w:color="auto"/>
                <w:right w:val="none" w:sz="0" w:space="0" w:color="auto"/>
              </w:divBdr>
              <w:divsChild>
                <w:div w:id="1307975058">
                  <w:marLeft w:val="0"/>
                  <w:marRight w:val="0"/>
                  <w:marTop w:val="0"/>
                  <w:marBottom w:val="0"/>
                  <w:divBdr>
                    <w:top w:val="none" w:sz="0" w:space="0" w:color="auto"/>
                    <w:left w:val="none" w:sz="0" w:space="0" w:color="auto"/>
                    <w:bottom w:val="none" w:sz="0" w:space="0" w:color="auto"/>
                    <w:right w:val="none" w:sz="0" w:space="0" w:color="auto"/>
                  </w:divBdr>
                  <w:divsChild>
                    <w:div w:id="1025056015">
                      <w:marLeft w:val="0"/>
                      <w:marRight w:val="0"/>
                      <w:marTop w:val="0"/>
                      <w:marBottom w:val="0"/>
                      <w:divBdr>
                        <w:top w:val="none" w:sz="0" w:space="0" w:color="auto"/>
                        <w:left w:val="none" w:sz="0" w:space="0" w:color="auto"/>
                        <w:bottom w:val="none" w:sz="0" w:space="0" w:color="auto"/>
                        <w:right w:val="none" w:sz="0" w:space="0" w:color="auto"/>
                      </w:divBdr>
                    </w:div>
                  </w:divsChild>
                </w:div>
                <w:div w:id="1530997017">
                  <w:marLeft w:val="0"/>
                  <w:marRight w:val="0"/>
                  <w:marTop w:val="0"/>
                  <w:marBottom w:val="0"/>
                  <w:divBdr>
                    <w:top w:val="none" w:sz="0" w:space="0" w:color="auto"/>
                    <w:left w:val="none" w:sz="0" w:space="0" w:color="auto"/>
                    <w:bottom w:val="none" w:sz="0" w:space="0" w:color="auto"/>
                    <w:right w:val="none" w:sz="0" w:space="0" w:color="auto"/>
                  </w:divBdr>
                  <w:divsChild>
                    <w:div w:id="297222477">
                      <w:marLeft w:val="0"/>
                      <w:marRight w:val="0"/>
                      <w:marTop w:val="0"/>
                      <w:marBottom w:val="0"/>
                      <w:divBdr>
                        <w:top w:val="none" w:sz="0" w:space="0" w:color="auto"/>
                        <w:left w:val="none" w:sz="0" w:space="0" w:color="auto"/>
                        <w:bottom w:val="none" w:sz="0" w:space="0" w:color="auto"/>
                        <w:right w:val="none" w:sz="0" w:space="0" w:color="auto"/>
                      </w:divBdr>
                    </w:div>
                    <w:div w:id="369307427">
                      <w:marLeft w:val="0"/>
                      <w:marRight w:val="0"/>
                      <w:marTop w:val="0"/>
                      <w:marBottom w:val="0"/>
                      <w:divBdr>
                        <w:top w:val="none" w:sz="0" w:space="0" w:color="auto"/>
                        <w:left w:val="none" w:sz="0" w:space="0" w:color="auto"/>
                        <w:bottom w:val="none" w:sz="0" w:space="0" w:color="auto"/>
                        <w:right w:val="none" w:sz="0" w:space="0" w:color="auto"/>
                      </w:divBdr>
                    </w:div>
                    <w:div w:id="654336613">
                      <w:marLeft w:val="0"/>
                      <w:marRight w:val="0"/>
                      <w:marTop w:val="0"/>
                      <w:marBottom w:val="0"/>
                      <w:divBdr>
                        <w:top w:val="none" w:sz="0" w:space="0" w:color="auto"/>
                        <w:left w:val="none" w:sz="0" w:space="0" w:color="auto"/>
                        <w:bottom w:val="none" w:sz="0" w:space="0" w:color="auto"/>
                        <w:right w:val="none" w:sz="0" w:space="0" w:color="auto"/>
                      </w:divBdr>
                    </w:div>
                    <w:div w:id="764228587">
                      <w:marLeft w:val="0"/>
                      <w:marRight w:val="0"/>
                      <w:marTop w:val="0"/>
                      <w:marBottom w:val="0"/>
                      <w:divBdr>
                        <w:top w:val="none" w:sz="0" w:space="0" w:color="auto"/>
                        <w:left w:val="none" w:sz="0" w:space="0" w:color="auto"/>
                        <w:bottom w:val="none" w:sz="0" w:space="0" w:color="auto"/>
                        <w:right w:val="none" w:sz="0" w:space="0" w:color="auto"/>
                      </w:divBdr>
                    </w:div>
                    <w:div w:id="800805373">
                      <w:marLeft w:val="0"/>
                      <w:marRight w:val="0"/>
                      <w:marTop w:val="0"/>
                      <w:marBottom w:val="0"/>
                      <w:divBdr>
                        <w:top w:val="none" w:sz="0" w:space="0" w:color="auto"/>
                        <w:left w:val="none" w:sz="0" w:space="0" w:color="auto"/>
                        <w:bottom w:val="none" w:sz="0" w:space="0" w:color="auto"/>
                        <w:right w:val="none" w:sz="0" w:space="0" w:color="auto"/>
                      </w:divBdr>
                    </w:div>
                    <w:div w:id="1018505311">
                      <w:marLeft w:val="0"/>
                      <w:marRight w:val="0"/>
                      <w:marTop w:val="0"/>
                      <w:marBottom w:val="0"/>
                      <w:divBdr>
                        <w:top w:val="none" w:sz="0" w:space="0" w:color="auto"/>
                        <w:left w:val="none" w:sz="0" w:space="0" w:color="auto"/>
                        <w:bottom w:val="none" w:sz="0" w:space="0" w:color="auto"/>
                        <w:right w:val="none" w:sz="0" w:space="0" w:color="auto"/>
                      </w:divBdr>
                    </w:div>
                    <w:div w:id="1130974384">
                      <w:marLeft w:val="0"/>
                      <w:marRight w:val="0"/>
                      <w:marTop w:val="0"/>
                      <w:marBottom w:val="0"/>
                      <w:divBdr>
                        <w:top w:val="none" w:sz="0" w:space="0" w:color="auto"/>
                        <w:left w:val="none" w:sz="0" w:space="0" w:color="auto"/>
                        <w:bottom w:val="none" w:sz="0" w:space="0" w:color="auto"/>
                        <w:right w:val="none" w:sz="0" w:space="0" w:color="auto"/>
                      </w:divBdr>
                    </w:div>
                    <w:div w:id="1608661770">
                      <w:marLeft w:val="0"/>
                      <w:marRight w:val="0"/>
                      <w:marTop w:val="0"/>
                      <w:marBottom w:val="0"/>
                      <w:divBdr>
                        <w:top w:val="none" w:sz="0" w:space="0" w:color="auto"/>
                        <w:left w:val="none" w:sz="0" w:space="0" w:color="auto"/>
                        <w:bottom w:val="none" w:sz="0" w:space="0" w:color="auto"/>
                        <w:right w:val="none" w:sz="0" w:space="0" w:color="auto"/>
                      </w:divBdr>
                    </w:div>
                    <w:div w:id="1622540979">
                      <w:marLeft w:val="0"/>
                      <w:marRight w:val="0"/>
                      <w:marTop w:val="0"/>
                      <w:marBottom w:val="0"/>
                      <w:divBdr>
                        <w:top w:val="none" w:sz="0" w:space="0" w:color="auto"/>
                        <w:left w:val="none" w:sz="0" w:space="0" w:color="auto"/>
                        <w:bottom w:val="none" w:sz="0" w:space="0" w:color="auto"/>
                        <w:right w:val="none" w:sz="0" w:space="0" w:color="auto"/>
                      </w:divBdr>
                    </w:div>
                    <w:div w:id="1647933334">
                      <w:marLeft w:val="0"/>
                      <w:marRight w:val="0"/>
                      <w:marTop w:val="0"/>
                      <w:marBottom w:val="0"/>
                      <w:divBdr>
                        <w:top w:val="none" w:sz="0" w:space="0" w:color="auto"/>
                        <w:left w:val="none" w:sz="0" w:space="0" w:color="auto"/>
                        <w:bottom w:val="none" w:sz="0" w:space="0" w:color="auto"/>
                        <w:right w:val="none" w:sz="0" w:space="0" w:color="auto"/>
                      </w:divBdr>
                    </w:div>
                    <w:div w:id="1760442807">
                      <w:marLeft w:val="0"/>
                      <w:marRight w:val="0"/>
                      <w:marTop w:val="0"/>
                      <w:marBottom w:val="0"/>
                      <w:divBdr>
                        <w:top w:val="none" w:sz="0" w:space="0" w:color="auto"/>
                        <w:left w:val="none" w:sz="0" w:space="0" w:color="auto"/>
                        <w:bottom w:val="none" w:sz="0" w:space="0" w:color="auto"/>
                        <w:right w:val="none" w:sz="0" w:space="0" w:color="auto"/>
                      </w:divBdr>
                    </w:div>
                    <w:div w:id="1814784606">
                      <w:marLeft w:val="0"/>
                      <w:marRight w:val="0"/>
                      <w:marTop w:val="0"/>
                      <w:marBottom w:val="0"/>
                      <w:divBdr>
                        <w:top w:val="none" w:sz="0" w:space="0" w:color="auto"/>
                        <w:left w:val="none" w:sz="0" w:space="0" w:color="auto"/>
                        <w:bottom w:val="none" w:sz="0" w:space="0" w:color="auto"/>
                        <w:right w:val="none" w:sz="0" w:space="0" w:color="auto"/>
                      </w:divBdr>
                    </w:div>
                    <w:div w:id="1840001982">
                      <w:marLeft w:val="0"/>
                      <w:marRight w:val="0"/>
                      <w:marTop w:val="0"/>
                      <w:marBottom w:val="0"/>
                      <w:divBdr>
                        <w:top w:val="none" w:sz="0" w:space="0" w:color="auto"/>
                        <w:left w:val="none" w:sz="0" w:space="0" w:color="auto"/>
                        <w:bottom w:val="none" w:sz="0" w:space="0" w:color="auto"/>
                        <w:right w:val="none" w:sz="0" w:space="0" w:color="auto"/>
                      </w:divBdr>
                    </w:div>
                    <w:div w:id="1848671060">
                      <w:marLeft w:val="0"/>
                      <w:marRight w:val="0"/>
                      <w:marTop w:val="0"/>
                      <w:marBottom w:val="0"/>
                      <w:divBdr>
                        <w:top w:val="none" w:sz="0" w:space="0" w:color="auto"/>
                        <w:left w:val="none" w:sz="0" w:space="0" w:color="auto"/>
                        <w:bottom w:val="none" w:sz="0" w:space="0" w:color="auto"/>
                        <w:right w:val="none" w:sz="0" w:space="0" w:color="auto"/>
                      </w:divBdr>
                    </w:div>
                    <w:div w:id="2106726715">
                      <w:marLeft w:val="0"/>
                      <w:marRight w:val="0"/>
                      <w:marTop w:val="0"/>
                      <w:marBottom w:val="0"/>
                      <w:divBdr>
                        <w:top w:val="none" w:sz="0" w:space="0" w:color="auto"/>
                        <w:left w:val="none" w:sz="0" w:space="0" w:color="auto"/>
                        <w:bottom w:val="none" w:sz="0" w:space="0" w:color="auto"/>
                        <w:right w:val="none" w:sz="0" w:space="0" w:color="auto"/>
                      </w:divBdr>
                    </w:div>
                  </w:divsChild>
                </w:div>
                <w:div w:id="2069961324">
                  <w:marLeft w:val="0"/>
                  <w:marRight w:val="0"/>
                  <w:marTop w:val="0"/>
                  <w:marBottom w:val="0"/>
                  <w:divBdr>
                    <w:top w:val="none" w:sz="0" w:space="0" w:color="auto"/>
                    <w:left w:val="none" w:sz="0" w:space="0" w:color="auto"/>
                    <w:bottom w:val="none" w:sz="0" w:space="0" w:color="auto"/>
                    <w:right w:val="none" w:sz="0" w:space="0" w:color="auto"/>
                  </w:divBdr>
                  <w:divsChild>
                    <w:div w:id="167405206">
                      <w:marLeft w:val="0"/>
                      <w:marRight w:val="0"/>
                      <w:marTop w:val="0"/>
                      <w:marBottom w:val="0"/>
                      <w:divBdr>
                        <w:top w:val="none" w:sz="0" w:space="0" w:color="auto"/>
                        <w:left w:val="none" w:sz="0" w:space="0" w:color="auto"/>
                        <w:bottom w:val="none" w:sz="0" w:space="0" w:color="auto"/>
                        <w:right w:val="none" w:sz="0" w:space="0" w:color="auto"/>
                      </w:divBdr>
                    </w:div>
                    <w:div w:id="249855750">
                      <w:marLeft w:val="0"/>
                      <w:marRight w:val="0"/>
                      <w:marTop w:val="0"/>
                      <w:marBottom w:val="0"/>
                      <w:divBdr>
                        <w:top w:val="none" w:sz="0" w:space="0" w:color="auto"/>
                        <w:left w:val="none" w:sz="0" w:space="0" w:color="auto"/>
                        <w:bottom w:val="none" w:sz="0" w:space="0" w:color="auto"/>
                        <w:right w:val="none" w:sz="0" w:space="0" w:color="auto"/>
                      </w:divBdr>
                    </w:div>
                    <w:div w:id="486945335">
                      <w:marLeft w:val="0"/>
                      <w:marRight w:val="0"/>
                      <w:marTop w:val="0"/>
                      <w:marBottom w:val="0"/>
                      <w:divBdr>
                        <w:top w:val="none" w:sz="0" w:space="0" w:color="auto"/>
                        <w:left w:val="none" w:sz="0" w:space="0" w:color="auto"/>
                        <w:bottom w:val="none" w:sz="0" w:space="0" w:color="auto"/>
                        <w:right w:val="none" w:sz="0" w:space="0" w:color="auto"/>
                      </w:divBdr>
                    </w:div>
                    <w:div w:id="542059327">
                      <w:marLeft w:val="0"/>
                      <w:marRight w:val="0"/>
                      <w:marTop w:val="0"/>
                      <w:marBottom w:val="0"/>
                      <w:divBdr>
                        <w:top w:val="none" w:sz="0" w:space="0" w:color="auto"/>
                        <w:left w:val="none" w:sz="0" w:space="0" w:color="auto"/>
                        <w:bottom w:val="none" w:sz="0" w:space="0" w:color="auto"/>
                        <w:right w:val="none" w:sz="0" w:space="0" w:color="auto"/>
                      </w:divBdr>
                    </w:div>
                    <w:div w:id="575434867">
                      <w:marLeft w:val="0"/>
                      <w:marRight w:val="0"/>
                      <w:marTop w:val="0"/>
                      <w:marBottom w:val="0"/>
                      <w:divBdr>
                        <w:top w:val="none" w:sz="0" w:space="0" w:color="auto"/>
                        <w:left w:val="none" w:sz="0" w:space="0" w:color="auto"/>
                        <w:bottom w:val="none" w:sz="0" w:space="0" w:color="auto"/>
                        <w:right w:val="none" w:sz="0" w:space="0" w:color="auto"/>
                      </w:divBdr>
                    </w:div>
                    <w:div w:id="710761833">
                      <w:marLeft w:val="0"/>
                      <w:marRight w:val="0"/>
                      <w:marTop w:val="0"/>
                      <w:marBottom w:val="0"/>
                      <w:divBdr>
                        <w:top w:val="none" w:sz="0" w:space="0" w:color="auto"/>
                        <w:left w:val="none" w:sz="0" w:space="0" w:color="auto"/>
                        <w:bottom w:val="none" w:sz="0" w:space="0" w:color="auto"/>
                        <w:right w:val="none" w:sz="0" w:space="0" w:color="auto"/>
                      </w:divBdr>
                    </w:div>
                    <w:div w:id="901908060">
                      <w:marLeft w:val="0"/>
                      <w:marRight w:val="0"/>
                      <w:marTop w:val="0"/>
                      <w:marBottom w:val="0"/>
                      <w:divBdr>
                        <w:top w:val="none" w:sz="0" w:space="0" w:color="auto"/>
                        <w:left w:val="none" w:sz="0" w:space="0" w:color="auto"/>
                        <w:bottom w:val="none" w:sz="0" w:space="0" w:color="auto"/>
                        <w:right w:val="none" w:sz="0" w:space="0" w:color="auto"/>
                      </w:divBdr>
                    </w:div>
                    <w:div w:id="1000812873">
                      <w:marLeft w:val="0"/>
                      <w:marRight w:val="0"/>
                      <w:marTop w:val="0"/>
                      <w:marBottom w:val="0"/>
                      <w:divBdr>
                        <w:top w:val="none" w:sz="0" w:space="0" w:color="auto"/>
                        <w:left w:val="none" w:sz="0" w:space="0" w:color="auto"/>
                        <w:bottom w:val="none" w:sz="0" w:space="0" w:color="auto"/>
                        <w:right w:val="none" w:sz="0" w:space="0" w:color="auto"/>
                      </w:divBdr>
                    </w:div>
                    <w:div w:id="1028875024">
                      <w:marLeft w:val="0"/>
                      <w:marRight w:val="0"/>
                      <w:marTop w:val="0"/>
                      <w:marBottom w:val="0"/>
                      <w:divBdr>
                        <w:top w:val="none" w:sz="0" w:space="0" w:color="auto"/>
                        <w:left w:val="none" w:sz="0" w:space="0" w:color="auto"/>
                        <w:bottom w:val="none" w:sz="0" w:space="0" w:color="auto"/>
                        <w:right w:val="none" w:sz="0" w:space="0" w:color="auto"/>
                      </w:divBdr>
                    </w:div>
                    <w:div w:id="1133406774">
                      <w:marLeft w:val="0"/>
                      <w:marRight w:val="0"/>
                      <w:marTop w:val="0"/>
                      <w:marBottom w:val="0"/>
                      <w:divBdr>
                        <w:top w:val="none" w:sz="0" w:space="0" w:color="auto"/>
                        <w:left w:val="none" w:sz="0" w:space="0" w:color="auto"/>
                        <w:bottom w:val="none" w:sz="0" w:space="0" w:color="auto"/>
                        <w:right w:val="none" w:sz="0" w:space="0" w:color="auto"/>
                      </w:divBdr>
                    </w:div>
                    <w:div w:id="1244952603">
                      <w:marLeft w:val="0"/>
                      <w:marRight w:val="0"/>
                      <w:marTop w:val="0"/>
                      <w:marBottom w:val="0"/>
                      <w:divBdr>
                        <w:top w:val="none" w:sz="0" w:space="0" w:color="auto"/>
                        <w:left w:val="none" w:sz="0" w:space="0" w:color="auto"/>
                        <w:bottom w:val="none" w:sz="0" w:space="0" w:color="auto"/>
                        <w:right w:val="none" w:sz="0" w:space="0" w:color="auto"/>
                      </w:divBdr>
                    </w:div>
                    <w:div w:id="1320840564">
                      <w:marLeft w:val="0"/>
                      <w:marRight w:val="0"/>
                      <w:marTop w:val="0"/>
                      <w:marBottom w:val="0"/>
                      <w:divBdr>
                        <w:top w:val="none" w:sz="0" w:space="0" w:color="auto"/>
                        <w:left w:val="none" w:sz="0" w:space="0" w:color="auto"/>
                        <w:bottom w:val="none" w:sz="0" w:space="0" w:color="auto"/>
                        <w:right w:val="none" w:sz="0" w:space="0" w:color="auto"/>
                      </w:divBdr>
                    </w:div>
                    <w:div w:id="1440637375">
                      <w:marLeft w:val="0"/>
                      <w:marRight w:val="0"/>
                      <w:marTop w:val="0"/>
                      <w:marBottom w:val="0"/>
                      <w:divBdr>
                        <w:top w:val="none" w:sz="0" w:space="0" w:color="auto"/>
                        <w:left w:val="none" w:sz="0" w:space="0" w:color="auto"/>
                        <w:bottom w:val="none" w:sz="0" w:space="0" w:color="auto"/>
                        <w:right w:val="none" w:sz="0" w:space="0" w:color="auto"/>
                      </w:divBdr>
                    </w:div>
                    <w:div w:id="1932855385">
                      <w:marLeft w:val="0"/>
                      <w:marRight w:val="0"/>
                      <w:marTop w:val="0"/>
                      <w:marBottom w:val="0"/>
                      <w:divBdr>
                        <w:top w:val="none" w:sz="0" w:space="0" w:color="auto"/>
                        <w:left w:val="none" w:sz="0" w:space="0" w:color="auto"/>
                        <w:bottom w:val="none" w:sz="0" w:space="0" w:color="auto"/>
                        <w:right w:val="none" w:sz="0" w:space="0" w:color="auto"/>
                      </w:divBdr>
                    </w:div>
                    <w:div w:id="20585114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6780611">
          <w:marLeft w:val="0"/>
          <w:marRight w:val="0"/>
          <w:marTop w:val="0"/>
          <w:marBottom w:val="0"/>
          <w:divBdr>
            <w:top w:val="none" w:sz="0" w:space="0" w:color="auto"/>
            <w:left w:val="none" w:sz="0" w:space="0" w:color="auto"/>
            <w:bottom w:val="none" w:sz="0" w:space="0" w:color="auto"/>
            <w:right w:val="none" w:sz="0" w:space="0" w:color="auto"/>
          </w:divBdr>
        </w:div>
        <w:div w:id="387384381">
          <w:marLeft w:val="0"/>
          <w:marRight w:val="0"/>
          <w:marTop w:val="0"/>
          <w:marBottom w:val="0"/>
          <w:divBdr>
            <w:top w:val="none" w:sz="0" w:space="0" w:color="auto"/>
            <w:left w:val="none" w:sz="0" w:space="0" w:color="auto"/>
            <w:bottom w:val="none" w:sz="0" w:space="0" w:color="auto"/>
            <w:right w:val="none" w:sz="0" w:space="0" w:color="auto"/>
          </w:divBdr>
        </w:div>
        <w:div w:id="392587512">
          <w:marLeft w:val="0"/>
          <w:marRight w:val="0"/>
          <w:marTop w:val="0"/>
          <w:marBottom w:val="0"/>
          <w:divBdr>
            <w:top w:val="none" w:sz="0" w:space="0" w:color="auto"/>
            <w:left w:val="none" w:sz="0" w:space="0" w:color="auto"/>
            <w:bottom w:val="none" w:sz="0" w:space="0" w:color="auto"/>
            <w:right w:val="none" w:sz="0" w:space="0" w:color="auto"/>
          </w:divBdr>
        </w:div>
        <w:div w:id="396320959">
          <w:marLeft w:val="0"/>
          <w:marRight w:val="0"/>
          <w:marTop w:val="0"/>
          <w:marBottom w:val="0"/>
          <w:divBdr>
            <w:top w:val="none" w:sz="0" w:space="0" w:color="auto"/>
            <w:left w:val="none" w:sz="0" w:space="0" w:color="auto"/>
            <w:bottom w:val="none" w:sz="0" w:space="0" w:color="auto"/>
            <w:right w:val="none" w:sz="0" w:space="0" w:color="auto"/>
          </w:divBdr>
          <w:divsChild>
            <w:div w:id="133064330">
              <w:marLeft w:val="0"/>
              <w:marRight w:val="0"/>
              <w:marTop w:val="0"/>
              <w:marBottom w:val="0"/>
              <w:divBdr>
                <w:top w:val="none" w:sz="0" w:space="0" w:color="auto"/>
                <w:left w:val="none" w:sz="0" w:space="0" w:color="auto"/>
                <w:bottom w:val="none" w:sz="0" w:space="0" w:color="auto"/>
                <w:right w:val="none" w:sz="0" w:space="0" w:color="auto"/>
              </w:divBdr>
            </w:div>
            <w:div w:id="1480262960">
              <w:marLeft w:val="0"/>
              <w:marRight w:val="0"/>
              <w:marTop w:val="0"/>
              <w:marBottom w:val="0"/>
              <w:divBdr>
                <w:top w:val="none" w:sz="0" w:space="0" w:color="auto"/>
                <w:left w:val="none" w:sz="0" w:space="0" w:color="auto"/>
                <w:bottom w:val="none" w:sz="0" w:space="0" w:color="auto"/>
                <w:right w:val="none" w:sz="0" w:space="0" w:color="auto"/>
              </w:divBdr>
            </w:div>
            <w:div w:id="1681543013">
              <w:marLeft w:val="0"/>
              <w:marRight w:val="0"/>
              <w:marTop w:val="0"/>
              <w:marBottom w:val="0"/>
              <w:divBdr>
                <w:top w:val="none" w:sz="0" w:space="0" w:color="auto"/>
                <w:left w:val="none" w:sz="0" w:space="0" w:color="auto"/>
                <w:bottom w:val="none" w:sz="0" w:space="0" w:color="auto"/>
                <w:right w:val="none" w:sz="0" w:space="0" w:color="auto"/>
              </w:divBdr>
            </w:div>
            <w:div w:id="1911502721">
              <w:marLeft w:val="0"/>
              <w:marRight w:val="0"/>
              <w:marTop w:val="0"/>
              <w:marBottom w:val="0"/>
              <w:divBdr>
                <w:top w:val="none" w:sz="0" w:space="0" w:color="auto"/>
                <w:left w:val="none" w:sz="0" w:space="0" w:color="auto"/>
                <w:bottom w:val="none" w:sz="0" w:space="0" w:color="auto"/>
                <w:right w:val="none" w:sz="0" w:space="0" w:color="auto"/>
              </w:divBdr>
            </w:div>
            <w:div w:id="1937977779">
              <w:marLeft w:val="0"/>
              <w:marRight w:val="0"/>
              <w:marTop w:val="0"/>
              <w:marBottom w:val="0"/>
              <w:divBdr>
                <w:top w:val="none" w:sz="0" w:space="0" w:color="auto"/>
                <w:left w:val="none" w:sz="0" w:space="0" w:color="auto"/>
                <w:bottom w:val="none" w:sz="0" w:space="0" w:color="auto"/>
                <w:right w:val="none" w:sz="0" w:space="0" w:color="auto"/>
              </w:divBdr>
            </w:div>
          </w:divsChild>
        </w:div>
        <w:div w:id="399059539">
          <w:marLeft w:val="0"/>
          <w:marRight w:val="0"/>
          <w:marTop w:val="0"/>
          <w:marBottom w:val="0"/>
          <w:divBdr>
            <w:top w:val="none" w:sz="0" w:space="0" w:color="auto"/>
            <w:left w:val="none" w:sz="0" w:space="0" w:color="auto"/>
            <w:bottom w:val="none" w:sz="0" w:space="0" w:color="auto"/>
            <w:right w:val="none" w:sz="0" w:space="0" w:color="auto"/>
          </w:divBdr>
          <w:divsChild>
            <w:div w:id="38868966">
              <w:marLeft w:val="0"/>
              <w:marRight w:val="0"/>
              <w:marTop w:val="0"/>
              <w:marBottom w:val="0"/>
              <w:divBdr>
                <w:top w:val="none" w:sz="0" w:space="0" w:color="auto"/>
                <w:left w:val="none" w:sz="0" w:space="0" w:color="auto"/>
                <w:bottom w:val="none" w:sz="0" w:space="0" w:color="auto"/>
                <w:right w:val="none" w:sz="0" w:space="0" w:color="auto"/>
              </w:divBdr>
            </w:div>
            <w:div w:id="806122260">
              <w:marLeft w:val="0"/>
              <w:marRight w:val="0"/>
              <w:marTop w:val="0"/>
              <w:marBottom w:val="0"/>
              <w:divBdr>
                <w:top w:val="none" w:sz="0" w:space="0" w:color="auto"/>
                <w:left w:val="none" w:sz="0" w:space="0" w:color="auto"/>
                <w:bottom w:val="none" w:sz="0" w:space="0" w:color="auto"/>
                <w:right w:val="none" w:sz="0" w:space="0" w:color="auto"/>
              </w:divBdr>
            </w:div>
            <w:div w:id="1927611644">
              <w:marLeft w:val="0"/>
              <w:marRight w:val="0"/>
              <w:marTop w:val="0"/>
              <w:marBottom w:val="0"/>
              <w:divBdr>
                <w:top w:val="none" w:sz="0" w:space="0" w:color="auto"/>
                <w:left w:val="none" w:sz="0" w:space="0" w:color="auto"/>
                <w:bottom w:val="none" w:sz="0" w:space="0" w:color="auto"/>
                <w:right w:val="none" w:sz="0" w:space="0" w:color="auto"/>
              </w:divBdr>
            </w:div>
            <w:div w:id="2069497006">
              <w:marLeft w:val="0"/>
              <w:marRight w:val="0"/>
              <w:marTop w:val="0"/>
              <w:marBottom w:val="0"/>
              <w:divBdr>
                <w:top w:val="none" w:sz="0" w:space="0" w:color="auto"/>
                <w:left w:val="none" w:sz="0" w:space="0" w:color="auto"/>
                <w:bottom w:val="none" w:sz="0" w:space="0" w:color="auto"/>
                <w:right w:val="none" w:sz="0" w:space="0" w:color="auto"/>
              </w:divBdr>
            </w:div>
            <w:div w:id="2071230324">
              <w:marLeft w:val="0"/>
              <w:marRight w:val="0"/>
              <w:marTop w:val="0"/>
              <w:marBottom w:val="0"/>
              <w:divBdr>
                <w:top w:val="none" w:sz="0" w:space="0" w:color="auto"/>
                <w:left w:val="none" w:sz="0" w:space="0" w:color="auto"/>
                <w:bottom w:val="none" w:sz="0" w:space="0" w:color="auto"/>
                <w:right w:val="none" w:sz="0" w:space="0" w:color="auto"/>
              </w:divBdr>
            </w:div>
          </w:divsChild>
        </w:div>
        <w:div w:id="402683831">
          <w:marLeft w:val="0"/>
          <w:marRight w:val="0"/>
          <w:marTop w:val="0"/>
          <w:marBottom w:val="0"/>
          <w:divBdr>
            <w:top w:val="none" w:sz="0" w:space="0" w:color="auto"/>
            <w:left w:val="none" w:sz="0" w:space="0" w:color="auto"/>
            <w:bottom w:val="none" w:sz="0" w:space="0" w:color="auto"/>
            <w:right w:val="none" w:sz="0" w:space="0" w:color="auto"/>
          </w:divBdr>
          <w:divsChild>
            <w:div w:id="32658545">
              <w:marLeft w:val="0"/>
              <w:marRight w:val="0"/>
              <w:marTop w:val="0"/>
              <w:marBottom w:val="0"/>
              <w:divBdr>
                <w:top w:val="none" w:sz="0" w:space="0" w:color="auto"/>
                <w:left w:val="none" w:sz="0" w:space="0" w:color="auto"/>
                <w:bottom w:val="none" w:sz="0" w:space="0" w:color="auto"/>
                <w:right w:val="none" w:sz="0" w:space="0" w:color="auto"/>
              </w:divBdr>
            </w:div>
            <w:div w:id="60446881">
              <w:marLeft w:val="0"/>
              <w:marRight w:val="0"/>
              <w:marTop w:val="0"/>
              <w:marBottom w:val="0"/>
              <w:divBdr>
                <w:top w:val="none" w:sz="0" w:space="0" w:color="auto"/>
                <w:left w:val="none" w:sz="0" w:space="0" w:color="auto"/>
                <w:bottom w:val="none" w:sz="0" w:space="0" w:color="auto"/>
                <w:right w:val="none" w:sz="0" w:space="0" w:color="auto"/>
              </w:divBdr>
            </w:div>
            <w:div w:id="760837697">
              <w:marLeft w:val="0"/>
              <w:marRight w:val="0"/>
              <w:marTop w:val="0"/>
              <w:marBottom w:val="0"/>
              <w:divBdr>
                <w:top w:val="none" w:sz="0" w:space="0" w:color="auto"/>
                <w:left w:val="none" w:sz="0" w:space="0" w:color="auto"/>
                <w:bottom w:val="none" w:sz="0" w:space="0" w:color="auto"/>
                <w:right w:val="none" w:sz="0" w:space="0" w:color="auto"/>
              </w:divBdr>
            </w:div>
            <w:div w:id="1056507897">
              <w:marLeft w:val="0"/>
              <w:marRight w:val="0"/>
              <w:marTop w:val="0"/>
              <w:marBottom w:val="0"/>
              <w:divBdr>
                <w:top w:val="none" w:sz="0" w:space="0" w:color="auto"/>
                <w:left w:val="none" w:sz="0" w:space="0" w:color="auto"/>
                <w:bottom w:val="none" w:sz="0" w:space="0" w:color="auto"/>
                <w:right w:val="none" w:sz="0" w:space="0" w:color="auto"/>
              </w:divBdr>
            </w:div>
            <w:div w:id="2011105311">
              <w:marLeft w:val="0"/>
              <w:marRight w:val="0"/>
              <w:marTop w:val="0"/>
              <w:marBottom w:val="0"/>
              <w:divBdr>
                <w:top w:val="none" w:sz="0" w:space="0" w:color="auto"/>
                <w:left w:val="none" w:sz="0" w:space="0" w:color="auto"/>
                <w:bottom w:val="none" w:sz="0" w:space="0" w:color="auto"/>
                <w:right w:val="none" w:sz="0" w:space="0" w:color="auto"/>
              </w:divBdr>
            </w:div>
          </w:divsChild>
        </w:div>
        <w:div w:id="433863156">
          <w:marLeft w:val="0"/>
          <w:marRight w:val="0"/>
          <w:marTop w:val="0"/>
          <w:marBottom w:val="0"/>
          <w:divBdr>
            <w:top w:val="none" w:sz="0" w:space="0" w:color="auto"/>
            <w:left w:val="none" w:sz="0" w:space="0" w:color="auto"/>
            <w:bottom w:val="none" w:sz="0" w:space="0" w:color="auto"/>
            <w:right w:val="none" w:sz="0" w:space="0" w:color="auto"/>
          </w:divBdr>
          <w:divsChild>
            <w:div w:id="649099408">
              <w:marLeft w:val="0"/>
              <w:marRight w:val="0"/>
              <w:marTop w:val="0"/>
              <w:marBottom w:val="0"/>
              <w:divBdr>
                <w:top w:val="none" w:sz="0" w:space="0" w:color="auto"/>
                <w:left w:val="none" w:sz="0" w:space="0" w:color="auto"/>
                <w:bottom w:val="none" w:sz="0" w:space="0" w:color="auto"/>
                <w:right w:val="none" w:sz="0" w:space="0" w:color="auto"/>
              </w:divBdr>
            </w:div>
            <w:div w:id="933364407">
              <w:marLeft w:val="0"/>
              <w:marRight w:val="0"/>
              <w:marTop w:val="0"/>
              <w:marBottom w:val="0"/>
              <w:divBdr>
                <w:top w:val="none" w:sz="0" w:space="0" w:color="auto"/>
                <w:left w:val="none" w:sz="0" w:space="0" w:color="auto"/>
                <w:bottom w:val="none" w:sz="0" w:space="0" w:color="auto"/>
                <w:right w:val="none" w:sz="0" w:space="0" w:color="auto"/>
              </w:divBdr>
            </w:div>
            <w:div w:id="1104693731">
              <w:marLeft w:val="0"/>
              <w:marRight w:val="0"/>
              <w:marTop w:val="0"/>
              <w:marBottom w:val="0"/>
              <w:divBdr>
                <w:top w:val="none" w:sz="0" w:space="0" w:color="auto"/>
                <w:left w:val="none" w:sz="0" w:space="0" w:color="auto"/>
                <w:bottom w:val="none" w:sz="0" w:space="0" w:color="auto"/>
                <w:right w:val="none" w:sz="0" w:space="0" w:color="auto"/>
              </w:divBdr>
            </w:div>
            <w:div w:id="1711302129">
              <w:marLeft w:val="0"/>
              <w:marRight w:val="0"/>
              <w:marTop w:val="0"/>
              <w:marBottom w:val="0"/>
              <w:divBdr>
                <w:top w:val="none" w:sz="0" w:space="0" w:color="auto"/>
                <w:left w:val="none" w:sz="0" w:space="0" w:color="auto"/>
                <w:bottom w:val="none" w:sz="0" w:space="0" w:color="auto"/>
                <w:right w:val="none" w:sz="0" w:space="0" w:color="auto"/>
              </w:divBdr>
            </w:div>
            <w:div w:id="2116442827">
              <w:marLeft w:val="0"/>
              <w:marRight w:val="0"/>
              <w:marTop w:val="0"/>
              <w:marBottom w:val="0"/>
              <w:divBdr>
                <w:top w:val="none" w:sz="0" w:space="0" w:color="auto"/>
                <w:left w:val="none" w:sz="0" w:space="0" w:color="auto"/>
                <w:bottom w:val="none" w:sz="0" w:space="0" w:color="auto"/>
                <w:right w:val="none" w:sz="0" w:space="0" w:color="auto"/>
              </w:divBdr>
            </w:div>
          </w:divsChild>
        </w:div>
        <w:div w:id="441652715">
          <w:marLeft w:val="0"/>
          <w:marRight w:val="0"/>
          <w:marTop w:val="0"/>
          <w:marBottom w:val="0"/>
          <w:divBdr>
            <w:top w:val="none" w:sz="0" w:space="0" w:color="auto"/>
            <w:left w:val="none" w:sz="0" w:space="0" w:color="auto"/>
            <w:bottom w:val="none" w:sz="0" w:space="0" w:color="auto"/>
            <w:right w:val="none" w:sz="0" w:space="0" w:color="auto"/>
          </w:divBdr>
        </w:div>
        <w:div w:id="445732789">
          <w:marLeft w:val="0"/>
          <w:marRight w:val="0"/>
          <w:marTop w:val="0"/>
          <w:marBottom w:val="0"/>
          <w:divBdr>
            <w:top w:val="none" w:sz="0" w:space="0" w:color="auto"/>
            <w:left w:val="none" w:sz="0" w:space="0" w:color="auto"/>
            <w:bottom w:val="none" w:sz="0" w:space="0" w:color="auto"/>
            <w:right w:val="none" w:sz="0" w:space="0" w:color="auto"/>
          </w:divBdr>
        </w:div>
        <w:div w:id="464740453">
          <w:marLeft w:val="0"/>
          <w:marRight w:val="0"/>
          <w:marTop w:val="0"/>
          <w:marBottom w:val="0"/>
          <w:divBdr>
            <w:top w:val="none" w:sz="0" w:space="0" w:color="auto"/>
            <w:left w:val="none" w:sz="0" w:space="0" w:color="auto"/>
            <w:bottom w:val="none" w:sz="0" w:space="0" w:color="auto"/>
            <w:right w:val="none" w:sz="0" w:space="0" w:color="auto"/>
          </w:divBdr>
          <w:divsChild>
            <w:div w:id="293297350">
              <w:marLeft w:val="0"/>
              <w:marRight w:val="0"/>
              <w:marTop w:val="0"/>
              <w:marBottom w:val="0"/>
              <w:divBdr>
                <w:top w:val="none" w:sz="0" w:space="0" w:color="auto"/>
                <w:left w:val="none" w:sz="0" w:space="0" w:color="auto"/>
                <w:bottom w:val="none" w:sz="0" w:space="0" w:color="auto"/>
                <w:right w:val="none" w:sz="0" w:space="0" w:color="auto"/>
              </w:divBdr>
            </w:div>
            <w:div w:id="633293129">
              <w:marLeft w:val="0"/>
              <w:marRight w:val="0"/>
              <w:marTop w:val="0"/>
              <w:marBottom w:val="0"/>
              <w:divBdr>
                <w:top w:val="none" w:sz="0" w:space="0" w:color="auto"/>
                <w:left w:val="none" w:sz="0" w:space="0" w:color="auto"/>
                <w:bottom w:val="none" w:sz="0" w:space="0" w:color="auto"/>
                <w:right w:val="none" w:sz="0" w:space="0" w:color="auto"/>
              </w:divBdr>
            </w:div>
            <w:div w:id="1166944605">
              <w:marLeft w:val="0"/>
              <w:marRight w:val="0"/>
              <w:marTop w:val="0"/>
              <w:marBottom w:val="0"/>
              <w:divBdr>
                <w:top w:val="none" w:sz="0" w:space="0" w:color="auto"/>
                <w:left w:val="none" w:sz="0" w:space="0" w:color="auto"/>
                <w:bottom w:val="none" w:sz="0" w:space="0" w:color="auto"/>
                <w:right w:val="none" w:sz="0" w:space="0" w:color="auto"/>
              </w:divBdr>
            </w:div>
            <w:div w:id="1522740007">
              <w:marLeft w:val="0"/>
              <w:marRight w:val="0"/>
              <w:marTop w:val="0"/>
              <w:marBottom w:val="0"/>
              <w:divBdr>
                <w:top w:val="none" w:sz="0" w:space="0" w:color="auto"/>
                <w:left w:val="none" w:sz="0" w:space="0" w:color="auto"/>
                <w:bottom w:val="none" w:sz="0" w:space="0" w:color="auto"/>
                <w:right w:val="none" w:sz="0" w:space="0" w:color="auto"/>
              </w:divBdr>
            </w:div>
            <w:div w:id="1844323264">
              <w:marLeft w:val="0"/>
              <w:marRight w:val="0"/>
              <w:marTop w:val="0"/>
              <w:marBottom w:val="0"/>
              <w:divBdr>
                <w:top w:val="none" w:sz="0" w:space="0" w:color="auto"/>
                <w:left w:val="none" w:sz="0" w:space="0" w:color="auto"/>
                <w:bottom w:val="none" w:sz="0" w:space="0" w:color="auto"/>
                <w:right w:val="none" w:sz="0" w:space="0" w:color="auto"/>
              </w:divBdr>
            </w:div>
          </w:divsChild>
        </w:div>
        <w:div w:id="473302844">
          <w:marLeft w:val="0"/>
          <w:marRight w:val="0"/>
          <w:marTop w:val="0"/>
          <w:marBottom w:val="0"/>
          <w:divBdr>
            <w:top w:val="none" w:sz="0" w:space="0" w:color="auto"/>
            <w:left w:val="none" w:sz="0" w:space="0" w:color="auto"/>
            <w:bottom w:val="none" w:sz="0" w:space="0" w:color="auto"/>
            <w:right w:val="none" w:sz="0" w:space="0" w:color="auto"/>
          </w:divBdr>
          <w:divsChild>
            <w:div w:id="1697929937">
              <w:marLeft w:val="-75"/>
              <w:marRight w:val="0"/>
              <w:marTop w:val="30"/>
              <w:marBottom w:val="30"/>
              <w:divBdr>
                <w:top w:val="none" w:sz="0" w:space="0" w:color="auto"/>
                <w:left w:val="none" w:sz="0" w:space="0" w:color="auto"/>
                <w:bottom w:val="none" w:sz="0" w:space="0" w:color="auto"/>
                <w:right w:val="none" w:sz="0" w:space="0" w:color="auto"/>
              </w:divBdr>
              <w:divsChild>
                <w:div w:id="345406564">
                  <w:marLeft w:val="0"/>
                  <w:marRight w:val="0"/>
                  <w:marTop w:val="0"/>
                  <w:marBottom w:val="0"/>
                  <w:divBdr>
                    <w:top w:val="none" w:sz="0" w:space="0" w:color="auto"/>
                    <w:left w:val="none" w:sz="0" w:space="0" w:color="auto"/>
                    <w:bottom w:val="none" w:sz="0" w:space="0" w:color="auto"/>
                    <w:right w:val="none" w:sz="0" w:space="0" w:color="auto"/>
                  </w:divBdr>
                  <w:divsChild>
                    <w:div w:id="2057847213">
                      <w:marLeft w:val="0"/>
                      <w:marRight w:val="0"/>
                      <w:marTop w:val="0"/>
                      <w:marBottom w:val="0"/>
                      <w:divBdr>
                        <w:top w:val="none" w:sz="0" w:space="0" w:color="auto"/>
                        <w:left w:val="none" w:sz="0" w:space="0" w:color="auto"/>
                        <w:bottom w:val="none" w:sz="0" w:space="0" w:color="auto"/>
                        <w:right w:val="none" w:sz="0" w:space="0" w:color="auto"/>
                      </w:divBdr>
                    </w:div>
                  </w:divsChild>
                </w:div>
                <w:div w:id="1552644304">
                  <w:marLeft w:val="0"/>
                  <w:marRight w:val="0"/>
                  <w:marTop w:val="0"/>
                  <w:marBottom w:val="0"/>
                  <w:divBdr>
                    <w:top w:val="none" w:sz="0" w:space="0" w:color="auto"/>
                    <w:left w:val="none" w:sz="0" w:space="0" w:color="auto"/>
                    <w:bottom w:val="none" w:sz="0" w:space="0" w:color="auto"/>
                    <w:right w:val="none" w:sz="0" w:space="0" w:color="auto"/>
                  </w:divBdr>
                  <w:divsChild>
                    <w:div w:id="948397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2892613">
          <w:marLeft w:val="0"/>
          <w:marRight w:val="0"/>
          <w:marTop w:val="0"/>
          <w:marBottom w:val="0"/>
          <w:divBdr>
            <w:top w:val="none" w:sz="0" w:space="0" w:color="auto"/>
            <w:left w:val="none" w:sz="0" w:space="0" w:color="auto"/>
            <w:bottom w:val="none" w:sz="0" w:space="0" w:color="auto"/>
            <w:right w:val="none" w:sz="0" w:space="0" w:color="auto"/>
          </w:divBdr>
        </w:div>
        <w:div w:id="553662730">
          <w:marLeft w:val="0"/>
          <w:marRight w:val="0"/>
          <w:marTop w:val="0"/>
          <w:marBottom w:val="0"/>
          <w:divBdr>
            <w:top w:val="none" w:sz="0" w:space="0" w:color="auto"/>
            <w:left w:val="none" w:sz="0" w:space="0" w:color="auto"/>
            <w:bottom w:val="none" w:sz="0" w:space="0" w:color="auto"/>
            <w:right w:val="none" w:sz="0" w:space="0" w:color="auto"/>
          </w:divBdr>
        </w:div>
        <w:div w:id="589776222">
          <w:marLeft w:val="0"/>
          <w:marRight w:val="0"/>
          <w:marTop w:val="0"/>
          <w:marBottom w:val="0"/>
          <w:divBdr>
            <w:top w:val="none" w:sz="0" w:space="0" w:color="auto"/>
            <w:left w:val="none" w:sz="0" w:space="0" w:color="auto"/>
            <w:bottom w:val="none" w:sz="0" w:space="0" w:color="auto"/>
            <w:right w:val="none" w:sz="0" w:space="0" w:color="auto"/>
          </w:divBdr>
        </w:div>
        <w:div w:id="619268460">
          <w:marLeft w:val="0"/>
          <w:marRight w:val="0"/>
          <w:marTop w:val="0"/>
          <w:marBottom w:val="0"/>
          <w:divBdr>
            <w:top w:val="none" w:sz="0" w:space="0" w:color="auto"/>
            <w:left w:val="none" w:sz="0" w:space="0" w:color="auto"/>
            <w:bottom w:val="none" w:sz="0" w:space="0" w:color="auto"/>
            <w:right w:val="none" w:sz="0" w:space="0" w:color="auto"/>
          </w:divBdr>
          <w:divsChild>
            <w:div w:id="239679886">
              <w:marLeft w:val="0"/>
              <w:marRight w:val="0"/>
              <w:marTop w:val="0"/>
              <w:marBottom w:val="0"/>
              <w:divBdr>
                <w:top w:val="none" w:sz="0" w:space="0" w:color="auto"/>
                <w:left w:val="none" w:sz="0" w:space="0" w:color="auto"/>
                <w:bottom w:val="none" w:sz="0" w:space="0" w:color="auto"/>
                <w:right w:val="none" w:sz="0" w:space="0" w:color="auto"/>
              </w:divBdr>
            </w:div>
            <w:div w:id="798884568">
              <w:marLeft w:val="0"/>
              <w:marRight w:val="0"/>
              <w:marTop w:val="0"/>
              <w:marBottom w:val="0"/>
              <w:divBdr>
                <w:top w:val="none" w:sz="0" w:space="0" w:color="auto"/>
                <w:left w:val="none" w:sz="0" w:space="0" w:color="auto"/>
                <w:bottom w:val="none" w:sz="0" w:space="0" w:color="auto"/>
                <w:right w:val="none" w:sz="0" w:space="0" w:color="auto"/>
              </w:divBdr>
            </w:div>
            <w:div w:id="1053964111">
              <w:marLeft w:val="0"/>
              <w:marRight w:val="0"/>
              <w:marTop w:val="0"/>
              <w:marBottom w:val="0"/>
              <w:divBdr>
                <w:top w:val="none" w:sz="0" w:space="0" w:color="auto"/>
                <w:left w:val="none" w:sz="0" w:space="0" w:color="auto"/>
                <w:bottom w:val="none" w:sz="0" w:space="0" w:color="auto"/>
                <w:right w:val="none" w:sz="0" w:space="0" w:color="auto"/>
              </w:divBdr>
            </w:div>
            <w:div w:id="1657143709">
              <w:marLeft w:val="0"/>
              <w:marRight w:val="0"/>
              <w:marTop w:val="0"/>
              <w:marBottom w:val="0"/>
              <w:divBdr>
                <w:top w:val="none" w:sz="0" w:space="0" w:color="auto"/>
                <w:left w:val="none" w:sz="0" w:space="0" w:color="auto"/>
                <w:bottom w:val="none" w:sz="0" w:space="0" w:color="auto"/>
                <w:right w:val="none" w:sz="0" w:space="0" w:color="auto"/>
              </w:divBdr>
            </w:div>
            <w:div w:id="1894853763">
              <w:marLeft w:val="0"/>
              <w:marRight w:val="0"/>
              <w:marTop w:val="0"/>
              <w:marBottom w:val="0"/>
              <w:divBdr>
                <w:top w:val="none" w:sz="0" w:space="0" w:color="auto"/>
                <w:left w:val="none" w:sz="0" w:space="0" w:color="auto"/>
                <w:bottom w:val="none" w:sz="0" w:space="0" w:color="auto"/>
                <w:right w:val="none" w:sz="0" w:space="0" w:color="auto"/>
              </w:divBdr>
            </w:div>
          </w:divsChild>
        </w:div>
        <w:div w:id="648246841">
          <w:marLeft w:val="0"/>
          <w:marRight w:val="0"/>
          <w:marTop w:val="0"/>
          <w:marBottom w:val="0"/>
          <w:divBdr>
            <w:top w:val="none" w:sz="0" w:space="0" w:color="auto"/>
            <w:left w:val="none" w:sz="0" w:space="0" w:color="auto"/>
            <w:bottom w:val="none" w:sz="0" w:space="0" w:color="auto"/>
            <w:right w:val="none" w:sz="0" w:space="0" w:color="auto"/>
          </w:divBdr>
          <w:divsChild>
            <w:div w:id="153497152">
              <w:marLeft w:val="0"/>
              <w:marRight w:val="0"/>
              <w:marTop w:val="0"/>
              <w:marBottom w:val="0"/>
              <w:divBdr>
                <w:top w:val="none" w:sz="0" w:space="0" w:color="auto"/>
                <w:left w:val="none" w:sz="0" w:space="0" w:color="auto"/>
                <w:bottom w:val="none" w:sz="0" w:space="0" w:color="auto"/>
                <w:right w:val="none" w:sz="0" w:space="0" w:color="auto"/>
              </w:divBdr>
            </w:div>
            <w:div w:id="1082292980">
              <w:marLeft w:val="0"/>
              <w:marRight w:val="0"/>
              <w:marTop w:val="0"/>
              <w:marBottom w:val="0"/>
              <w:divBdr>
                <w:top w:val="none" w:sz="0" w:space="0" w:color="auto"/>
                <w:left w:val="none" w:sz="0" w:space="0" w:color="auto"/>
                <w:bottom w:val="none" w:sz="0" w:space="0" w:color="auto"/>
                <w:right w:val="none" w:sz="0" w:space="0" w:color="auto"/>
              </w:divBdr>
            </w:div>
            <w:div w:id="1281764142">
              <w:marLeft w:val="0"/>
              <w:marRight w:val="0"/>
              <w:marTop w:val="0"/>
              <w:marBottom w:val="0"/>
              <w:divBdr>
                <w:top w:val="none" w:sz="0" w:space="0" w:color="auto"/>
                <w:left w:val="none" w:sz="0" w:space="0" w:color="auto"/>
                <w:bottom w:val="none" w:sz="0" w:space="0" w:color="auto"/>
                <w:right w:val="none" w:sz="0" w:space="0" w:color="auto"/>
              </w:divBdr>
            </w:div>
            <w:div w:id="1591891178">
              <w:marLeft w:val="0"/>
              <w:marRight w:val="0"/>
              <w:marTop w:val="0"/>
              <w:marBottom w:val="0"/>
              <w:divBdr>
                <w:top w:val="none" w:sz="0" w:space="0" w:color="auto"/>
                <w:left w:val="none" w:sz="0" w:space="0" w:color="auto"/>
                <w:bottom w:val="none" w:sz="0" w:space="0" w:color="auto"/>
                <w:right w:val="none" w:sz="0" w:space="0" w:color="auto"/>
              </w:divBdr>
            </w:div>
            <w:div w:id="2067412440">
              <w:marLeft w:val="0"/>
              <w:marRight w:val="0"/>
              <w:marTop w:val="0"/>
              <w:marBottom w:val="0"/>
              <w:divBdr>
                <w:top w:val="none" w:sz="0" w:space="0" w:color="auto"/>
                <w:left w:val="none" w:sz="0" w:space="0" w:color="auto"/>
                <w:bottom w:val="none" w:sz="0" w:space="0" w:color="auto"/>
                <w:right w:val="none" w:sz="0" w:space="0" w:color="auto"/>
              </w:divBdr>
            </w:div>
          </w:divsChild>
        </w:div>
        <w:div w:id="648629929">
          <w:marLeft w:val="0"/>
          <w:marRight w:val="0"/>
          <w:marTop w:val="0"/>
          <w:marBottom w:val="0"/>
          <w:divBdr>
            <w:top w:val="none" w:sz="0" w:space="0" w:color="auto"/>
            <w:left w:val="none" w:sz="0" w:space="0" w:color="auto"/>
            <w:bottom w:val="none" w:sz="0" w:space="0" w:color="auto"/>
            <w:right w:val="none" w:sz="0" w:space="0" w:color="auto"/>
          </w:divBdr>
        </w:div>
        <w:div w:id="668601449">
          <w:marLeft w:val="0"/>
          <w:marRight w:val="0"/>
          <w:marTop w:val="0"/>
          <w:marBottom w:val="0"/>
          <w:divBdr>
            <w:top w:val="none" w:sz="0" w:space="0" w:color="auto"/>
            <w:left w:val="none" w:sz="0" w:space="0" w:color="auto"/>
            <w:bottom w:val="none" w:sz="0" w:space="0" w:color="auto"/>
            <w:right w:val="none" w:sz="0" w:space="0" w:color="auto"/>
          </w:divBdr>
        </w:div>
        <w:div w:id="738019608">
          <w:marLeft w:val="0"/>
          <w:marRight w:val="0"/>
          <w:marTop w:val="0"/>
          <w:marBottom w:val="0"/>
          <w:divBdr>
            <w:top w:val="none" w:sz="0" w:space="0" w:color="auto"/>
            <w:left w:val="none" w:sz="0" w:space="0" w:color="auto"/>
            <w:bottom w:val="none" w:sz="0" w:space="0" w:color="auto"/>
            <w:right w:val="none" w:sz="0" w:space="0" w:color="auto"/>
          </w:divBdr>
          <w:divsChild>
            <w:div w:id="82189340">
              <w:marLeft w:val="0"/>
              <w:marRight w:val="0"/>
              <w:marTop w:val="0"/>
              <w:marBottom w:val="0"/>
              <w:divBdr>
                <w:top w:val="none" w:sz="0" w:space="0" w:color="auto"/>
                <w:left w:val="none" w:sz="0" w:space="0" w:color="auto"/>
                <w:bottom w:val="none" w:sz="0" w:space="0" w:color="auto"/>
                <w:right w:val="none" w:sz="0" w:space="0" w:color="auto"/>
              </w:divBdr>
            </w:div>
            <w:div w:id="1462530089">
              <w:marLeft w:val="0"/>
              <w:marRight w:val="0"/>
              <w:marTop w:val="0"/>
              <w:marBottom w:val="0"/>
              <w:divBdr>
                <w:top w:val="none" w:sz="0" w:space="0" w:color="auto"/>
                <w:left w:val="none" w:sz="0" w:space="0" w:color="auto"/>
                <w:bottom w:val="none" w:sz="0" w:space="0" w:color="auto"/>
                <w:right w:val="none" w:sz="0" w:space="0" w:color="auto"/>
              </w:divBdr>
            </w:div>
            <w:div w:id="1619410811">
              <w:marLeft w:val="0"/>
              <w:marRight w:val="0"/>
              <w:marTop w:val="0"/>
              <w:marBottom w:val="0"/>
              <w:divBdr>
                <w:top w:val="none" w:sz="0" w:space="0" w:color="auto"/>
                <w:left w:val="none" w:sz="0" w:space="0" w:color="auto"/>
                <w:bottom w:val="none" w:sz="0" w:space="0" w:color="auto"/>
                <w:right w:val="none" w:sz="0" w:space="0" w:color="auto"/>
              </w:divBdr>
            </w:div>
            <w:div w:id="1941913351">
              <w:marLeft w:val="0"/>
              <w:marRight w:val="0"/>
              <w:marTop w:val="0"/>
              <w:marBottom w:val="0"/>
              <w:divBdr>
                <w:top w:val="none" w:sz="0" w:space="0" w:color="auto"/>
                <w:left w:val="none" w:sz="0" w:space="0" w:color="auto"/>
                <w:bottom w:val="none" w:sz="0" w:space="0" w:color="auto"/>
                <w:right w:val="none" w:sz="0" w:space="0" w:color="auto"/>
              </w:divBdr>
            </w:div>
            <w:div w:id="2119442118">
              <w:marLeft w:val="0"/>
              <w:marRight w:val="0"/>
              <w:marTop w:val="0"/>
              <w:marBottom w:val="0"/>
              <w:divBdr>
                <w:top w:val="none" w:sz="0" w:space="0" w:color="auto"/>
                <w:left w:val="none" w:sz="0" w:space="0" w:color="auto"/>
                <w:bottom w:val="none" w:sz="0" w:space="0" w:color="auto"/>
                <w:right w:val="none" w:sz="0" w:space="0" w:color="auto"/>
              </w:divBdr>
            </w:div>
          </w:divsChild>
        </w:div>
        <w:div w:id="753354059">
          <w:marLeft w:val="0"/>
          <w:marRight w:val="0"/>
          <w:marTop w:val="0"/>
          <w:marBottom w:val="0"/>
          <w:divBdr>
            <w:top w:val="none" w:sz="0" w:space="0" w:color="auto"/>
            <w:left w:val="none" w:sz="0" w:space="0" w:color="auto"/>
            <w:bottom w:val="none" w:sz="0" w:space="0" w:color="auto"/>
            <w:right w:val="none" w:sz="0" w:space="0" w:color="auto"/>
          </w:divBdr>
          <w:divsChild>
            <w:div w:id="464587776">
              <w:marLeft w:val="0"/>
              <w:marRight w:val="0"/>
              <w:marTop w:val="0"/>
              <w:marBottom w:val="0"/>
              <w:divBdr>
                <w:top w:val="none" w:sz="0" w:space="0" w:color="auto"/>
                <w:left w:val="none" w:sz="0" w:space="0" w:color="auto"/>
                <w:bottom w:val="none" w:sz="0" w:space="0" w:color="auto"/>
                <w:right w:val="none" w:sz="0" w:space="0" w:color="auto"/>
              </w:divBdr>
            </w:div>
            <w:div w:id="556623285">
              <w:marLeft w:val="0"/>
              <w:marRight w:val="0"/>
              <w:marTop w:val="0"/>
              <w:marBottom w:val="0"/>
              <w:divBdr>
                <w:top w:val="none" w:sz="0" w:space="0" w:color="auto"/>
                <w:left w:val="none" w:sz="0" w:space="0" w:color="auto"/>
                <w:bottom w:val="none" w:sz="0" w:space="0" w:color="auto"/>
                <w:right w:val="none" w:sz="0" w:space="0" w:color="auto"/>
              </w:divBdr>
            </w:div>
            <w:div w:id="678508679">
              <w:marLeft w:val="0"/>
              <w:marRight w:val="0"/>
              <w:marTop w:val="0"/>
              <w:marBottom w:val="0"/>
              <w:divBdr>
                <w:top w:val="none" w:sz="0" w:space="0" w:color="auto"/>
                <w:left w:val="none" w:sz="0" w:space="0" w:color="auto"/>
                <w:bottom w:val="none" w:sz="0" w:space="0" w:color="auto"/>
                <w:right w:val="none" w:sz="0" w:space="0" w:color="auto"/>
              </w:divBdr>
            </w:div>
            <w:div w:id="1214268685">
              <w:marLeft w:val="0"/>
              <w:marRight w:val="0"/>
              <w:marTop w:val="0"/>
              <w:marBottom w:val="0"/>
              <w:divBdr>
                <w:top w:val="none" w:sz="0" w:space="0" w:color="auto"/>
                <w:left w:val="none" w:sz="0" w:space="0" w:color="auto"/>
                <w:bottom w:val="none" w:sz="0" w:space="0" w:color="auto"/>
                <w:right w:val="none" w:sz="0" w:space="0" w:color="auto"/>
              </w:divBdr>
            </w:div>
            <w:div w:id="1593779747">
              <w:marLeft w:val="0"/>
              <w:marRight w:val="0"/>
              <w:marTop w:val="0"/>
              <w:marBottom w:val="0"/>
              <w:divBdr>
                <w:top w:val="none" w:sz="0" w:space="0" w:color="auto"/>
                <w:left w:val="none" w:sz="0" w:space="0" w:color="auto"/>
                <w:bottom w:val="none" w:sz="0" w:space="0" w:color="auto"/>
                <w:right w:val="none" w:sz="0" w:space="0" w:color="auto"/>
              </w:divBdr>
            </w:div>
          </w:divsChild>
        </w:div>
        <w:div w:id="832723161">
          <w:marLeft w:val="0"/>
          <w:marRight w:val="0"/>
          <w:marTop w:val="0"/>
          <w:marBottom w:val="0"/>
          <w:divBdr>
            <w:top w:val="none" w:sz="0" w:space="0" w:color="auto"/>
            <w:left w:val="none" w:sz="0" w:space="0" w:color="auto"/>
            <w:bottom w:val="none" w:sz="0" w:space="0" w:color="auto"/>
            <w:right w:val="none" w:sz="0" w:space="0" w:color="auto"/>
          </w:divBdr>
          <w:divsChild>
            <w:div w:id="48312033">
              <w:marLeft w:val="0"/>
              <w:marRight w:val="0"/>
              <w:marTop w:val="0"/>
              <w:marBottom w:val="0"/>
              <w:divBdr>
                <w:top w:val="none" w:sz="0" w:space="0" w:color="auto"/>
                <w:left w:val="none" w:sz="0" w:space="0" w:color="auto"/>
                <w:bottom w:val="none" w:sz="0" w:space="0" w:color="auto"/>
                <w:right w:val="none" w:sz="0" w:space="0" w:color="auto"/>
              </w:divBdr>
            </w:div>
            <w:div w:id="224920202">
              <w:marLeft w:val="0"/>
              <w:marRight w:val="0"/>
              <w:marTop w:val="0"/>
              <w:marBottom w:val="0"/>
              <w:divBdr>
                <w:top w:val="none" w:sz="0" w:space="0" w:color="auto"/>
                <w:left w:val="none" w:sz="0" w:space="0" w:color="auto"/>
                <w:bottom w:val="none" w:sz="0" w:space="0" w:color="auto"/>
                <w:right w:val="none" w:sz="0" w:space="0" w:color="auto"/>
              </w:divBdr>
            </w:div>
            <w:div w:id="727460391">
              <w:marLeft w:val="0"/>
              <w:marRight w:val="0"/>
              <w:marTop w:val="0"/>
              <w:marBottom w:val="0"/>
              <w:divBdr>
                <w:top w:val="none" w:sz="0" w:space="0" w:color="auto"/>
                <w:left w:val="none" w:sz="0" w:space="0" w:color="auto"/>
                <w:bottom w:val="none" w:sz="0" w:space="0" w:color="auto"/>
                <w:right w:val="none" w:sz="0" w:space="0" w:color="auto"/>
              </w:divBdr>
            </w:div>
            <w:div w:id="1299216014">
              <w:marLeft w:val="0"/>
              <w:marRight w:val="0"/>
              <w:marTop w:val="0"/>
              <w:marBottom w:val="0"/>
              <w:divBdr>
                <w:top w:val="none" w:sz="0" w:space="0" w:color="auto"/>
                <w:left w:val="none" w:sz="0" w:space="0" w:color="auto"/>
                <w:bottom w:val="none" w:sz="0" w:space="0" w:color="auto"/>
                <w:right w:val="none" w:sz="0" w:space="0" w:color="auto"/>
              </w:divBdr>
            </w:div>
            <w:div w:id="1537425242">
              <w:marLeft w:val="0"/>
              <w:marRight w:val="0"/>
              <w:marTop w:val="0"/>
              <w:marBottom w:val="0"/>
              <w:divBdr>
                <w:top w:val="none" w:sz="0" w:space="0" w:color="auto"/>
                <w:left w:val="none" w:sz="0" w:space="0" w:color="auto"/>
                <w:bottom w:val="none" w:sz="0" w:space="0" w:color="auto"/>
                <w:right w:val="none" w:sz="0" w:space="0" w:color="auto"/>
              </w:divBdr>
            </w:div>
          </w:divsChild>
        </w:div>
        <w:div w:id="866330854">
          <w:marLeft w:val="0"/>
          <w:marRight w:val="0"/>
          <w:marTop w:val="0"/>
          <w:marBottom w:val="0"/>
          <w:divBdr>
            <w:top w:val="none" w:sz="0" w:space="0" w:color="auto"/>
            <w:left w:val="none" w:sz="0" w:space="0" w:color="auto"/>
            <w:bottom w:val="none" w:sz="0" w:space="0" w:color="auto"/>
            <w:right w:val="none" w:sz="0" w:space="0" w:color="auto"/>
          </w:divBdr>
        </w:div>
        <w:div w:id="896089608">
          <w:marLeft w:val="0"/>
          <w:marRight w:val="0"/>
          <w:marTop w:val="0"/>
          <w:marBottom w:val="0"/>
          <w:divBdr>
            <w:top w:val="none" w:sz="0" w:space="0" w:color="auto"/>
            <w:left w:val="none" w:sz="0" w:space="0" w:color="auto"/>
            <w:bottom w:val="none" w:sz="0" w:space="0" w:color="auto"/>
            <w:right w:val="none" w:sz="0" w:space="0" w:color="auto"/>
          </w:divBdr>
          <w:divsChild>
            <w:div w:id="1989824999">
              <w:marLeft w:val="-75"/>
              <w:marRight w:val="0"/>
              <w:marTop w:val="30"/>
              <w:marBottom w:val="30"/>
              <w:divBdr>
                <w:top w:val="none" w:sz="0" w:space="0" w:color="auto"/>
                <w:left w:val="none" w:sz="0" w:space="0" w:color="auto"/>
                <w:bottom w:val="none" w:sz="0" w:space="0" w:color="auto"/>
                <w:right w:val="none" w:sz="0" w:space="0" w:color="auto"/>
              </w:divBdr>
              <w:divsChild>
                <w:div w:id="324474854">
                  <w:marLeft w:val="0"/>
                  <w:marRight w:val="0"/>
                  <w:marTop w:val="0"/>
                  <w:marBottom w:val="0"/>
                  <w:divBdr>
                    <w:top w:val="none" w:sz="0" w:space="0" w:color="auto"/>
                    <w:left w:val="none" w:sz="0" w:space="0" w:color="auto"/>
                    <w:bottom w:val="none" w:sz="0" w:space="0" w:color="auto"/>
                    <w:right w:val="none" w:sz="0" w:space="0" w:color="auto"/>
                  </w:divBdr>
                  <w:divsChild>
                    <w:div w:id="71466521">
                      <w:marLeft w:val="0"/>
                      <w:marRight w:val="0"/>
                      <w:marTop w:val="0"/>
                      <w:marBottom w:val="0"/>
                      <w:divBdr>
                        <w:top w:val="none" w:sz="0" w:space="0" w:color="auto"/>
                        <w:left w:val="none" w:sz="0" w:space="0" w:color="auto"/>
                        <w:bottom w:val="none" w:sz="0" w:space="0" w:color="auto"/>
                        <w:right w:val="none" w:sz="0" w:space="0" w:color="auto"/>
                      </w:divBdr>
                    </w:div>
                    <w:div w:id="207688731">
                      <w:marLeft w:val="0"/>
                      <w:marRight w:val="0"/>
                      <w:marTop w:val="0"/>
                      <w:marBottom w:val="0"/>
                      <w:divBdr>
                        <w:top w:val="none" w:sz="0" w:space="0" w:color="auto"/>
                        <w:left w:val="none" w:sz="0" w:space="0" w:color="auto"/>
                        <w:bottom w:val="none" w:sz="0" w:space="0" w:color="auto"/>
                        <w:right w:val="none" w:sz="0" w:space="0" w:color="auto"/>
                      </w:divBdr>
                    </w:div>
                    <w:div w:id="466362474">
                      <w:marLeft w:val="0"/>
                      <w:marRight w:val="0"/>
                      <w:marTop w:val="0"/>
                      <w:marBottom w:val="0"/>
                      <w:divBdr>
                        <w:top w:val="none" w:sz="0" w:space="0" w:color="auto"/>
                        <w:left w:val="none" w:sz="0" w:space="0" w:color="auto"/>
                        <w:bottom w:val="none" w:sz="0" w:space="0" w:color="auto"/>
                        <w:right w:val="none" w:sz="0" w:space="0" w:color="auto"/>
                      </w:divBdr>
                    </w:div>
                    <w:div w:id="868252504">
                      <w:marLeft w:val="0"/>
                      <w:marRight w:val="0"/>
                      <w:marTop w:val="0"/>
                      <w:marBottom w:val="0"/>
                      <w:divBdr>
                        <w:top w:val="none" w:sz="0" w:space="0" w:color="auto"/>
                        <w:left w:val="none" w:sz="0" w:space="0" w:color="auto"/>
                        <w:bottom w:val="none" w:sz="0" w:space="0" w:color="auto"/>
                        <w:right w:val="none" w:sz="0" w:space="0" w:color="auto"/>
                      </w:divBdr>
                    </w:div>
                    <w:div w:id="1397388223">
                      <w:marLeft w:val="0"/>
                      <w:marRight w:val="0"/>
                      <w:marTop w:val="0"/>
                      <w:marBottom w:val="0"/>
                      <w:divBdr>
                        <w:top w:val="none" w:sz="0" w:space="0" w:color="auto"/>
                        <w:left w:val="none" w:sz="0" w:space="0" w:color="auto"/>
                        <w:bottom w:val="none" w:sz="0" w:space="0" w:color="auto"/>
                        <w:right w:val="none" w:sz="0" w:space="0" w:color="auto"/>
                      </w:divBdr>
                    </w:div>
                  </w:divsChild>
                </w:div>
                <w:div w:id="1059985561">
                  <w:marLeft w:val="0"/>
                  <w:marRight w:val="0"/>
                  <w:marTop w:val="0"/>
                  <w:marBottom w:val="0"/>
                  <w:divBdr>
                    <w:top w:val="none" w:sz="0" w:space="0" w:color="auto"/>
                    <w:left w:val="none" w:sz="0" w:space="0" w:color="auto"/>
                    <w:bottom w:val="none" w:sz="0" w:space="0" w:color="auto"/>
                    <w:right w:val="none" w:sz="0" w:space="0" w:color="auto"/>
                  </w:divBdr>
                  <w:divsChild>
                    <w:div w:id="494107505">
                      <w:marLeft w:val="0"/>
                      <w:marRight w:val="0"/>
                      <w:marTop w:val="0"/>
                      <w:marBottom w:val="0"/>
                      <w:divBdr>
                        <w:top w:val="none" w:sz="0" w:space="0" w:color="auto"/>
                        <w:left w:val="none" w:sz="0" w:space="0" w:color="auto"/>
                        <w:bottom w:val="none" w:sz="0" w:space="0" w:color="auto"/>
                        <w:right w:val="none" w:sz="0" w:space="0" w:color="auto"/>
                      </w:divBdr>
                    </w:div>
                  </w:divsChild>
                </w:div>
                <w:div w:id="1098872715">
                  <w:marLeft w:val="0"/>
                  <w:marRight w:val="0"/>
                  <w:marTop w:val="0"/>
                  <w:marBottom w:val="0"/>
                  <w:divBdr>
                    <w:top w:val="none" w:sz="0" w:space="0" w:color="auto"/>
                    <w:left w:val="none" w:sz="0" w:space="0" w:color="auto"/>
                    <w:bottom w:val="none" w:sz="0" w:space="0" w:color="auto"/>
                    <w:right w:val="none" w:sz="0" w:space="0" w:color="auto"/>
                  </w:divBdr>
                  <w:divsChild>
                    <w:div w:id="950670653">
                      <w:marLeft w:val="0"/>
                      <w:marRight w:val="0"/>
                      <w:marTop w:val="0"/>
                      <w:marBottom w:val="0"/>
                      <w:divBdr>
                        <w:top w:val="none" w:sz="0" w:space="0" w:color="auto"/>
                        <w:left w:val="none" w:sz="0" w:space="0" w:color="auto"/>
                        <w:bottom w:val="none" w:sz="0" w:space="0" w:color="auto"/>
                        <w:right w:val="none" w:sz="0" w:space="0" w:color="auto"/>
                      </w:divBdr>
                    </w:div>
                  </w:divsChild>
                </w:div>
                <w:div w:id="1138375267">
                  <w:marLeft w:val="0"/>
                  <w:marRight w:val="0"/>
                  <w:marTop w:val="0"/>
                  <w:marBottom w:val="0"/>
                  <w:divBdr>
                    <w:top w:val="none" w:sz="0" w:space="0" w:color="auto"/>
                    <w:left w:val="none" w:sz="0" w:space="0" w:color="auto"/>
                    <w:bottom w:val="none" w:sz="0" w:space="0" w:color="auto"/>
                    <w:right w:val="none" w:sz="0" w:space="0" w:color="auto"/>
                  </w:divBdr>
                  <w:divsChild>
                    <w:div w:id="271279416">
                      <w:marLeft w:val="0"/>
                      <w:marRight w:val="0"/>
                      <w:marTop w:val="0"/>
                      <w:marBottom w:val="0"/>
                      <w:divBdr>
                        <w:top w:val="none" w:sz="0" w:space="0" w:color="auto"/>
                        <w:left w:val="none" w:sz="0" w:space="0" w:color="auto"/>
                        <w:bottom w:val="none" w:sz="0" w:space="0" w:color="auto"/>
                        <w:right w:val="none" w:sz="0" w:space="0" w:color="auto"/>
                      </w:divBdr>
                    </w:div>
                  </w:divsChild>
                </w:div>
                <w:div w:id="1422870889">
                  <w:marLeft w:val="0"/>
                  <w:marRight w:val="0"/>
                  <w:marTop w:val="0"/>
                  <w:marBottom w:val="0"/>
                  <w:divBdr>
                    <w:top w:val="none" w:sz="0" w:space="0" w:color="auto"/>
                    <w:left w:val="none" w:sz="0" w:space="0" w:color="auto"/>
                    <w:bottom w:val="none" w:sz="0" w:space="0" w:color="auto"/>
                    <w:right w:val="none" w:sz="0" w:space="0" w:color="auto"/>
                  </w:divBdr>
                  <w:divsChild>
                    <w:div w:id="1195465953">
                      <w:marLeft w:val="0"/>
                      <w:marRight w:val="0"/>
                      <w:marTop w:val="0"/>
                      <w:marBottom w:val="0"/>
                      <w:divBdr>
                        <w:top w:val="none" w:sz="0" w:space="0" w:color="auto"/>
                        <w:left w:val="none" w:sz="0" w:space="0" w:color="auto"/>
                        <w:bottom w:val="none" w:sz="0" w:space="0" w:color="auto"/>
                        <w:right w:val="none" w:sz="0" w:space="0" w:color="auto"/>
                      </w:divBdr>
                    </w:div>
                  </w:divsChild>
                </w:div>
                <w:div w:id="1863931470">
                  <w:marLeft w:val="0"/>
                  <w:marRight w:val="0"/>
                  <w:marTop w:val="0"/>
                  <w:marBottom w:val="0"/>
                  <w:divBdr>
                    <w:top w:val="none" w:sz="0" w:space="0" w:color="auto"/>
                    <w:left w:val="none" w:sz="0" w:space="0" w:color="auto"/>
                    <w:bottom w:val="none" w:sz="0" w:space="0" w:color="auto"/>
                    <w:right w:val="none" w:sz="0" w:space="0" w:color="auto"/>
                  </w:divBdr>
                  <w:divsChild>
                    <w:div w:id="17011254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6525962">
          <w:marLeft w:val="0"/>
          <w:marRight w:val="0"/>
          <w:marTop w:val="0"/>
          <w:marBottom w:val="0"/>
          <w:divBdr>
            <w:top w:val="none" w:sz="0" w:space="0" w:color="auto"/>
            <w:left w:val="none" w:sz="0" w:space="0" w:color="auto"/>
            <w:bottom w:val="none" w:sz="0" w:space="0" w:color="auto"/>
            <w:right w:val="none" w:sz="0" w:space="0" w:color="auto"/>
          </w:divBdr>
        </w:div>
        <w:div w:id="910962286">
          <w:marLeft w:val="0"/>
          <w:marRight w:val="0"/>
          <w:marTop w:val="0"/>
          <w:marBottom w:val="0"/>
          <w:divBdr>
            <w:top w:val="none" w:sz="0" w:space="0" w:color="auto"/>
            <w:left w:val="none" w:sz="0" w:space="0" w:color="auto"/>
            <w:bottom w:val="none" w:sz="0" w:space="0" w:color="auto"/>
            <w:right w:val="none" w:sz="0" w:space="0" w:color="auto"/>
          </w:divBdr>
          <w:divsChild>
            <w:div w:id="329795580">
              <w:marLeft w:val="0"/>
              <w:marRight w:val="0"/>
              <w:marTop w:val="0"/>
              <w:marBottom w:val="0"/>
              <w:divBdr>
                <w:top w:val="none" w:sz="0" w:space="0" w:color="auto"/>
                <w:left w:val="none" w:sz="0" w:space="0" w:color="auto"/>
                <w:bottom w:val="none" w:sz="0" w:space="0" w:color="auto"/>
                <w:right w:val="none" w:sz="0" w:space="0" w:color="auto"/>
              </w:divBdr>
            </w:div>
            <w:div w:id="540091332">
              <w:marLeft w:val="0"/>
              <w:marRight w:val="0"/>
              <w:marTop w:val="0"/>
              <w:marBottom w:val="0"/>
              <w:divBdr>
                <w:top w:val="none" w:sz="0" w:space="0" w:color="auto"/>
                <w:left w:val="none" w:sz="0" w:space="0" w:color="auto"/>
                <w:bottom w:val="none" w:sz="0" w:space="0" w:color="auto"/>
                <w:right w:val="none" w:sz="0" w:space="0" w:color="auto"/>
              </w:divBdr>
            </w:div>
            <w:div w:id="696735962">
              <w:marLeft w:val="0"/>
              <w:marRight w:val="0"/>
              <w:marTop w:val="0"/>
              <w:marBottom w:val="0"/>
              <w:divBdr>
                <w:top w:val="none" w:sz="0" w:space="0" w:color="auto"/>
                <w:left w:val="none" w:sz="0" w:space="0" w:color="auto"/>
                <w:bottom w:val="none" w:sz="0" w:space="0" w:color="auto"/>
                <w:right w:val="none" w:sz="0" w:space="0" w:color="auto"/>
              </w:divBdr>
            </w:div>
            <w:div w:id="920139255">
              <w:marLeft w:val="0"/>
              <w:marRight w:val="0"/>
              <w:marTop w:val="0"/>
              <w:marBottom w:val="0"/>
              <w:divBdr>
                <w:top w:val="none" w:sz="0" w:space="0" w:color="auto"/>
                <w:left w:val="none" w:sz="0" w:space="0" w:color="auto"/>
                <w:bottom w:val="none" w:sz="0" w:space="0" w:color="auto"/>
                <w:right w:val="none" w:sz="0" w:space="0" w:color="auto"/>
              </w:divBdr>
            </w:div>
            <w:div w:id="1701515623">
              <w:marLeft w:val="0"/>
              <w:marRight w:val="0"/>
              <w:marTop w:val="0"/>
              <w:marBottom w:val="0"/>
              <w:divBdr>
                <w:top w:val="none" w:sz="0" w:space="0" w:color="auto"/>
                <w:left w:val="none" w:sz="0" w:space="0" w:color="auto"/>
                <w:bottom w:val="none" w:sz="0" w:space="0" w:color="auto"/>
                <w:right w:val="none" w:sz="0" w:space="0" w:color="auto"/>
              </w:divBdr>
            </w:div>
          </w:divsChild>
        </w:div>
        <w:div w:id="922756837">
          <w:marLeft w:val="0"/>
          <w:marRight w:val="0"/>
          <w:marTop w:val="0"/>
          <w:marBottom w:val="0"/>
          <w:divBdr>
            <w:top w:val="none" w:sz="0" w:space="0" w:color="auto"/>
            <w:left w:val="none" w:sz="0" w:space="0" w:color="auto"/>
            <w:bottom w:val="none" w:sz="0" w:space="0" w:color="auto"/>
            <w:right w:val="none" w:sz="0" w:space="0" w:color="auto"/>
          </w:divBdr>
          <w:divsChild>
            <w:div w:id="1121001199">
              <w:marLeft w:val="-75"/>
              <w:marRight w:val="0"/>
              <w:marTop w:val="30"/>
              <w:marBottom w:val="30"/>
              <w:divBdr>
                <w:top w:val="none" w:sz="0" w:space="0" w:color="auto"/>
                <w:left w:val="none" w:sz="0" w:space="0" w:color="auto"/>
                <w:bottom w:val="none" w:sz="0" w:space="0" w:color="auto"/>
                <w:right w:val="none" w:sz="0" w:space="0" w:color="auto"/>
              </w:divBdr>
              <w:divsChild>
                <w:div w:id="900679196">
                  <w:marLeft w:val="0"/>
                  <w:marRight w:val="0"/>
                  <w:marTop w:val="0"/>
                  <w:marBottom w:val="0"/>
                  <w:divBdr>
                    <w:top w:val="none" w:sz="0" w:space="0" w:color="auto"/>
                    <w:left w:val="none" w:sz="0" w:space="0" w:color="auto"/>
                    <w:bottom w:val="none" w:sz="0" w:space="0" w:color="auto"/>
                    <w:right w:val="none" w:sz="0" w:space="0" w:color="auto"/>
                  </w:divBdr>
                  <w:divsChild>
                    <w:div w:id="768085498">
                      <w:marLeft w:val="0"/>
                      <w:marRight w:val="0"/>
                      <w:marTop w:val="0"/>
                      <w:marBottom w:val="0"/>
                      <w:divBdr>
                        <w:top w:val="none" w:sz="0" w:space="0" w:color="auto"/>
                        <w:left w:val="none" w:sz="0" w:space="0" w:color="auto"/>
                        <w:bottom w:val="none" w:sz="0" w:space="0" w:color="auto"/>
                        <w:right w:val="none" w:sz="0" w:space="0" w:color="auto"/>
                      </w:divBdr>
                    </w:div>
                    <w:div w:id="1784183958">
                      <w:marLeft w:val="0"/>
                      <w:marRight w:val="0"/>
                      <w:marTop w:val="0"/>
                      <w:marBottom w:val="0"/>
                      <w:divBdr>
                        <w:top w:val="none" w:sz="0" w:space="0" w:color="auto"/>
                        <w:left w:val="none" w:sz="0" w:space="0" w:color="auto"/>
                        <w:bottom w:val="none" w:sz="0" w:space="0" w:color="auto"/>
                        <w:right w:val="none" w:sz="0" w:space="0" w:color="auto"/>
                      </w:divBdr>
                    </w:div>
                  </w:divsChild>
                </w:div>
                <w:div w:id="1007444350">
                  <w:marLeft w:val="0"/>
                  <w:marRight w:val="0"/>
                  <w:marTop w:val="0"/>
                  <w:marBottom w:val="0"/>
                  <w:divBdr>
                    <w:top w:val="none" w:sz="0" w:space="0" w:color="auto"/>
                    <w:left w:val="none" w:sz="0" w:space="0" w:color="auto"/>
                    <w:bottom w:val="none" w:sz="0" w:space="0" w:color="auto"/>
                    <w:right w:val="none" w:sz="0" w:space="0" w:color="auto"/>
                  </w:divBdr>
                  <w:divsChild>
                    <w:div w:id="900361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6444096">
          <w:marLeft w:val="0"/>
          <w:marRight w:val="0"/>
          <w:marTop w:val="0"/>
          <w:marBottom w:val="0"/>
          <w:divBdr>
            <w:top w:val="none" w:sz="0" w:space="0" w:color="auto"/>
            <w:left w:val="none" w:sz="0" w:space="0" w:color="auto"/>
            <w:bottom w:val="none" w:sz="0" w:space="0" w:color="auto"/>
            <w:right w:val="none" w:sz="0" w:space="0" w:color="auto"/>
          </w:divBdr>
          <w:divsChild>
            <w:div w:id="190462370">
              <w:marLeft w:val="0"/>
              <w:marRight w:val="0"/>
              <w:marTop w:val="0"/>
              <w:marBottom w:val="0"/>
              <w:divBdr>
                <w:top w:val="none" w:sz="0" w:space="0" w:color="auto"/>
                <w:left w:val="none" w:sz="0" w:space="0" w:color="auto"/>
                <w:bottom w:val="none" w:sz="0" w:space="0" w:color="auto"/>
                <w:right w:val="none" w:sz="0" w:space="0" w:color="auto"/>
              </w:divBdr>
            </w:div>
            <w:div w:id="266156133">
              <w:marLeft w:val="0"/>
              <w:marRight w:val="0"/>
              <w:marTop w:val="0"/>
              <w:marBottom w:val="0"/>
              <w:divBdr>
                <w:top w:val="none" w:sz="0" w:space="0" w:color="auto"/>
                <w:left w:val="none" w:sz="0" w:space="0" w:color="auto"/>
                <w:bottom w:val="none" w:sz="0" w:space="0" w:color="auto"/>
                <w:right w:val="none" w:sz="0" w:space="0" w:color="auto"/>
              </w:divBdr>
            </w:div>
            <w:div w:id="512113149">
              <w:marLeft w:val="0"/>
              <w:marRight w:val="0"/>
              <w:marTop w:val="0"/>
              <w:marBottom w:val="0"/>
              <w:divBdr>
                <w:top w:val="none" w:sz="0" w:space="0" w:color="auto"/>
                <w:left w:val="none" w:sz="0" w:space="0" w:color="auto"/>
                <w:bottom w:val="none" w:sz="0" w:space="0" w:color="auto"/>
                <w:right w:val="none" w:sz="0" w:space="0" w:color="auto"/>
              </w:divBdr>
            </w:div>
            <w:div w:id="628708133">
              <w:marLeft w:val="0"/>
              <w:marRight w:val="0"/>
              <w:marTop w:val="0"/>
              <w:marBottom w:val="0"/>
              <w:divBdr>
                <w:top w:val="none" w:sz="0" w:space="0" w:color="auto"/>
                <w:left w:val="none" w:sz="0" w:space="0" w:color="auto"/>
                <w:bottom w:val="none" w:sz="0" w:space="0" w:color="auto"/>
                <w:right w:val="none" w:sz="0" w:space="0" w:color="auto"/>
              </w:divBdr>
            </w:div>
            <w:div w:id="1875583169">
              <w:marLeft w:val="0"/>
              <w:marRight w:val="0"/>
              <w:marTop w:val="0"/>
              <w:marBottom w:val="0"/>
              <w:divBdr>
                <w:top w:val="none" w:sz="0" w:space="0" w:color="auto"/>
                <w:left w:val="none" w:sz="0" w:space="0" w:color="auto"/>
                <w:bottom w:val="none" w:sz="0" w:space="0" w:color="auto"/>
                <w:right w:val="none" w:sz="0" w:space="0" w:color="auto"/>
              </w:divBdr>
            </w:div>
          </w:divsChild>
        </w:div>
        <w:div w:id="938680101">
          <w:marLeft w:val="0"/>
          <w:marRight w:val="0"/>
          <w:marTop w:val="0"/>
          <w:marBottom w:val="0"/>
          <w:divBdr>
            <w:top w:val="none" w:sz="0" w:space="0" w:color="auto"/>
            <w:left w:val="none" w:sz="0" w:space="0" w:color="auto"/>
            <w:bottom w:val="none" w:sz="0" w:space="0" w:color="auto"/>
            <w:right w:val="none" w:sz="0" w:space="0" w:color="auto"/>
          </w:divBdr>
          <w:divsChild>
            <w:div w:id="929436668">
              <w:marLeft w:val="-75"/>
              <w:marRight w:val="0"/>
              <w:marTop w:val="30"/>
              <w:marBottom w:val="30"/>
              <w:divBdr>
                <w:top w:val="none" w:sz="0" w:space="0" w:color="auto"/>
                <w:left w:val="none" w:sz="0" w:space="0" w:color="auto"/>
                <w:bottom w:val="none" w:sz="0" w:space="0" w:color="auto"/>
                <w:right w:val="none" w:sz="0" w:space="0" w:color="auto"/>
              </w:divBdr>
              <w:divsChild>
                <w:div w:id="85855039">
                  <w:marLeft w:val="0"/>
                  <w:marRight w:val="0"/>
                  <w:marTop w:val="0"/>
                  <w:marBottom w:val="0"/>
                  <w:divBdr>
                    <w:top w:val="none" w:sz="0" w:space="0" w:color="auto"/>
                    <w:left w:val="none" w:sz="0" w:space="0" w:color="auto"/>
                    <w:bottom w:val="none" w:sz="0" w:space="0" w:color="auto"/>
                    <w:right w:val="none" w:sz="0" w:space="0" w:color="auto"/>
                  </w:divBdr>
                  <w:divsChild>
                    <w:div w:id="969046408">
                      <w:marLeft w:val="0"/>
                      <w:marRight w:val="0"/>
                      <w:marTop w:val="0"/>
                      <w:marBottom w:val="0"/>
                      <w:divBdr>
                        <w:top w:val="none" w:sz="0" w:space="0" w:color="auto"/>
                        <w:left w:val="none" w:sz="0" w:space="0" w:color="auto"/>
                        <w:bottom w:val="none" w:sz="0" w:space="0" w:color="auto"/>
                        <w:right w:val="none" w:sz="0" w:space="0" w:color="auto"/>
                      </w:divBdr>
                    </w:div>
                  </w:divsChild>
                </w:div>
                <w:div w:id="102506273">
                  <w:marLeft w:val="0"/>
                  <w:marRight w:val="0"/>
                  <w:marTop w:val="0"/>
                  <w:marBottom w:val="0"/>
                  <w:divBdr>
                    <w:top w:val="none" w:sz="0" w:space="0" w:color="auto"/>
                    <w:left w:val="none" w:sz="0" w:space="0" w:color="auto"/>
                    <w:bottom w:val="none" w:sz="0" w:space="0" w:color="auto"/>
                    <w:right w:val="none" w:sz="0" w:space="0" w:color="auto"/>
                  </w:divBdr>
                  <w:divsChild>
                    <w:div w:id="1850437967">
                      <w:marLeft w:val="0"/>
                      <w:marRight w:val="0"/>
                      <w:marTop w:val="0"/>
                      <w:marBottom w:val="0"/>
                      <w:divBdr>
                        <w:top w:val="none" w:sz="0" w:space="0" w:color="auto"/>
                        <w:left w:val="none" w:sz="0" w:space="0" w:color="auto"/>
                        <w:bottom w:val="none" w:sz="0" w:space="0" w:color="auto"/>
                        <w:right w:val="none" w:sz="0" w:space="0" w:color="auto"/>
                      </w:divBdr>
                    </w:div>
                  </w:divsChild>
                </w:div>
                <w:div w:id="145051843">
                  <w:marLeft w:val="0"/>
                  <w:marRight w:val="0"/>
                  <w:marTop w:val="0"/>
                  <w:marBottom w:val="0"/>
                  <w:divBdr>
                    <w:top w:val="none" w:sz="0" w:space="0" w:color="auto"/>
                    <w:left w:val="none" w:sz="0" w:space="0" w:color="auto"/>
                    <w:bottom w:val="none" w:sz="0" w:space="0" w:color="auto"/>
                    <w:right w:val="none" w:sz="0" w:space="0" w:color="auto"/>
                  </w:divBdr>
                  <w:divsChild>
                    <w:div w:id="1426880540">
                      <w:marLeft w:val="0"/>
                      <w:marRight w:val="0"/>
                      <w:marTop w:val="0"/>
                      <w:marBottom w:val="0"/>
                      <w:divBdr>
                        <w:top w:val="none" w:sz="0" w:space="0" w:color="auto"/>
                        <w:left w:val="none" w:sz="0" w:space="0" w:color="auto"/>
                        <w:bottom w:val="none" w:sz="0" w:space="0" w:color="auto"/>
                        <w:right w:val="none" w:sz="0" w:space="0" w:color="auto"/>
                      </w:divBdr>
                    </w:div>
                  </w:divsChild>
                </w:div>
                <w:div w:id="155731734">
                  <w:marLeft w:val="0"/>
                  <w:marRight w:val="0"/>
                  <w:marTop w:val="0"/>
                  <w:marBottom w:val="0"/>
                  <w:divBdr>
                    <w:top w:val="none" w:sz="0" w:space="0" w:color="auto"/>
                    <w:left w:val="none" w:sz="0" w:space="0" w:color="auto"/>
                    <w:bottom w:val="none" w:sz="0" w:space="0" w:color="auto"/>
                    <w:right w:val="none" w:sz="0" w:space="0" w:color="auto"/>
                  </w:divBdr>
                  <w:divsChild>
                    <w:div w:id="44724472">
                      <w:marLeft w:val="0"/>
                      <w:marRight w:val="0"/>
                      <w:marTop w:val="0"/>
                      <w:marBottom w:val="0"/>
                      <w:divBdr>
                        <w:top w:val="none" w:sz="0" w:space="0" w:color="auto"/>
                        <w:left w:val="none" w:sz="0" w:space="0" w:color="auto"/>
                        <w:bottom w:val="none" w:sz="0" w:space="0" w:color="auto"/>
                        <w:right w:val="none" w:sz="0" w:space="0" w:color="auto"/>
                      </w:divBdr>
                    </w:div>
                  </w:divsChild>
                </w:div>
                <w:div w:id="500118690">
                  <w:marLeft w:val="0"/>
                  <w:marRight w:val="0"/>
                  <w:marTop w:val="0"/>
                  <w:marBottom w:val="0"/>
                  <w:divBdr>
                    <w:top w:val="none" w:sz="0" w:space="0" w:color="auto"/>
                    <w:left w:val="none" w:sz="0" w:space="0" w:color="auto"/>
                    <w:bottom w:val="none" w:sz="0" w:space="0" w:color="auto"/>
                    <w:right w:val="none" w:sz="0" w:space="0" w:color="auto"/>
                  </w:divBdr>
                  <w:divsChild>
                    <w:div w:id="1174420508">
                      <w:marLeft w:val="0"/>
                      <w:marRight w:val="0"/>
                      <w:marTop w:val="0"/>
                      <w:marBottom w:val="0"/>
                      <w:divBdr>
                        <w:top w:val="none" w:sz="0" w:space="0" w:color="auto"/>
                        <w:left w:val="none" w:sz="0" w:space="0" w:color="auto"/>
                        <w:bottom w:val="none" w:sz="0" w:space="0" w:color="auto"/>
                        <w:right w:val="none" w:sz="0" w:space="0" w:color="auto"/>
                      </w:divBdr>
                    </w:div>
                  </w:divsChild>
                </w:div>
                <w:div w:id="561015669">
                  <w:marLeft w:val="0"/>
                  <w:marRight w:val="0"/>
                  <w:marTop w:val="0"/>
                  <w:marBottom w:val="0"/>
                  <w:divBdr>
                    <w:top w:val="none" w:sz="0" w:space="0" w:color="auto"/>
                    <w:left w:val="none" w:sz="0" w:space="0" w:color="auto"/>
                    <w:bottom w:val="none" w:sz="0" w:space="0" w:color="auto"/>
                    <w:right w:val="none" w:sz="0" w:space="0" w:color="auto"/>
                  </w:divBdr>
                  <w:divsChild>
                    <w:div w:id="613560007">
                      <w:marLeft w:val="0"/>
                      <w:marRight w:val="0"/>
                      <w:marTop w:val="0"/>
                      <w:marBottom w:val="0"/>
                      <w:divBdr>
                        <w:top w:val="none" w:sz="0" w:space="0" w:color="auto"/>
                        <w:left w:val="none" w:sz="0" w:space="0" w:color="auto"/>
                        <w:bottom w:val="none" w:sz="0" w:space="0" w:color="auto"/>
                        <w:right w:val="none" w:sz="0" w:space="0" w:color="auto"/>
                      </w:divBdr>
                    </w:div>
                  </w:divsChild>
                </w:div>
                <w:div w:id="565914487">
                  <w:marLeft w:val="0"/>
                  <w:marRight w:val="0"/>
                  <w:marTop w:val="0"/>
                  <w:marBottom w:val="0"/>
                  <w:divBdr>
                    <w:top w:val="none" w:sz="0" w:space="0" w:color="auto"/>
                    <w:left w:val="none" w:sz="0" w:space="0" w:color="auto"/>
                    <w:bottom w:val="none" w:sz="0" w:space="0" w:color="auto"/>
                    <w:right w:val="none" w:sz="0" w:space="0" w:color="auto"/>
                  </w:divBdr>
                  <w:divsChild>
                    <w:div w:id="327438583">
                      <w:marLeft w:val="0"/>
                      <w:marRight w:val="0"/>
                      <w:marTop w:val="0"/>
                      <w:marBottom w:val="0"/>
                      <w:divBdr>
                        <w:top w:val="none" w:sz="0" w:space="0" w:color="auto"/>
                        <w:left w:val="none" w:sz="0" w:space="0" w:color="auto"/>
                        <w:bottom w:val="none" w:sz="0" w:space="0" w:color="auto"/>
                        <w:right w:val="none" w:sz="0" w:space="0" w:color="auto"/>
                      </w:divBdr>
                    </w:div>
                  </w:divsChild>
                </w:div>
                <w:div w:id="567226348">
                  <w:marLeft w:val="0"/>
                  <w:marRight w:val="0"/>
                  <w:marTop w:val="0"/>
                  <w:marBottom w:val="0"/>
                  <w:divBdr>
                    <w:top w:val="none" w:sz="0" w:space="0" w:color="auto"/>
                    <w:left w:val="none" w:sz="0" w:space="0" w:color="auto"/>
                    <w:bottom w:val="none" w:sz="0" w:space="0" w:color="auto"/>
                    <w:right w:val="none" w:sz="0" w:space="0" w:color="auto"/>
                  </w:divBdr>
                  <w:divsChild>
                    <w:div w:id="2118523800">
                      <w:marLeft w:val="0"/>
                      <w:marRight w:val="0"/>
                      <w:marTop w:val="0"/>
                      <w:marBottom w:val="0"/>
                      <w:divBdr>
                        <w:top w:val="none" w:sz="0" w:space="0" w:color="auto"/>
                        <w:left w:val="none" w:sz="0" w:space="0" w:color="auto"/>
                        <w:bottom w:val="none" w:sz="0" w:space="0" w:color="auto"/>
                        <w:right w:val="none" w:sz="0" w:space="0" w:color="auto"/>
                      </w:divBdr>
                    </w:div>
                  </w:divsChild>
                </w:div>
                <w:div w:id="709844298">
                  <w:marLeft w:val="0"/>
                  <w:marRight w:val="0"/>
                  <w:marTop w:val="0"/>
                  <w:marBottom w:val="0"/>
                  <w:divBdr>
                    <w:top w:val="none" w:sz="0" w:space="0" w:color="auto"/>
                    <w:left w:val="none" w:sz="0" w:space="0" w:color="auto"/>
                    <w:bottom w:val="none" w:sz="0" w:space="0" w:color="auto"/>
                    <w:right w:val="none" w:sz="0" w:space="0" w:color="auto"/>
                  </w:divBdr>
                  <w:divsChild>
                    <w:div w:id="42533632">
                      <w:marLeft w:val="0"/>
                      <w:marRight w:val="0"/>
                      <w:marTop w:val="0"/>
                      <w:marBottom w:val="0"/>
                      <w:divBdr>
                        <w:top w:val="none" w:sz="0" w:space="0" w:color="auto"/>
                        <w:left w:val="none" w:sz="0" w:space="0" w:color="auto"/>
                        <w:bottom w:val="none" w:sz="0" w:space="0" w:color="auto"/>
                        <w:right w:val="none" w:sz="0" w:space="0" w:color="auto"/>
                      </w:divBdr>
                    </w:div>
                  </w:divsChild>
                </w:div>
                <w:div w:id="800613902">
                  <w:marLeft w:val="0"/>
                  <w:marRight w:val="0"/>
                  <w:marTop w:val="0"/>
                  <w:marBottom w:val="0"/>
                  <w:divBdr>
                    <w:top w:val="none" w:sz="0" w:space="0" w:color="auto"/>
                    <w:left w:val="none" w:sz="0" w:space="0" w:color="auto"/>
                    <w:bottom w:val="none" w:sz="0" w:space="0" w:color="auto"/>
                    <w:right w:val="none" w:sz="0" w:space="0" w:color="auto"/>
                  </w:divBdr>
                  <w:divsChild>
                    <w:div w:id="1913271004">
                      <w:marLeft w:val="0"/>
                      <w:marRight w:val="0"/>
                      <w:marTop w:val="0"/>
                      <w:marBottom w:val="0"/>
                      <w:divBdr>
                        <w:top w:val="none" w:sz="0" w:space="0" w:color="auto"/>
                        <w:left w:val="none" w:sz="0" w:space="0" w:color="auto"/>
                        <w:bottom w:val="none" w:sz="0" w:space="0" w:color="auto"/>
                        <w:right w:val="none" w:sz="0" w:space="0" w:color="auto"/>
                      </w:divBdr>
                    </w:div>
                  </w:divsChild>
                </w:div>
                <w:div w:id="898514995">
                  <w:marLeft w:val="0"/>
                  <w:marRight w:val="0"/>
                  <w:marTop w:val="0"/>
                  <w:marBottom w:val="0"/>
                  <w:divBdr>
                    <w:top w:val="none" w:sz="0" w:space="0" w:color="auto"/>
                    <w:left w:val="none" w:sz="0" w:space="0" w:color="auto"/>
                    <w:bottom w:val="none" w:sz="0" w:space="0" w:color="auto"/>
                    <w:right w:val="none" w:sz="0" w:space="0" w:color="auto"/>
                  </w:divBdr>
                  <w:divsChild>
                    <w:div w:id="69499464">
                      <w:marLeft w:val="0"/>
                      <w:marRight w:val="0"/>
                      <w:marTop w:val="0"/>
                      <w:marBottom w:val="0"/>
                      <w:divBdr>
                        <w:top w:val="none" w:sz="0" w:space="0" w:color="auto"/>
                        <w:left w:val="none" w:sz="0" w:space="0" w:color="auto"/>
                        <w:bottom w:val="none" w:sz="0" w:space="0" w:color="auto"/>
                        <w:right w:val="none" w:sz="0" w:space="0" w:color="auto"/>
                      </w:divBdr>
                    </w:div>
                  </w:divsChild>
                </w:div>
                <w:div w:id="1032456247">
                  <w:marLeft w:val="0"/>
                  <w:marRight w:val="0"/>
                  <w:marTop w:val="0"/>
                  <w:marBottom w:val="0"/>
                  <w:divBdr>
                    <w:top w:val="none" w:sz="0" w:space="0" w:color="auto"/>
                    <w:left w:val="none" w:sz="0" w:space="0" w:color="auto"/>
                    <w:bottom w:val="none" w:sz="0" w:space="0" w:color="auto"/>
                    <w:right w:val="none" w:sz="0" w:space="0" w:color="auto"/>
                  </w:divBdr>
                  <w:divsChild>
                    <w:div w:id="160513497">
                      <w:marLeft w:val="0"/>
                      <w:marRight w:val="0"/>
                      <w:marTop w:val="0"/>
                      <w:marBottom w:val="0"/>
                      <w:divBdr>
                        <w:top w:val="none" w:sz="0" w:space="0" w:color="auto"/>
                        <w:left w:val="none" w:sz="0" w:space="0" w:color="auto"/>
                        <w:bottom w:val="none" w:sz="0" w:space="0" w:color="auto"/>
                        <w:right w:val="none" w:sz="0" w:space="0" w:color="auto"/>
                      </w:divBdr>
                    </w:div>
                  </w:divsChild>
                </w:div>
                <w:div w:id="1209730290">
                  <w:marLeft w:val="0"/>
                  <w:marRight w:val="0"/>
                  <w:marTop w:val="0"/>
                  <w:marBottom w:val="0"/>
                  <w:divBdr>
                    <w:top w:val="none" w:sz="0" w:space="0" w:color="auto"/>
                    <w:left w:val="none" w:sz="0" w:space="0" w:color="auto"/>
                    <w:bottom w:val="none" w:sz="0" w:space="0" w:color="auto"/>
                    <w:right w:val="none" w:sz="0" w:space="0" w:color="auto"/>
                  </w:divBdr>
                  <w:divsChild>
                    <w:div w:id="1771197614">
                      <w:marLeft w:val="0"/>
                      <w:marRight w:val="0"/>
                      <w:marTop w:val="0"/>
                      <w:marBottom w:val="0"/>
                      <w:divBdr>
                        <w:top w:val="none" w:sz="0" w:space="0" w:color="auto"/>
                        <w:left w:val="none" w:sz="0" w:space="0" w:color="auto"/>
                        <w:bottom w:val="none" w:sz="0" w:space="0" w:color="auto"/>
                        <w:right w:val="none" w:sz="0" w:space="0" w:color="auto"/>
                      </w:divBdr>
                    </w:div>
                  </w:divsChild>
                </w:div>
                <w:div w:id="1301228565">
                  <w:marLeft w:val="0"/>
                  <w:marRight w:val="0"/>
                  <w:marTop w:val="0"/>
                  <w:marBottom w:val="0"/>
                  <w:divBdr>
                    <w:top w:val="none" w:sz="0" w:space="0" w:color="auto"/>
                    <w:left w:val="none" w:sz="0" w:space="0" w:color="auto"/>
                    <w:bottom w:val="none" w:sz="0" w:space="0" w:color="auto"/>
                    <w:right w:val="none" w:sz="0" w:space="0" w:color="auto"/>
                  </w:divBdr>
                  <w:divsChild>
                    <w:div w:id="773285267">
                      <w:marLeft w:val="0"/>
                      <w:marRight w:val="0"/>
                      <w:marTop w:val="0"/>
                      <w:marBottom w:val="0"/>
                      <w:divBdr>
                        <w:top w:val="none" w:sz="0" w:space="0" w:color="auto"/>
                        <w:left w:val="none" w:sz="0" w:space="0" w:color="auto"/>
                        <w:bottom w:val="none" w:sz="0" w:space="0" w:color="auto"/>
                        <w:right w:val="none" w:sz="0" w:space="0" w:color="auto"/>
                      </w:divBdr>
                    </w:div>
                  </w:divsChild>
                </w:div>
                <w:div w:id="1690332269">
                  <w:marLeft w:val="0"/>
                  <w:marRight w:val="0"/>
                  <w:marTop w:val="0"/>
                  <w:marBottom w:val="0"/>
                  <w:divBdr>
                    <w:top w:val="none" w:sz="0" w:space="0" w:color="auto"/>
                    <w:left w:val="none" w:sz="0" w:space="0" w:color="auto"/>
                    <w:bottom w:val="none" w:sz="0" w:space="0" w:color="auto"/>
                    <w:right w:val="none" w:sz="0" w:space="0" w:color="auto"/>
                  </w:divBdr>
                  <w:divsChild>
                    <w:div w:id="773670552">
                      <w:marLeft w:val="0"/>
                      <w:marRight w:val="0"/>
                      <w:marTop w:val="0"/>
                      <w:marBottom w:val="0"/>
                      <w:divBdr>
                        <w:top w:val="none" w:sz="0" w:space="0" w:color="auto"/>
                        <w:left w:val="none" w:sz="0" w:space="0" w:color="auto"/>
                        <w:bottom w:val="none" w:sz="0" w:space="0" w:color="auto"/>
                        <w:right w:val="none" w:sz="0" w:space="0" w:color="auto"/>
                      </w:divBdr>
                    </w:div>
                  </w:divsChild>
                </w:div>
                <w:div w:id="1729961820">
                  <w:marLeft w:val="0"/>
                  <w:marRight w:val="0"/>
                  <w:marTop w:val="0"/>
                  <w:marBottom w:val="0"/>
                  <w:divBdr>
                    <w:top w:val="none" w:sz="0" w:space="0" w:color="auto"/>
                    <w:left w:val="none" w:sz="0" w:space="0" w:color="auto"/>
                    <w:bottom w:val="none" w:sz="0" w:space="0" w:color="auto"/>
                    <w:right w:val="none" w:sz="0" w:space="0" w:color="auto"/>
                  </w:divBdr>
                  <w:divsChild>
                    <w:div w:id="1034424027">
                      <w:marLeft w:val="0"/>
                      <w:marRight w:val="0"/>
                      <w:marTop w:val="0"/>
                      <w:marBottom w:val="0"/>
                      <w:divBdr>
                        <w:top w:val="none" w:sz="0" w:space="0" w:color="auto"/>
                        <w:left w:val="none" w:sz="0" w:space="0" w:color="auto"/>
                        <w:bottom w:val="none" w:sz="0" w:space="0" w:color="auto"/>
                        <w:right w:val="none" w:sz="0" w:space="0" w:color="auto"/>
                      </w:divBdr>
                    </w:div>
                  </w:divsChild>
                </w:div>
                <w:div w:id="1791587766">
                  <w:marLeft w:val="0"/>
                  <w:marRight w:val="0"/>
                  <w:marTop w:val="0"/>
                  <w:marBottom w:val="0"/>
                  <w:divBdr>
                    <w:top w:val="none" w:sz="0" w:space="0" w:color="auto"/>
                    <w:left w:val="none" w:sz="0" w:space="0" w:color="auto"/>
                    <w:bottom w:val="none" w:sz="0" w:space="0" w:color="auto"/>
                    <w:right w:val="none" w:sz="0" w:space="0" w:color="auto"/>
                  </w:divBdr>
                  <w:divsChild>
                    <w:div w:id="13543765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9357450">
          <w:marLeft w:val="0"/>
          <w:marRight w:val="0"/>
          <w:marTop w:val="0"/>
          <w:marBottom w:val="0"/>
          <w:divBdr>
            <w:top w:val="none" w:sz="0" w:space="0" w:color="auto"/>
            <w:left w:val="none" w:sz="0" w:space="0" w:color="auto"/>
            <w:bottom w:val="none" w:sz="0" w:space="0" w:color="auto"/>
            <w:right w:val="none" w:sz="0" w:space="0" w:color="auto"/>
          </w:divBdr>
          <w:divsChild>
            <w:div w:id="1709912622">
              <w:marLeft w:val="-75"/>
              <w:marRight w:val="0"/>
              <w:marTop w:val="30"/>
              <w:marBottom w:val="30"/>
              <w:divBdr>
                <w:top w:val="none" w:sz="0" w:space="0" w:color="auto"/>
                <w:left w:val="none" w:sz="0" w:space="0" w:color="auto"/>
                <w:bottom w:val="none" w:sz="0" w:space="0" w:color="auto"/>
                <w:right w:val="none" w:sz="0" w:space="0" w:color="auto"/>
              </w:divBdr>
              <w:divsChild>
                <w:div w:id="159852365">
                  <w:marLeft w:val="0"/>
                  <w:marRight w:val="0"/>
                  <w:marTop w:val="0"/>
                  <w:marBottom w:val="0"/>
                  <w:divBdr>
                    <w:top w:val="none" w:sz="0" w:space="0" w:color="auto"/>
                    <w:left w:val="none" w:sz="0" w:space="0" w:color="auto"/>
                    <w:bottom w:val="none" w:sz="0" w:space="0" w:color="auto"/>
                    <w:right w:val="none" w:sz="0" w:space="0" w:color="auto"/>
                  </w:divBdr>
                  <w:divsChild>
                    <w:div w:id="401877088">
                      <w:marLeft w:val="0"/>
                      <w:marRight w:val="0"/>
                      <w:marTop w:val="0"/>
                      <w:marBottom w:val="0"/>
                      <w:divBdr>
                        <w:top w:val="none" w:sz="0" w:space="0" w:color="auto"/>
                        <w:left w:val="none" w:sz="0" w:space="0" w:color="auto"/>
                        <w:bottom w:val="none" w:sz="0" w:space="0" w:color="auto"/>
                        <w:right w:val="none" w:sz="0" w:space="0" w:color="auto"/>
                      </w:divBdr>
                    </w:div>
                  </w:divsChild>
                </w:div>
                <w:div w:id="179126498">
                  <w:marLeft w:val="0"/>
                  <w:marRight w:val="0"/>
                  <w:marTop w:val="0"/>
                  <w:marBottom w:val="0"/>
                  <w:divBdr>
                    <w:top w:val="none" w:sz="0" w:space="0" w:color="auto"/>
                    <w:left w:val="none" w:sz="0" w:space="0" w:color="auto"/>
                    <w:bottom w:val="none" w:sz="0" w:space="0" w:color="auto"/>
                    <w:right w:val="none" w:sz="0" w:space="0" w:color="auto"/>
                  </w:divBdr>
                  <w:divsChild>
                    <w:div w:id="1223709976">
                      <w:marLeft w:val="0"/>
                      <w:marRight w:val="0"/>
                      <w:marTop w:val="0"/>
                      <w:marBottom w:val="0"/>
                      <w:divBdr>
                        <w:top w:val="none" w:sz="0" w:space="0" w:color="auto"/>
                        <w:left w:val="none" w:sz="0" w:space="0" w:color="auto"/>
                        <w:bottom w:val="none" w:sz="0" w:space="0" w:color="auto"/>
                        <w:right w:val="none" w:sz="0" w:space="0" w:color="auto"/>
                      </w:divBdr>
                    </w:div>
                  </w:divsChild>
                </w:div>
                <w:div w:id="214203968">
                  <w:marLeft w:val="0"/>
                  <w:marRight w:val="0"/>
                  <w:marTop w:val="0"/>
                  <w:marBottom w:val="0"/>
                  <w:divBdr>
                    <w:top w:val="none" w:sz="0" w:space="0" w:color="auto"/>
                    <w:left w:val="none" w:sz="0" w:space="0" w:color="auto"/>
                    <w:bottom w:val="none" w:sz="0" w:space="0" w:color="auto"/>
                    <w:right w:val="none" w:sz="0" w:space="0" w:color="auto"/>
                  </w:divBdr>
                  <w:divsChild>
                    <w:div w:id="841160826">
                      <w:marLeft w:val="0"/>
                      <w:marRight w:val="0"/>
                      <w:marTop w:val="0"/>
                      <w:marBottom w:val="0"/>
                      <w:divBdr>
                        <w:top w:val="none" w:sz="0" w:space="0" w:color="auto"/>
                        <w:left w:val="none" w:sz="0" w:space="0" w:color="auto"/>
                        <w:bottom w:val="none" w:sz="0" w:space="0" w:color="auto"/>
                        <w:right w:val="none" w:sz="0" w:space="0" w:color="auto"/>
                      </w:divBdr>
                    </w:div>
                  </w:divsChild>
                </w:div>
                <w:div w:id="387073504">
                  <w:marLeft w:val="0"/>
                  <w:marRight w:val="0"/>
                  <w:marTop w:val="0"/>
                  <w:marBottom w:val="0"/>
                  <w:divBdr>
                    <w:top w:val="none" w:sz="0" w:space="0" w:color="auto"/>
                    <w:left w:val="none" w:sz="0" w:space="0" w:color="auto"/>
                    <w:bottom w:val="none" w:sz="0" w:space="0" w:color="auto"/>
                    <w:right w:val="none" w:sz="0" w:space="0" w:color="auto"/>
                  </w:divBdr>
                  <w:divsChild>
                    <w:div w:id="247345993">
                      <w:marLeft w:val="0"/>
                      <w:marRight w:val="0"/>
                      <w:marTop w:val="0"/>
                      <w:marBottom w:val="0"/>
                      <w:divBdr>
                        <w:top w:val="none" w:sz="0" w:space="0" w:color="auto"/>
                        <w:left w:val="none" w:sz="0" w:space="0" w:color="auto"/>
                        <w:bottom w:val="none" w:sz="0" w:space="0" w:color="auto"/>
                        <w:right w:val="none" w:sz="0" w:space="0" w:color="auto"/>
                      </w:divBdr>
                    </w:div>
                  </w:divsChild>
                </w:div>
                <w:div w:id="399788187">
                  <w:marLeft w:val="0"/>
                  <w:marRight w:val="0"/>
                  <w:marTop w:val="0"/>
                  <w:marBottom w:val="0"/>
                  <w:divBdr>
                    <w:top w:val="none" w:sz="0" w:space="0" w:color="auto"/>
                    <w:left w:val="none" w:sz="0" w:space="0" w:color="auto"/>
                    <w:bottom w:val="none" w:sz="0" w:space="0" w:color="auto"/>
                    <w:right w:val="none" w:sz="0" w:space="0" w:color="auto"/>
                  </w:divBdr>
                  <w:divsChild>
                    <w:div w:id="286161976">
                      <w:marLeft w:val="0"/>
                      <w:marRight w:val="0"/>
                      <w:marTop w:val="0"/>
                      <w:marBottom w:val="0"/>
                      <w:divBdr>
                        <w:top w:val="none" w:sz="0" w:space="0" w:color="auto"/>
                        <w:left w:val="none" w:sz="0" w:space="0" w:color="auto"/>
                        <w:bottom w:val="none" w:sz="0" w:space="0" w:color="auto"/>
                        <w:right w:val="none" w:sz="0" w:space="0" w:color="auto"/>
                      </w:divBdr>
                    </w:div>
                  </w:divsChild>
                </w:div>
                <w:div w:id="409935256">
                  <w:marLeft w:val="0"/>
                  <w:marRight w:val="0"/>
                  <w:marTop w:val="0"/>
                  <w:marBottom w:val="0"/>
                  <w:divBdr>
                    <w:top w:val="none" w:sz="0" w:space="0" w:color="auto"/>
                    <w:left w:val="none" w:sz="0" w:space="0" w:color="auto"/>
                    <w:bottom w:val="none" w:sz="0" w:space="0" w:color="auto"/>
                    <w:right w:val="none" w:sz="0" w:space="0" w:color="auto"/>
                  </w:divBdr>
                  <w:divsChild>
                    <w:div w:id="2059354554">
                      <w:marLeft w:val="0"/>
                      <w:marRight w:val="0"/>
                      <w:marTop w:val="0"/>
                      <w:marBottom w:val="0"/>
                      <w:divBdr>
                        <w:top w:val="none" w:sz="0" w:space="0" w:color="auto"/>
                        <w:left w:val="none" w:sz="0" w:space="0" w:color="auto"/>
                        <w:bottom w:val="none" w:sz="0" w:space="0" w:color="auto"/>
                        <w:right w:val="none" w:sz="0" w:space="0" w:color="auto"/>
                      </w:divBdr>
                    </w:div>
                  </w:divsChild>
                </w:div>
                <w:div w:id="417337609">
                  <w:marLeft w:val="0"/>
                  <w:marRight w:val="0"/>
                  <w:marTop w:val="0"/>
                  <w:marBottom w:val="0"/>
                  <w:divBdr>
                    <w:top w:val="none" w:sz="0" w:space="0" w:color="auto"/>
                    <w:left w:val="none" w:sz="0" w:space="0" w:color="auto"/>
                    <w:bottom w:val="none" w:sz="0" w:space="0" w:color="auto"/>
                    <w:right w:val="none" w:sz="0" w:space="0" w:color="auto"/>
                  </w:divBdr>
                  <w:divsChild>
                    <w:div w:id="1668560640">
                      <w:marLeft w:val="0"/>
                      <w:marRight w:val="0"/>
                      <w:marTop w:val="0"/>
                      <w:marBottom w:val="0"/>
                      <w:divBdr>
                        <w:top w:val="none" w:sz="0" w:space="0" w:color="auto"/>
                        <w:left w:val="none" w:sz="0" w:space="0" w:color="auto"/>
                        <w:bottom w:val="none" w:sz="0" w:space="0" w:color="auto"/>
                        <w:right w:val="none" w:sz="0" w:space="0" w:color="auto"/>
                      </w:divBdr>
                    </w:div>
                  </w:divsChild>
                </w:div>
                <w:div w:id="533692061">
                  <w:marLeft w:val="0"/>
                  <w:marRight w:val="0"/>
                  <w:marTop w:val="0"/>
                  <w:marBottom w:val="0"/>
                  <w:divBdr>
                    <w:top w:val="none" w:sz="0" w:space="0" w:color="auto"/>
                    <w:left w:val="none" w:sz="0" w:space="0" w:color="auto"/>
                    <w:bottom w:val="none" w:sz="0" w:space="0" w:color="auto"/>
                    <w:right w:val="none" w:sz="0" w:space="0" w:color="auto"/>
                  </w:divBdr>
                  <w:divsChild>
                    <w:div w:id="1307778758">
                      <w:marLeft w:val="0"/>
                      <w:marRight w:val="0"/>
                      <w:marTop w:val="0"/>
                      <w:marBottom w:val="0"/>
                      <w:divBdr>
                        <w:top w:val="none" w:sz="0" w:space="0" w:color="auto"/>
                        <w:left w:val="none" w:sz="0" w:space="0" w:color="auto"/>
                        <w:bottom w:val="none" w:sz="0" w:space="0" w:color="auto"/>
                        <w:right w:val="none" w:sz="0" w:space="0" w:color="auto"/>
                      </w:divBdr>
                    </w:div>
                  </w:divsChild>
                </w:div>
                <w:div w:id="608663666">
                  <w:marLeft w:val="0"/>
                  <w:marRight w:val="0"/>
                  <w:marTop w:val="0"/>
                  <w:marBottom w:val="0"/>
                  <w:divBdr>
                    <w:top w:val="none" w:sz="0" w:space="0" w:color="auto"/>
                    <w:left w:val="none" w:sz="0" w:space="0" w:color="auto"/>
                    <w:bottom w:val="none" w:sz="0" w:space="0" w:color="auto"/>
                    <w:right w:val="none" w:sz="0" w:space="0" w:color="auto"/>
                  </w:divBdr>
                  <w:divsChild>
                    <w:div w:id="1748728041">
                      <w:marLeft w:val="0"/>
                      <w:marRight w:val="0"/>
                      <w:marTop w:val="0"/>
                      <w:marBottom w:val="0"/>
                      <w:divBdr>
                        <w:top w:val="none" w:sz="0" w:space="0" w:color="auto"/>
                        <w:left w:val="none" w:sz="0" w:space="0" w:color="auto"/>
                        <w:bottom w:val="none" w:sz="0" w:space="0" w:color="auto"/>
                        <w:right w:val="none" w:sz="0" w:space="0" w:color="auto"/>
                      </w:divBdr>
                    </w:div>
                  </w:divsChild>
                </w:div>
                <w:div w:id="616831780">
                  <w:marLeft w:val="0"/>
                  <w:marRight w:val="0"/>
                  <w:marTop w:val="0"/>
                  <w:marBottom w:val="0"/>
                  <w:divBdr>
                    <w:top w:val="none" w:sz="0" w:space="0" w:color="auto"/>
                    <w:left w:val="none" w:sz="0" w:space="0" w:color="auto"/>
                    <w:bottom w:val="none" w:sz="0" w:space="0" w:color="auto"/>
                    <w:right w:val="none" w:sz="0" w:space="0" w:color="auto"/>
                  </w:divBdr>
                  <w:divsChild>
                    <w:div w:id="911037854">
                      <w:marLeft w:val="0"/>
                      <w:marRight w:val="0"/>
                      <w:marTop w:val="0"/>
                      <w:marBottom w:val="0"/>
                      <w:divBdr>
                        <w:top w:val="none" w:sz="0" w:space="0" w:color="auto"/>
                        <w:left w:val="none" w:sz="0" w:space="0" w:color="auto"/>
                        <w:bottom w:val="none" w:sz="0" w:space="0" w:color="auto"/>
                        <w:right w:val="none" w:sz="0" w:space="0" w:color="auto"/>
                      </w:divBdr>
                    </w:div>
                  </w:divsChild>
                </w:div>
                <w:div w:id="623655076">
                  <w:marLeft w:val="0"/>
                  <w:marRight w:val="0"/>
                  <w:marTop w:val="0"/>
                  <w:marBottom w:val="0"/>
                  <w:divBdr>
                    <w:top w:val="none" w:sz="0" w:space="0" w:color="auto"/>
                    <w:left w:val="none" w:sz="0" w:space="0" w:color="auto"/>
                    <w:bottom w:val="none" w:sz="0" w:space="0" w:color="auto"/>
                    <w:right w:val="none" w:sz="0" w:space="0" w:color="auto"/>
                  </w:divBdr>
                  <w:divsChild>
                    <w:div w:id="1338463322">
                      <w:marLeft w:val="0"/>
                      <w:marRight w:val="0"/>
                      <w:marTop w:val="0"/>
                      <w:marBottom w:val="0"/>
                      <w:divBdr>
                        <w:top w:val="none" w:sz="0" w:space="0" w:color="auto"/>
                        <w:left w:val="none" w:sz="0" w:space="0" w:color="auto"/>
                        <w:bottom w:val="none" w:sz="0" w:space="0" w:color="auto"/>
                        <w:right w:val="none" w:sz="0" w:space="0" w:color="auto"/>
                      </w:divBdr>
                    </w:div>
                  </w:divsChild>
                </w:div>
                <w:div w:id="640112291">
                  <w:marLeft w:val="0"/>
                  <w:marRight w:val="0"/>
                  <w:marTop w:val="0"/>
                  <w:marBottom w:val="0"/>
                  <w:divBdr>
                    <w:top w:val="none" w:sz="0" w:space="0" w:color="auto"/>
                    <w:left w:val="none" w:sz="0" w:space="0" w:color="auto"/>
                    <w:bottom w:val="none" w:sz="0" w:space="0" w:color="auto"/>
                    <w:right w:val="none" w:sz="0" w:space="0" w:color="auto"/>
                  </w:divBdr>
                  <w:divsChild>
                    <w:div w:id="846024517">
                      <w:marLeft w:val="0"/>
                      <w:marRight w:val="0"/>
                      <w:marTop w:val="0"/>
                      <w:marBottom w:val="0"/>
                      <w:divBdr>
                        <w:top w:val="none" w:sz="0" w:space="0" w:color="auto"/>
                        <w:left w:val="none" w:sz="0" w:space="0" w:color="auto"/>
                        <w:bottom w:val="none" w:sz="0" w:space="0" w:color="auto"/>
                        <w:right w:val="none" w:sz="0" w:space="0" w:color="auto"/>
                      </w:divBdr>
                    </w:div>
                  </w:divsChild>
                </w:div>
                <w:div w:id="648635077">
                  <w:marLeft w:val="0"/>
                  <w:marRight w:val="0"/>
                  <w:marTop w:val="0"/>
                  <w:marBottom w:val="0"/>
                  <w:divBdr>
                    <w:top w:val="none" w:sz="0" w:space="0" w:color="auto"/>
                    <w:left w:val="none" w:sz="0" w:space="0" w:color="auto"/>
                    <w:bottom w:val="none" w:sz="0" w:space="0" w:color="auto"/>
                    <w:right w:val="none" w:sz="0" w:space="0" w:color="auto"/>
                  </w:divBdr>
                  <w:divsChild>
                    <w:div w:id="294143322">
                      <w:marLeft w:val="0"/>
                      <w:marRight w:val="0"/>
                      <w:marTop w:val="0"/>
                      <w:marBottom w:val="0"/>
                      <w:divBdr>
                        <w:top w:val="none" w:sz="0" w:space="0" w:color="auto"/>
                        <w:left w:val="none" w:sz="0" w:space="0" w:color="auto"/>
                        <w:bottom w:val="none" w:sz="0" w:space="0" w:color="auto"/>
                        <w:right w:val="none" w:sz="0" w:space="0" w:color="auto"/>
                      </w:divBdr>
                    </w:div>
                  </w:divsChild>
                </w:div>
                <w:div w:id="691224446">
                  <w:marLeft w:val="0"/>
                  <w:marRight w:val="0"/>
                  <w:marTop w:val="0"/>
                  <w:marBottom w:val="0"/>
                  <w:divBdr>
                    <w:top w:val="none" w:sz="0" w:space="0" w:color="auto"/>
                    <w:left w:val="none" w:sz="0" w:space="0" w:color="auto"/>
                    <w:bottom w:val="none" w:sz="0" w:space="0" w:color="auto"/>
                    <w:right w:val="none" w:sz="0" w:space="0" w:color="auto"/>
                  </w:divBdr>
                  <w:divsChild>
                    <w:div w:id="1480923893">
                      <w:marLeft w:val="0"/>
                      <w:marRight w:val="0"/>
                      <w:marTop w:val="0"/>
                      <w:marBottom w:val="0"/>
                      <w:divBdr>
                        <w:top w:val="none" w:sz="0" w:space="0" w:color="auto"/>
                        <w:left w:val="none" w:sz="0" w:space="0" w:color="auto"/>
                        <w:bottom w:val="none" w:sz="0" w:space="0" w:color="auto"/>
                        <w:right w:val="none" w:sz="0" w:space="0" w:color="auto"/>
                      </w:divBdr>
                    </w:div>
                  </w:divsChild>
                </w:div>
                <w:div w:id="707098858">
                  <w:marLeft w:val="0"/>
                  <w:marRight w:val="0"/>
                  <w:marTop w:val="0"/>
                  <w:marBottom w:val="0"/>
                  <w:divBdr>
                    <w:top w:val="none" w:sz="0" w:space="0" w:color="auto"/>
                    <w:left w:val="none" w:sz="0" w:space="0" w:color="auto"/>
                    <w:bottom w:val="none" w:sz="0" w:space="0" w:color="auto"/>
                    <w:right w:val="none" w:sz="0" w:space="0" w:color="auto"/>
                  </w:divBdr>
                  <w:divsChild>
                    <w:div w:id="163059681">
                      <w:marLeft w:val="0"/>
                      <w:marRight w:val="0"/>
                      <w:marTop w:val="0"/>
                      <w:marBottom w:val="0"/>
                      <w:divBdr>
                        <w:top w:val="none" w:sz="0" w:space="0" w:color="auto"/>
                        <w:left w:val="none" w:sz="0" w:space="0" w:color="auto"/>
                        <w:bottom w:val="none" w:sz="0" w:space="0" w:color="auto"/>
                        <w:right w:val="none" w:sz="0" w:space="0" w:color="auto"/>
                      </w:divBdr>
                    </w:div>
                  </w:divsChild>
                </w:div>
                <w:div w:id="707607781">
                  <w:marLeft w:val="0"/>
                  <w:marRight w:val="0"/>
                  <w:marTop w:val="0"/>
                  <w:marBottom w:val="0"/>
                  <w:divBdr>
                    <w:top w:val="none" w:sz="0" w:space="0" w:color="auto"/>
                    <w:left w:val="none" w:sz="0" w:space="0" w:color="auto"/>
                    <w:bottom w:val="none" w:sz="0" w:space="0" w:color="auto"/>
                    <w:right w:val="none" w:sz="0" w:space="0" w:color="auto"/>
                  </w:divBdr>
                  <w:divsChild>
                    <w:div w:id="658768914">
                      <w:marLeft w:val="0"/>
                      <w:marRight w:val="0"/>
                      <w:marTop w:val="0"/>
                      <w:marBottom w:val="0"/>
                      <w:divBdr>
                        <w:top w:val="none" w:sz="0" w:space="0" w:color="auto"/>
                        <w:left w:val="none" w:sz="0" w:space="0" w:color="auto"/>
                        <w:bottom w:val="none" w:sz="0" w:space="0" w:color="auto"/>
                        <w:right w:val="none" w:sz="0" w:space="0" w:color="auto"/>
                      </w:divBdr>
                    </w:div>
                  </w:divsChild>
                </w:div>
                <w:div w:id="758984895">
                  <w:marLeft w:val="0"/>
                  <w:marRight w:val="0"/>
                  <w:marTop w:val="0"/>
                  <w:marBottom w:val="0"/>
                  <w:divBdr>
                    <w:top w:val="none" w:sz="0" w:space="0" w:color="auto"/>
                    <w:left w:val="none" w:sz="0" w:space="0" w:color="auto"/>
                    <w:bottom w:val="none" w:sz="0" w:space="0" w:color="auto"/>
                    <w:right w:val="none" w:sz="0" w:space="0" w:color="auto"/>
                  </w:divBdr>
                  <w:divsChild>
                    <w:div w:id="1775130064">
                      <w:marLeft w:val="0"/>
                      <w:marRight w:val="0"/>
                      <w:marTop w:val="0"/>
                      <w:marBottom w:val="0"/>
                      <w:divBdr>
                        <w:top w:val="none" w:sz="0" w:space="0" w:color="auto"/>
                        <w:left w:val="none" w:sz="0" w:space="0" w:color="auto"/>
                        <w:bottom w:val="none" w:sz="0" w:space="0" w:color="auto"/>
                        <w:right w:val="none" w:sz="0" w:space="0" w:color="auto"/>
                      </w:divBdr>
                    </w:div>
                  </w:divsChild>
                </w:div>
                <w:div w:id="789321688">
                  <w:marLeft w:val="0"/>
                  <w:marRight w:val="0"/>
                  <w:marTop w:val="0"/>
                  <w:marBottom w:val="0"/>
                  <w:divBdr>
                    <w:top w:val="none" w:sz="0" w:space="0" w:color="auto"/>
                    <w:left w:val="none" w:sz="0" w:space="0" w:color="auto"/>
                    <w:bottom w:val="none" w:sz="0" w:space="0" w:color="auto"/>
                    <w:right w:val="none" w:sz="0" w:space="0" w:color="auto"/>
                  </w:divBdr>
                  <w:divsChild>
                    <w:div w:id="1346442499">
                      <w:marLeft w:val="0"/>
                      <w:marRight w:val="0"/>
                      <w:marTop w:val="0"/>
                      <w:marBottom w:val="0"/>
                      <w:divBdr>
                        <w:top w:val="none" w:sz="0" w:space="0" w:color="auto"/>
                        <w:left w:val="none" w:sz="0" w:space="0" w:color="auto"/>
                        <w:bottom w:val="none" w:sz="0" w:space="0" w:color="auto"/>
                        <w:right w:val="none" w:sz="0" w:space="0" w:color="auto"/>
                      </w:divBdr>
                    </w:div>
                  </w:divsChild>
                </w:div>
                <w:div w:id="794786991">
                  <w:marLeft w:val="0"/>
                  <w:marRight w:val="0"/>
                  <w:marTop w:val="0"/>
                  <w:marBottom w:val="0"/>
                  <w:divBdr>
                    <w:top w:val="none" w:sz="0" w:space="0" w:color="auto"/>
                    <w:left w:val="none" w:sz="0" w:space="0" w:color="auto"/>
                    <w:bottom w:val="none" w:sz="0" w:space="0" w:color="auto"/>
                    <w:right w:val="none" w:sz="0" w:space="0" w:color="auto"/>
                  </w:divBdr>
                  <w:divsChild>
                    <w:div w:id="1016225923">
                      <w:marLeft w:val="0"/>
                      <w:marRight w:val="0"/>
                      <w:marTop w:val="0"/>
                      <w:marBottom w:val="0"/>
                      <w:divBdr>
                        <w:top w:val="none" w:sz="0" w:space="0" w:color="auto"/>
                        <w:left w:val="none" w:sz="0" w:space="0" w:color="auto"/>
                        <w:bottom w:val="none" w:sz="0" w:space="0" w:color="auto"/>
                        <w:right w:val="none" w:sz="0" w:space="0" w:color="auto"/>
                      </w:divBdr>
                    </w:div>
                  </w:divsChild>
                </w:div>
                <w:div w:id="1062748749">
                  <w:marLeft w:val="0"/>
                  <w:marRight w:val="0"/>
                  <w:marTop w:val="0"/>
                  <w:marBottom w:val="0"/>
                  <w:divBdr>
                    <w:top w:val="none" w:sz="0" w:space="0" w:color="auto"/>
                    <w:left w:val="none" w:sz="0" w:space="0" w:color="auto"/>
                    <w:bottom w:val="none" w:sz="0" w:space="0" w:color="auto"/>
                    <w:right w:val="none" w:sz="0" w:space="0" w:color="auto"/>
                  </w:divBdr>
                  <w:divsChild>
                    <w:div w:id="2087531555">
                      <w:marLeft w:val="0"/>
                      <w:marRight w:val="0"/>
                      <w:marTop w:val="0"/>
                      <w:marBottom w:val="0"/>
                      <w:divBdr>
                        <w:top w:val="none" w:sz="0" w:space="0" w:color="auto"/>
                        <w:left w:val="none" w:sz="0" w:space="0" w:color="auto"/>
                        <w:bottom w:val="none" w:sz="0" w:space="0" w:color="auto"/>
                        <w:right w:val="none" w:sz="0" w:space="0" w:color="auto"/>
                      </w:divBdr>
                    </w:div>
                  </w:divsChild>
                </w:div>
                <w:div w:id="1089960631">
                  <w:marLeft w:val="0"/>
                  <w:marRight w:val="0"/>
                  <w:marTop w:val="0"/>
                  <w:marBottom w:val="0"/>
                  <w:divBdr>
                    <w:top w:val="none" w:sz="0" w:space="0" w:color="auto"/>
                    <w:left w:val="none" w:sz="0" w:space="0" w:color="auto"/>
                    <w:bottom w:val="none" w:sz="0" w:space="0" w:color="auto"/>
                    <w:right w:val="none" w:sz="0" w:space="0" w:color="auto"/>
                  </w:divBdr>
                  <w:divsChild>
                    <w:div w:id="926303705">
                      <w:marLeft w:val="0"/>
                      <w:marRight w:val="0"/>
                      <w:marTop w:val="0"/>
                      <w:marBottom w:val="0"/>
                      <w:divBdr>
                        <w:top w:val="none" w:sz="0" w:space="0" w:color="auto"/>
                        <w:left w:val="none" w:sz="0" w:space="0" w:color="auto"/>
                        <w:bottom w:val="none" w:sz="0" w:space="0" w:color="auto"/>
                        <w:right w:val="none" w:sz="0" w:space="0" w:color="auto"/>
                      </w:divBdr>
                    </w:div>
                  </w:divsChild>
                </w:div>
                <w:div w:id="1090539895">
                  <w:marLeft w:val="0"/>
                  <w:marRight w:val="0"/>
                  <w:marTop w:val="0"/>
                  <w:marBottom w:val="0"/>
                  <w:divBdr>
                    <w:top w:val="none" w:sz="0" w:space="0" w:color="auto"/>
                    <w:left w:val="none" w:sz="0" w:space="0" w:color="auto"/>
                    <w:bottom w:val="none" w:sz="0" w:space="0" w:color="auto"/>
                    <w:right w:val="none" w:sz="0" w:space="0" w:color="auto"/>
                  </w:divBdr>
                  <w:divsChild>
                    <w:div w:id="1878468529">
                      <w:marLeft w:val="0"/>
                      <w:marRight w:val="0"/>
                      <w:marTop w:val="0"/>
                      <w:marBottom w:val="0"/>
                      <w:divBdr>
                        <w:top w:val="none" w:sz="0" w:space="0" w:color="auto"/>
                        <w:left w:val="none" w:sz="0" w:space="0" w:color="auto"/>
                        <w:bottom w:val="none" w:sz="0" w:space="0" w:color="auto"/>
                        <w:right w:val="none" w:sz="0" w:space="0" w:color="auto"/>
                      </w:divBdr>
                    </w:div>
                  </w:divsChild>
                </w:div>
                <w:div w:id="1092429074">
                  <w:marLeft w:val="0"/>
                  <w:marRight w:val="0"/>
                  <w:marTop w:val="0"/>
                  <w:marBottom w:val="0"/>
                  <w:divBdr>
                    <w:top w:val="none" w:sz="0" w:space="0" w:color="auto"/>
                    <w:left w:val="none" w:sz="0" w:space="0" w:color="auto"/>
                    <w:bottom w:val="none" w:sz="0" w:space="0" w:color="auto"/>
                    <w:right w:val="none" w:sz="0" w:space="0" w:color="auto"/>
                  </w:divBdr>
                  <w:divsChild>
                    <w:div w:id="1704399745">
                      <w:marLeft w:val="0"/>
                      <w:marRight w:val="0"/>
                      <w:marTop w:val="0"/>
                      <w:marBottom w:val="0"/>
                      <w:divBdr>
                        <w:top w:val="none" w:sz="0" w:space="0" w:color="auto"/>
                        <w:left w:val="none" w:sz="0" w:space="0" w:color="auto"/>
                        <w:bottom w:val="none" w:sz="0" w:space="0" w:color="auto"/>
                        <w:right w:val="none" w:sz="0" w:space="0" w:color="auto"/>
                      </w:divBdr>
                    </w:div>
                  </w:divsChild>
                </w:div>
                <w:div w:id="1194617369">
                  <w:marLeft w:val="0"/>
                  <w:marRight w:val="0"/>
                  <w:marTop w:val="0"/>
                  <w:marBottom w:val="0"/>
                  <w:divBdr>
                    <w:top w:val="none" w:sz="0" w:space="0" w:color="auto"/>
                    <w:left w:val="none" w:sz="0" w:space="0" w:color="auto"/>
                    <w:bottom w:val="none" w:sz="0" w:space="0" w:color="auto"/>
                    <w:right w:val="none" w:sz="0" w:space="0" w:color="auto"/>
                  </w:divBdr>
                  <w:divsChild>
                    <w:div w:id="487093004">
                      <w:marLeft w:val="0"/>
                      <w:marRight w:val="0"/>
                      <w:marTop w:val="0"/>
                      <w:marBottom w:val="0"/>
                      <w:divBdr>
                        <w:top w:val="none" w:sz="0" w:space="0" w:color="auto"/>
                        <w:left w:val="none" w:sz="0" w:space="0" w:color="auto"/>
                        <w:bottom w:val="none" w:sz="0" w:space="0" w:color="auto"/>
                        <w:right w:val="none" w:sz="0" w:space="0" w:color="auto"/>
                      </w:divBdr>
                    </w:div>
                  </w:divsChild>
                </w:div>
                <w:div w:id="1233584528">
                  <w:marLeft w:val="0"/>
                  <w:marRight w:val="0"/>
                  <w:marTop w:val="0"/>
                  <w:marBottom w:val="0"/>
                  <w:divBdr>
                    <w:top w:val="none" w:sz="0" w:space="0" w:color="auto"/>
                    <w:left w:val="none" w:sz="0" w:space="0" w:color="auto"/>
                    <w:bottom w:val="none" w:sz="0" w:space="0" w:color="auto"/>
                    <w:right w:val="none" w:sz="0" w:space="0" w:color="auto"/>
                  </w:divBdr>
                  <w:divsChild>
                    <w:div w:id="1610045288">
                      <w:marLeft w:val="0"/>
                      <w:marRight w:val="0"/>
                      <w:marTop w:val="0"/>
                      <w:marBottom w:val="0"/>
                      <w:divBdr>
                        <w:top w:val="none" w:sz="0" w:space="0" w:color="auto"/>
                        <w:left w:val="none" w:sz="0" w:space="0" w:color="auto"/>
                        <w:bottom w:val="none" w:sz="0" w:space="0" w:color="auto"/>
                        <w:right w:val="none" w:sz="0" w:space="0" w:color="auto"/>
                      </w:divBdr>
                    </w:div>
                  </w:divsChild>
                </w:div>
                <w:div w:id="1273047765">
                  <w:marLeft w:val="0"/>
                  <w:marRight w:val="0"/>
                  <w:marTop w:val="0"/>
                  <w:marBottom w:val="0"/>
                  <w:divBdr>
                    <w:top w:val="none" w:sz="0" w:space="0" w:color="auto"/>
                    <w:left w:val="none" w:sz="0" w:space="0" w:color="auto"/>
                    <w:bottom w:val="none" w:sz="0" w:space="0" w:color="auto"/>
                    <w:right w:val="none" w:sz="0" w:space="0" w:color="auto"/>
                  </w:divBdr>
                  <w:divsChild>
                    <w:div w:id="2022270461">
                      <w:marLeft w:val="0"/>
                      <w:marRight w:val="0"/>
                      <w:marTop w:val="0"/>
                      <w:marBottom w:val="0"/>
                      <w:divBdr>
                        <w:top w:val="none" w:sz="0" w:space="0" w:color="auto"/>
                        <w:left w:val="none" w:sz="0" w:space="0" w:color="auto"/>
                        <w:bottom w:val="none" w:sz="0" w:space="0" w:color="auto"/>
                        <w:right w:val="none" w:sz="0" w:space="0" w:color="auto"/>
                      </w:divBdr>
                    </w:div>
                  </w:divsChild>
                </w:div>
                <w:div w:id="1280842334">
                  <w:marLeft w:val="0"/>
                  <w:marRight w:val="0"/>
                  <w:marTop w:val="0"/>
                  <w:marBottom w:val="0"/>
                  <w:divBdr>
                    <w:top w:val="none" w:sz="0" w:space="0" w:color="auto"/>
                    <w:left w:val="none" w:sz="0" w:space="0" w:color="auto"/>
                    <w:bottom w:val="none" w:sz="0" w:space="0" w:color="auto"/>
                    <w:right w:val="none" w:sz="0" w:space="0" w:color="auto"/>
                  </w:divBdr>
                  <w:divsChild>
                    <w:div w:id="717895649">
                      <w:marLeft w:val="0"/>
                      <w:marRight w:val="0"/>
                      <w:marTop w:val="0"/>
                      <w:marBottom w:val="0"/>
                      <w:divBdr>
                        <w:top w:val="none" w:sz="0" w:space="0" w:color="auto"/>
                        <w:left w:val="none" w:sz="0" w:space="0" w:color="auto"/>
                        <w:bottom w:val="none" w:sz="0" w:space="0" w:color="auto"/>
                        <w:right w:val="none" w:sz="0" w:space="0" w:color="auto"/>
                      </w:divBdr>
                    </w:div>
                  </w:divsChild>
                </w:div>
                <w:div w:id="1286499356">
                  <w:marLeft w:val="0"/>
                  <w:marRight w:val="0"/>
                  <w:marTop w:val="0"/>
                  <w:marBottom w:val="0"/>
                  <w:divBdr>
                    <w:top w:val="none" w:sz="0" w:space="0" w:color="auto"/>
                    <w:left w:val="none" w:sz="0" w:space="0" w:color="auto"/>
                    <w:bottom w:val="none" w:sz="0" w:space="0" w:color="auto"/>
                    <w:right w:val="none" w:sz="0" w:space="0" w:color="auto"/>
                  </w:divBdr>
                  <w:divsChild>
                    <w:div w:id="273950311">
                      <w:marLeft w:val="0"/>
                      <w:marRight w:val="0"/>
                      <w:marTop w:val="0"/>
                      <w:marBottom w:val="0"/>
                      <w:divBdr>
                        <w:top w:val="none" w:sz="0" w:space="0" w:color="auto"/>
                        <w:left w:val="none" w:sz="0" w:space="0" w:color="auto"/>
                        <w:bottom w:val="none" w:sz="0" w:space="0" w:color="auto"/>
                        <w:right w:val="none" w:sz="0" w:space="0" w:color="auto"/>
                      </w:divBdr>
                    </w:div>
                  </w:divsChild>
                </w:div>
                <w:div w:id="1341082668">
                  <w:marLeft w:val="0"/>
                  <w:marRight w:val="0"/>
                  <w:marTop w:val="0"/>
                  <w:marBottom w:val="0"/>
                  <w:divBdr>
                    <w:top w:val="none" w:sz="0" w:space="0" w:color="auto"/>
                    <w:left w:val="none" w:sz="0" w:space="0" w:color="auto"/>
                    <w:bottom w:val="none" w:sz="0" w:space="0" w:color="auto"/>
                    <w:right w:val="none" w:sz="0" w:space="0" w:color="auto"/>
                  </w:divBdr>
                  <w:divsChild>
                    <w:div w:id="911233489">
                      <w:marLeft w:val="0"/>
                      <w:marRight w:val="0"/>
                      <w:marTop w:val="0"/>
                      <w:marBottom w:val="0"/>
                      <w:divBdr>
                        <w:top w:val="none" w:sz="0" w:space="0" w:color="auto"/>
                        <w:left w:val="none" w:sz="0" w:space="0" w:color="auto"/>
                        <w:bottom w:val="none" w:sz="0" w:space="0" w:color="auto"/>
                        <w:right w:val="none" w:sz="0" w:space="0" w:color="auto"/>
                      </w:divBdr>
                    </w:div>
                  </w:divsChild>
                </w:div>
                <w:div w:id="1481921363">
                  <w:marLeft w:val="0"/>
                  <w:marRight w:val="0"/>
                  <w:marTop w:val="0"/>
                  <w:marBottom w:val="0"/>
                  <w:divBdr>
                    <w:top w:val="none" w:sz="0" w:space="0" w:color="auto"/>
                    <w:left w:val="none" w:sz="0" w:space="0" w:color="auto"/>
                    <w:bottom w:val="none" w:sz="0" w:space="0" w:color="auto"/>
                    <w:right w:val="none" w:sz="0" w:space="0" w:color="auto"/>
                  </w:divBdr>
                  <w:divsChild>
                    <w:div w:id="579758924">
                      <w:marLeft w:val="0"/>
                      <w:marRight w:val="0"/>
                      <w:marTop w:val="0"/>
                      <w:marBottom w:val="0"/>
                      <w:divBdr>
                        <w:top w:val="none" w:sz="0" w:space="0" w:color="auto"/>
                        <w:left w:val="none" w:sz="0" w:space="0" w:color="auto"/>
                        <w:bottom w:val="none" w:sz="0" w:space="0" w:color="auto"/>
                        <w:right w:val="none" w:sz="0" w:space="0" w:color="auto"/>
                      </w:divBdr>
                    </w:div>
                  </w:divsChild>
                </w:div>
                <w:div w:id="1531607065">
                  <w:marLeft w:val="0"/>
                  <w:marRight w:val="0"/>
                  <w:marTop w:val="0"/>
                  <w:marBottom w:val="0"/>
                  <w:divBdr>
                    <w:top w:val="none" w:sz="0" w:space="0" w:color="auto"/>
                    <w:left w:val="none" w:sz="0" w:space="0" w:color="auto"/>
                    <w:bottom w:val="none" w:sz="0" w:space="0" w:color="auto"/>
                    <w:right w:val="none" w:sz="0" w:space="0" w:color="auto"/>
                  </w:divBdr>
                  <w:divsChild>
                    <w:div w:id="1047069068">
                      <w:marLeft w:val="0"/>
                      <w:marRight w:val="0"/>
                      <w:marTop w:val="0"/>
                      <w:marBottom w:val="0"/>
                      <w:divBdr>
                        <w:top w:val="none" w:sz="0" w:space="0" w:color="auto"/>
                        <w:left w:val="none" w:sz="0" w:space="0" w:color="auto"/>
                        <w:bottom w:val="none" w:sz="0" w:space="0" w:color="auto"/>
                        <w:right w:val="none" w:sz="0" w:space="0" w:color="auto"/>
                      </w:divBdr>
                    </w:div>
                  </w:divsChild>
                </w:div>
                <w:div w:id="1551302852">
                  <w:marLeft w:val="0"/>
                  <w:marRight w:val="0"/>
                  <w:marTop w:val="0"/>
                  <w:marBottom w:val="0"/>
                  <w:divBdr>
                    <w:top w:val="none" w:sz="0" w:space="0" w:color="auto"/>
                    <w:left w:val="none" w:sz="0" w:space="0" w:color="auto"/>
                    <w:bottom w:val="none" w:sz="0" w:space="0" w:color="auto"/>
                    <w:right w:val="none" w:sz="0" w:space="0" w:color="auto"/>
                  </w:divBdr>
                  <w:divsChild>
                    <w:div w:id="1765177245">
                      <w:marLeft w:val="0"/>
                      <w:marRight w:val="0"/>
                      <w:marTop w:val="0"/>
                      <w:marBottom w:val="0"/>
                      <w:divBdr>
                        <w:top w:val="none" w:sz="0" w:space="0" w:color="auto"/>
                        <w:left w:val="none" w:sz="0" w:space="0" w:color="auto"/>
                        <w:bottom w:val="none" w:sz="0" w:space="0" w:color="auto"/>
                        <w:right w:val="none" w:sz="0" w:space="0" w:color="auto"/>
                      </w:divBdr>
                    </w:div>
                  </w:divsChild>
                </w:div>
                <w:div w:id="1655988458">
                  <w:marLeft w:val="0"/>
                  <w:marRight w:val="0"/>
                  <w:marTop w:val="0"/>
                  <w:marBottom w:val="0"/>
                  <w:divBdr>
                    <w:top w:val="none" w:sz="0" w:space="0" w:color="auto"/>
                    <w:left w:val="none" w:sz="0" w:space="0" w:color="auto"/>
                    <w:bottom w:val="none" w:sz="0" w:space="0" w:color="auto"/>
                    <w:right w:val="none" w:sz="0" w:space="0" w:color="auto"/>
                  </w:divBdr>
                  <w:divsChild>
                    <w:div w:id="1867207732">
                      <w:marLeft w:val="0"/>
                      <w:marRight w:val="0"/>
                      <w:marTop w:val="0"/>
                      <w:marBottom w:val="0"/>
                      <w:divBdr>
                        <w:top w:val="none" w:sz="0" w:space="0" w:color="auto"/>
                        <w:left w:val="none" w:sz="0" w:space="0" w:color="auto"/>
                        <w:bottom w:val="none" w:sz="0" w:space="0" w:color="auto"/>
                        <w:right w:val="none" w:sz="0" w:space="0" w:color="auto"/>
                      </w:divBdr>
                    </w:div>
                  </w:divsChild>
                </w:div>
                <w:div w:id="1694959164">
                  <w:marLeft w:val="0"/>
                  <w:marRight w:val="0"/>
                  <w:marTop w:val="0"/>
                  <w:marBottom w:val="0"/>
                  <w:divBdr>
                    <w:top w:val="none" w:sz="0" w:space="0" w:color="auto"/>
                    <w:left w:val="none" w:sz="0" w:space="0" w:color="auto"/>
                    <w:bottom w:val="none" w:sz="0" w:space="0" w:color="auto"/>
                    <w:right w:val="none" w:sz="0" w:space="0" w:color="auto"/>
                  </w:divBdr>
                  <w:divsChild>
                    <w:div w:id="217937214">
                      <w:marLeft w:val="0"/>
                      <w:marRight w:val="0"/>
                      <w:marTop w:val="0"/>
                      <w:marBottom w:val="0"/>
                      <w:divBdr>
                        <w:top w:val="none" w:sz="0" w:space="0" w:color="auto"/>
                        <w:left w:val="none" w:sz="0" w:space="0" w:color="auto"/>
                        <w:bottom w:val="none" w:sz="0" w:space="0" w:color="auto"/>
                        <w:right w:val="none" w:sz="0" w:space="0" w:color="auto"/>
                      </w:divBdr>
                    </w:div>
                  </w:divsChild>
                </w:div>
                <w:div w:id="1698390770">
                  <w:marLeft w:val="0"/>
                  <w:marRight w:val="0"/>
                  <w:marTop w:val="0"/>
                  <w:marBottom w:val="0"/>
                  <w:divBdr>
                    <w:top w:val="none" w:sz="0" w:space="0" w:color="auto"/>
                    <w:left w:val="none" w:sz="0" w:space="0" w:color="auto"/>
                    <w:bottom w:val="none" w:sz="0" w:space="0" w:color="auto"/>
                    <w:right w:val="none" w:sz="0" w:space="0" w:color="auto"/>
                  </w:divBdr>
                  <w:divsChild>
                    <w:div w:id="1122305811">
                      <w:marLeft w:val="0"/>
                      <w:marRight w:val="0"/>
                      <w:marTop w:val="0"/>
                      <w:marBottom w:val="0"/>
                      <w:divBdr>
                        <w:top w:val="none" w:sz="0" w:space="0" w:color="auto"/>
                        <w:left w:val="none" w:sz="0" w:space="0" w:color="auto"/>
                        <w:bottom w:val="none" w:sz="0" w:space="0" w:color="auto"/>
                        <w:right w:val="none" w:sz="0" w:space="0" w:color="auto"/>
                      </w:divBdr>
                    </w:div>
                  </w:divsChild>
                </w:div>
                <w:div w:id="1774978190">
                  <w:marLeft w:val="0"/>
                  <w:marRight w:val="0"/>
                  <w:marTop w:val="0"/>
                  <w:marBottom w:val="0"/>
                  <w:divBdr>
                    <w:top w:val="none" w:sz="0" w:space="0" w:color="auto"/>
                    <w:left w:val="none" w:sz="0" w:space="0" w:color="auto"/>
                    <w:bottom w:val="none" w:sz="0" w:space="0" w:color="auto"/>
                    <w:right w:val="none" w:sz="0" w:space="0" w:color="auto"/>
                  </w:divBdr>
                  <w:divsChild>
                    <w:div w:id="917059534">
                      <w:marLeft w:val="0"/>
                      <w:marRight w:val="0"/>
                      <w:marTop w:val="0"/>
                      <w:marBottom w:val="0"/>
                      <w:divBdr>
                        <w:top w:val="none" w:sz="0" w:space="0" w:color="auto"/>
                        <w:left w:val="none" w:sz="0" w:space="0" w:color="auto"/>
                        <w:bottom w:val="none" w:sz="0" w:space="0" w:color="auto"/>
                        <w:right w:val="none" w:sz="0" w:space="0" w:color="auto"/>
                      </w:divBdr>
                    </w:div>
                  </w:divsChild>
                </w:div>
                <w:div w:id="1789005392">
                  <w:marLeft w:val="0"/>
                  <w:marRight w:val="0"/>
                  <w:marTop w:val="0"/>
                  <w:marBottom w:val="0"/>
                  <w:divBdr>
                    <w:top w:val="none" w:sz="0" w:space="0" w:color="auto"/>
                    <w:left w:val="none" w:sz="0" w:space="0" w:color="auto"/>
                    <w:bottom w:val="none" w:sz="0" w:space="0" w:color="auto"/>
                    <w:right w:val="none" w:sz="0" w:space="0" w:color="auto"/>
                  </w:divBdr>
                  <w:divsChild>
                    <w:div w:id="1806502038">
                      <w:marLeft w:val="0"/>
                      <w:marRight w:val="0"/>
                      <w:marTop w:val="0"/>
                      <w:marBottom w:val="0"/>
                      <w:divBdr>
                        <w:top w:val="none" w:sz="0" w:space="0" w:color="auto"/>
                        <w:left w:val="none" w:sz="0" w:space="0" w:color="auto"/>
                        <w:bottom w:val="none" w:sz="0" w:space="0" w:color="auto"/>
                        <w:right w:val="none" w:sz="0" w:space="0" w:color="auto"/>
                      </w:divBdr>
                    </w:div>
                  </w:divsChild>
                </w:div>
                <w:div w:id="1812402404">
                  <w:marLeft w:val="0"/>
                  <w:marRight w:val="0"/>
                  <w:marTop w:val="0"/>
                  <w:marBottom w:val="0"/>
                  <w:divBdr>
                    <w:top w:val="none" w:sz="0" w:space="0" w:color="auto"/>
                    <w:left w:val="none" w:sz="0" w:space="0" w:color="auto"/>
                    <w:bottom w:val="none" w:sz="0" w:space="0" w:color="auto"/>
                    <w:right w:val="none" w:sz="0" w:space="0" w:color="auto"/>
                  </w:divBdr>
                  <w:divsChild>
                    <w:div w:id="472479441">
                      <w:marLeft w:val="0"/>
                      <w:marRight w:val="0"/>
                      <w:marTop w:val="0"/>
                      <w:marBottom w:val="0"/>
                      <w:divBdr>
                        <w:top w:val="none" w:sz="0" w:space="0" w:color="auto"/>
                        <w:left w:val="none" w:sz="0" w:space="0" w:color="auto"/>
                        <w:bottom w:val="none" w:sz="0" w:space="0" w:color="auto"/>
                        <w:right w:val="none" w:sz="0" w:space="0" w:color="auto"/>
                      </w:divBdr>
                    </w:div>
                  </w:divsChild>
                </w:div>
                <w:div w:id="1818646854">
                  <w:marLeft w:val="0"/>
                  <w:marRight w:val="0"/>
                  <w:marTop w:val="0"/>
                  <w:marBottom w:val="0"/>
                  <w:divBdr>
                    <w:top w:val="none" w:sz="0" w:space="0" w:color="auto"/>
                    <w:left w:val="none" w:sz="0" w:space="0" w:color="auto"/>
                    <w:bottom w:val="none" w:sz="0" w:space="0" w:color="auto"/>
                    <w:right w:val="none" w:sz="0" w:space="0" w:color="auto"/>
                  </w:divBdr>
                  <w:divsChild>
                    <w:div w:id="1396009300">
                      <w:marLeft w:val="0"/>
                      <w:marRight w:val="0"/>
                      <w:marTop w:val="0"/>
                      <w:marBottom w:val="0"/>
                      <w:divBdr>
                        <w:top w:val="none" w:sz="0" w:space="0" w:color="auto"/>
                        <w:left w:val="none" w:sz="0" w:space="0" w:color="auto"/>
                        <w:bottom w:val="none" w:sz="0" w:space="0" w:color="auto"/>
                        <w:right w:val="none" w:sz="0" w:space="0" w:color="auto"/>
                      </w:divBdr>
                    </w:div>
                  </w:divsChild>
                </w:div>
                <w:div w:id="1854805898">
                  <w:marLeft w:val="0"/>
                  <w:marRight w:val="0"/>
                  <w:marTop w:val="0"/>
                  <w:marBottom w:val="0"/>
                  <w:divBdr>
                    <w:top w:val="none" w:sz="0" w:space="0" w:color="auto"/>
                    <w:left w:val="none" w:sz="0" w:space="0" w:color="auto"/>
                    <w:bottom w:val="none" w:sz="0" w:space="0" w:color="auto"/>
                    <w:right w:val="none" w:sz="0" w:space="0" w:color="auto"/>
                  </w:divBdr>
                  <w:divsChild>
                    <w:div w:id="790199815">
                      <w:marLeft w:val="0"/>
                      <w:marRight w:val="0"/>
                      <w:marTop w:val="0"/>
                      <w:marBottom w:val="0"/>
                      <w:divBdr>
                        <w:top w:val="none" w:sz="0" w:space="0" w:color="auto"/>
                        <w:left w:val="none" w:sz="0" w:space="0" w:color="auto"/>
                        <w:bottom w:val="none" w:sz="0" w:space="0" w:color="auto"/>
                        <w:right w:val="none" w:sz="0" w:space="0" w:color="auto"/>
                      </w:divBdr>
                    </w:div>
                  </w:divsChild>
                </w:div>
                <w:div w:id="1876845179">
                  <w:marLeft w:val="0"/>
                  <w:marRight w:val="0"/>
                  <w:marTop w:val="0"/>
                  <w:marBottom w:val="0"/>
                  <w:divBdr>
                    <w:top w:val="none" w:sz="0" w:space="0" w:color="auto"/>
                    <w:left w:val="none" w:sz="0" w:space="0" w:color="auto"/>
                    <w:bottom w:val="none" w:sz="0" w:space="0" w:color="auto"/>
                    <w:right w:val="none" w:sz="0" w:space="0" w:color="auto"/>
                  </w:divBdr>
                  <w:divsChild>
                    <w:div w:id="925384654">
                      <w:marLeft w:val="0"/>
                      <w:marRight w:val="0"/>
                      <w:marTop w:val="0"/>
                      <w:marBottom w:val="0"/>
                      <w:divBdr>
                        <w:top w:val="none" w:sz="0" w:space="0" w:color="auto"/>
                        <w:left w:val="none" w:sz="0" w:space="0" w:color="auto"/>
                        <w:bottom w:val="none" w:sz="0" w:space="0" w:color="auto"/>
                        <w:right w:val="none" w:sz="0" w:space="0" w:color="auto"/>
                      </w:divBdr>
                    </w:div>
                  </w:divsChild>
                </w:div>
                <w:div w:id="1902325538">
                  <w:marLeft w:val="0"/>
                  <w:marRight w:val="0"/>
                  <w:marTop w:val="0"/>
                  <w:marBottom w:val="0"/>
                  <w:divBdr>
                    <w:top w:val="none" w:sz="0" w:space="0" w:color="auto"/>
                    <w:left w:val="none" w:sz="0" w:space="0" w:color="auto"/>
                    <w:bottom w:val="none" w:sz="0" w:space="0" w:color="auto"/>
                    <w:right w:val="none" w:sz="0" w:space="0" w:color="auto"/>
                  </w:divBdr>
                  <w:divsChild>
                    <w:div w:id="609436356">
                      <w:marLeft w:val="0"/>
                      <w:marRight w:val="0"/>
                      <w:marTop w:val="0"/>
                      <w:marBottom w:val="0"/>
                      <w:divBdr>
                        <w:top w:val="none" w:sz="0" w:space="0" w:color="auto"/>
                        <w:left w:val="none" w:sz="0" w:space="0" w:color="auto"/>
                        <w:bottom w:val="none" w:sz="0" w:space="0" w:color="auto"/>
                        <w:right w:val="none" w:sz="0" w:space="0" w:color="auto"/>
                      </w:divBdr>
                    </w:div>
                  </w:divsChild>
                </w:div>
                <w:div w:id="1908108355">
                  <w:marLeft w:val="0"/>
                  <w:marRight w:val="0"/>
                  <w:marTop w:val="0"/>
                  <w:marBottom w:val="0"/>
                  <w:divBdr>
                    <w:top w:val="none" w:sz="0" w:space="0" w:color="auto"/>
                    <w:left w:val="none" w:sz="0" w:space="0" w:color="auto"/>
                    <w:bottom w:val="none" w:sz="0" w:space="0" w:color="auto"/>
                    <w:right w:val="none" w:sz="0" w:space="0" w:color="auto"/>
                  </w:divBdr>
                  <w:divsChild>
                    <w:div w:id="2093813243">
                      <w:marLeft w:val="0"/>
                      <w:marRight w:val="0"/>
                      <w:marTop w:val="0"/>
                      <w:marBottom w:val="0"/>
                      <w:divBdr>
                        <w:top w:val="none" w:sz="0" w:space="0" w:color="auto"/>
                        <w:left w:val="none" w:sz="0" w:space="0" w:color="auto"/>
                        <w:bottom w:val="none" w:sz="0" w:space="0" w:color="auto"/>
                        <w:right w:val="none" w:sz="0" w:space="0" w:color="auto"/>
                      </w:divBdr>
                    </w:div>
                  </w:divsChild>
                </w:div>
                <w:div w:id="1915626073">
                  <w:marLeft w:val="0"/>
                  <w:marRight w:val="0"/>
                  <w:marTop w:val="0"/>
                  <w:marBottom w:val="0"/>
                  <w:divBdr>
                    <w:top w:val="none" w:sz="0" w:space="0" w:color="auto"/>
                    <w:left w:val="none" w:sz="0" w:space="0" w:color="auto"/>
                    <w:bottom w:val="none" w:sz="0" w:space="0" w:color="auto"/>
                    <w:right w:val="none" w:sz="0" w:space="0" w:color="auto"/>
                  </w:divBdr>
                  <w:divsChild>
                    <w:div w:id="2045790489">
                      <w:marLeft w:val="0"/>
                      <w:marRight w:val="0"/>
                      <w:marTop w:val="0"/>
                      <w:marBottom w:val="0"/>
                      <w:divBdr>
                        <w:top w:val="none" w:sz="0" w:space="0" w:color="auto"/>
                        <w:left w:val="none" w:sz="0" w:space="0" w:color="auto"/>
                        <w:bottom w:val="none" w:sz="0" w:space="0" w:color="auto"/>
                        <w:right w:val="none" w:sz="0" w:space="0" w:color="auto"/>
                      </w:divBdr>
                    </w:div>
                  </w:divsChild>
                </w:div>
                <w:div w:id="2057123415">
                  <w:marLeft w:val="0"/>
                  <w:marRight w:val="0"/>
                  <w:marTop w:val="0"/>
                  <w:marBottom w:val="0"/>
                  <w:divBdr>
                    <w:top w:val="none" w:sz="0" w:space="0" w:color="auto"/>
                    <w:left w:val="none" w:sz="0" w:space="0" w:color="auto"/>
                    <w:bottom w:val="none" w:sz="0" w:space="0" w:color="auto"/>
                    <w:right w:val="none" w:sz="0" w:space="0" w:color="auto"/>
                  </w:divBdr>
                  <w:divsChild>
                    <w:div w:id="1189442795">
                      <w:marLeft w:val="0"/>
                      <w:marRight w:val="0"/>
                      <w:marTop w:val="0"/>
                      <w:marBottom w:val="0"/>
                      <w:divBdr>
                        <w:top w:val="none" w:sz="0" w:space="0" w:color="auto"/>
                        <w:left w:val="none" w:sz="0" w:space="0" w:color="auto"/>
                        <w:bottom w:val="none" w:sz="0" w:space="0" w:color="auto"/>
                        <w:right w:val="none" w:sz="0" w:space="0" w:color="auto"/>
                      </w:divBdr>
                    </w:div>
                  </w:divsChild>
                </w:div>
                <w:div w:id="2094085044">
                  <w:marLeft w:val="0"/>
                  <w:marRight w:val="0"/>
                  <w:marTop w:val="0"/>
                  <w:marBottom w:val="0"/>
                  <w:divBdr>
                    <w:top w:val="none" w:sz="0" w:space="0" w:color="auto"/>
                    <w:left w:val="none" w:sz="0" w:space="0" w:color="auto"/>
                    <w:bottom w:val="none" w:sz="0" w:space="0" w:color="auto"/>
                    <w:right w:val="none" w:sz="0" w:space="0" w:color="auto"/>
                  </w:divBdr>
                  <w:divsChild>
                    <w:div w:id="51463973">
                      <w:marLeft w:val="0"/>
                      <w:marRight w:val="0"/>
                      <w:marTop w:val="0"/>
                      <w:marBottom w:val="0"/>
                      <w:divBdr>
                        <w:top w:val="none" w:sz="0" w:space="0" w:color="auto"/>
                        <w:left w:val="none" w:sz="0" w:space="0" w:color="auto"/>
                        <w:bottom w:val="none" w:sz="0" w:space="0" w:color="auto"/>
                        <w:right w:val="none" w:sz="0" w:space="0" w:color="auto"/>
                      </w:divBdr>
                    </w:div>
                  </w:divsChild>
                </w:div>
                <w:div w:id="2116707082">
                  <w:marLeft w:val="0"/>
                  <w:marRight w:val="0"/>
                  <w:marTop w:val="0"/>
                  <w:marBottom w:val="0"/>
                  <w:divBdr>
                    <w:top w:val="none" w:sz="0" w:space="0" w:color="auto"/>
                    <w:left w:val="none" w:sz="0" w:space="0" w:color="auto"/>
                    <w:bottom w:val="none" w:sz="0" w:space="0" w:color="auto"/>
                    <w:right w:val="none" w:sz="0" w:space="0" w:color="auto"/>
                  </w:divBdr>
                  <w:divsChild>
                    <w:div w:id="611521224">
                      <w:marLeft w:val="0"/>
                      <w:marRight w:val="0"/>
                      <w:marTop w:val="0"/>
                      <w:marBottom w:val="0"/>
                      <w:divBdr>
                        <w:top w:val="none" w:sz="0" w:space="0" w:color="auto"/>
                        <w:left w:val="none" w:sz="0" w:space="0" w:color="auto"/>
                        <w:bottom w:val="none" w:sz="0" w:space="0" w:color="auto"/>
                        <w:right w:val="none" w:sz="0" w:space="0" w:color="auto"/>
                      </w:divBdr>
                    </w:div>
                  </w:divsChild>
                </w:div>
                <w:div w:id="2142188351">
                  <w:marLeft w:val="0"/>
                  <w:marRight w:val="0"/>
                  <w:marTop w:val="0"/>
                  <w:marBottom w:val="0"/>
                  <w:divBdr>
                    <w:top w:val="none" w:sz="0" w:space="0" w:color="auto"/>
                    <w:left w:val="none" w:sz="0" w:space="0" w:color="auto"/>
                    <w:bottom w:val="none" w:sz="0" w:space="0" w:color="auto"/>
                    <w:right w:val="none" w:sz="0" w:space="0" w:color="auto"/>
                  </w:divBdr>
                  <w:divsChild>
                    <w:div w:id="9868562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2594035">
          <w:marLeft w:val="0"/>
          <w:marRight w:val="0"/>
          <w:marTop w:val="0"/>
          <w:marBottom w:val="0"/>
          <w:divBdr>
            <w:top w:val="none" w:sz="0" w:space="0" w:color="auto"/>
            <w:left w:val="none" w:sz="0" w:space="0" w:color="auto"/>
            <w:bottom w:val="none" w:sz="0" w:space="0" w:color="auto"/>
            <w:right w:val="none" w:sz="0" w:space="0" w:color="auto"/>
          </w:divBdr>
        </w:div>
        <w:div w:id="978530020">
          <w:marLeft w:val="0"/>
          <w:marRight w:val="0"/>
          <w:marTop w:val="0"/>
          <w:marBottom w:val="0"/>
          <w:divBdr>
            <w:top w:val="none" w:sz="0" w:space="0" w:color="auto"/>
            <w:left w:val="none" w:sz="0" w:space="0" w:color="auto"/>
            <w:bottom w:val="none" w:sz="0" w:space="0" w:color="auto"/>
            <w:right w:val="none" w:sz="0" w:space="0" w:color="auto"/>
          </w:divBdr>
          <w:divsChild>
            <w:div w:id="1686009409">
              <w:marLeft w:val="-75"/>
              <w:marRight w:val="0"/>
              <w:marTop w:val="30"/>
              <w:marBottom w:val="30"/>
              <w:divBdr>
                <w:top w:val="none" w:sz="0" w:space="0" w:color="auto"/>
                <w:left w:val="none" w:sz="0" w:space="0" w:color="auto"/>
                <w:bottom w:val="none" w:sz="0" w:space="0" w:color="auto"/>
                <w:right w:val="none" w:sz="0" w:space="0" w:color="auto"/>
              </w:divBdr>
              <w:divsChild>
                <w:div w:id="4485261">
                  <w:marLeft w:val="0"/>
                  <w:marRight w:val="0"/>
                  <w:marTop w:val="0"/>
                  <w:marBottom w:val="0"/>
                  <w:divBdr>
                    <w:top w:val="none" w:sz="0" w:space="0" w:color="auto"/>
                    <w:left w:val="none" w:sz="0" w:space="0" w:color="auto"/>
                    <w:bottom w:val="none" w:sz="0" w:space="0" w:color="auto"/>
                    <w:right w:val="none" w:sz="0" w:space="0" w:color="auto"/>
                  </w:divBdr>
                  <w:divsChild>
                    <w:div w:id="532109058">
                      <w:marLeft w:val="0"/>
                      <w:marRight w:val="0"/>
                      <w:marTop w:val="0"/>
                      <w:marBottom w:val="0"/>
                      <w:divBdr>
                        <w:top w:val="none" w:sz="0" w:space="0" w:color="auto"/>
                        <w:left w:val="none" w:sz="0" w:space="0" w:color="auto"/>
                        <w:bottom w:val="none" w:sz="0" w:space="0" w:color="auto"/>
                        <w:right w:val="none" w:sz="0" w:space="0" w:color="auto"/>
                      </w:divBdr>
                    </w:div>
                  </w:divsChild>
                </w:div>
                <w:div w:id="67774250">
                  <w:marLeft w:val="0"/>
                  <w:marRight w:val="0"/>
                  <w:marTop w:val="0"/>
                  <w:marBottom w:val="0"/>
                  <w:divBdr>
                    <w:top w:val="none" w:sz="0" w:space="0" w:color="auto"/>
                    <w:left w:val="none" w:sz="0" w:space="0" w:color="auto"/>
                    <w:bottom w:val="none" w:sz="0" w:space="0" w:color="auto"/>
                    <w:right w:val="none" w:sz="0" w:space="0" w:color="auto"/>
                  </w:divBdr>
                  <w:divsChild>
                    <w:div w:id="950553515">
                      <w:marLeft w:val="0"/>
                      <w:marRight w:val="0"/>
                      <w:marTop w:val="0"/>
                      <w:marBottom w:val="0"/>
                      <w:divBdr>
                        <w:top w:val="none" w:sz="0" w:space="0" w:color="auto"/>
                        <w:left w:val="none" w:sz="0" w:space="0" w:color="auto"/>
                        <w:bottom w:val="none" w:sz="0" w:space="0" w:color="auto"/>
                        <w:right w:val="none" w:sz="0" w:space="0" w:color="auto"/>
                      </w:divBdr>
                    </w:div>
                  </w:divsChild>
                </w:div>
                <w:div w:id="146938751">
                  <w:marLeft w:val="0"/>
                  <w:marRight w:val="0"/>
                  <w:marTop w:val="0"/>
                  <w:marBottom w:val="0"/>
                  <w:divBdr>
                    <w:top w:val="none" w:sz="0" w:space="0" w:color="auto"/>
                    <w:left w:val="none" w:sz="0" w:space="0" w:color="auto"/>
                    <w:bottom w:val="none" w:sz="0" w:space="0" w:color="auto"/>
                    <w:right w:val="none" w:sz="0" w:space="0" w:color="auto"/>
                  </w:divBdr>
                  <w:divsChild>
                    <w:div w:id="1624074284">
                      <w:marLeft w:val="0"/>
                      <w:marRight w:val="0"/>
                      <w:marTop w:val="0"/>
                      <w:marBottom w:val="0"/>
                      <w:divBdr>
                        <w:top w:val="none" w:sz="0" w:space="0" w:color="auto"/>
                        <w:left w:val="none" w:sz="0" w:space="0" w:color="auto"/>
                        <w:bottom w:val="none" w:sz="0" w:space="0" w:color="auto"/>
                        <w:right w:val="none" w:sz="0" w:space="0" w:color="auto"/>
                      </w:divBdr>
                    </w:div>
                  </w:divsChild>
                </w:div>
                <w:div w:id="159121701">
                  <w:marLeft w:val="0"/>
                  <w:marRight w:val="0"/>
                  <w:marTop w:val="0"/>
                  <w:marBottom w:val="0"/>
                  <w:divBdr>
                    <w:top w:val="none" w:sz="0" w:space="0" w:color="auto"/>
                    <w:left w:val="none" w:sz="0" w:space="0" w:color="auto"/>
                    <w:bottom w:val="none" w:sz="0" w:space="0" w:color="auto"/>
                    <w:right w:val="none" w:sz="0" w:space="0" w:color="auto"/>
                  </w:divBdr>
                  <w:divsChild>
                    <w:div w:id="449207916">
                      <w:marLeft w:val="0"/>
                      <w:marRight w:val="0"/>
                      <w:marTop w:val="0"/>
                      <w:marBottom w:val="0"/>
                      <w:divBdr>
                        <w:top w:val="none" w:sz="0" w:space="0" w:color="auto"/>
                        <w:left w:val="none" w:sz="0" w:space="0" w:color="auto"/>
                        <w:bottom w:val="none" w:sz="0" w:space="0" w:color="auto"/>
                        <w:right w:val="none" w:sz="0" w:space="0" w:color="auto"/>
                      </w:divBdr>
                    </w:div>
                  </w:divsChild>
                </w:div>
                <w:div w:id="172232763">
                  <w:marLeft w:val="0"/>
                  <w:marRight w:val="0"/>
                  <w:marTop w:val="0"/>
                  <w:marBottom w:val="0"/>
                  <w:divBdr>
                    <w:top w:val="none" w:sz="0" w:space="0" w:color="auto"/>
                    <w:left w:val="none" w:sz="0" w:space="0" w:color="auto"/>
                    <w:bottom w:val="none" w:sz="0" w:space="0" w:color="auto"/>
                    <w:right w:val="none" w:sz="0" w:space="0" w:color="auto"/>
                  </w:divBdr>
                  <w:divsChild>
                    <w:div w:id="1252548888">
                      <w:marLeft w:val="0"/>
                      <w:marRight w:val="0"/>
                      <w:marTop w:val="0"/>
                      <w:marBottom w:val="0"/>
                      <w:divBdr>
                        <w:top w:val="none" w:sz="0" w:space="0" w:color="auto"/>
                        <w:left w:val="none" w:sz="0" w:space="0" w:color="auto"/>
                        <w:bottom w:val="none" w:sz="0" w:space="0" w:color="auto"/>
                        <w:right w:val="none" w:sz="0" w:space="0" w:color="auto"/>
                      </w:divBdr>
                    </w:div>
                  </w:divsChild>
                </w:div>
                <w:div w:id="241568849">
                  <w:marLeft w:val="0"/>
                  <w:marRight w:val="0"/>
                  <w:marTop w:val="0"/>
                  <w:marBottom w:val="0"/>
                  <w:divBdr>
                    <w:top w:val="none" w:sz="0" w:space="0" w:color="auto"/>
                    <w:left w:val="none" w:sz="0" w:space="0" w:color="auto"/>
                    <w:bottom w:val="none" w:sz="0" w:space="0" w:color="auto"/>
                    <w:right w:val="none" w:sz="0" w:space="0" w:color="auto"/>
                  </w:divBdr>
                  <w:divsChild>
                    <w:div w:id="2077389272">
                      <w:marLeft w:val="0"/>
                      <w:marRight w:val="0"/>
                      <w:marTop w:val="0"/>
                      <w:marBottom w:val="0"/>
                      <w:divBdr>
                        <w:top w:val="none" w:sz="0" w:space="0" w:color="auto"/>
                        <w:left w:val="none" w:sz="0" w:space="0" w:color="auto"/>
                        <w:bottom w:val="none" w:sz="0" w:space="0" w:color="auto"/>
                        <w:right w:val="none" w:sz="0" w:space="0" w:color="auto"/>
                      </w:divBdr>
                    </w:div>
                  </w:divsChild>
                </w:div>
                <w:div w:id="268199182">
                  <w:marLeft w:val="0"/>
                  <w:marRight w:val="0"/>
                  <w:marTop w:val="0"/>
                  <w:marBottom w:val="0"/>
                  <w:divBdr>
                    <w:top w:val="none" w:sz="0" w:space="0" w:color="auto"/>
                    <w:left w:val="none" w:sz="0" w:space="0" w:color="auto"/>
                    <w:bottom w:val="none" w:sz="0" w:space="0" w:color="auto"/>
                    <w:right w:val="none" w:sz="0" w:space="0" w:color="auto"/>
                  </w:divBdr>
                  <w:divsChild>
                    <w:div w:id="1764452236">
                      <w:marLeft w:val="0"/>
                      <w:marRight w:val="0"/>
                      <w:marTop w:val="0"/>
                      <w:marBottom w:val="0"/>
                      <w:divBdr>
                        <w:top w:val="none" w:sz="0" w:space="0" w:color="auto"/>
                        <w:left w:val="none" w:sz="0" w:space="0" w:color="auto"/>
                        <w:bottom w:val="none" w:sz="0" w:space="0" w:color="auto"/>
                        <w:right w:val="none" w:sz="0" w:space="0" w:color="auto"/>
                      </w:divBdr>
                    </w:div>
                  </w:divsChild>
                </w:div>
                <w:div w:id="368142199">
                  <w:marLeft w:val="0"/>
                  <w:marRight w:val="0"/>
                  <w:marTop w:val="0"/>
                  <w:marBottom w:val="0"/>
                  <w:divBdr>
                    <w:top w:val="none" w:sz="0" w:space="0" w:color="auto"/>
                    <w:left w:val="none" w:sz="0" w:space="0" w:color="auto"/>
                    <w:bottom w:val="none" w:sz="0" w:space="0" w:color="auto"/>
                    <w:right w:val="none" w:sz="0" w:space="0" w:color="auto"/>
                  </w:divBdr>
                  <w:divsChild>
                    <w:div w:id="531385583">
                      <w:marLeft w:val="0"/>
                      <w:marRight w:val="0"/>
                      <w:marTop w:val="0"/>
                      <w:marBottom w:val="0"/>
                      <w:divBdr>
                        <w:top w:val="none" w:sz="0" w:space="0" w:color="auto"/>
                        <w:left w:val="none" w:sz="0" w:space="0" w:color="auto"/>
                        <w:bottom w:val="none" w:sz="0" w:space="0" w:color="auto"/>
                        <w:right w:val="none" w:sz="0" w:space="0" w:color="auto"/>
                      </w:divBdr>
                    </w:div>
                    <w:div w:id="1920287703">
                      <w:marLeft w:val="0"/>
                      <w:marRight w:val="0"/>
                      <w:marTop w:val="0"/>
                      <w:marBottom w:val="0"/>
                      <w:divBdr>
                        <w:top w:val="none" w:sz="0" w:space="0" w:color="auto"/>
                        <w:left w:val="none" w:sz="0" w:space="0" w:color="auto"/>
                        <w:bottom w:val="none" w:sz="0" w:space="0" w:color="auto"/>
                        <w:right w:val="none" w:sz="0" w:space="0" w:color="auto"/>
                      </w:divBdr>
                    </w:div>
                    <w:div w:id="2105684521">
                      <w:marLeft w:val="0"/>
                      <w:marRight w:val="0"/>
                      <w:marTop w:val="0"/>
                      <w:marBottom w:val="0"/>
                      <w:divBdr>
                        <w:top w:val="none" w:sz="0" w:space="0" w:color="auto"/>
                        <w:left w:val="none" w:sz="0" w:space="0" w:color="auto"/>
                        <w:bottom w:val="none" w:sz="0" w:space="0" w:color="auto"/>
                        <w:right w:val="none" w:sz="0" w:space="0" w:color="auto"/>
                      </w:divBdr>
                    </w:div>
                  </w:divsChild>
                </w:div>
                <w:div w:id="426922776">
                  <w:marLeft w:val="0"/>
                  <w:marRight w:val="0"/>
                  <w:marTop w:val="0"/>
                  <w:marBottom w:val="0"/>
                  <w:divBdr>
                    <w:top w:val="none" w:sz="0" w:space="0" w:color="auto"/>
                    <w:left w:val="none" w:sz="0" w:space="0" w:color="auto"/>
                    <w:bottom w:val="none" w:sz="0" w:space="0" w:color="auto"/>
                    <w:right w:val="none" w:sz="0" w:space="0" w:color="auto"/>
                  </w:divBdr>
                  <w:divsChild>
                    <w:div w:id="1951427602">
                      <w:marLeft w:val="0"/>
                      <w:marRight w:val="0"/>
                      <w:marTop w:val="0"/>
                      <w:marBottom w:val="0"/>
                      <w:divBdr>
                        <w:top w:val="none" w:sz="0" w:space="0" w:color="auto"/>
                        <w:left w:val="none" w:sz="0" w:space="0" w:color="auto"/>
                        <w:bottom w:val="none" w:sz="0" w:space="0" w:color="auto"/>
                        <w:right w:val="none" w:sz="0" w:space="0" w:color="auto"/>
                      </w:divBdr>
                    </w:div>
                  </w:divsChild>
                </w:div>
                <w:div w:id="477112495">
                  <w:marLeft w:val="0"/>
                  <w:marRight w:val="0"/>
                  <w:marTop w:val="0"/>
                  <w:marBottom w:val="0"/>
                  <w:divBdr>
                    <w:top w:val="none" w:sz="0" w:space="0" w:color="auto"/>
                    <w:left w:val="none" w:sz="0" w:space="0" w:color="auto"/>
                    <w:bottom w:val="none" w:sz="0" w:space="0" w:color="auto"/>
                    <w:right w:val="none" w:sz="0" w:space="0" w:color="auto"/>
                  </w:divBdr>
                  <w:divsChild>
                    <w:div w:id="1575120064">
                      <w:marLeft w:val="0"/>
                      <w:marRight w:val="0"/>
                      <w:marTop w:val="0"/>
                      <w:marBottom w:val="0"/>
                      <w:divBdr>
                        <w:top w:val="none" w:sz="0" w:space="0" w:color="auto"/>
                        <w:left w:val="none" w:sz="0" w:space="0" w:color="auto"/>
                        <w:bottom w:val="none" w:sz="0" w:space="0" w:color="auto"/>
                        <w:right w:val="none" w:sz="0" w:space="0" w:color="auto"/>
                      </w:divBdr>
                    </w:div>
                  </w:divsChild>
                </w:div>
                <w:div w:id="495725625">
                  <w:marLeft w:val="0"/>
                  <w:marRight w:val="0"/>
                  <w:marTop w:val="0"/>
                  <w:marBottom w:val="0"/>
                  <w:divBdr>
                    <w:top w:val="none" w:sz="0" w:space="0" w:color="auto"/>
                    <w:left w:val="none" w:sz="0" w:space="0" w:color="auto"/>
                    <w:bottom w:val="none" w:sz="0" w:space="0" w:color="auto"/>
                    <w:right w:val="none" w:sz="0" w:space="0" w:color="auto"/>
                  </w:divBdr>
                  <w:divsChild>
                    <w:div w:id="85274645">
                      <w:marLeft w:val="0"/>
                      <w:marRight w:val="0"/>
                      <w:marTop w:val="0"/>
                      <w:marBottom w:val="0"/>
                      <w:divBdr>
                        <w:top w:val="none" w:sz="0" w:space="0" w:color="auto"/>
                        <w:left w:val="none" w:sz="0" w:space="0" w:color="auto"/>
                        <w:bottom w:val="none" w:sz="0" w:space="0" w:color="auto"/>
                        <w:right w:val="none" w:sz="0" w:space="0" w:color="auto"/>
                      </w:divBdr>
                    </w:div>
                  </w:divsChild>
                </w:div>
                <w:div w:id="518201137">
                  <w:marLeft w:val="0"/>
                  <w:marRight w:val="0"/>
                  <w:marTop w:val="0"/>
                  <w:marBottom w:val="0"/>
                  <w:divBdr>
                    <w:top w:val="none" w:sz="0" w:space="0" w:color="auto"/>
                    <w:left w:val="none" w:sz="0" w:space="0" w:color="auto"/>
                    <w:bottom w:val="none" w:sz="0" w:space="0" w:color="auto"/>
                    <w:right w:val="none" w:sz="0" w:space="0" w:color="auto"/>
                  </w:divBdr>
                  <w:divsChild>
                    <w:div w:id="329601427">
                      <w:marLeft w:val="0"/>
                      <w:marRight w:val="0"/>
                      <w:marTop w:val="0"/>
                      <w:marBottom w:val="0"/>
                      <w:divBdr>
                        <w:top w:val="none" w:sz="0" w:space="0" w:color="auto"/>
                        <w:left w:val="none" w:sz="0" w:space="0" w:color="auto"/>
                        <w:bottom w:val="none" w:sz="0" w:space="0" w:color="auto"/>
                        <w:right w:val="none" w:sz="0" w:space="0" w:color="auto"/>
                      </w:divBdr>
                    </w:div>
                  </w:divsChild>
                </w:div>
                <w:div w:id="562302943">
                  <w:marLeft w:val="0"/>
                  <w:marRight w:val="0"/>
                  <w:marTop w:val="0"/>
                  <w:marBottom w:val="0"/>
                  <w:divBdr>
                    <w:top w:val="none" w:sz="0" w:space="0" w:color="auto"/>
                    <w:left w:val="none" w:sz="0" w:space="0" w:color="auto"/>
                    <w:bottom w:val="none" w:sz="0" w:space="0" w:color="auto"/>
                    <w:right w:val="none" w:sz="0" w:space="0" w:color="auto"/>
                  </w:divBdr>
                  <w:divsChild>
                    <w:div w:id="1350064842">
                      <w:marLeft w:val="0"/>
                      <w:marRight w:val="0"/>
                      <w:marTop w:val="0"/>
                      <w:marBottom w:val="0"/>
                      <w:divBdr>
                        <w:top w:val="none" w:sz="0" w:space="0" w:color="auto"/>
                        <w:left w:val="none" w:sz="0" w:space="0" w:color="auto"/>
                        <w:bottom w:val="none" w:sz="0" w:space="0" w:color="auto"/>
                        <w:right w:val="none" w:sz="0" w:space="0" w:color="auto"/>
                      </w:divBdr>
                    </w:div>
                  </w:divsChild>
                </w:div>
                <w:div w:id="608241106">
                  <w:marLeft w:val="0"/>
                  <w:marRight w:val="0"/>
                  <w:marTop w:val="0"/>
                  <w:marBottom w:val="0"/>
                  <w:divBdr>
                    <w:top w:val="none" w:sz="0" w:space="0" w:color="auto"/>
                    <w:left w:val="none" w:sz="0" w:space="0" w:color="auto"/>
                    <w:bottom w:val="none" w:sz="0" w:space="0" w:color="auto"/>
                    <w:right w:val="none" w:sz="0" w:space="0" w:color="auto"/>
                  </w:divBdr>
                  <w:divsChild>
                    <w:div w:id="1284846913">
                      <w:marLeft w:val="0"/>
                      <w:marRight w:val="0"/>
                      <w:marTop w:val="0"/>
                      <w:marBottom w:val="0"/>
                      <w:divBdr>
                        <w:top w:val="none" w:sz="0" w:space="0" w:color="auto"/>
                        <w:left w:val="none" w:sz="0" w:space="0" w:color="auto"/>
                        <w:bottom w:val="none" w:sz="0" w:space="0" w:color="auto"/>
                        <w:right w:val="none" w:sz="0" w:space="0" w:color="auto"/>
                      </w:divBdr>
                    </w:div>
                  </w:divsChild>
                </w:div>
                <w:div w:id="618032175">
                  <w:marLeft w:val="0"/>
                  <w:marRight w:val="0"/>
                  <w:marTop w:val="0"/>
                  <w:marBottom w:val="0"/>
                  <w:divBdr>
                    <w:top w:val="none" w:sz="0" w:space="0" w:color="auto"/>
                    <w:left w:val="none" w:sz="0" w:space="0" w:color="auto"/>
                    <w:bottom w:val="none" w:sz="0" w:space="0" w:color="auto"/>
                    <w:right w:val="none" w:sz="0" w:space="0" w:color="auto"/>
                  </w:divBdr>
                  <w:divsChild>
                    <w:div w:id="2135557635">
                      <w:marLeft w:val="0"/>
                      <w:marRight w:val="0"/>
                      <w:marTop w:val="0"/>
                      <w:marBottom w:val="0"/>
                      <w:divBdr>
                        <w:top w:val="none" w:sz="0" w:space="0" w:color="auto"/>
                        <w:left w:val="none" w:sz="0" w:space="0" w:color="auto"/>
                        <w:bottom w:val="none" w:sz="0" w:space="0" w:color="auto"/>
                        <w:right w:val="none" w:sz="0" w:space="0" w:color="auto"/>
                      </w:divBdr>
                    </w:div>
                  </w:divsChild>
                </w:div>
                <w:div w:id="644050754">
                  <w:marLeft w:val="0"/>
                  <w:marRight w:val="0"/>
                  <w:marTop w:val="0"/>
                  <w:marBottom w:val="0"/>
                  <w:divBdr>
                    <w:top w:val="none" w:sz="0" w:space="0" w:color="auto"/>
                    <w:left w:val="none" w:sz="0" w:space="0" w:color="auto"/>
                    <w:bottom w:val="none" w:sz="0" w:space="0" w:color="auto"/>
                    <w:right w:val="none" w:sz="0" w:space="0" w:color="auto"/>
                  </w:divBdr>
                  <w:divsChild>
                    <w:div w:id="626546048">
                      <w:marLeft w:val="0"/>
                      <w:marRight w:val="0"/>
                      <w:marTop w:val="0"/>
                      <w:marBottom w:val="0"/>
                      <w:divBdr>
                        <w:top w:val="none" w:sz="0" w:space="0" w:color="auto"/>
                        <w:left w:val="none" w:sz="0" w:space="0" w:color="auto"/>
                        <w:bottom w:val="none" w:sz="0" w:space="0" w:color="auto"/>
                        <w:right w:val="none" w:sz="0" w:space="0" w:color="auto"/>
                      </w:divBdr>
                    </w:div>
                  </w:divsChild>
                </w:div>
                <w:div w:id="645281793">
                  <w:marLeft w:val="0"/>
                  <w:marRight w:val="0"/>
                  <w:marTop w:val="0"/>
                  <w:marBottom w:val="0"/>
                  <w:divBdr>
                    <w:top w:val="none" w:sz="0" w:space="0" w:color="auto"/>
                    <w:left w:val="none" w:sz="0" w:space="0" w:color="auto"/>
                    <w:bottom w:val="none" w:sz="0" w:space="0" w:color="auto"/>
                    <w:right w:val="none" w:sz="0" w:space="0" w:color="auto"/>
                  </w:divBdr>
                  <w:divsChild>
                    <w:div w:id="1208296361">
                      <w:marLeft w:val="0"/>
                      <w:marRight w:val="0"/>
                      <w:marTop w:val="0"/>
                      <w:marBottom w:val="0"/>
                      <w:divBdr>
                        <w:top w:val="none" w:sz="0" w:space="0" w:color="auto"/>
                        <w:left w:val="none" w:sz="0" w:space="0" w:color="auto"/>
                        <w:bottom w:val="none" w:sz="0" w:space="0" w:color="auto"/>
                        <w:right w:val="none" w:sz="0" w:space="0" w:color="auto"/>
                      </w:divBdr>
                    </w:div>
                  </w:divsChild>
                </w:div>
                <w:div w:id="668481736">
                  <w:marLeft w:val="0"/>
                  <w:marRight w:val="0"/>
                  <w:marTop w:val="0"/>
                  <w:marBottom w:val="0"/>
                  <w:divBdr>
                    <w:top w:val="none" w:sz="0" w:space="0" w:color="auto"/>
                    <w:left w:val="none" w:sz="0" w:space="0" w:color="auto"/>
                    <w:bottom w:val="none" w:sz="0" w:space="0" w:color="auto"/>
                    <w:right w:val="none" w:sz="0" w:space="0" w:color="auto"/>
                  </w:divBdr>
                  <w:divsChild>
                    <w:div w:id="1318194465">
                      <w:marLeft w:val="0"/>
                      <w:marRight w:val="0"/>
                      <w:marTop w:val="0"/>
                      <w:marBottom w:val="0"/>
                      <w:divBdr>
                        <w:top w:val="none" w:sz="0" w:space="0" w:color="auto"/>
                        <w:left w:val="none" w:sz="0" w:space="0" w:color="auto"/>
                        <w:bottom w:val="none" w:sz="0" w:space="0" w:color="auto"/>
                        <w:right w:val="none" w:sz="0" w:space="0" w:color="auto"/>
                      </w:divBdr>
                    </w:div>
                  </w:divsChild>
                </w:div>
                <w:div w:id="677118488">
                  <w:marLeft w:val="0"/>
                  <w:marRight w:val="0"/>
                  <w:marTop w:val="0"/>
                  <w:marBottom w:val="0"/>
                  <w:divBdr>
                    <w:top w:val="none" w:sz="0" w:space="0" w:color="auto"/>
                    <w:left w:val="none" w:sz="0" w:space="0" w:color="auto"/>
                    <w:bottom w:val="none" w:sz="0" w:space="0" w:color="auto"/>
                    <w:right w:val="none" w:sz="0" w:space="0" w:color="auto"/>
                  </w:divBdr>
                  <w:divsChild>
                    <w:div w:id="1882134541">
                      <w:marLeft w:val="0"/>
                      <w:marRight w:val="0"/>
                      <w:marTop w:val="0"/>
                      <w:marBottom w:val="0"/>
                      <w:divBdr>
                        <w:top w:val="none" w:sz="0" w:space="0" w:color="auto"/>
                        <w:left w:val="none" w:sz="0" w:space="0" w:color="auto"/>
                        <w:bottom w:val="none" w:sz="0" w:space="0" w:color="auto"/>
                        <w:right w:val="none" w:sz="0" w:space="0" w:color="auto"/>
                      </w:divBdr>
                    </w:div>
                  </w:divsChild>
                </w:div>
                <w:div w:id="742603225">
                  <w:marLeft w:val="0"/>
                  <w:marRight w:val="0"/>
                  <w:marTop w:val="0"/>
                  <w:marBottom w:val="0"/>
                  <w:divBdr>
                    <w:top w:val="none" w:sz="0" w:space="0" w:color="auto"/>
                    <w:left w:val="none" w:sz="0" w:space="0" w:color="auto"/>
                    <w:bottom w:val="none" w:sz="0" w:space="0" w:color="auto"/>
                    <w:right w:val="none" w:sz="0" w:space="0" w:color="auto"/>
                  </w:divBdr>
                  <w:divsChild>
                    <w:div w:id="38556772">
                      <w:marLeft w:val="0"/>
                      <w:marRight w:val="0"/>
                      <w:marTop w:val="0"/>
                      <w:marBottom w:val="0"/>
                      <w:divBdr>
                        <w:top w:val="none" w:sz="0" w:space="0" w:color="auto"/>
                        <w:left w:val="none" w:sz="0" w:space="0" w:color="auto"/>
                        <w:bottom w:val="none" w:sz="0" w:space="0" w:color="auto"/>
                        <w:right w:val="none" w:sz="0" w:space="0" w:color="auto"/>
                      </w:divBdr>
                    </w:div>
                  </w:divsChild>
                </w:div>
                <w:div w:id="771240682">
                  <w:marLeft w:val="0"/>
                  <w:marRight w:val="0"/>
                  <w:marTop w:val="0"/>
                  <w:marBottom w:val="0"/>
                  <w:divBdr>
                    <w:top w:val="none" w:sz="0" w:space="0" w:color="auto"/>
                    <w:left w:val="none" w:sz="0" w:space="0" w:color="auto"/>
                    <w:bottom w:val="none" w:sz="0" w:space="0" w:color="auto"/>
                    <w:right w:val="none" w:sz="0" w:space="0" w:color="auto"/>
                  </w:divBdr>
                  <w:divsChild>
                    <w:div w:id="369889342">
                      <w:marLeft w:val="0"/>
                      <w:marRight w:val="0"/>
                      <w:marTop w:val="0"/>
                      <w:marBottom w:val="0"/>
                      <w:divBdr>
                        <w:top w:val="none" w:sz="0" w:space="0" w:color="auto"/>
                        <w:left w:val="none" w:sz="0" w:space="0" w:color="auto"/>
                        <w:bottom w:val="none" w:sz="0" w:space="0" w:color="auto"/>
                        <w:right w:val="none" w:sz="0" w:space="0" w:color="auto"/>
                      </w:divBdr>
                    </w:div>
                  </w:divsChild>
                </w:div>
                <w:div w:id="794102833">
                  <w:marLeft w:val="0"/>
                  <w:marRight w:val="0"/>
                  <w:marTop w:val="0"/>
                  <w:marBottom w:val="0"/>
                  <w:divBdr>
                    <w:top w:val="none" w:sz="0" w:space="0" w:color="auto"/>
                    <w:left w:val="none" w:sz="0" w:space="0" w:color="auto"/>
                    <w:bottom w:val="none" w:sz="0" w:space="0" w:color="auto"/>
                    <w:right w:val="none" w:sz="0" w:space="0" w:color="auto"/>
                  </w:divBdr>
                  <w:divsChild>
                    <w:div w:id="365642321">
                      <w:marLeft w:val="0"/>
                      <w:marRight w:val="0"/>
                      <w:marTop w:val="0"/>
                      <w:marBottom w:val="0"/>
                      <w:divBdr>
                        <w:top w:val="none" w:sz="0" w:space="0" w:color="auto"/>
                        <w:left w:val="none" w:sz="0" w:space="0" w:color="auto"/>
                        <w:bottom w:val="none" w:sz="0" w:space="0" w:color="auto"/>
                        <w:right w:val="none" w:sz="0" w:space="0" w:color="auto"/>
                      </w:divBdr>
                    </w:div>
                  </w:divsChild>
                </w:div>
                <w:div w:id="795835906">
                  <w:marLeft w:val="0"/>
                  <w:marRight w:val="0"/>
                  <w:marTop w:val="0"/>
                  <w:marBottom w:val="0"/>
                  <w:divBdr>
                    <w:top w:val="none" w:sz="0" w:space="0" w:color="auto"/>
                    <w:left w:val="none" w:sz="0" w:space="0" w:color="auto"/>
                    <w:bottom w:val="none" w:sz="0" w:space="0" w:color="auto"/>
                    <w:right w:val="none" w:sz="0" w:space="0" w:color="auto"/>
                  </w:divBdr>
                  <w:divsChild>
                    <w:div w:id="1157527258">
                      <w:marLeft w:val="0"/>
                      <w:marRight w:val="0"/>
                      <w:marTop w:val="0"/>
                      <w:marBottom w:val="0"/>
                      <w:divBdr>
                        <w:top w:val="none" w:sz="0" w:space="0" w:color="auto"/>
                        <w:left w:val="none" w:sz="0" w:space="0" w:color="auto"/>
                        <w:bottom w:val="none" w:sz="0" w:space="0" w:color="auto"/>
                        <w:right w:val="none" w:sz="0" w:space="0" w:color="auto"/>
                      </w:divBdr>
                    </w:div>
                  </w:divsChild>
                </w:div>
                <w:div w:id="858617143">
                  <w:marLeft w:val="0"/>
                  <w:marRight w:val="0"/>
                  <w:marTop w:val="0"/>
                  <w:marBottom w:val="0"/>
                  <w:divBdr>
                    <w:top w:val="none" w:sz="0" w:space="0" w:color="auto"/>
                    <w:left w:val="none" w:sz="0" w:space="0" w:color="auto"/>
                    <w:bottom w:val="none" w:sz="0" w:space="0" w:color="auto"/>
                    <w:right w:val="none" w:sz="0" w:space="0" w:color="auto"/>
                  </w:divBdr>
                  <w:divsChild>
                    <w:div w:id="849833359">
                      <w:marLeft w:val="0"/>
                      <w:marRight w:val="0"/>
                      <w:marTop w:val="0"/>
                      <w:marBottom w:val="0"/>
                      <w:divBdr>
                        <w:top w:val="none" w:sz="0" w:space="0" w:color="auto"/>
                        <w:left w:val="none" w:sz="0" w:space="0" w:color="auto"/>
                        <w:bottom w:val="none" w:sz="0" w:space="0" w:color="auto"/>
                        <w:right w:val="none" w:sz="0" w:space="0" w:color="auto"/>
                      </w:divBdr>
                    </w:div>
                  </w:divsChild>
                </w:div>
                <w:div w:id="865561947">
                  <w:marLeft w:val="0"/>
                  <w:marRight w:val="0"/>
                  <w:marTop w:val="0"/>
                  <w:marBottom w:val="0"/>
                  <w:divBdr>
                    <w:top w:val="none" w:sz="0" w:space="0" w:color="auto"/>
                    <w:left w:val="none" w:sz="0" w:space="0" w:color="auto"/>
                    <w:bottom w:val="none" w:sz="0" w:space="0" w:color="auto"/>
                    <w:right w:val="none" w:sz="0" w:space="0" w:color="auto"/>
                  </w:divBdr>
                  <w:divsChild>
                    <w:div w:id="2097895541">
                      <w:marLeft w:val="0"/>
                      <w:marRight w:val="0"/>
                      <w:marTop w:val="0"/>
                      <w:marBottom w:val="0"/>
                      <w:divBdr>
                        <w:top w:val="none" w:sz="0" w:space="0" w:color="auto"/>
                        <w:left w:val="none" w:sz="0" w:space="0" w:color="auto"/>
                        <w:bottom w:val="none" w:sz="0" w:space="0" w:color="auto"/>
                        <w:right w:val="none" w:sz="0" w:space="0" w:color="auto"/>
                      </w:divBdr>
                    </w:div>
                  </w:divsChild>
                </w:div>
                <w:div w:id="911963249">
                  <w:marLeft w:val="0"/>
                  <w:marRight w:val="0"/>
                  <w:marTop w:val="0"/>
                  <w:marBottom w:val="0"/>
                  <w:divBdr>
                    <w:top w:val="none" w:sz="0" w:space="0" w:color="auto"/>
                    <w:left w:val="none" w:sz="0" w:space="0" w:color="auto"/>
                    <w:bottom w:val="none" w:sz="0" w:space="0" w:color="auto"/>
                    <w:right w:val="none" w:sz="0" w:space="0" w:color="auto"/>
                  </w:divBdr>
                  <w:divsChild>
                    <w:div w:id="1826585677">
                      <w:marLeft w:val="0"/>
                      <w:marRight w:val="0"/>
                      <w:marTop w:val="0"/>
                      <w:marBottom w:val="0"/>
                      <w:divBdr>
                        <w:top w:val="none" w:sz="0" w:space="0" w:color="auto"/>
                        <w:left w:val="none" w:sz="0" w:space="0" w:color="auto"/>
                        <w:bottom w:val="none" w:sz="0" w:space="0" w:color="auto"/>
                        <w:right w:val="none" w:sz="0" w:space="0" w:color="auto"/>
                      </w:divBdr>
                    </w:div>
                  </w:divsChild>
                </w:div>
                <w:div w:id="964310091">
                  <w:marLeft w:val="0"/>
                  <w:marRight w:val="0"/>
                  <w:marTop w:val="0"/>
                  <w:marBottom w:val="0"/>
                  <w:divBdr>
                    <w:top w:val="none" w:sz="0" w:space="0" w:color="auto"/>
                    <w:left w:val="none" w:sz="0" w:space="0" w:color="auto"/>
                    <w:bottom w:val="none" w:sz="0" w:space="0" w:color="auto"/>
                    <w:right w:val="none" w:sz="0" w:space="0" w:color="auto"/>
                  </w:divBdr>
                  <w:divsChild>
                    <w:div w:id="258410461">
                      <w:marLeft w:val="0"/>
                      <w:marRight w:val="0"/>
                      <w:marTop w:val="0"/>
                      <w:marBottom w:val="0"/>
                      <w:divBdr>
                        <w:top w:val="none" w:sz="0" w:space="0" w:color="auto"/>
                        <w:left w:val="none" w:sz="0" w:space="0" w:color="auto"/>
                        <w:bottom w:val="none" w:sz="0" w:space="0" w:color="auto"/>
                        <w:right w:val="none" w:sz="0" w:space="0" w:color="auto"/>
                      </w:divBdr>
                    </w:div>
                  </w:divsChild>
                </w:div>
                <w:div w:id="1026325265">
                  <w:marLeft w:val="0"/>
                  <w:marRight w:val="0"/>
                  <w:marTop w:val="0"/>
                  <w:marBottom w:val="0"/>
                  <w:divBdr>
                    <w:top w:val="none" w:sz="0" w:space="0" w:color="auto"/>
                    <w:left w:val="none" w:sz="0" w:space="0" w:color="auto"/>
                    <w:bottom w:val="none" w:sz="0" w:space="0" w:color="auto"/>
                    <w:right w:val="none" w:sz="0" w:space="0" w:color="auto"/>
                  </w:divBdr>
                  <w:divsChild>
                    <w:div w:id="1498181284">
                      <w:marLeft w:val="0"/>
                      <w:marRight w:val="0"/>
                      <w:marTop w:val="0"/>
                      <w:marBottom w:val="0"/>
                      <w:divBdr>
                        <w:top w:val="none" w:sz="0" w:space="0" w:color="auto"/>
                        <w:left w:val="none" w:sz="0" w:space="0" w:color="auto"/>
                        <w:bottom w:val="none" w:sz="0" w:space="0" w:color="auto"/>
                        <w:right w:val="none" w:sz="0" w:space="0" w:color="auto"/>
                      </w:divBdr>
                    </w:div>
                  </w:divsChild>
                </w:div>
                <w:div w:id="1030493644">
                  <w:marLeft w:val="0"/>
                  <w:marRight w:val="0"/>
                  <w:marTop w:val="0"/>
                  <w:marBottom w:val="0"/>
                  <w:divBdr>
                    <w:top w:val="none" w:sz="0" w:space="0" w:color="auto"/>
                    <w:left w:val="none" w:sz="0" w:space="0" w:color="auto"/>
                    <w:bottom w:val="none" w:sz="0" w:space="0" w:color="auto"/>
                    <w:right w:val="none" w:sz="0" w:space="0" w:color="auto"/>
                  </w:divBdr>
                  <w:divsChild>
                    <w:div w:id="554703198">
                      <w:marLeft w:val="0"/>
                      <w:marRight w:val="0"/>
                      <w:marTop w:val="0"/>
                      <w:marBottom w:val="0"/>
                      <w:divBdr>
                        <w:top w:val="none" w:sz="0" w:space="0" w:color="auto"/>
                        <w:left w:val="none" w:sz="0" w:space="0" w:color="auto"/>
                        <w:bottom w:val="none" w:sz="0" w:space="0" w:color="auto"/>
                        <w:right w:val="none" w:sz="0" w:space="0" w:color="auto"/>
                      </w:divBdr>
                    </w:div>
                  </w:divsChild>
                </w:div>
                <w:div w:id="1049186943">
                  <w:marLeft w:val="0"/>
                  <w:marRight w:val="0"/>
                  <w:marTop w:val="0"/>
                  <w:marBottom w:val="0"/>
                  <w:divBdr>
                    <w:top w:val="none" w:sz="0" w:space="0" w:color="auto"/>
                    <w:left w:val="none" w:sz="0" w:space="0" w:color="auto"/>
                    <w:bottom w:val="none" w:sz="0" w:space="0" w:color="auto"/>
                    <w:right w:val="none" w:sz="0" w:space="0" w:color="auto"/>
                  </w:divBdr>
                  <w:divsChild>
                    <w:div w:id="399838130">
                      <w:marLeft w:val="0"/>
                      <w:marRight w:val="0"/>
                      <w:marTop w:val="0"/>
                      <w:marBottom w:val="0"/>
                      <w:divBdr>
                        <w:top w:val="none" w:sz="0" w:space="0" w:color="auto"/>
                        <w:left w:val="none" w:sz="0" w:space="0" w:color="auto"/>
                        <w:bottom w:val="none" w:sz="0" w:space="0" w:color="auto"/>
                        <w:right w:val="none" w:sz="0" w:space="0" w:color="auto"/>
                      </w:divBdr>
                    </w:div>
                  </w:divsChild>
                </w:div>
                <w:div w:id="1117607485">
                  <w:marLeft w:val="0"/>
                  <w:marRight w:val="0"/>
                  <w:marTop w:val="0"/>
                  <w:marBottom w:val="0"/>
                  <w:divBdr>
                    <w:top w:val="none" w:sz="0" w:space="0" w:color="auto"/>
                    <w:left w:val="none" w:sz="0" w:space="0" w:color="auto"/>
                    <w:bottom w:val="none" w:sz="0" w:space="0" w:color="auto"/>
                    <w:right w:val="none" w:sz="0" w:space="0" w:color="auto"/>
                  </w:divBdr>
                  <w:divsChild>
                    <w:div w:id="1797867957">
                      <w:marLeft w:val="0"/>
                      <w:marRight w:val="0"/>
                      <w:marTop w:val="0"/>
                      <w:marBottom w:val="0"/>
                      <w:divBdr>
                        <w:top w:val="none" w:sz="0" w:space="0" w:color="auto"/>
                        <w:left w:val="none" w:sz="0" w:space="0" w:color="auto"/>
                        <w:bottom w:val="none" w:sz="0" w:space="0" w:color="auto"/>
                        <w:right w:val="none" w:sz="0" w:space="0" w:color="auto"/>
                      </w:divBdr>
                    </w:div>
                  </w:divsChild>
                </w:div>
                <w:div w:id="1137915924">
                  <w:marLeft w:val="0"/>
                  <w:marRight w:val="0"/>
                  <w:marTop w:val="0"/>
                  <w:marBottom w:val="0"/>
                  <w:divBdr>
                    <w:top w:val="none" w:sz="0" w:space="0" w:color="auto"/>
                    <w:left w:val="none" w:sz="0" w:space="0" w:color="auto"/>
                    <w:bottom w:val="none" w:sz="0" w:space="0" w:color="auto"/>
                    <w:right w:val="none" w:sz="0" w:space="0" w:color="auto"/>
                  </w:divBdr>
                  <w:divsChild>
                    <w:div w:id="1619876001">
                      <w:marLeft w:val="0"/>
                      <w:marRight w:val="0"/>
                      <w:marTop w:val="0"/>
                      <w:marBottom w:val="0"/>
                      <w:divBdr>
                        <w:top w:val="none" w:sz="0" w:space="0" w:color="auto"/>
                        <w:left w:val="none" w:sz="0" w:space="0" w:color="auto"/>
                        <w:bottom w:val="none" w:sz="0" w:space="0" w:color="auto"/>
                        <w:right w:val="none" w:sz="0" w:space="0" w:color="auto"/>
                      </w:divBdr>
                    </w:div>
                  </w:divsChild>
                </w:div>
                <w:div w:id="1150056286">
                  <w:marLeft w:val="0"/>
                  <w:marRight w:val="0"/>
                  <w:marTop w:val="0"/>
                  <w:marBottom w:val="0"/>
                  <w:divBdr>
                    <w:top w:val="none" w:sz="0" w:space="0" w:color="auto"/>
                    <w:left w:val="none" w:sz="0" w:space="0" w:color="auto"/>
                    <w:bottom w:val="none" w:sz="0" w:space="0" w:color="auto"/>
                    <w:right w:val="none" w:sz="0" w:space="0" w:color="auto"/>
                  </w:divBdr>
                  <w:divsChild>
                    <w:div w:id="1855414794">
                      <w:marLeft w:val="0"/>
                      <w:marRight w:val="0"/>
                      <w:marTop w:val="0"/>
                      <w:marBottom w:val="0"/>
                      <w:divBdr>
                        <w:top w:val="none" w:sz="0" w:space="0" w:color="auto"/>
                        <w:left w:val="none" w:sz="0" w:space="0" w:color="auto"/>
                        <w:bottom w:val="none" w:sz="0" w:space="0" w:color="auto"/>
                        <w:right w:val="none" w:sz="0" w:space="0" w:color="auto"/>
                      </w:divBdr>
                    </w:div>
                  </w:divsChild>
                </w:div>
                <w:div w:id="1153915210">
                  <w:marLeft w:val="0"/>
                  <w:marRight w:val="0"/>
                  <w:marTop w:val="0"/>
                  <w:marBottom w:val="0"/>
                  <w:divBdr>
                    <w:top w:val="none" w:sz="0" w:space="0" w:color="auto"/>
                    <w:left w:val="none" w:sz="0" w:space="0" w:color="auto"/>
                    <w:bottom w:val="none" w:sz="0" w:space="0" w:color="auto"/>
                    <w:right w:val="none" w:sz="0" w:space="0" w:color="auto"/>
                  </w:divBdr>
                  <w:divsChild>
                    <w:div w:id="969550999">
                      <w:marLeft w:val="0"/>
                      <w:marRight w:val="0"/>
                      <w:marTop w:val="0"/>
                      <w:marBottom w:val="0"/>
                      <w:divBdr>
                        <w:top w:val="none" w:sz="0" w:space="0" w:color="auto"/>
                        <w:left w:val="none" w:sz="0" w:space="0" w:color="auto"/>
                        <w:bottom w:val="none" w:sz="0" w:space="0" w:color="auto"/>
                        <w:right w:val="none" w:sz="0" w:space="0" w:color="auto"/>
                      </w:divBdr>
                    </w:div>
                  </w:divsChild>
                </w:div>
                <w:div w:id="1214580142">
                  <w:marLeft w:val="0"/>
                  <w:marRight w:val="0"/>
                  <w:marTop w:val="0"/>
                  <w:marBottom w:val="0"/>
                  <w:divBdr>
                    <w:top w:val="none" w:sz="0" w:space="0" w:color="auto"/>
                    <w:left w:val="none" w:sz="0" w:space="0" w:color="auto"/>
                    <w:bottom w:val="none" w:sz="0" w:space="0" w:color="auto"/>
                    <w:right w:val="none" w:sz="0" w:space="0" w:color="auto"/>
                  </w:divBdr>
                  <w:divsChild>
                    <w:div w:id="1641878751">
                      <w:marLeft w:val="0"/>
                      <w:marRight w:val="0"/>
                      <w:marTop w:val="0"/>
                      <w:marBottom w:val="0"/>
                      <w:divBdr>
                        <w:top w:val="none" w:sz="0" w:space="0" w:color="auto"/>
                        <w:left w:val="none" w:sz="0" w:space="0" w:color="auto"/>
                        <w:bottom w:val="none" w:sz="0" w:space="0" w:color="auto"/>
                        <w:right w:val="none" w:sz="0" w:space="0" w:color="auto"/>
                      </w:divBdr>
                    </w:div>
                  </w:divsChild>
                </w:div>
                <w:div w:id="1216695969">
                  <w:marLeft w:val="0"/>
                  <w:marRight w:val="0"/>
                  <w:marTop w:val="0"/>
                  <w:marBottom w:val="0"/>
                  <w:divBdr>
                    <w:top w:val="none" w:sz="0" w:space="0" w:color="auto"/>
                    <w:left w:val="none" w:sz="0" w:space="0" w:color="auto"/>
                    <w:bottom w:val="none" w:sz="0" w:space="0" w:color="auto"/>
                    <w:right w:val="none" w:sz="0" w:space="0" w:color="auto"/>
                  </w:divBdr>
                  <w:divsChild>
                    <w:div w:id="646670685">
                      <w:marLeft w:val="0"/>
                      <w:marRight w:val="0"/>
                      <w:marTop w:val="0"/>
                      <w:marBottom w:val="0"/>
                      <w:divBdr>
                        <w:top w:val="none" w:sz="0" w:space="0" w:color="auto"/>
                        <w:left w:val="none" w:sz="0" w:space="0" w:color="auto"/>
                        <w:bottom w:val="none" w:sz="0" w:space="0" w:color="auto"/>
                        <w:right w:val="none" w:sz="0" w:space="0" w:color="auto"/>
                      </w:divBdr>
                    </w:div>
                  </w:divsChild>
                </w:div>
                <w:div w:id="1236089092">
                  <w:marLeft w:val="0"/>
                  <w:marRight w:val="0"/>
                  <w:marTop w:val="0"/>
                  <w:marBottom w:val="0"/>
                  <w:divBdr>
                    <w:top w:val="none" w:sz="0" w:space="0" w:color="auto"/>
                    <w:left w:val="none" w:sz="0" w:space="0" w:color="auto"/>
                    <w:bottom w:val="none" w:sz="0" w:space="0" w:color="auto"/>
                    <w:right w:val="none" w:sz="0" w:space="0" w:color="auto"/>
                  </w:divBdr>
                  <w:divsChild>
                    <w:div w:id="113447212">
                      <w:marLeft w:val="0"/>
                      <w:marRight w:val="0"/>
                      <w:marTop w:val="0"/>
                      <w:marBottom w:val="0"/>
                      <w:divBdr>
                        <w:top w:val="none" w:sz="0" w:space="0" w:color="auto"/>
                        <w:left w:val="none" w:sz="0" w:space="0" w:color="auto"/>
                        <w:bottom w:val="none" w:sz="0" w:space="0" w:color="auto"/>
                        <w:right w:val="none" w:sz="0" w:space="0" w:color="auto"/>
                      </w:divBdr>
                    </w:div>
                  </w:divsChild>
                </w:div>
                <w:div w:id="1271477193">
                  <w:marLeft w:val="0"/>
                  <w:marRight w:val="0"/>
                  <w:marTop w:val="0"/>
                  <w:marBottom w:val="0"/>
                  <w:divBdr>
                    <w:top w:val="none" w:sz="0" w:space="0" w:color="auto"/>
                    <w:left w:val="none" w:sz="0" w:space="0" w:color="auto"/>
                    <w:bottom w:val="none" w:sz="0" w:space="0" w:color="auto"/>
                    <w:right w:val="none" w:sz="0" w:space="0" w:color="auto"/>
                  </w:divBdr>
                  <w:divsChild>
                    <w:div w:id="765419602">
                      <w:marLeft w:val="0"/>
                      <w:marRight w:val="0"/>
                      <w:marTop w:val="0"/>
                      <w:marBottom w:val="0"/>
                      <w:divBdr>
                        <w:top w:val="none" w:sz="0" w:space="0" w:color="auto"/>
                        <w:left w:val="none" w:sz="0" w:space="0" w:color="auto"/>
                        <w:bottom w:val="none" w:sz="0" w:space="0" w:color="auto"/>
                        <w:right w:val="none" w:sz="0" w:space="0" w:color="auto"/>
                      </w:divBdr>
                    </w:div>
                  </w:divsChild>
                </w:div>
                <w:div w:id="1279721809">
                  <w:marLeft w:val="0"/>
                  <w:marRight w:val="0"/>
                  <w:marTop w:val="0"/>
                  <w:marBottom w:val="0"/>
                  <w:divBdr>
                    <w:top w:val="none" w:sz="0" w:space="0" w:color="auto"/>
                    <w:left w:val="none" w:sz="0" w:space="0" w:color="auto"/>
                    <w:bottom w:val="none" w:sz="0" w:space="0" w:color="auto"/>
                    <w:right w:val="none" w:sz="0" w:space="0" w:color="auto"/>
                  </w:divBdr>
                  <w:divsChild>
                    <w:div w:id="816803122">
                      <w:marLeft w:val="0"/>
                      <w:marRight w:val="0"/>
                      <w:marTop w:val="0"/>
                      <w:marBottom w:val="0"/>
                      <w:divBdr>
                        <w:top w:val="none" w:sz="0" w:space="0" w:color="auto"/>
                        <w:left w:val="none" w:sz="0" w:space="0" w:color="auto"/>
                        <w:bottom w:val="none" w:sz="0" w:space="0" w:color="auto"/>
                        <w:right w:val="none" w:sz="0" w:space="0" w:color="auto"/>
                      </w:divBdr>
                    </w:div>
                    <w:div w:id="1867020451">
                      <w:marLeft w:val="0"/>
                      <w:marRight w:val="0"/>
                      <w:marTop w:val="0"/>
                      <w:marBottom w:val="0"/>
                      <w:divBdr>
                        <w:top w:val="none" w:sz="0" w:space="0" w:color="auto"/>
                        <w:left w:val="none" w:sz="0" w:space="0" w:color="auto"/>
                        <w:bottom w:val="none" w:sz="0" w:space="0" w:color="auto"/>
                        <w:right w:val="none" w:sz="0" w:space="0" w:color="auto"/>
                      </w:divBdr>
                    </w:div>
                    <w:div w:id="2116517269">
                      <w:marLeft w:val="0"/>
                      <w:marRight w:val="0"/>
                      <w:marTop w:val="0"/>
                      <w:marBottom w:val="0"/>
                      <w:divBdr>
                        <w:top w:val="none" w:sz="0" w:space="0" w:color="auto"/>
                        <w:left w:val="none" w:sz="0" w:space="0" w:color="auto"/>
                        <w:bottom w:val="none" w:sz="0" w:space="0" w:color="auto"/>
                        <w:right w:val="none" w:sz="0" w:space="0" w:color="auto"/>
                      </w:divBdr>
                    </w:div>
                  </w:divsChild>
                </w:div>
                <w:div w:id="1314330705">
                  <w:marLeft w:val="0"/>
                  <w:marRight w:val="0"/>
                  <w:marTop w:val="0"/>
                  <w:marBottom w:val="0"/>
                  <w:divBdr>
                    <w:top w:val="none" w:sz="0" w:space="0" w:color="auto"/>
                    <w:left w:val="none" w:sz="0" w:space="0" w:color="auto"/>
                    <w:bottom w:val="none" w:sz="0" w:space="0" w:color="auto"/>
                    <w:right w:val="none" w:sz="0" w:space="0" w:color="auto"/>
                  </w:divBdr>
                  <w:divsChild>
                    <w:div w:id="224266983">
                      <w:marLeft w:val="0"/>
                      <w:marRight w:val="0"/>
                      <w:marTop w:val="0"/>
                      <w:marBottom w:val="0"/>
                      <w:divBdr>
                        <w:top w:val="none" w:sz="0" w:space="0" w:color="auto"/>
                        <w:left w:val="none" w:sz="0" w:space="0" w:color="auto"/>
                        <w:bottom w:val="none" w:sz="0" w:space="0" w:color="auto"/>
                        <w:right w:val="none" w:sz="0" w:space="0" w:color="auto"/>
                      </w:divBdr>
                    </w:div>
                  </w:divsChild>
                </w:div>
                <w:div w:id="1323852360">
                  <w:marLeft w:val="0"/>
                  <w:marRight w:val="0"/>
                  <w:marTop w:val="0"/>
                  <w:marBottom w:val="0"/>
                  <w:divBdr>
                    <w:top w:val="none" w:sz="0" w:space="0" w:color="auto"/>
                    <w:left w:val="none" w:sz="0" w:space="0" w:color="auto"/>
                    <w:bottom w:val="none" w:sz="0" w:space="0" w:color="auto"/>
                    <w:right w:val="none" w:sz="0" w:space="0" w:color="auto"/>
                  </w:divBdr>
                  <w:divsChild>
                    <w:div w:id="2119715770">
                      <w:marLeft w:val="0"/>
                      <w:marRight w:val="0"/>
                      <w:marTop w:val="0"/>
                      <w:marBottom w:val="0"/>
                      <w:divBdr>
                        <w:top w:val="none" w:sz="0" w:space="0" w:color="auto"/>
                        <w:left w:val="none" w:sz="0" w:space="0" w:color="auto"/>
                        <w:bottom w:val="none" w:sz="0" w:space="0" w:color="auto"/>
                        <w:right w:val="none" w:sz="0" w:space="0" w:color="auto"/>
                      </w:divBdr>
                    </w:div>
                  </w:divsChild>
                </w:div>
                <w:div w:id="1332223361">
                  <w:marLeft w:val="0"/>
                  <w:marRight w:val="0"/>
                  <w:marTop w:val="0"/>
                  <w:marBottom w:val="0"/>
                  <w:divBdr>
                    <w:top w:val="none" w:sz="0" w:space="0" w:color="auto"/>
                    <w:left w:val="none" w:sz="0" w:space="0" w:color="auto"/>
                    <w:bottom w:val="none" w:sz="0" w:space="0" w:color="auto"/>
                    <w:right w:val="none" w:sz="0" w:space="0" w:color="auto"/>
                  </w:divBdr>
                  <w:divsChild>
                    <w:div w:id="1166558688">
                      <w:marLeft w:val="0"/>
                      <w:marRight w:val="0"/>
                      <w:marTop w:val="0"/>
                      <w:marBottom w:val="0"/>
                      <w:divBdr>
                        <w:top w:val="none" w:sz="0" w:space="0" w:color="auto"/>
                        <w:left w:val="none" w:sz="0" w:space="0" w:color="auto"/>
                        <w:bottom w:val="none" w:sz="0" w:space="0" w:color="auto"/>
                        <w:right w:val="none" w:sz="0" w:space="0" w:color="auto"/>
                      </w:divBdr>
                    </w:div>
                    <w:div w:id="1319529298">
                      <w:marLeft w:val="0"/>
                      <w:marRight w:val="0"/>
                      <w:marTop w:val="0"/>
                      <w:marBottom w:val="0"/>
                      <w:divBdr>
                        <w:top w:val="none" w:sz="0" w:space="0" w:color="auto"/>
                        <w:left w:val="none" w:sz="0" w:space="0" w:color="auto"/>
                        <w:bottom w:val="none" w:sz="0" w:space="0" w:color="auto"/>
                        <w:right w:val="none" w:sz="0" w:space="0" w:color="auto"/>
                      </w:divBdr>
                    </w:div>
                    <w:div w:id="1808089188">
                      <w:marLeft w:val="0"/>
                      <w:marRight w:val="0"/>
                      <w:marTop w:val="0"/>
                      <w:marBottom w:val="0"/>
                      <w:divBdr>
                        <w:top w:val="none" w:sz="0" w:space="0" w:color="auto"/>
                        <w:left w:val="none" w:sz="0" w:space="0" w:color="auto"/>
                        <w:bottom w:val="none" w:sz="0" w:space="0" w:color="auto"/>
                        <w:right w:val="none" w:sz="0" w:space="0" w:color="auto"/>
                      </w:divBdr>
                    </w:div>
                  </w:divsChild>
                </w:div>
                <w:div w:id="1376932122">
                  <w:marLeft w:val="0"/>
                  <w:marRight w:val="0"/>
                  <w:marTop w:val="0"/>
                  <w:marBottom w:val="0"/>
                  <w:divBdr>
                    <w:top w:val="none" w:sz="0" w:space="0" w:color="auto"/>
                    <w:left w:val="none" w:sz="0" w:space="0" w:color="auto"/>
                    <w:bottom w:val="none" w:sz="0" w:space="0" w:color="auto"/>
                    <w:right w:val="none" w:sz="0" w:space="0" w:color="auto"/>
                  </w:divBdr>
                  <w:divsChild>
                    <w:div w:id="1754012879">
                      <w:marLeft w:val="0"/>
                      <w:marRight w:val="0"/>
                      <w:marTop w:val="0"/>
                      <w:marBottom w:val="0"/>
                      <w:divBdr>
                        <w:top w:val="none" w:sz="0" w:space="0" w:color="auto"/>
                        <w:left w:val="none" w:sz="0" w:space="0" w:color="auto"/>
                        <w:bottom w:val="none" w:sz="0" w:space="0" w:color="auto"/>
                        <w:right w:val="none" w:sz="0" w:space="0" w:color="auto"/>
                      </w:divBdr>
                    </w:div>
                  </w:divsChild>
                </w:div>
                <w:div w:id="1393767950">
                  <w:marLeft w:val="0"/>
                  <w:marRight w:val="0"/>
                  <w:marTop w:val="0"/>
                  <w:marBottom w:val="0"/>
                  <w:divBdr>
                    <w:top w:val="none" w:sz="0" w:space="0" w:color="auto"/>
                    <w:left w:val="none" w:sz="0" w:space="0" w:color="auto"/>
                    <w:bottom w:val="none" w:sz="0" w:space="0" w:color="auto"/>
                    <w:right w:val="none" w:sz="0" w:space="0" w:color="auto"/>
                  </w:divBdr>
                  <w:divsChild>
                    <w:div w:id="1084229731">
                      <w:marLeft w:val="0"/>
                      <w:marRight w:val="0"/>
                      <w:marTop w:val="0"/>
                      <w:marBottom w:val="0"/>
                      <w:divBdr>
                        <w:top w:val="none" w:sz="0" w:space="0" w:color="auto"/>
                        <w:left w:val="none" w:sz="0" w:space="0" w:color="auto"/>
                        <w:bottom w:val="none" w:sz="0" w:space="0" w:color="auto"/>
                        <w:right w:val="none" w:sz="0" w:space="0" w:color="auto"/>
                      </w:divBdr>
                    </w:div>
                  </w:divsChild>
                </w:div>
                <w:div w:id="1641423397">
                  <w:marLeft w:val="0"/>
                  <w:marRight w:val="0"/>
                  <w:marTop w:val="0"/>
                  <w:marBottom w:val="0"/>
                  <w:divBdr>
                    <w:top w:val="none" w:sz="0" w:space="0" w:color="auto"/>
                    <w:left w:val="none" w:sz="0" w:space="0" w:color="auto"/>
                    <w:bottom w:val="none" w:sz="0" w:space="0" w:color="auto"/>
                    <w:right w:val="none" w:sz="0" w:space="0" w:color="auto"/>
                  </w:divBdr>
                  <w:divsChild>
                    <w:div w:id="628970287">
                      <w:marLeft w:val="0"/>
                      <w:marRight w:val="0"/>
                      <w:marTop w:val="0"/>
                      <w:marBottom w:val="0"/>
                      <w:divBdr>
                        <w:top w:val="none" w:sz="0" w:space="0" w:color="auto"/>
                        <w:left w:val="none" w:sz="0" w:space="0" w:color="auto"/>
                        <w:bottom w:val="none" w:sz="0" w:space="0" w:color="auto"/>
                        <w:right w:val="none" w:sz="0" w:space="0" w:color="auto"/>
                      </w:divBdr>
                    </w:div>
                  </w:divsChild>
                </w:div>
                <w:div w:id="1651515368">
                  <w:marLeft w:val="0"/>
                  <w:marRight w:val="0"/>
                  <w:marTop w:val="0"/>
                  <w:marBottom w:val="0"/>
                  <w:divBdr>
                    <w:top w:val="none" w:sz="0" w:space="0" w:color="auto"/>
                    <w:left w:val="none" w:sz="0" w:space="0" w:color="auto"/>
                    <w:bottom w:val="none" w:sz="0" w:space="0" w:color="auto"/>
                    <w:right w:val="none" w:sz="0" w:space="0" w:color="auto"/>
                  </w:divBdr>
                  <w:divsChild>
                    <w:div w:id="935751527">
                      <w:marLeft w:val="0"/>
                      <w:marRight w:val="0"/>
                      <w:marTop w:val="0"/>
                      <w:marBottom w:val="0"/>
                      <w:divBdr>
                        <w:top w:val="none" w:sz="0" w:space="0" w:color="auto"/>
                        <w:left w:val="none" w:sz="0" w:space="0" w:color="auto"/>
                        <w:bottom w:val="none" w:sz="0" w:space="0" w:color="auto"/>
                        <w:right w:val="none" w:sz="0" w:space="0" w:color="auto"/>
                      </w:divBdr>
                    </w:div>
                  </w:divsChild>
                </w:div>
                <w:div w:id="1699306810">
                  <w:marLeft w:val="0"/>
                  <w:marRight w:val="0"/>
                  <w:marTop w:val="0"/>
                  <w:marBottom w:val="0"/>
                  <w:divBdr>
                    <w:top w:val="none" w:sz="0" w:space="0" w:color="auto"/>
                    <w:left w:val="none" w:sz="0" w:space="0" w:color="auto"/>
                    <w:bottom w:val="none" w:sz="0" w:space="0" w:color="auto"/>
                    <w:right w:val="none" w:sz="0" w:space="0" w:color="auto"/>
                  </w:divBdr>
                  <w:divsChild>
                    <w:div w:id="1117602076">
                      <w:marLeft w:val="0"/>
                      <w:marRight w:val="0"/>
                      <w:marTop w:val="0"/>
                      <w:marBottom w:val="0"/>
                      <w:divBdr>
                        <w:top w:val="none" w:sz="0" w:space="0" w:color="auto"/>
                        <w:left w:val="none" w:sz="0" w:space="0" w:color="auto"/>
                        <w:bottom w:val="none" w:sz="0" w:space="0" w:color="auto"/>
                        <w:right w:val="none" w:sz="0" w:space="0" w:color="auto"/>
                      </w:divBdr>
                    </w:div>
                  </w:divsChild>
                </w:div>
                <w:div w:id="1732848472">
                  <w:marLeft w:val="0"/>
                  <w:marRight w:val="0"/>
                  <w:marTop w:val="0"/>
                  <w:marBottom w:val="0"/>
                  <w:divBdr>
                    <w:top w:val="none" w:sz="0" w:space="0" w:color="auto"/>
                    <w:left w:val="none" w:sz="0" w:space="0" w:color="auto"/>
                    <w:bottom w:val="none" w:sz="0" w:space="0" w:color="auto"/>
                    <w:right w:val="none" w:sz="0" w:space="0" w:color="auto"/>
                  </w:divBdr>
                  <w:divsChild>
                    <w:div w:id="1551577144">
                      <w:marLeft w:val="0"/>
                      <w:marRight w:val="0"/>
                      <w:marTop w:val="0"/>
                      <w:marBottom w:val="0"/>
                      <w:divBdr>
                        <w:top w:val="none" w:sz="0" w:space="0" w:color="auto"/>
                        <w:left w:val="none" w:sz="0" w:space="0" w:color="auto"/>
                        <w:bottom w:val="none" w:sz="0" w:space="0" w:color="auto"/>
                        <w:right w:val="none" w:sz="0" w:space="0" w:color="auto"/>
                      </w:divBdr>
                    </w:div>
                  </w:divsChild>
                </w:div>
                <w:div w:id="1771506827">
                  <w:marLeft w:val="0"/>
                  <w:marRight w:val="0"/>
                  <w:marTop w:val="0"/>
                  <w:marBottom w:val="0"/>
                  <w:divBdr>
                    <w:top w:val="none" w:sz="0" w:space="0" w:color="auto"/>
                    <w:left w:val="none" w:sz="0" w:space="0" w:color="auto"/>
                    <w:bottom w:val="none" w:sz="0" w:space="0" w:color="auto"/>
                    <w:right w:val="none" w:sz="0" w:space="0" w:color="auto"/>
                  </w:divBdr>
                  <w:divsChild>
                    <w:div w:id="1478494658">
                      <w:marLeft w:val="0"/>
                      <w:marRight w:val="0"/>
                      <w:marTop w:val="0"/>
                      <w:marBottom w:val="0"/>
                      <w:divBdr>
                        <w:top w:val="none" w:sz="0" w:space="0" w:color="auto"/>
                        <w:left w:val="none" w:sz="0" w:space="0" w:color="auto"/>
                        <w:bottom w:val="none" w:sz="0" w:space="0" w:color="auto"/>
                        <w:right w:val="none" w:sz="0" w:space="0" w:color="auto"/>
                      </w:divBdr>
                    </w:div>
                  </w:divsChild>
                </w:div>
                <w:div w:id="1798834261">
                  <w:marLeft w:val="0"/>
                  <w:marRight w:val="0"/>
                  <w:marTop w:val="0"/>
                  <w:marBottom w:val="0"/>
                  <w:divBdr>
                    <w:top w:val="none" w:sz="0" w:space="0" w:color="auto"/>
                    <w:left w:val="none" w:sz="0" w:space="0" w:color="auto"/>
                    <w:bottom w:val="none" w:sz="0" w:space="0" w:color="auto"/>
                    <w:right w:val="none" w:sz="0" w:space="0" w:color="auto"/>
                  </w:divBdr>
                  <w:divsChild>
                    <w:div w:id="363094709">
                      <w:marLeft w:val="0"/>
                      <w:marRight w:val="0"/>
                      <w:marTop w:val="0"/>
                      <w:marBottom w:val="0"/>
                      <w:divBdr>
                        <w:top w:val="none" w:sz="0" w:space="0" w:color="auto"/>
                        <w:left w:val="none" w:sz="0" w:space="0" w:color="auto"/>
                        <w:bottom w:val="none" w:sz="0" w:space="0" w:color="auto"/>
                        <w:right w:val="none" w:sz="0" w:space="0" w:color="auto"/>
                      </w:divBdr>
                    </w:div>
                  </w:divsChild>
                </w:div>
                <w:div w:id="1809854148">
                  <w:marLeft w:val="0"/>
                  <w:marRight w:val="0"/>
                  <w:marTop w:val="0"/>
                  <w:marBottom w:val="0"/>
                  <w:divBdr>
                    <w:top w:val="none" w:sz="0" w:space="0" w:color="auto"/>
                    <w:left w:val="none" w:sz="0" w:space="0" w:color="auto"/>
                    <w:bottom w:val="none" w:sz="0" w:space="0" w:color="auto"/>
                    <w:right w:val="none" w:sz="0" w:space="0" w:color="auto"/>
                  </w:divBdr>
                  <w:divsChild>
                    <w:div w:id="1167089867">
                      <w:marLeft w:val="0"/>
                      <w:marRight w:val="0"/>
                      <w:marTop w:val="0"/>
                      <w:marBottom w:val="0"/>
                      <w:divBdr>
                        <w:top w:val="none" w:sz="0" w:space="0" w:color="auto"/>
                        <w:left w:val="none" w:sz="0" w:space="0" w:color="auto"/>
                        <w:bottom w:val="none" w:sz="0" w:space="0" w:color="auto"/>
                        <w:right w:val="none" w:sz="0" w:space="0" w:color="auto"/>
                      </w:divBdr>
                    </w:div>
                  </w:divsChild>
                </w:div>
                <w:div w:id="1845045378">
                  <w:marLeft w:val="0"/>
                  <w:marRight w:val="0"/>
                  <w:marTop w:val="0"/>
                  <w:marBottom w:val="0"/>
                  <w:divBdr>
                    <w:top w:val="none" w:sz="0" w:space="0" w:color="auto"/>
                    <w:left w:val="none" w:sz="0" w:space="0" w:color="auto"/>
                    <w:bottom w:val="none" w:sz="0" w:space="0" w:color="auto"/>
                    <w:right w:val="none" w:sz="0" w:space="0" w:color="auto"/>
                  </w:divBdr>
                  <w:divsChild>
                    <w:div w:id="183061525">
                      <w:marLeft w:val="0"/>
                      <w:marRight w:val="0"/>
                      <w:marTop w:val="0"/>
                      <w:marBottom w:val="0"/>
                      <w:divBdr>
                        <w:top w:val="none" w:sz="0" w:space="0" w:color="auto"/>
                        <w:left w:val="none" w:sz="0" w:space="0" w:color="auto"/>
                        <w:bottom w:val="none" w:sz="0" w:space="0" w:color="auto"/>
                        <w:right w:val="none" w:sz="0" w:space="0" w:color="auto"/>
                      </w:divBdr>
                    </w:div>
                  </w:divsChild>
                </w:div>
                <w:div w:id="1872842610">
                  <w:marLeft w:val="0"/>
                  <w:marRight w:val="0"/>
                  <w:marTop w:val="0"/>
                  <w:marBottom w:val="0"/>
                  <w:divBdr>
                    <w:top w:val="none" w:sz="0" w:space="0" w:color="auto"/>
                    <w:left w:val="none" w:sz="0" w:space="0" w:color="auto"/>
                    <w:bottom w:val="none" w:sz="0" w:space="0" w:color="auto"/>
                    <w:right w:val="none" w:sz="0" w:space="0" w:color="auto"/>
                  </w:divBdr>
                  <w:divsChild>
                    <w:div w:id="1524324518">
                      <w:marLeft w:val="0"/>
                      <w:marRight w:val="0"/>
                      <w:marTop w:val="0"/>
                      <w:marBottom w:val="0"/>
                      <w:divBdr>
                        <w:top w:val="none" w:sz="0" w:space="0" w:color="auto"/>
                        <w:left w:val="none" w:sz="0" w:space="0" w:color="auto"/>
                        <w:bottom w:val="none" w:sz="0" w:space="0" w:color="auto"/>
                        <w:right w:val="none" w:sz="0" w:space="0" w:color="auto"/>
                      </w:divBdr>
                    </w:div>
                  </w:divsChild>
                </w:div>
                <w:div w:id="1910261308">
                  <w:marLeft w:val="0"/>
                  <w:marRight w:val="0"/>
                  <w:marTop w:val="0"/>
                  <w:marBottom w:val="0"/>
                  <w:divBdr>
                    <w:top w:val="none" w:sz="0" w:space="0" w:color="auto"/>
                    <w:left w:val="none" w:sz="0" w:space="0" w:color="auto"/>
                    <w:bottom w:val="none" w:sz="0" w:space="0" w:color="auto"/>
                    <w:right w:val="none" w:sz="0" w:space="0" w:color="auto"/>
                  </w:divBdr>
                  <w:divsChild>
                    <w:div w:id="1389501205">
                      <w:marLeft w:val="0"/>
                      <w:marRight w:val="0"/>
                      <w:marTop w:val="0"/>
                      <w:marBottom w:val="0"/>
                      <w:divBdr>
                        <w:top w:val="none" w:sz="0" w:space="0" w:color="auto"/>
                        <w:left w:val="none" w:sz="0" w:space="0" w:color="auto"/>
                        <w:bottom w:val="none" w:sz="0" w:space="0" w:color="auto"/>
                        <w:right w:val="none" w:sz="0" w:space="0" w:color="auto"/>
                      </w:divBdr>
                    </w:div>
                  </w:divsChild>
                </w:div>
                <w:div w:id="1915898353">
                  <w:marLeft w:val="0"/>
                  <w:marRight w:val="0"/>
                  <w:marTop w:val="0"/>
                  <w:marBottom w:val="0"/>
                  <w:divBdr>
                    <w:top w:val="none" w:sz="0" w:space="0" w:color="auto"/>
                    <w:left w:val="none" w:sz="0" w:space="0" w:color="auto"/>
                    <w:bottom w:val="none" w:sz="0" w:space="0" w:color="auto"/>
                    <w:right w:val="none" w:sz="0" w:space="0" w:color="auto"/>
                  </w:divBdr>
                  <w:divsChild>
                    <w:div w:id="1454522662">
                      <w:marLeft w:val="0"/>
                      <w:marRight w:val="0"/>
                      <w:marTop w:val="0"/>
                      <w:marBottom w:val="0"/>
                      <w:divBdr>
                        <w:top w:val="none" w:sz="0" w:space="0" w:color="auto"/>
                        <w:left w:val="none" w:sz="0" w:space="0" w:color="auto"/>
                        <w:bottom w:val="none" w:sz="0" w:space="0" w:color="auto"/>
                        <w:right w:val="none" w:sz="0" w:space="0" w:color="auto"/>
                      </w:divBdr>
                    </w:div>
                  </w:divsChild>
                </w:div>
                <w:div w:id="1988364136">
                  <w:marLeft w:val="0"/>
                  <w:marRight w:val="0"/>
                  <w:marTop w:val="0"/>
                  <w:marBottom w:val="0"/>
                  <w:divBdr>
                    <w:top w:val="none" w:sz="0" w:space="0" w:color="auto"/>
                    <w:left w:val="none" w:sz="0" w:space="0" w:color="auto"/>
                    <w:bottom w:val="none" w:sz="0" w:space="0" w:color="auto"/>
                    <w:right w:val="none" w:sz="0" w:space="0" w:color="auto"/>
                  </w:divBdr>
                  <w:divsChild>
                    <w:div w:id="1613242063">
                      <w:marLeft w:val="0"/>
                      <w:marRight w:val="0"/>
                      <w:marTop w:val="0"/>
                      <w:marBottom w:val="0"/>
                      <w:divBdr>
                        <w:top w:val="none" w:sz="0" w:space="0" w:color="auto"/>
                        <w:left w:val="none" w:sz="0" w:space="0" w:color="auto"/>
                        <w:bottom w:val="none" w:sz="0" w:space="0" w:color="auto"/>
                        <w:right w:val="none" w:sz="0" w:space="0" w:color="auto"/>
                      </w:divBdr>
                    </w:div>
                  </w:divsChild>
                </w:div>
                <w:div w:id="2064677476">
                  <w:marLeft w:val="0"/>
                  <w:marRight w:val="0"/>
                  <w:marTop w:val="0"/>
                  <w:marBottom w:val="0"/>
                  <w:divBdr>
                    <w:top w:val="none" w:sz="0" w:space="0" w:color="auto"/>
                    <w:left w:val="none" w:sz="0" w:space="0" w:color="auto"/>
                    <w:bottom w:val="none" w:sz="0" w:space="0" w:color="auto"/>
                    <w:right w:val="none" w:sz="0" w:space="0" w:color="auto"/>
                  </w:divBdr>
                  <w:divsChild>
                    <w:div w:id="2139837349">
                      <w:marLeft w:val="0"/>
                      <w:marRight w:val="0"/>
                      <w:marTop w:val="0"/>
                      <w:marBottom w:val="0"/>
                      <w:divBdr>
                        <w:top w:val="none" w:sz="0" w:space="0" w:color="auto"/>
                        <w:left w:val="none" w:sz="0" w:space="0" w:color="auto"/>
                        <w:bottom w:val="none" w:sz="0" w:space="0" w:color="auto"/>
                        <w:right w:val="none" w:sz="0" w:space="0" w:color="auto"/>
                      </w:divBdr>
                    </w:div>
                  </w:divsChild>
                </w:div>
                <w:div w:id="2067875301">
                  <w:marLeft w:val="0"/>
                  <w:marRight w:val="0"/>
                  <w:marTop w:val="0"/>
                  <w:marBottom w:val="0"/>
                  <w:divBdr>
                    <w:top w:val="none" w:sz="0" w:space="0" w:color="auto"/>
                    <w:left w:val="none" w:sz="0" w:space="0" w:color="auto"/>
                    <w:bottom w:val="none" w:sz="0" w:space="0" w:color="auto"/>
                    <w:right w:val="none" w:sz="0" w:space="0" w:color="auto"/>
                  </w:divBdr>
                  <w:divsChild>
                    <w:div w:id="2026864625">
                      <w:marLeft w:val="0"/>
                      <w:marRight w:val="0"/>
                      <w:marTop w:val="0"/>
                      <w:marBottom w:val="0"/>
                      <w:divBdr>
                        <w:top w:val="none" w:sz="0" w:space="0" w:color="auto"/>
                        <w:left w:val="none" w:sz="0" w:space="0" w:color="auto"/>
                        <w:bottom w:val="none" w:sz="0" w:space="0" w:color="auto"/>
                        <w:right w:val="none" w:sz="0" w:space="0" w:color="auto"/>
                      </w:divBdr>
                    </w:div>
                  </w:divsChild>
                </w:div>
                <w:div w:id="2068062744">
                  <w:marLeft w:val="0"/>
                  <w:marRight w:val="0"/>
                  <w:marTop w:val="0"/>
                  <w:marBottom w:val="0"/>
                  <w:divBdr>
                    <w:top w:val="none" w:sz="0" w:space="0" w:color="auto"/>
                    <w:left w:val="none" w:sz="0" w:space="0" w:color="auto"/>
                    <w:bottom w:val="none" w:sz="0" w:space="0" w:color="auto"/>
                    <w:right w:val="none" w:sz="0" w:space="0" w:color="auto"/>
                  </w:divBdr>
                  <w:divsChild>
                    <w:div w:id="239409534">
                      <w:marLeft w:val="0"/>
                      <w:marRight w:val="0"/>
                      <w:marTop w:val="0"/>
                      <w:marBottom w:val="0"/>
                      <w:divBdr>
                        <w:top w:val="none" w:sz="0" w:space="0" w:color="auto"/>
                        <w:left w:val="none" w:sz="0" w:space="0" w:color="auto"/>
                        <w:bottom w:val="none" w:sz="0" w:space="0" w:color="auto"/>
                        <w:right w:val="none" w:sz="0" w:space="0" w:color="auto"/>
                      </w:divBdr>
                    </w:div>
                  </w:divsChild>
                </w:div>
                <w:div w:id="2133134798">
                  <w:marLeft w:val="0"/>
                  <w:marRight w:val="0"/>
                  <w:marTop w:val="0"/>
                  <w:marBottom w:val="0"/>
                  <w:divBdr>
                    <w:top w:val="none" w:sz="0" w:space="0" w:color="auto"/>
                    <w:left w:val="none" w:sz="0" w:space="0" w:color="auto"/>
                    <w:bottom w:val="none" w:sz="0" w:space="0" w:color="auto"/>
                    <w:right w:val="none" w:sz="0" w:space="0" w:color="auto"/>
                  </w:divBdr>
                  <w:divsChild>
                    <w:div w:id="1149859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0660523">
          <w:marLeft w:val="0"/>
          <w:marRight w:val="0"/>
          <w:marTop w:val="0"/>
          <w:marBottom w:val="0"/>
          <w:divBdr>
            <w:top w:val="none" w:sz="0" w:space="0" w:color="auto"/>
            <w:left w:val="none" w:sz="0" w:space="0" w:color="auto"/>
            <w:bottom w:val="none" w:sz="0" w:space="0" w:color="auto"/>
            <w:right w:val="none" w:sz="0" w:space="0" w:color="auto"/>
          </w:divBdr>
        </w:div>
        <w:div w:id="1088115787">
          <w:marLeft w:val="0"/>
          <w:marRight w:val="0"/>
          <w:marTop w:val="0"/>
          <w:marBottom w:val="0"/>
          <w:divBdr>
            <w:top w:val="none" w:sz="0" w:space="0" w:color="auto"/>
            <w:left w:val="none" w:sz="0" w:space="0" w:color="auto"/>
            <w:bottom w:val="none" w:sz="0" w:space="0" w:color="auto"/>
            <w:right w:val="none" w:sz="0" w:space="0" w:color="auto"/>
          </w:divBdr>
          <w:divsChild>
            <w:div w:id="247857455">
              <w:marLeft w:val="0"/>
              <w:marRight w:val="0"/>
              <w:marTop w:val="0"/>
              <w:marBottom w:val="0"/>
              <w:divBdr>
                <w:top w:val="none" w:sz="0" w:space="0" w:color="auto"/>
                <w:left w:val="none" w:sz="0" w:space="0" w:color="auto"/>
                <w:bottom w:val="none" w:sz="0" w:space="0" w:color="auto"/>
                <w:right w:val="none" w:sz="0" w:space="0" w:color="auto"/>
              </w:divBdr>
            </w:div>
            <w:div w:id="564873006">
              <w:marLeft w:val="0"/>
              <w:marRight w:val="0"/>
              <w:marTop w:val="0"/>
              <w:marBottom w:val="0"/>
              <w:divBdr>
                <w:top w:val="none" w:sz="0" w:space="0" w:color="auto"/>
                <w:left w:val="none" w:sz="0" w:space="0" w:color="auto"/>
                <w:bottom w:val="none" w:sz="0" w:space="0" w:color="auto"/>
                <w:right w:val="none" w:sz="0" w:space="0" w:color="auto"/>
              </w:divBdr>
            </w:div>
            <w:div w:id="915434458">
              <w:marLeft w:val="0"/>
              <w:marRight w:val="0"/>
              <w:marTop w:val="0"/>
              <w:marBottom w:val="0"/>
              <w:divBdr>
                <w:top w:val="none" w:sz="0" w:space="0" w:color="auto"/>
                <w:left w:val="none" w:sz="0" w:space="0" w:color="auto"/>
                <w:bottom w:val="none" w:sz="0" w:space="0" w:color="auto"/>
                <w:right w:val="none" w:sz="0" w:space="0" w:color="auto"/>
              </w:divBdr>
            </w:div>
            <w:div w:id="1128743101">
              <w:marLeft w:val="0"/>
              <w:marRight w:val="0"/>
              <w:marTop w:val="0"/>
              <w:marBottom w:val="0"/>
              <w:divBdr>
                <w:top w:val="none" w:sz="0" w:space="0" w:color="auto"/>
                <w:left w:val="none" w:sz="0" w:space="0" w:color="auto"/>
                <w:bottom w:val="none" w:sz="0" w:space="0" w:color="auto"/>
                <w:right w:val="none" w:sz="0" w:space="0" w:color="auto"/>
              </w:divBdr>
            </w:div>
            <w:div w:id="1651209460">
              <w:marLeft w:val="0"/>
              <w:marRight w:val="0"/>
              <w:marTop w:val="0"/>
              <w:marBottom w:val="0"/>
              <w:divBdr>
                <w:top w:val="none" w:sz="0" w:space="0" w:color="auto"/>
                <w:left w:val="none" w:sz="0" w:space="0" w:color="auto"/>
                <w:bottom w:val="none" w:sz="0" w:space="0" w:color="auto"/>
                <w:right w:val="none" w:sz="0" w:space="0" w:color="auto"/>
              </w:divBdr>
            </w:div>
          </w:divsChild>
        </w:div>
        <w:div w:id="1101411992">
          <w:marLeft w:val="0"/>
          <w:marRight w:val="0"/>
          <w:marTop w:val="0"/>
          <w:marBottom w:val="0"/>
          <w:divBdr>
            <w:top w:val="none" w:sz="0" w:space="0" w:color="auto"/>
            <w:left w:val="none" w:sz="0" w:space="0" w:color="auto"/>
            <w:bottom w:val="none" w:sz="0" w:space="0" w:color="auto"/>
            <w:right w:val="none" w:sz="0" w:space="0" w:color="auto"/>
          </w:divBdr>
          <w:divsChild>
            <w:div w:id="665785100">
              <w:marLeft w:val="0"/>
              <w:marRight w:val="0"/>
              <w:marTop w:val="0"/>
              <w:marBottom w:val="0"/>
              <w:divBdr>
                <w:top w:val="none" w:sz="0" w:space="0" w:color="auto"/>
                <w:left w:val="none" w:sz="0" w:space="0" w:color="auto"/>
                <w:bottom w:val="none" w:sz="0" w:space="0" w:color="auto"/>
                <w:right w:val="none" w:sz="0" w:space="0" w:color="auto"/>
              </w:divBdr>
            </w:div>
            <w:div w:id="1001935305">
              <w:marLeft w:val="0"/>
              <w:marRight w:val="0"/>
              <w:marTop w:val="0"/>
              <w:marBottom w:val="0"/>
              <w:divBdr>
                <w:top w:val="none" w:sz="0" w:space="0" w:color="auto"/>
                <w:left w:val="none" w:sz="0" w:space="0" w:color="auto"/>
                <w:bottom w:val="none" w:sz="0" w:space="0" w:color="auto"/>
                <w:right w:val="none" w:sz="0" w:space="0" w:color="auto"/>
              </w:divBdr>
            </w:div>
            <w:div w:id="1427654612">
              <w:marLeft w:val="0"/>
              <w:marRight w:val="0"/>
              <w:marTop w:val="0"/>
              <w:marBottom w:val="0"/>
              <w:divBdr>
                <w:top w:val="none" w:sz="0" w:space="0" w:color="auto"/>
                <w:left w:val="none" w:sz="0" w:space="0" w:color="auto"/>
                <w:bottom w:val="none" w:sz="0" w:space="0" w:color="auto"/>
                <w:right w:val="none" w:sz="0" w:space="0" w:color="auto"/>
              </w:divBdr>
            </w:div>
            <w:div w:id="1519614852">
              <w:marLeft w:val="0"/>
              <w:marRight w:val="0"/>
              <w:marTop w:val="0"/>
              <w:marBottom w:val="0"/>
              <w:divBdr>
                <w:top w:val="none" w:sz="0" w:space="0" w:color="auto"/>
                <w:left w:val="none" w:sz="0" w:space="0" w:color="auto"/>
                <w:bottom w:val="none" w:sz="0" w:space="0" w:color="auto"/>
                <w:right w:val="none" w:sz="0" w:space="0" w:color="auto"/>
              </w:divBdr>
            </w:div>
            <w:div w:id="1937010635">
              <w:marLeft w:val="0"/>
              <w:marRight w:val="0"/>
              <w:marTop w:val="0"/>
              <w:marBottom w:val="0"/>
              <w:divBdr>
                <w:top w:val="none" w:sz="0" w:space="0" w:color="auto"/>
                <w:left w:val="none" w:sz="0" w:space="0" w:color="auto"/>
                <w:bottom w:val="none" w:sz="0" w:space="0" w:color="auto"/>
                <w:right w:val="none" w:sz="0" w:space="0" w:color="auto"/>
              </w:divBdr>
            </w:div>
          </w:divsChild>
        </w:div>
        <w:div w:id="1119714235">
          <w:marLeft w:val="0"/>
          <w:marRight w:val="0"/>
          <w:marTop w:val="0"/>
          <w:marBottom w:val="0"/>
          <w:divBdr>
            <w:top w:val="none" w:sz="0" w:space="0" w:color="auto"/>
            <w:left w:val="none" w:sz="0" w:space="0" w:color="auto"/>
            <w:bottom w:val="none" w:sz="0" w:space="0" w:color="auto"/>
            <w:right w:val="none" w:sz="0" w:space="0" w:color="auto"/>
          </w:divBdr>
        </w:div>
        <w:div w:id="1330449131">
          <w:marLeft w:val="0"/>
          <w:marRight w:val="0"/>
          <w:marTop w:val="0"/>
          <w:marBottom w:val="0"/>
          <w:divBdr>
            <w:top w:val="none" w:sz="0" w:space="0" w:color="auto"/>
            <w:left w:val="none" w:sz="0" w:space="0" w:color="auto"/>
            <w:bottom w:val="none" w:sz="0" w:space="0" w:color="auto"/>
            <w:right w:val="none" w:sz="0" w:space="0" w:color="auto"/>
          </w:divBdr>
          <w:divsChild>
            <w:div w:id="250696578">
              <w:marLeft w:val="0"/>
              <w:marRight w:val="0"/>
              <w:marTop w:val="0"/>
              <w:marBottom w:val="0"/>
              <w:divBdr>
                <w:top w:val="none" w:sz="0" w:space="0" w:color="auto"/>
                <w:left w:val="none" w:sz="0" w:space="0" w:color="auto"/>
                <w:bottom w:val="none" w:sz="0" w:space="0" w:color="auto"/>
                <w:right w:val="none" w:sz="0" w:space="0" w:color="auto"/>
              </w:divBdr>
            </w:div>
            <w:div w:id="514538572">
              <w:marLeft w:val="0"/>
              <w:marRight w:val="0"/>
              <w:marTop w:val="0"/>
              <w:marBottom w:val="0"/>
              <w:divBdr>
                <w:top w:val="none" w:sz="0" w:space="0" w:color="auto"/>
                <w:left w:val="none" w:sz="0" w:space="0" w:color="auto"/>
                <w:bottom w:val="none" w:sz="0" w:space="0" w:color="auto"/>
                <w:right w:val="none" w:sz="0" w:space="0" w:color="auto"/>
              </w:divBdr>
            </w:div>
            <w:div w:id="547766860">
              <w:marLeft w:val="0"/>
              <w:marRight w:val="0"/>
              <w:marTop w:val="0"/>
              <w:marBottom w:val="0"/>
              <w:divBdr>
                <w:top w:val="none" w:sz="0" w:space="0" w:color="auto"/>
                <w:left w:val="none" w:sz="0" w:space="0" w:color="auto"/>
                <w:bottom w:val="none" w:sz="0" w:space="0" w:color="auto"/>
                <w:right w:val="none" w:sz="0" w:space="0" w:color="auto"/>
              </w:divBdr>
            </w:div>
            <w:div w:id="1580944473">
              <w:marLeft w:val="0"/>
              <w:marRight w:val="0"/>
              <w:marTop w:val="0"/>
              <w:marBottom w:val="0"/>
              <w:divBdr>
                <w:top w:val="none" w:sz="0" w:space="0" w:color="auto"/>
                <w:left w:val="none" w:sz="0" w:space="0" w:color="auto"/>
                <w:bottom w:val="none" w:sz="0" w:space="0" w:color="auto"/>
                <w:right w:val="none" w:sz="0" w:space="0" w:color="auto"/>
              </w:divBdr>
            </w:div>
            <w:div w:id="1800610557">
              <w:marLeft w:val="0"/>
              <w:marRight w:val="0"/>
              <w:marTop w:val="0"/>
              <w:marBottom w:val="0"/>
              <w:divBdr>
                <w:top w:val="none" w:sz="0" w:space="0" w:color="auto"/>
                <w:left w:val="none" w:sz="0" w:space="0" w:color="auto"/>
                <w:bottom w:val="none" w:sz="0" w:space="0" w:color="auto"/>
                <w:right w:val="none" w:sz="0" w:space="0" w:color="auto"/>
              </w:divBdr>
            </w:div>
          </w:divsChild>
        </w:div>
        <w:div w:id="1361394269">
          <w:marLeft w:val="0"/>
          <w:marRight w:val="0"/>
          <w:marTop w:val="0"/>
          <w:marBottom w:val="0"/>
          <w:divBdr>
            <w:top w:val="none" w:sz="0" w:space="0" w:color="auto"/>
            <w:left w:val="none" w:sz="0" w:space="0" w:color="auto"/>
            <w:bottom w:val="none" w:sz="0" w:space="0" w:color="auto"/>
            <w:right w:val="none" w:sz="0" w:space="0" w:color="auto"/>
          </w:divBdr>
        </w:div>
        <w:div w:id="1374383938">
          <w:marLeft w:val="0"/>
          <w:marRight w:val="0"/>
          <w:marTop w:val="0"/>
          <w:marBottom w:val="0"/>
          <w:divBdr>
            <w:top w:val="none" w:sz="0" w:space="0" w:color="auto"/>
            <w:left w:val="none" w:sz="0" w:space="0" w:color="auto"/>
            <w:bottom w:val="none" w:sz="0" w:space="0" w:color="auto"/>
            <w:right w:val="none" w:sz="0" w:space="0" w:color="auto"/>
          </w:divBdr>
        </w:div>
        <w:div w:id="1382050776">
          <w:marLeft w:val="0"/>
          <w:marRight w:val="0"/>
          <w:marTop w:val="0"/>
          <w:marBottom w:val="0"/>
          <w:divBdr>
            <w:top w:val="none" w:sz="0" w:space="0" w:color="auto"/>
            <w:left w:val="none" w:sz="0" w:space="0" w:color="auto"/>
            <w:bottom w:val="none" w:sz="0" w:space="0" w:color="auto"/>
            <w:right w:val="none" w:sz="0" w:space="0" w:color="auto"/>
          </w:divBdr>
          <w:divsChild>
            <w:div w:id="36440657">
              <w:marLeft w:val="-75"/>
              <w:marRight w:val="0"/>
              <w:marTop w:val="30"/>
              <w:marBottom w:val="30"/>
              <w:divBdr>
                <w:top w:val="none" w:sz="0" w:space="0" w:color="auto"/>
                <w:left w:val="none" w:sz="0" w:space="0" w:color="auto"/>
                <w:bottom w:val="none" w:sz="0" w:space="0" w:color="auto"/>
                <w:right w:val="none" w:sz="0" w:space="0" w:color="auto"/>
              </w:divBdr>
              <w:divsChild>
                <w:div w:id="478623">
                  <w:marLeft w:val="0"/>
                  <w:marRight w:val="0"/>
                  <w:marTop w:val="0"/>
                  <w:marBottom w:val="0"/>
                  <w:divBdr>
                    <w:top w:val="none" w:sz="0" w:space="0" w:color="auto"/>
                    <w:left w:val="none" w:sz="0" w:space="0" w:color="auto"/>
                    <w:bottom w:val="none" w:sz="0" w:space="0" w:color="auto"/>
                    <w:right w:val="none" w:sz="0" w:space="0" w:color="auto"/>
                  </w:divBdr>
                  <w:divsChild>
                    <w:div w:id="54163775">
                      <w:marLeft w:val="0"/>
                      <w:marRight w:val="0"/>
                      <w:marTop w:val="0"/>
                      <w:marBottom w:val="0"/>
                      <w:divBdr>
                        <w:top w:val="none" w:sz="0" w:space="0" w:color="auto"/>
                        <w:left w:val="none" w:sz="0" w:space="0" w:color="auto"/>
                        <w:bottom w:val="none" w:sz="0" w:space="0" w:color="auto"/>
                        <w:right w:val="none" w:sz="0" w:space="0" w:color="auto"/>
                      </w:divBdr>
                    </w:div>
                  </w:divsChild>
                </w:div>
                <w:div w:id="7758548">
                  <w:marLeft w:val="0"/>
                  <w:marRight w:val="0"/>
                  <w:marTop w:val="0"/>
                  <w:marBottom w:val="0"/>
                  <w:divBdr>
                    <w:top w:val="none" w:sz="0" w:space="0" w:color="auto"/>
                    <w:left w:val="none" w:sz="0" w:space="0" w:color="auto"/>
                    <w:bottom w:val="none" w:sz="0" w:space="0" w:color="auto"/>
                    <w:right w:val="none" w:sz="0" w:space="0" w:color="auto"/>
                  </w:divBdr>
                  <w:divsChild>
                    <w:div w:id="1580020886">
                      <w:marLeft w:val="0"/>
                      <w:marRight w:val="0"/>
                      <w:marTop w:val="0"/>
                      <w:marBottom w:val="0"/>
                      <w:divBdr>
                        <w:top w:val="none" w:sz="0" w:space="0" w:color="auto"/>
                        <w:left w:val="none" w:sz="0" w:space="0" w:color="auto"/>
                        <w:bottom w:val="none" w:sz="0" w:space="0" w:color="auto"/>
                        <w:right w:val="none" w:sz="0" w:space="0" w:color="auto"/>
                      </w:divBdr>
                    </w:div>
                  </w:divsChild>
                </w:div>
                <w:div w:id="148712917">
                  <w:marLeft w:val="0"/>
                  <w:marRight w:val="0"/>
                  <w:marTop w:val="0"/>
                  <w:marBottom w:val="0"/>
                  <w:divBdr>
                    <w:top w:val="none" w:sz="0" w:space="0" w:color="auto"/>
                    <w:left w:val="none" w:sz="0" w:space="0" w:color="auto"/>
                    <w:bottom w:val="none" w:sz="0" w:space="0" w:color="auto"/>
                    <w:right w:val="none" w:sz="0" w:space="0" w:color="auto"/>
                  </w:divBdr>
                  <w:divsChild>
                    <w:div w:id="1236745868">
                      <w:marLeft w:val="0"/>
                      <w:marRight w:val="0"/>
                      <w:marTop w:val="0"/>
                      <w:marBottom w:val="0"/>
                      <w:divBdr>
                        <w:top w:val="none" w:sz="0" w:space="0" w:color="auto"/>
                        <w:left w:val="none" w:sz="0" w:space="0" w:color="auto"/>
                        <w:bottom w:val="none" w:sz="0" w:space="0" w:color="auto"/>
                        <w:right w:val="none" w:sz="0" w:space="0" w:color="auto"/>
                      </w:divBdr>
                    </w:div>
                  </w:divsChild>
                </w:div>
                <w:div w:id="173153355">
                  <w:marLeft w:val="0"/>
                  <w:marRight w:val="0"/>
                  <w:marTop w:val="0"/>
                  <w:marBottom w:val="0"/>
                  <w:divBdr>
                    <w:top w:val="none" w:sz="0" w:space="0" w:color="auto"/>
                    <w:left w:val="none" w:sz="0" w:space="0" w:color="auto"/>
                    <w:bottom w:val="none" w:sz="0" w:space="0" w:color="auto"/>
                    <w:right w:val="none" w:sz="0" w:space="0" w:color="auto"/>
                  </w:divBdr>
                  <w:divsChild>
                    <w:div w:id="1757093964">
                      <w:marLeft w:val="0"/>
                      <w:marRight w:val="0"/>
                      <w:marTop w:val="0"/>
                      <w:marBottom w:val="0"/>
                      <w:divBdr>
                        <w:top w:val="none" w:sz="0" w:space="0" w:color="auto"/>
                        <w:left w:val="none" w:sz="0" w:space="0" w:color="auto"/>
                        <w:bottom w:val="none" w:sz="0" w:space="0" w:color="auto"/>
                        <w:right w:val="none" w:sz="0" w:space="0" w:color="auto"/>
                      </w:divBdr>
                    </w:div>
                  </w:divsChild>
                </w:div>
                <w:div w:id="188836399">
                  <w:marLeft w:val="0"/>
                  <w:marRight w:val="0"/>
                  <w:marTop w:val="0"/>
                  <w:marBottom w:val="0"/>
                  <w:divBdr>
                    <w:top w:val="none" w:sz="0" w:space="0" w:color="auto"/>
                    <w:left w:val="none" w:sz="0" w:space="0" w:color="auto"/>
                    <w:bottom w:val="none" w:sz="0" w:space="0" w:color="auto"/>
                    <w:right w:val="none" w:sz="0" w:space="0" w:color="auto"/>
                  </w:divBdr>
                  <w:divsChild>
                    <w:div w:id="764569564">
                      <w:marLeft w:val="0"/>
                      <w:marRight w:val="0"/>
                      <w:marTop w:val="0"/>
                      <w:marBottom w:val="0"/>
                      <w:divBdr>
                        <w:top w:val="none" w:sz="0" w:space="0" w:color="auto"/>
                        <w:left w:val="none" w:sz="0" w:space="0" w:color="auto"/>
                        <w:bottom w:val="none" w:sz="0" w:space="0" w:color="auto"/>
                        <w:right w:val="none" w:sz="0" w:space="0" w:color="auto"/>
                      </w:divBdr>
                    </w:div>
                  </w:divsChild>
                </w:div>
                <w:div w:id="196233860">
                  <w:marLeft w:val="0"/>
                  <w:marRight w:val="0"/>
                  <w:marTop w:val="0"/>
                  <w:marBottom w:val="0"/>
                  <w:divBdr>
                    <w:top w:val="none" w:sz="0" w:space="0" w:color="auto"/>
                    <w:left w:val="none" w:sz="0" w:space="0" w:color="auto"/>
                    <w:bottom w:val="none" w:sz="0" w:space="0" w:color="auto"/>
                    <w:right w:val="none" w:sz="0" w:space="0" w:color="auto"/>
                  </w:divBdr>
                  <w:divsChild>
                    <w:div w:id="414547463">
                      <w:marLeft w:val="0"/>
                      <w:marRight w:val="0"/>
                      <w:marTop w:val="0"/>
                      <w:marBottom w:val="0"/>
                      <w:divBdr>
                        <w:top w:val="none" w:sz="0" w:space="0" w:color="auto"/>
                        <w:left w:val="none" w:sz="0" w:space="0" w:color="auto"/>
                        <w:bottom w:val="none" w:sz="0" w:space="0" w:color="auto"/>
                        <w:right w:val="none" w:sz="0" w:space="0" w:color="auto"/>
                      </w:divBdr>
                    </w:div>
                  </w:divsChild>
                </w:div>
                <w:div w:id="242760518">
                  <w:marLeft w:val="0"/>
                  <w:marRight w:val="0"/>
                  <w:marTop w:val="0"/>
                  <w:marBottom w:val="0"/>
                  <w:divBdr>
                    <w:top w:val="none" w:sz="0" w:space="0" w:color="auto"/>
                    <w:left w:val="none" w:sz="0" w:space="0" w:color="auto"/>
                    <w:bottom w:val="none" w:sz="0" w:space="0" w:color="auto"/>
                    <w:right w:val="none" w:sz="0" w:space="0" w:color="auto"/>
                  </w:divBdr>
                  <w:divsChild>
                    <w:div w:id="1242639240">
                      <w:marLeft w:val="0"/>
                      <w:marRight w:val="0"/>
                      <w:marTop w:val="0"/>
                      <w:marBottom w:val="0"/>
                      <w:divBdr>
                        <w:top w:val="none" w:sz="0" w:space="0" w:color="auto"/>
                        <w:left w:val="none" w:sz="0" w:space="0" w:color="auto"/>
                        <w:bottom w:val="none" w:sz="0" w:space="0" w:color="auto"/>
                        <w:right w:val="none" w:sz="0" w:space="0" w:color="auto"/>
                      </w:divBdr>
                    </w:div>
                  </w:divsChild>
                </w:div>
                <w:div w:id="270818780">
                  <w:marLeft w:val="0"/>
                  <w:marRight w:val="0"/>
                  <w:marTop w:val="0"/>
                  <w:marBottom w:val="0"/>
                  <w:divBdr>
                    <w:top w:val="none" w:sz="0" w:space="0" w:color="auto"/>
                    <w:left w:val="none" w:sz="0" w:space="0" w:color="auto"/>
                    <w:bottom w:val="none" w:sz="0" w:space="0" w:color="auto"/>
                    <w:right w:val="none" w:sz="0" w:space="0" w:color="auto"/>
                  </w:divBdr>
                  <w:divsChild>
                    <w:div w:id="611939729">
                      <w:marLeft w:val="0"/>
                      <w:marRight w:val="0"/>
                      <w:marTop w:val="0"/>
                      <w:marBottom w:val="0"/>
                      <w:divBdr>
                        <w:top w:val="none" w:sz="0" w:space="0" w:color="auto"/>
                        <w:left w:val="none" w:sz="0" w:space="0" w:color="auto"/>
                        <w:bottom w:val="none" w:sz="0" w:space="0" w:color="auto"/>
                        <w:right w:val="none" w:sz="0" w:space="0" w:color="auto"/>
                      </w:divBdr>
                      <w:divsChild>
                        <w:div w:id="1989362276">
                          <w:marLeft w:val="0"/>
                          <w:marRight w:val="0"/>
                          <w:marTop w:val="0"/>
                          <w:marBottom w:val="0"/>
                          <w:divBdr>
                            <w:top w:val="none" w:sz="0" w:space="0" w:color="auto"/>
                            <w:left w:val="none" w:sz="0" w:space="0" w:color="auto"/>
                            <w:bottom w:val="none" w:sz="0" w:space="0" w:color="auto"/>
                            <w:right w:val="none" w:sz="0" w:space="0" w:color="auto"/>
                          </w:divBdr>
                          <w:divsChild>
                            <w:div w:id="321934148">
                              <w:marLeft w:val="0"/>
                              <w:marRight w:val="0"/>
                              <w:marTop w:val="0"/>
                              <w:marBottom w:val="0"/>
                              <w:divBdr>
                                <w:top w:val="none" w:sz="0" w:space="0" w:color="auto"/>
                                <w:left w:val="none" w:sz="0" w:space="0" w:color="auto"/>
                                <w:bottom w:val="none" w:sz="0" w:space="0" w:color="auto"/>
                                <w:right w:val="none" w:sz="0" w:space="0" w:color="auto"/>
                              </w:divBdr>
                              <w:divsChild>
                                <w:div w:id="1456944979">
                                  <w:marLeft w:val="0"/>
                                  <w:marRight w:val="0"/>
                                  <w:marTop w:val="0"/>
                                  <w:marBottom w:val="0"/>
                                  <w:divBdr>
                                    <w:top w:val="none" w:sz="0" w:space="0" w:color="auto"/>
                                    <w:left w:val="none" w:sz="0" w:space="0" w:color="auto"/>
                                    <w:bottom w:val="none" w:sz="0" w:space="0" w:color="auto"/>
                                    <w:right w:val="none" w:sz="0" w:space="0" w:color="auto"/>
                                  </w:divBdr>
                                  <w:divsChild>
                                    <w:div w:id="8970880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71670519">
                      <w:marLeft w:val="0"/>
                      <w:marRight w:val="0"/>
                      <w:marTop w:val="0"/>
                      <w:marBottom w:val="0"/>
                      <w:divBdr>
                        <w:top w:val="none" w:sz="0" w:space="0" w:color="auto"/>
                        <w:left w:val="none" w:sz="0" w:space="0" w:color="auto"/>
                        <w:bottom w:val="none" w:sz="0" w:space="0" w:color="auto"/>
                        <w:right w:val="none" w:sz="0" w:space="0" w:color="auto"/>
                      </w:divBdr>
                    </w:div>
                  </w:divsChild>
                </w:div>
                <w:div w:id="362900148">
                  <w:marLeft w:val="0"/>
                  <w:marRight w:val="0"/>
                  <w:marTop w:val="0"/>
                  <w:marBottom w:val="0"/>
                  <w:divBdr>
                    <w:top w:val="none" w:sz="0" w:space="0" w:color="auto"/>
                    <w:left w:val="none" w:sz="0" w:space="0" w:color="auto"/>
                    <w:bottom w:val="none" w:sz="0" w:space="0" w:color="auto"/>
                    <w:right w:val="none" w:sz="0" w:space="0" w:color="auto"/>
                  </w:divBdr>
                  <w:divsChild>
                    <w:div w:id="307902018">
                      <w:marLeft w:val="0"/>
                      <w:marRight w:val="0"/>
                      <w:marTop w:val="0"/>
                      <w:marBottom w:val="0"/>
                      <w:divBdr>
                        <w:top w:val="none" w:sz="0" w:space="0" w:color="auto"/>
                        <w:left w:val="none" w:sz="0" w:space="0" w:color="auto"/>
                        <w:bottom w:val="none" w:sz="0" w:space="0" w:color="auto"/>
                        <w:right w:val="none" w:sz="0" w:space="0" w:color="auto"/>
                      </w:divBdr>
                    </w:div>
                    <w:div w:id="741414714">
                      <w:marLeft w:val="0"/>
                      <w:marRight w:val="0"/>
                      <w:marTop w:val="0"/>
                      <w:marBottom w:val="0"/>
                      <w:divBdr>
                        <w:top w:val="none" w:sz="0" w:space="0" w:color="auto"/>
                        <w:left w:val="none" w:sz="0" w:space="0" w:color="auto"/>
                        <w:bottom w:val="none" w:sz="0" w:space="0" w:color="auto"/>
                        <w:right w:val="none" w:sz="0" w:space="0" w:color="auto"/>
                      </w:divBdr>
                    </w:div>
                  </w:divsChild>
                </w:div>
                <w:div w:id="392506905">
                  <w:marLeft w:val="0"/>
                  <w:marRight w:val="0"/>
                  <w:marTop w:val="0"/>
                  <w:marBottom w:val="0"/>
                  <w:divBdr>
                    <w:top w:val="none" w:sz="0" w:space="0" w:color="auto"/>
                    <w:left w:val="none" w:sz="0" w:space="0" w:color="auto"/>
                    <w:bottom w:val="none" w:sz="0" w:space="0" w:color="auto"/>
                    <w:right w:val="none" w:sz="0" w:space="0" w:color="auto"/>
                  </w:divBdr>
                  <w:divsChild>
                    <w:div w:id="82919302">
                      <w:marLeft w:val="0"/>
                      <w:marRight w:val="0"/>
                      <w:marTop w:val="0"/>
                      <w:marBottom w:val="0"/>
                      <w:divBdr>
                        <w:top w:val="none" w:sz="0" w:space="0" w:color="auto"/>
                        <w:left w:val="none" w:sz="0" w:space="0" w:color="auto"/>
                        <w:bottom w:val="none" w:sz="0" w:space="0" w:color="auto"/>
                        <w:right w:val="none" w:sz="0" w:space="0" w:color="auto"/>
                      </w:divBdr>
                    </w:div>
                  </w:divsChild>
                </w:div>
                <w:div w:id="479734021">
                  <w:marLeft w:val="0"/>
                  <w:marRight w:val="0"/>
                  <w:marTop w:val="0"/>
                  <w:marBottom w:val="0"/>
                  <w:divBdr>
                    <w:top w:val="none" w:sz="0" w:space="0" w:color="auto"/>
                    <w:left w:val="none" w:sz="0" w:space="0" w:color="auto"/>
                    <w:bottom w:val="none" w:sz="0" w:space="0" w:color="auto"/>
                    <w:right w:val="none" w:sz="0" w:space="0" w:color="auto"/>
                  </w:divBdr>
                  <w:divsChild>
                    <w:div w:id="12339399">
                      <w:marLeft w:val="0"/>
                      <w:marRight w:val="0"/>
                      <w:marTop w:val="0"/>
                      <w:marBottom w:val="0"/>
                      <w:divBdr>
                        <w:top w:val="none" w:sz="0" w:space="0" w:color="auto"/>
                        <w:left w:val="none" w:sz="0" w:space="0" w:color="auto"/>
                        <w:bottom w:val="none" w:sz="0" w:space="0" w:color="auto"/>
                        <w:right w:val="none" w:sz="0" w:space="0" w:color="auto"/>
                      </w:divBdr>
                    </w:div>
                  </w:divsChild>
                </w:div>
                <w:div w:id="484471518">
                  <w:marLeft w:val="0"/>
                  <w:marRight w:val="0"/>
                  <w:marTop w:val="0"/>
                  <w:marBottom w:val="0"/>
                  <w:divBdr>
                    <w:top w:val="none" w:sz="0" w:space="0" w:color="auto"/>
                    <w:left w:val="none" w:sz="0" w:space="0" w:color="auto"/>
                    <w:bottom w:val="none" w:sz="0" w:space="0" w:color="auto"/>
                    <w:right w:val="none" w:sz="0" w:space="0" w:color="auto"/>
                  </w:divBdr>
                  <w:divsChild>
                    <w:div w:id="74593300">
                      <w:marLeft w:val="0"/>
                      <w:marRight w:val="0"/>
                      <w:marTop w:val="0"/>
                      <w:marBottom w:val="0"/>
                      <w:divBdr>
                        <w:top w:val="none" w:sz="0" w:space="0" w:color="auto"/>
                        <w:left w:val="none" w:sz="0" w:space="0" w:color="auto"/>
                        <w:bottom w:val="none" w:sz="0" w:space="0" w:color="auto"/>
                        <w:right w:val="none" w:sz="0" w:space="0" w:color="auto"/>
                      </w:divBdr>
                    </w:div>
                    <w:div w:id="2033070044">
                      <w:marLeft w:val="0"/>
                      <w:marRight w:val="0"/>
                      <w:marTop w:val="0"/>
                      <w:marBottom w:val="0"/>
                      <w:divBdr>
                        <w:top w:val="none" w:sz="0" w:space="0" w:color="auto"/>
                        <w:left w:val="none" w:sz="0" w:space="0" w:color="auto"/>
                        <w:bottom w:val="none" w:sz="0" w:space="0" w:color="auto"/>
                        <w:right w:val="none" w:sz="0" w:space="0" w:color="auto"/>
                      </w:divBdr>
                    </w:div>
                  </w:divsChild>
                </w:div>
                <w:div w:id="507521806">
                  <w:marLeft w:val="0"/>
                  <w:marRight w:val="0"/>
                  <w:marTop w:val="0"/>
                  <w:marBottom w:val="0"/>
                  <w:divBdr>
                    <w:top w:val="none" w:sz="0" w:space="0" w:color="auto"/>
                    <w:left w:val="none" w:sz="0" w:space="0" w:color="auto"/>
                    <w:bottom w:val="none" w:sz="0" w:space="0" w:color="auto"/>
                    <w:right w:val="none" w:sz="0" w:space="0" w:color="auto"/>
                  </w:divBdr>
                  <w:divsChild>
                    <w:div w:id="773329028">
                      <w:marLeft w:val="0"/>
                      <w:marRight w:val="0"/>
                      <w:marTop w:val="0"/>
                      <w:marBottom w:val="0"/>
                      <w:divBdr>
                        <w:top w:val="none" w:sz="0" w:space="0" w:color="auto"/>
                        <w:left w:val="none" w:sz="0" w:space="0" w:color="auto"/>
                        <w:bottom w:val="none" w:sz="0" w:space="0" w:color="auto"/>
                        <w:right w:val="none" w:sz="0" w:space="0" w:color="auto"/>
                      </w:divBdr>
                    </w:div>
                    <w:div w:id="1038746028">
                      <w:marLeft w:val="0"/>
                      <w:marRight w:val="0"/>
                      <w:marTop w:val="0"/>
                      <w:marBottom w:val="0"/>
                      <w:divBdr>
                        <w:top w:val="none" w:sz="0" w:space="0" w:color="auto"/>
                        <w:left w:val="none" w:sz="0" w:space="0" w:color="auto"/>
                        <w:bottom w:val="none" w:sz="0" w:space="0" w:color="auto"/>
                        <w:right w:val="none" w:sz="0" w:space="0" w:color="auto"/>
                      </w:divBdr>
                    </w:div>
                  </w:divsChild>
                </w:div>
                <w:div w:id="530724120">
                  <w:marLeft w:val="0"/>
                  <w:marRight w:val="0"/>
                  <w:marTop w:val="0"/>
                  <w:marBottom w:val="0"/>
                  <w:divBdr>
                    <w:top w:val="none" w:sz="0" w:space="0" w:color="auto"/>
                    <w:left w:val="none" w:sz="0" w:space="0" w:color="auto"/>
                    <w:bottom w:val="none" w:sz="0" w:space="0" w:color="auto"/>
                    <w:right w:val="none" w:sz="0" w:space="0" w:color="auto"/>
                  </w:divBdr>
                  <w:divsChild>
                    <w:div w:id="946738872">
                      <w:marLeft w:val="0"/>
                      <w:marRight w:val="0"/>
                      <w:marTop w:val="0"/>
                      <w:marBottom w:val="0"/>
                      <w:divBdr>
                        <w:top w:val="none" w:sz="0" w:space="0" w:color="auto"/>
                        <w:left w:val="none" w:sz="0" w:space="0" w:color="auto"/>
                        <w:bottom w:val="none" w:sz="0" w:space="0" w:color="auto"/>
                        <w:right w:val="none" w:sz="0" w:space="0" w:color="auto"/>
                      </w:divBdr>
                    </w:div>
                  </w:divsChild>
                </w:div>
                <w:div w:id="546995101">
                  <w:marLeft w:val="0"/>
                  <w:marRight w:val="0"/>
                  <w:marTop w:val="0"/>
                  <w:marBottom w:val="0"/>
                  <w:divBdr>
                    <w:top w:val="none" w:sz="0" w:space="0" w:color="auto"/>
                    <w:left w:val="none" w:sz="0" w:space="0" w:color="auto"/>
                    <w:bottom w:val="none" w:sz="0" w:space="0" w:color="auto"/>
                    <w:right w:val="none" w:sz="0" w:space="0" w:color="auto"/>
                  </w:divBdr>
                  <w:divsChild>
                    <w:div w:id="447817945">
                      <w:marLeft w:val="0"/>
                      <w:marRight w:val="0"/>
                      <w:marTop w:val="0"/>
                      <w:marBottom w:val="0"/>
                      <w:divBdr>
                        <w:top w:val="none" w:sz="0" w:space="0" w:color="auto"/>
                        <w:left w:val="none" w:sz="0" w:space="0" w:color="auto"/>
                        <w:bottom w:val="none" w:sz="0" w:space="0" w:color="auto"/>
                        <w:right w:val="none" w:sz="0" w:space="0" w:color="auto"/>
                      </w:divBdr>
                    </w:div>
                  </w:divsChild>
                </w:div>
                <w:div w:id="567692268">
                  <w:marLeft w:val="0"/>
                  <w:marRight w:val="0"/>
                  <w:marTop w:val="0"/>
                  <w:marBottom w:val="0"/>
                  <w:divBdr>
                    <w:top w:val="none" w:sz="0" w:space="0" w:color="auto"/>
                    <w:left w:val="none" w:sz="0" w:space="0" w:color="auto"/>
                    <w:bottom w:val="none" w:sz="0" w:space="0" w:color="auto"/>
                    <w:right w:val="none" w:sz="0" w:space="0" w:color="auto"/>
                  </w:divBdr>
                  <w:divsChild>
                    <w:div w:id="1911384566">
                      <w:marLeft w:val="0"/>
                      <w:marRight w:val="0"/>
                      <w:marTop w:val="0"/>
                      <w:marBottom w:val="0"/>
                      <w:divBdr>
                        <w:top w:val="none" w:sz="0" w:space="0" w:color="auto"/>
                        <w:left w:val="none" w:sz="0" w:space="0" w:color="auto"/>
                        <w:bottom w:val="none" w:sz="0" w:space="0" w:color="auto"/>
                        <w:right w:val="none" w:sz="0" w:space="0" w:color="auto"/>
                      </w:divBdr>
                    </w:div>
                  </w:divsChild>
                </w:div>
                <w:div w:id="674769908">
                  <w:marLeft w:val="0"/>
                  <w:marRight w:val="0"/>
                  <w:marTop w:val="0"/>
                  <w:marBottom w:val="0"/>
                  <w:divBdr>
                    <w:top w:val="none" w:sz="0" w:space="0" w:color="auto"/>
                    <w:left w:val="none" w:sz="0" w:space="0" w:color="auto"/>
                    <w:bottom w:val="none" w:sz="0" w:space="0" w:color="auto"/>
                    <w:right w:val="none" w:sz="0" w:space="0" w:color="auto"/>
                  </w:divBdr>
                  <w:divsChild>
                    <w:div w:id="548147247">
                      <w:marLeft w:val="0"/>
                      <w:marRight w:val="0"/>
                      <w:marTop w:val="0"/>
                      <w:marBottom w:val="0"/>
                      <w:divBdr>
                        <w:top w:val="none" w:sz="0" w:space="0" w:color="auto"/>
                        <w:left w:val="none" w:sz="0" w:space="0" w:color="auto"/>
                        <w:bottom w:val="none" w:sz="0" w:space="0" w:color="auto"/>
                        <w:right w:val="none" w:sz="0" w:space="0" w:color="auto"/>
                      </w:divBdr>
                    </w:div>
                    <w:div w:id="1819609196">
                      <w:marLeft w:val="0"/>
                      <w:marRight w:val="0"/>
                      <w:marTop w:val="0"/>
                      <w:marBottom w:val="0"/>
                      <w:divBdr>
                        <w:top w:val="none" w:sz="0" w:space="0" w:color="auto"/>
                        <w:left w:val="none" w:sz="0" w:space="0" w:color="auto"/>
                        <w:bottom w:val="none" w:sz="0" w:space="0" w:color="auto"/>
                        <w:right w:val="none" w:sz="0" w:space="0" w:color="auto"/>
                      </w:divBdr>
                    </w:div>
                  </w:divsChild>
                </w:div>
                <w:div w:id="770392429">
                  <w:marLeft w:val="0"/>
                  <w:marRight w:val="0"/>
                  <w:marTop w:val="0"/>
                  <w:marBottom w:val="0"/>
                  <w:divBdr>
                    <w:top w:val="none" w:sz="0" w:space="0" w:color="auto"/>
                    <w:left w:val="none" w:sz="0" w:space="0" w:color="auto"/>
                    <w:bottom w:val="none" w:sz="0" w:space="0" w:color="auto"/>
                    <w:right w:val="none" w:sz="0" w:space="0" w:color="auto"/>
                  </w:divBdr>
                  <w:divsChild>
                    <w:div w:id="612054067">
                      <w:marLeft w:val="0"/>
                      <w:marRight w:val="0"/>
                      <w:marTop w:val="0"/>
                      <w:marBottom w:val="0"/>
                      <w:divBdr>
                        <w:top w:val="none" w:sz="0" w:space="0" w:color="auto"/>
                        <w:left w:val="none" w:sz="0" w:space="0" w:color="auto"/>
                        <w:bottom w:val="none" w:sz="0" w:space="0" w:color="auto"/>
                        <w:right w:val="none" w:sz="0" w:space="0" w:color="auto"/>
                      </w:divBdr>
                    </w:div>
                    <w:div w:id="1330207718">
                      <w:marLeft w:val="0"/>
                      <w:marRight w:val="0"/>
                      <w:marTop w:val="0"/>
                      <w:marBottom w:val="0"/>
                      <w:divBdr>
                        <w:top w:val="none" w:sz="0" w:space="0" w:color="auto"/>
                        <w:left w:val="none" w:sz="0" w:space="0" w:color="auto"/>
                        <w:bottom w:val="none" w:sz="0" w:space="0" w:color="auto"/>
                        <w:right w:val="none" w:sz="0" w:space="0" w:color="auto"/>
                      </w:divBdr>
                    </w:div>
                  </w:divsChild>
                </w:div>
                <w:div w:id="771241877">
                  <w:marLeft w:val="0"/>
                  <w:marRight w:val="0"/>
                  <w:marTop w:val="0"/>
                  <w:marBottom w:val="0"/>
                  <w:divBdr>
                    <w:top w:val="none" w:sz="0" w:space="0" w:color="auto"/>
                    <w:left w:val="none" w:sz="0" w:space="0" w:color="auto"/>
                    <w:bottom w:val="none" w:sz="0" w:space="0" w:color="auto"/>
                    <w:right w:val="none" w:sz="0" w:space="0" w:color="auto"/>
                  </w:divBdr>
                  <w:divsChild>
                    <w:div w:id="701786304">
                      <w:marLeft w:val="0"/>
                      <w:marRight w:val="0"/>
                      <w:marTop w:val="0"/>
                      <w:marBottom w:val="0"/>
                      <w:divBdr>
                        <w:top w:val="none" w:sz="0" w:space="0" w:color="auto"/>
                        <w:left w:val="none" w:sz="0" w:space="0" w:color="auto"/>
                        <w:bottom w:val="none" w:sz="0" w:space="0" w:color="auto"/>
                        <w:right w:val="none" w:sz="0" w:space="0" w:color="auto"/>
                      </w:divBdr>
                    </w:div>
                    <w:div w:id="1730691177">
                      <w:marLeft w:val="0"/>
                      <w:marRight w:val="0"/>
                      <w:marTop w:val="0"/>
                      <w:marBottom w:val="0"/>
                      <w:divBdr>
                        <w:top w:val="none" w:sz="0" w:space="0" w:color="auto"/>
                        <w:left w:val="none" w:sz="0" w:space="0" w:color="auto"/>
                        <w:bottom w:val="none" w:sz="0" w:space="0" w:color="auto"/>
                        <w:right w:val="none" w:sz="0" w:space="0" w:color="auto"/>
                      </w:divBdr>
                    </w:div>
                  </w:divsChild>
                </w:div>
                <w:div w:id="824207299">
                  <w:marLeft w:val="0"/>
                  <w:marRight w:val="0"/>
                  <w:marTop w:val="0"/>
                  <w:marBottom w:val="0"/>
                  <w:divBdr>
                    <w:top w:val="none" w:sz="0" w:space="0" w:color="auto"/>
                    <w:left w:val="none" w:sz="0" w:space="0" w:color="auto"/>
                    <w:bottom w:val="none" w:sz="0" w:space="0" w:color="auto"/>
                    <w:right w:val="none" w:sz="0" w:space="0" w:color="auto"/>
                  </w:divBdr>
                  <w:divsChild>
                    <w:div w:id="168906225">
                      <w:marLeft w:val="0"/>
                      <w:marRight w:val="0"/>
                      <w:marTop w:val="0"/>
                      <w:marBottom w:val="0"/>
                      <w:divBdr>
                        <w:top w:val="none" w:sz="0" w:space="0" w:color="auto"/>
                        <w:left w:val="none" w:sz="0" w:space="0" w:color="auto"/>
                        <w:bottom w:val="none" w:sz="0" w:space="0" w:color="auto"/>
                        <w:right w:val="none" w:sz="0" w:space="0" w:color="auto"/>
                      </w:divBdr>
                    </w:div>
                  </w:divsChild>
                </w:div>
                <w:div w:id="866025408">
                  <w:marLeft w:val="0"/>
                  <w:marRight w:val="0"/>
                  <w:marTop w:val="0"/>
                  <w:marBottom w:val="0"/>
                  <w:divBdr>
                    <w:top w:val="none" w:sz="0" w:space="0" w:color="auto"/>
                    <w:left w:val="none" w:sz="0" w:space="0" w:color="auto"/>
                    <w:bottom w:val="none" w:sz="0" w:space="0" w:color="auto"/>
                    <w:right w:val="none" w:sz="0" w:space="0" w:color="auto"/>
                  </w:divBdr>
                  <w:divsChild>
                    <w:div w:id="259414308">
                      <w:marLeft w:val="0"/>
                      <w:marRight w:val="0"/>
                      <w:marTop w:val="0"/>
                      <w:marBottom w:val="0"/>
                      <w:divBdr>
                        <w:top w:val="none" w:sz="0" w:space="0" w:color="auto"/>
                        <w:left w:val="none" w:sz="0" w:space="0" w:color="auto"/>
                        <w:bottom w:val="none" w:sz="0" w:space="0" w:color="auto"/>
                        <w:right w:val="none" w:sz="0" w:space="0" w:color="auto"/>
                      </w:divBdr>
                      <w:divsChild>
                        <w:div w:id="449396167">
                          <w:marLeft w:val="0"/>
                          <w:marRight w:val="0"/>
                          <w:marTop w:val="30"/>
                          <w:marBottom w:val="30"/>
                          <w:divBdr>
                            <w:top w:val="none" w:sz="0" w:space="0" w:color="auto"/>
                            <w:left w:val="none" w:sz="0" w:space="0" w:color="auto"/>
                            <w:bottom w:val="none" w:sz="0" w:space="0" w:color="auto"/>
                            <w:right w:val="none" w:sz="0" w:space="0" w:color="auto"/>
                          </w:divBdr>
                          <w:divsChild>
                            <w:div w:id="669020425">
                              <w:marLeft w:val="0"/>
                              <w:marRight w:val="0"/>
                              <w:marTop w:val="0"/>
                              <w:marBottom w:val="0"/>
                              <w:divBdr>
                                <w:top w:val="none" w:sz="0" w:space="0" w:color="auto"/>
                                <w:left w:val="none" w:sz="0" w:space="0" w:color="auto"/>
                                <w:bottom w:val="none" w:sz="0" w:space="0" w:color="auto"/>
                                <w:right w:val="none" w:sz="0" w:space="0" w:color="auto"/>
                              </w:divBdr>
                              <w:divsChild>
                                <w:div w:id="488522375">
                                  <w:marLeft w:val="0"/>
                                  <w:marRight w:val="0"/>
                                  <w:marTop w:val="0"/>
                                  <w:marBottom w:val="0"/>
                                  <w:divBdr>
                                    <w:top w:val="none" w:sz="0" w:space="0" w:color="auto"/>
                                    <w:left w:val="none" w:sz="0" w:space="0" w:color="auto"/>
                                    <w:bottom w:val="none" w:sz="0" w:space="0" w:color="auto"/>
                                    <w:right w:val="none" w:sz="0" w:space="0" w:color="auto"/>
                                  </w:divBdr>
                                </w:div>
                                <w:div w:id="1411350334">
                                  <w:marLeft w:val="0"/>
                                  <w:marRight w:val="0"/>
                                  <w:marTop w:val="0"/>
                                  <w:marBottom w:val="0"/>
                                  <w:divBdr>
                                    <w:top w:val="none" w:sz="0" w:space="0" w:color="auto"/>
                                    <w:left w:val="none" w:sz="0" w:space="0" w:color="auto"/>
                                    <w:bottom w:val="none" w:sz="0" w:space="0" w:color="auto"/>
                                    <w:right w:val="none" w:sz="0" w:space="0" w:color="auto"/>
                                  </w:divBdr>
                                </w:div>
                                <w:div w:id="1434473949">
                                  <w:marLeft w:val="0"/>
                                  <w:marRight w:val="0"/>
                                  <w:marTop w:val="0"/>
                                  <w:marBottom w:val="0"/>
                                  <w:divBdr>
                                    <w:top w:val="none" w:sz="0" w:space="0" w:color="auto"/>
                                    <w:left w:val="none" w:sz="0" w:space="0" w:color="auto"/>
                                    <w:bottom w:val="none" w:sz="0" w:space="0" w:color="auto"/>
                                    <w:right w:val="none" w:sz="0" w:space="0" w:color="auto"/>
                                  </w:divBdr>
                                </w:div>
                                <w:div w:id="1542130931">
                                  <w:marLeft w:val="0"/>
                                  <w:marRight w:val="0"/>
                                  <w:marTop w:val="0"/>
                                  <w:marBottom w:val="0"/>
                                  <w:divBdr>
                                    <w:top w:val="none" w:sz="0" w:space="0" w:color="auto"/>
                                    <w:left w:val="none" w:sz="0" w:space="0" w:color="auto"/>
                                    <w:bottom w:val="none" w:sz="0" w:space="0" w:color="auto"/>
                                    <w:right w:val="none" w:sz="0" w:space="0" w:color="auto"/>
                                  </w:divBdr>
                                </w:div>
                              </w:divsChild>
                            </w:div>
                            <w:div w:id="1400471279">
                              <w:marLeft w:val="0"/>
                              <w:marRight w:val="0"/>
                              <w:marTop w:val="0"/>
                              <w:marBottom w:val="0"/>
                              <w:divBdr>
                                <w:top w:val="none" w:sz="0" w:space="0" w:color="auto"/>
                                <w:left w:val="none" w:sz="0" w:space="0" w:color="auto"/>
                                <w:bottom w:val="none" w:sz="0" w:space="0" w:color="auto"/>
                                <w:right w:val="none" w:sz="0" w:space="0" w:color="auto"/>
                              </w:divBdr>
                              <w:divsChild>
                                <w:div w:id="1246955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7925830">
                      <w:marLeft w:val="0"/>
                      <w:marRight w:val="0"/>
                      <w:marTop w:val="0"/>
                      <w:marBottom w:val="0"/>
                      <w:divBdr>
                        <w:top w:val="none" w:sz="0" w:space="0" w:color="auto"/>
                        <w:left w:val="none" w:sz="0" w:space="0" w:color="auto"/>
                        <w:bottom w:val="none" w:sz="0" w:space="0" w:color="auto"/>
                        <w:right w:val="none" w:sz="0" w:space="0" w:color="auto"/>
                      </w:divBdr>
                    </w:div>
                  </w:divsChild>
                </w:div>
                <w:div w:id="895360857">
                  <w:marLeft w:val="0"/>
                  <w:marRight w:val="0"/>
                  <w:marTop w:val="0"/>
                  <w:marBottom w:val="0"/>
                  <w:divBdr>
                    <w:top w:val="none" w:sz="0" w:space="0" w:color="auto"/>
                    <w:left w:val="none" w:sz="0" w:space="0" w:color="auto"/>
                    <w:bottom w:val="none" w:sz="0" w:space="0" w:color="auto"/>
                    <w:right w:val="none" w:sz="0" w:space="0" w:color="auto"/>
                  </w:divBdr>
                  <w:divsChild>
                    <w:div w:id="927731998">
                      <w:marLeft w:val="0"/>
                      <w:marRight w:val="0"/>
                      <w:marTop w:val="0"/>
                      <w:marBottom w:val="0"/>
                      <w:divBdr>
                        <w:top w:val="none" w:sz="0" w:space="0" w:color="auto"/>
                        <w:left w:val="none" w:sz="0" w:space="0" w:color="auto"/>
                        <w:bottom w:val="none" w:sz="0" w:space="0" w:color="auto"/>
                        <w:right w:val="none" w:sz="0" w:space="0" w:color="auto"/>
                      </w:divBdr>
                    </w:div>
                  </w:divsChild>
                </w:div>
                <w:div w:id="932056989">
                  <w:marLeft w:val="0"/>
                  <w:marRight w:val="0"/>
                  <w:marTop w:val="0"/>
                  <w:marBottom w:val="0"/>
                  <w:divBdr>
                    <w:top w:val="none" w:sz="0" w:space="0" w:color="auto"/>
                    <w:left w:val="none" w:sz="0" w:space="0" w:color="auto"/>
                    <w:bottom w:val="none" w:sz="0" w:space="0" w:color="auto"/>
                    <w:right w:val="none" w:sz="0" w:space="0" w:color="auto"/>
                  </w:divBdr>
                  <w:divsChild>
                    <w:div w:id="424768184">
                      <w:marLeft w:val="0"/>
                      <w:marRight w:val="0"/>
                      <w:marTop w:val="0"/>
                      <w:marBottom w:val="0"/>
                      <w:divBdr>
                        <w:top w:val="none" w:sz="0" w:space="0" w:color="auto"/>
                        <w:left w:val="none" w:sz="0" w:space="0" w:color="auto"/>
                        <w:bottom w:val="none" w:sz="0" w:space="0" w:color="auto"/>
                        <w:right w:val="none" w:sz="0" w:space="0" w:color="auto"/>
                      </w:divBdr>
                    </w:div>
                  </w:divsChild>
                </w:div>
                <w:div w:id="1094285705">
                  <w:marLeft w:val="0"/>
                  <w:marRight w:val="0"/>
                  <w:marTop w:val="0"/>
                  <w:marBottom w:val="0"/>
                  <w:divBdr>
                    <w:top w:val="none" w:sz="0" w:space="0" w:color="auto"/>
                    <w:left w:val="none" w:sz="0" w:space="0" w:color="auto"/>
                    <w:bottom w:val="none" w:sz="0" w:space="0" w:color="auto"/>
                    <w:right w:val="none" w:sz="0" w:space="0" w:color="auto"/>
                  </w:divBdr>
                  <w:divsChild>
                    <w:div w:id="1592540506">
                      <w:marLeft w:val="0"/>
                      <w:marRight w:val="0"/>
                      <w:marTop w:val="0"/>
                      <w:marBottom w:val="0"/>
                      <w:divBdr>
                        <w:top w:val="none" w:sz="0" w:space="0" w:color="auto"/>
                        <w:left w:val="none" w:sz="0" w:space="0" w:color="auto"/>
                        <w:bottom w:val="none" w:sz="0" w:space="0" w:color="auto"/>
                        <w:right w:val="none" w:sz="0" w:space="0" w:color="auto"/>
                      </w:divBdr>
                    </w:div>
                  </w:divsChild>
                </w:div>
                <w:div w:id="1180894590">
                  <w:marLeft w:val="0"/>
                  <w:marRight w:val="0"/>
                  <w:marTop w:val="0"/>
                  <w:marBottom w:val="0"/>
                  <w:divBdr>
                    <w:top w:val="none" w:sz="0" w:space="0" w:color="auto"/>
                    <w:left w:val="none" w:sz="0" w:space="0" w:color="auto"/>
                    <w:bottom w:val="none" w:sz="0" w:space="0" w:color="auto"/>
                    <w:right w:val="none" w:sz="0" w:space="0" w:color="auto"/>
                  </w:divBdr>
                  <w:divsChild>
                    <w:div w:id="346638116">
                      <w:marLeft w:val="0"/>
                      <w:marRight w:val="0"/>
                      <w:marTop w:val="0"/>
                      <w:marBottom w:val="0"/>
                      <w:divBdr>
                        <w:top w:val="none" w:sz="0" w:space="0" w:color="auto"/>
                        <w:left w:val="none" w:sz="0" w:space="0" w:color="auto"/>
                        <w:bottom w:val="none" w:sz="0" w:space="0" w:color="auto"/>
                        <w:right w:val="none" w:sz="0" w:space="0" w:color="auto"/>
                      </w:divBdr>
                    </w:div>
                    <w:div w:id="1000815085">
                      <w:marLeft w:val="0"/>
                      <w:marRight w:val="0"/>
                      <w:marTop w:val="0"/>
                      <w:marBottom w:val="0"/>
                      <w:divBdr>
                        <w:top w:val="none" w:sz="0" w:space="0" w:color="auto"/>
                        <w:left w:val="none" w:sz="0" w:space="0" w:color="auto"/>
                        <w:bottom w:val="none" w:sz="0" w:space="0" w:color="auto"/>
                        <w:right w:val="none" w:sz="0" w:space="0" w:color="auto"/>
                      </w:divBdr>
                    </w:div>
                    <w:div w:id="1631091387">
                      <w:marLeft w:val="0"/>
                      <w:marRight w:val="0"/>
                      <w:marTop w:val="0"/>
                      <w:marBottom w:val="0"/>
                      <w:divBdr>
                        <w:top w:val="none" w:sz="0" w:space="0" w:color="auto"/>
                        <w:left w:val="none" w:sz="0" w:space="0" w:color="auto"/>
                        <w:bottom w:val="none" w:sz="0" w:space="0" w:color="auto"/>
                        <w:right w:val="none" w:sz="0" w:space="0" w:color="auto"/>
                      </w:divBdr>
                    </w:div>
                  </w:divsChild>
                </w:div>
                <w:div w:id="1214267717">
                  <w:marLeft w:val="0"/>
                  <w:marRight w:val="0"/>
                  <w:marTop w:val="0"/>
                  <w:marBottom w:val="0"/>
                  <w:divBdr>
                    <w:top w:val="none" w:sz="0" w:space="0" w:color="auto"/>
                    <w:left w:val="none" w:sz="0" w:space="0" w:color="auto"/>
                    <w:bottom w:val="none" w:sz="0" w:space="0" w:color="auto"/>
                    <w:right w:val="none" w:sz="0" w:space="0" w:color="auto"/>
                  </w:divBdr>
                  <w:divsChild>
                    <w:div w:id="171998392">
                      <w:marLeft w:val="0"/>
                      <w:marRight w:val="0"/>
                      <w:marTop w:val="0"/>
                      <w:marBottom w:val="0"/>
                      <w:divBdr>
                        <w:top w:val="none" w:sz="0" w:space="0" w:color="auto"/>
                        <w:left w:val="none" w:sz="0" w:space="0" w:color="auto"/>
                        <w:bottom w:val="none" w:sz="0" w:space="0" w:color="auto"/>
                        <w:right w:val="none" w:sz="0" w:space="0" w:color="auto"/>
                      </w:divBdr>
                    </w:div>
                  </w:divsChild>
                </w:div>
                <w:div w:id="1228225234">
                  <w:marLeft w:val="0"/>
                  <w:marRight w:val="0"/>
                  <w:marTop w:val="0"/>
                  <w:marBottom w:val="0"/>
                  <w:divBdr>
                    <w:top w:val="none" w:sz="0" w:space="0" w:color="auto"/>
                    <w:left w:val="none" w:sz="0" w:space="0" w:color="auto"/>
                    <w:bottom w:val="none" w:sz="0" w:space="0" w:color="auto"/>
                    <w:right w:val="none" w:sz="0" w:space="0" w:color="auto"/>
                  </w:divBdr>
                  <w:divsChild>
                    <w:div w:id="318580854">
                      <w:marLeft w:val="0"/>
                      <w:marRight w:val="0"/>
                      <w:marTop w:val="0"/>
                      <w:marBottom w:val="0"/>
                      <w:divBdr>
                        <w:top w:val="none" w:sz="0" w:space="0" w:color="auto"/>
                        <w:left w:val="none" w:sz="0" w:space="0" w:color="auto"/>
                        <w:bottom w:val="none" w:sz="0" w:space="0" w:color="auto"/>
                        <w:right w:val="none" w:sz="0" w:space="0" w:color="auto"/>
                      </w:divBdr>
                    </w:div>
                  </w:divsChild>
                </w:div>
                <w:div w:id="1257399311">
                  <w:marLeft w:val="0"/>
                  <w:marRight w:val="0"/>
                  <w:marTop w:val="0"/>
                  <w:marBottom w:val="0"/>
                  <w:divBdr>
                    <w:top w:val="none" w:sz="0" w:space="0" w:color="auto"/>
                    <w:left w:val="none" w:sz="0" w:space="0" w:color="auto"/>
                    <w:bottom w:val="none" w:sz="0" w:space="0" w:color="auto"/>
                    <w:right w:val="none" w:sz="0" w:space="0" w:color="auto"/>
                  </w:divBdr>
                  <w:divsChild>
                    <w:div w:id="1354918184">
                      <w:marLeft w:val="0"/>
                      <w:marRight w:val="0"/>
                      <w:marTop w:val="0"/>
                      <w:marBottom w:val="0"/>
                      <w:divBdr>
                        <w:top w:val="none" w:sz="0" w:space="0" w:color="auto"/>
                        <w:left w:val="none" w:sz="0" w:space="0" w:color="auto"/>
                        <w:bottom w:val="none" w:sz="0" w:space="0" w:color="auto"/>
                        <w:right w:val="none" w:sz="0" w:space="0" w:color="auto"/>
                      </w:divBdr>
                    </w:div>
                  </w:divsChild>
                </w:div>
                <w:div w:id="1508785215">
                  <w:marLeft w:val="0"/>
                  <w:marRight w:val="0"/>
                  <w:marTop w:val="0"/>
                  <w:marBottom w:val="0"/>
                  <w:divBdr>
                    <w:top w:val="none" w:sz="0" w:space="0" w:color="auto"/>
                    <w:left w:val="none" w:sz="0" w:space="0" w:color="auto"/>
                    <w:bottom w:val="none" w:sz="0" w:space="0" w:color="auto"/>
                    <w:right w:val="none" w:sz="0" w:space="0" w:color="auto"/>
                  </w:divBdr>
                  <w:divsChild>
                    <w:div w:id="303971184">
                      <w:marLeft w:val="0"/>
                      <w:marRight w:val="0"/>
                      <w:marTop w:val="0"/>
                      <w:marBottom w:val="0"/>
                      <w:divBdr>
                        <w:top w:val="none" w:sz="0" w:space="0" w:color="auto"/>
                        <w:left w:val="none" w:sz="0" w:space="0" w:color="auto"/>
                        <w:bottom w:val="none" w:sz="0" w:space="0" w:color="auto"/>
                        <w:right w:val="none" w:sz="0" w:space="0" w:color="auto"/>
                      </w:divBdr>
                    </w:div>
                  </w:divsChild>
                </w:div>
                <w:div w:id="1562249541">
                  <w:marLeft w:val="0"/>
                  <w:marRight w:val="0"/>
                  <w:marTop w:val="0"/>
                  <w:marBottom w:val="0"/>
                  <w:divBdr>
                    <w:top w:val="none" w:sz="0" w:space="0" w:color="auto"/>
                    <w:left w:val="none" w:sz="0" w:space="0" w:color="auto"/>
                    <w:bottom w:val="none" w:sz="0" w:space="0" w:color="auto"/>
                    <w:right w:val="none" w:sz="0" w:space="0" w:color="auto"/>
                  </w:divBdr>
                  <w:divsChild>
                    <w:div w:id="686447264">
                      <w:marLeft w:val="0"/>
                      <w:marRight w:val="0"/>
                      <w:marTop w:val="0"/>
                      <w:marBottom w:val="0"/>
                      <w:divBdr>
                        <w:top w:val="none" w:sz="0" w:space="0" w:color="auto"/>
                        <w:left w:val="none" w:sz="0" w:space="0" w:color="auto"/>
                        <w:bottom w:val="none" w:sz="0" w:space="0" w:color="auto"/>
                        <w:right w:val="none" w:sz="0" w:space="0" w:color="auto"/>
                      </w:divBdr>
                    </w:div>
                    <w:div w:id="1418747421">
                      <w:marLeft w:val="0"/>
                      <w:marRight w:val="0"/>
                      <w:marTop w:val="0"/>
                      <w:marBottom w:val="0"/>
                      <w:divBdr>
                        <w:top w:val="none" w:sz="0" w:space="0" w:color="auto"/>
                        <w:left w:val="none" w:sz="0" w:space="0" w:color="auto"/>
                        <w:bottom w:val="none" w:sz="0" w:space="0" w:color="auto"/>
                        <w:right w:val="none" w:sz="0" w:space="0" w:color="auto"/>
                      </w:divBdr>
                    </w:div>
                  </w:divsChild>
                </w:div>
                <w:div w:id="1593003658">
                  <w:marLeft w:val="0"/>
                  <w:marRight w:val="0"/>
                  <w:marTop w:val="0"/>
                  <w:marBottom w:val="0"/>
                  <w:divBdr>
                    <w:top w:val="none" w:sz="0" w:space="0" w:color="auto"/>
                    <w:left w:val="none" w:sz="0" w:space="0" w:color="auto"/>
                    <w:bottom w:val="none" w:sz="0" w:space="0" w:color="auto"/>
                    <w:right w:val="none" w:sz="0" w:space="0" w:color="auto"/>
                  </w:divBdr>
                  <w:divsChild>
                    <w:div w:id="1911040492">
                      <w:marLeft w:val="0"/>
                      <w:marRight w:val="0"/>
                      <w:marTop w:val="0"/>
                      <w:marBottom w:val="0"/>
                      <w:divBdr>
                        <w:top w:val="none" w:sz="0" w:space="0" w:color="auto"/>
                        <w:left w:val="none" w:sz="0" w:space="0" w:color="auto"/>
                        <w:bottom w:val="none" w:sz="0" w:space="0" w:color="auto"/>
                        <w:right w:val="none" w:sz="0" w:space="0" w:color="auto"/>
                      </w:divBdr>
                    </w:div>
                  </w:divsChild>
                </w:div>
                <w:div w:id="1687367759">
                  <w:marLeft w:val="0"/>
                  <w:marRight w:val="0"/>
                  <w:marTop w:val="0"/>
                  <w:marBottom w:val="0"/>
                  <w:divBdr>
                    <w:top w:val="none" w:sz="0" w:space="0" w:color="auto"/>
                    <w:left w:val="none" w:sz="0" w:space="0" w:color="auto"/>
                    <w:bottom w:val="none" w:sz="0" w:space="0" w:color="auto"/>
                    <w:right w:val="none" w:sz="0" w:space="0" w:color="auto"/>
                  </w:divBdr>
                  <w:divsChild>
                    <w:div w:id="1654673259">
                      <w:marLeft w:val="0"/>
                      <w:marRight w:val="0"/>
                      <w:marTop w:val="0"/>
                      <w:marBottom w:val="0"/>
                      <w:divBdr>
                        <w:top w:val="none" w:sz="0" w:space="0" w:color="auto"/>
                        <w:left w:val="none" w:sz="0" w:space="0" w:color="auto"/>
                        <w:bottom w:val="none" w:sz="0" w:space="0" w:color="auto"/>
                        <w:right w:val="none" w:sz="0" w:space="0" w:color="auto"/>
                      </w:divBdr>
                    </w:div>
                  </w:divsChild>
                </w:div>
                <w:div w:id="1716663904">
                  <w:marLeft w:val="0"/>
                  <w:marRight w:val="0"/>
                  <w:marTop w:val="0"/>
                  <w:marBottom w:val="0"/>
                  <w:divBdr>
                    <w:top w:val="none" w:sz="0" w:space="0" w:color="auto"/>
                    <w:left w:val="none" w:sz="0" w:space="0" w:color="auto"/>
                    <w:bottom w:val="none" w:sz="0" w:space="0" w:color="auto"/>
                    <w:right w:val="none" w:sz="0" w:space="0" w:color="auto"/>
                  </w:divBdr>
                  <w:divsChild>
                    <w:div w:id="1970281063">
                      <w:marLeft w:val="0"/>
                      <w:marRight w:val="0"/>
                      <w:marTop w:val="0"/>
                      <w:marBottom w:val="0"/>
                      <w:divBdr>
                        <w:top w:val="none" w:sz="0" w:space="0" w:color="auto"/>
                        <w:left w:val="none" w:sz="0" w:space="0" w:color="auto"/>
                        <w:bottom w:val="none" w:sz="0" w:space="0" w:color="auto"/>
                        <w:right w:val="none" w:sz="0" w:space="0" w:color="auto"/>
                      </w:divBdr>
                    </w:div>
                  </w:divsChild>
                </w:div>
                <w:div w:id="1737630793">
                  <w:marLeft w:val="0"/>
                  <w:marRight w:val="0"/>
                  <w:marTop w:val="0"/>
                  <w:marBottom w:val="0"/>
                  <w:divBdr>
                    <w:top w:val="none" w:sz="0" w:space="0" w:color="auto"/>
                    <w:left w:val="none" w:sz="0" w:space="0" w:color="auto"/>
                    <w:bottom w:val="none" w:sz="0" w:space="0" w:color="auto"/>
                    <w:right w:val="none" w:sz="0" w:space="0" w:color="auto"/>
                  </w:divBdr>
                  <w:divsChild>
                    <w:div w:id="558250754">
                      <w:marLeft w:val="0"/>
                      <w:marRight w:val="0"/>
                      <w:marTop w:val="0"/>
                      <w:marBottom w:val="0"/>
                      <w:divBdr>
                        <w:top w:val="none" w:sz="0" w:space="0" w:color="auto"/>
                        <w:left w:val="none" w:sz="0" w:space="0" w:color="auto"/>
                        <w:bottom w:val="none" w:sz="0" w:space="0" w:color="auto"/>
                        <w:right w:val="none" w:sz="0" w:space="0" w:color="auto"/>
                      </w:divBdr>
                    </w:div>
                    <w:div w:id="1544176495">
                      <w:marLeft w:val="0"/>
                      <w:marRight w:val="0"/>
                      <w:marTop w:val="0"/>
                      <w:marBottom w:val="0"/>
                      <w:divBdr>
                        <w:top w:val="none" w:sz="0" w:space="0" w:color="auto"/>
                        <w:left w:val="none" w:sz="0" w:space="0" w:color="auto"/>
                        <w:bottom w:val="none" w:sz="0" w:space="0" w:color="auto"/>
                        <w:right w:val="none" w:sz="0" w:space="0" w:color="auto"/>
                      </w:divBdr>
                    </w:div>
                  </w:divsChild>
                </w:div>
                <w:div w:id="1758474813">
                  <w:marLeft w:val="0"/>
                  <w:marRight w:val="0"/>
                  <w:marTop w:val="0"/>
                  <w:marBottom w:val="0"/>
                  <w:divBdr>
                    <w:top w:val="none" w:sz="0" w:space="0" w:color="auto"/>
                    <w:left w:val="none" w:sz="0" w:space="0" w:color="auto"/>
                    <w:bottom w:val="none" w:sz="0" w:space="0" w:color="auto"/>
                    <w:right w:val="none" w:sz="0" w:space="0" w:color="auto"/>
                  </w:divBdr>
                  <w:divsChild>
                    <w:div w:id="368724092">
                      <w:marLeft w:val="0"/>
                      <w:marRight w:val="0"/>
                      <w:marTop w:val="0"/>
                      <w:marBottom w:val="0"/>
                      <w:divBdr>
                        <w:top w:val="none" w:sz="0" w:space="0" w:color="auto"/>
                        <w:left w:val="none" w:sz="0" w:space="0" w:color="auto"/>
                        <w:bottom w:val="none" w:sz="0" w:space="0" w:color="auto"/>
                        <w:right w:val="none" w:sz="0" w:space="0" w:color="auto"/>
                      </w:divBdr>
                    </w:div>
                  </w:divsChild>
                </w:div>
                <w:div w:id="1852256208">
                  <w:marLeft w:val="0"/>
                  <w:marRight w:val="0"/>
                  <w:marTop w:val="0"/>
                  <w:marBottom w:val="0"/>
                  <w:divBdr>
                    <w:top w:val="none" w:sz="0" w:space="0" w:color="auto"/>
                    <w:left w:val="none" w:sz="0" w:space="0" w:color="auto"/>
                    <w:bottom w:val="none" w:sz="0" w:space="0" w:color="auto"/>
                    <w:right w:val="none" w:sz="0" w:space="0" w:color="auto"/>
                  </w:divBdr>
                  <w:divsChild>
                    <w:div w:id="1027098965">
                      <w:marLeft w:val="0"/>
                      <w:marRight w:val="0"/>
                      <w:marTop w:val="0"/>
                      <w:marBottom w:val="0"/>
                      <w:divBdr>
                        <w:top w:val="none" w:sz="0" w:space="0" w:color="auto"/>
                        <w:left w:val="none" w:sz="0" w:space="0" w:color="auto"/>
                        <w:bottom w:val="none" w:sz="0" w:space="0" w:color="auto"/>
                        <w:right w:val="none" w:sz="0" w:space="0" w:color="auto"/>
                      </w:divBdr>
                    </w:div>
                  </w:divsChild>
                </w:div>
                <w:div w:id="1916475319">
                  <w:marLeft w:val="0"/>
                  <w:marRight w:val="0"/>
                  <w:marTop w:val="0"/>
                  <w:marBottom w:val="0"/>
                  <w:divBdr>
                    <w:top w:val="none" w:sz="0" w:space="0" w:color="auto"/>
                    <w:left w:val="none" w:sz="0" w:space="0" w:color="auto"/>
                    <w:bottom w:val="none" w:sz="0" w:space="0" w:color="auto"/>
                    <w:right w:val="none" w:sz="0" w:space="0" w:color="auto"/>
                  </w:divBdr>
                  <w:divsChild>
                    <w:div w:id="1730880070">
                      <w:marLeft w:val="0"/>
                      <w:marRight w:val="0"/>
                      <w:marTop w:val="0"/>
                      <w:marBottom w:val="0"/>
                      <w:divBdr>
                        <w:top w:val="none" w:sz="0" w:space="0" w:color="auto"/>
                        <w:left w:val="none" w:sz="0" w:space="0" w:color="auto"/>
                        <w:bottom w:val="none" w:sz="0" w:space="0" w:color="auto"/>
                        <w:right w:val="none" w:sz="0" w:space="0" w:color="auto"/>
                      </w:divBdr>
                    </w:div>
                  </w:divsChild>
                </w:div>
                <w:div w:id="1928226737">
                  <w:marLeft w:val="0"/>
                  <w:marRight w:val="0"/>
                  <w:marTop w:val="0"/>
                  <w:marBottom w:val="0"/>
                  <w:divBdr>
                    <w:top w:val="none" w:sz="0" w:space="0" w:color="auto"/>
                    <w:left w:val="none" w:sz="0" w:space="0" w:color="auto"/>
                    <w:bottom w:val="none" w:sz="0" w:space="0" w:color="auto"/>
                    <w:right w:val="none" w:sz="0" w:space="0" w:color="auto"/>
                  </w:divBdr>
                  <w:divsChild>
                    <w:div w:id="1515611693">
                      <w:marLeft w:val="0"/>
                      <w:marRight w:val="0"/>
                      <w:marTop w:val="0"/>
                      <w:marBottom w:val="0"/>
                      <w:divBdr>
                        <w:top w:val="none" w:sz="0" w:space="0" w:color="auto"/>
                        <w:left w:val="none" w:sz="0" w:space="0" w:color="auto"/>
                        <w:bottom w:val="none" w:sz="0" w:space="0" w:color="auto"/>
                        <w:right w:val="none" w:sz="0" w:space="0" w:color="auto"/>
                      </w:divBdr>
                    </w:div>
                  </w:divsChild>
                </w:div>
                <w:div w:id="1996452644">
                  <w:marLeft w:val="0"/>
                  <w:marRight w:val="0"/>
                  <w:marTop w:val="0"/>
                  <w:marBottom w:val="0"/>
                  <w:divBdr>
                    <w:top w:val="none" w:sz="0" w:space="0" w:color="auto"/>
                    <w:left w:val="none" w:sz="0" w:space="0" w:color="auto"/>
                    <w:bottom w:val="none" w:sz="0" w:space="0" w:color="auto"/>
                    <w:right w:val="none" w:sz="0" w:space="0" w:color="auto"/>
                  </w:divBdr>
                  <w:divsChild>
                    <w:div w:id="150756206">
                      <w:marLeft w:val="0"/>
                      <w:marRight w:val="0"/>
                      <w:marTop w:val="0"/>
                      <w:marBottom w:val="0"/>
                      <w:divBdr>
                        <w:top w:val="none" w:sz="0" w:space="0" w:color="auto"/>
                        <w:left w:val="none" w:sz="0" w:space="0" w:color="auto"/>
                        <w:bottom w:val="none" w:sz="0" w:space="0" w:color="auto"/>
                        <w:right w:val="none" w:sz="0" w:space="0" w:color="auto"/>
                      </w:divBdr>
                    </w:div>
                    <w:div w:id="635768212">
                      <w:marLeft w:val="0"/>
                      <w:marRight w:val="0"/>
                      <w:marTop w:val="0"/>
                      <w:marBottom w:val="0"/>
                      <w:divBdr>
                        <w:top w:val="none" w:sz="0" w:space="0" w:color="auto"/>
                        <w:left w:val="none" w:sz="0" w:space="0" w:color="auto"/>
                        <w:bottom w:val="none" w:sz="0" w:space="0" w:color="auto"/>
                        <w:right w:val="none" w:sz="0" w:space="0" w:color="auto"/>
                      </w:divBdr>
                    </w:div>
                  </w:divsChild>
                </w:div>
                <w:div w:id="2014142533">
                  <w:marLeft w:val="0"/>
                  <w:marRight w:val="0"/>
                  <w:marTop w:val="0"/>
                  <w:marBottom w:val="0"/>
                  <w:divBdr>
                    <w:top w:val="none" w:sz="0" w:space="0" w:color="auto"/>
                    <w:left w:val="none" w:sz="0" w:space="0" w:color="auto"/>
                    <w:bottom w:val="none" w:sz="0" w:space="0" w:color="auto"/>
                    <w:right w:val="none" w:sz="0" w:space="0" w:color="auto"/>
                  </w:divBdr>
                  <w:divsChild>
                    <w:div w:id="1683894919">
                      <w:marLeft w:val="0"/>
                      <w:marRight w:val="0"/>
                      <w:marTop w:val="0"/>
                      <w:marBottom w:val="0"/>
                      <w:divBdr>
                        <w:top w:val="none" w:sz="0" w:space="0" w:color="auto"/>
                        <w:left w:val="none" w:sz="0" w:space="0" w:color="auto"/>
                        <w:bottom w:val="none" w:sz="0" w:space="0" w:color="auto"/>
                        <w:right w:val="none" w:sz="0" w:space="0" w:color="auto"/>
                      </w:divBdr>
                    </w:div>
                  </w:divsChild>
                </w:div>
                <w:div w:id="2024548778">
                  <w:marLeft w:val="0"/>
                  <w:marRight w:val="0"/>
                  <w:marTop w:val="0"/>
                  <w:marBottom w:val="0"/>
                  <w:divBdr>
                    <w:top w:val="none" w:sz="0" w:space="0" w:color="auto"/>
                    <w:left w:val="none" w:sz="0" w:space="0" w:color="auto"/>
                    <w:bottom w:val="none" w:sz="0" w:space="0" w:color="auto"/>
                    <w:right w:val="none" w:sz="0" w:space="0" w:color="auto"/>
                  </w:divBdr>
                  <w:divsChild>
                    <w:div w:id="1830169259">
                      <w:marLeft w:val="0"/>
                      <w:marRight w:val="0"/>
                      <w:marTop w:val="0"/>
                      <w:marBottom w:val="0"/>
                      <w:divBdr>
                        <w:top w:val="none" w:sz="0" w:space="0" w:color="auto"/>
                        <w:left w:val="none" w:sz="0" w:space="0" w:color="auto"/>
                        <w:bottom w:val="none" w:sz="0" w:space="0" w:color="auto"/>
                        <w:right w:val="none" w:sz="0" w:space="0" w:color="auto"/>
                      </w:divBdr>
                    </w:div>
                  </w:divsChild>
                </w:div>
                <w:div w:id="2082170036">
                  <w:marLeft w:val="0"/>
                  <w:marRight w:val="0"/>
                  <w:marTop w:val="0"/>
                  <w:marBottom w:val="0"/>
                  <w:divBdr>
                    <w:top w:val="none" w:sz="0" w:space="0" w:color="auto"/>
                    <w:left w:val="none" w:sz="0" w:space="0" w:color="auto"/>
                    <w:bottom w:val="none" w:sz="0" w:space="0" w:color="auto"/>
                    <w:right w:val="none" w:sz="0" w:space="0" w:color="auto"/>
                  </w:divBdr>
                  <w:divsChild>
                    <w:div w:id="377167406">
                      <w:marLeft w:val="0"/>
                      <w:marRight w:val="0"/>
                      <w:marTop w:val="0"/>
                      <w:marBottom w:val="0"/>
                      <w:divBdr>
                        <w:top w:val="none" w:sz="0" w:space="0" w:color="auto"/>
                        <w:left w:val="none" w:sz="0" w:space="0" w:color="auto"/>
                        <w:bottom w:val="none" w:sz="0" w:space="0" w:color="auto"/>
                        <w:right w:val="none" w:sz="0" w:space="0" w:color="auto"/>
                      </w:divBdr>
                      <w:divsChild>
                        <w:div w:id="2141801688">
                          <w:marLeft w:val="0"/>
                          <w:marRight w:val="0"/>
                          <w:marTop w:val="0"/>
                          <w:marBottom w:val="0"/>
                          <w:divBdr>
                            <w:top w:val="none" w:sz="0" w:space="0" w:color="auto"/>
                            <w:left w:val="none" w:sz="0" w:space="0" w:color="auto"/>
                            <w:bottom w:val="none" w:sz="0" w:space="0" w:color="auto"/>
                            <w:right w:val="none" w:sz="0" w:space="0" w:color="auto"/>
                          </w:divBdr>
                          <w:divsChild>
                            <w:div w:id="1431007747">
                              <w:marLeft w:val="0"/>
                              <w:marRight w:val="0"/>
                              <w:marTop w:val="0"/>
                              <w:marBottom w:val="0"/>
                              <w:divBdr>
                                <w:top w:val="none" w:sz="0" w:space="0" w:color="auto"/>
                                <w:left w:val="none" w:sz="0" w:space="0" w:color="auto"/>
                                <w:bottom w:val="none" w:sz="0" w:space="0" w:color="auto"/>
                                <w:right w:val="none" w:sz="0" w:space="0" w:color="auto"/>
                              </w:divBdr>
                              <w:divsChild>
                                <w:div w:id="342707588">
                                  <w:marLeft w:val="0"/>
                                  <w:marRight w:val="0"/>
                                  <w:marTop w:val="0"/>
                                  <w:marBottom w:val="0"/>
                                  <w:divBdr>
                                    <w:top w:val="none" w:sz="0" w:space="0" w:color="auto"/>
                                    <w:left w:val="none" w:sz="0" w:space="0" w:color="auto"/>
                                    <w:bottom w:val="none" w:sz="0" w:space="0" w:color="auto"/>
                                    <w:right w:val="none" w:sz="0" w:space="0" w:color="auto"/>
                                  </w:divBdr>
                                  <w:divsChild>
                                    <w:div w:id="1657685848">
                                      <w:marLeft w:val="0"/>
                                      <w:marRight w:val="0"/>
                                      <w:marTop w:val="0"/>
                                      <w:marBottom w:val="0"/>
                                      <w:divBdr>
                                        <w:top w:val="none" w:sz="0" w:space="0" w:color="auto"/>
                                        <w:left w:val="none" w:sz="0" w:space="0" w:color="auto"/>
                                        <w:bottom w:val="none" w:sz="0" w:space="0" w:color="auto"/>
                                        <w:right w:val="none" w:sz="0" w:space="0" w:color="auto"/>
                                      </w:divBdr>
                                    </w:div>
                                    <w:div w:id="16858607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124626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8923615">
          <w:marLeft w:val="0"/>
          <w:marRight w:val="0"/>
          <w:marTop w:val="0"/>
          <w:marBottom w:val="0"/>
          <w:divBdr>
            <w:top w:val="none" w:sz="0" w:space="0" w:color="auto"/>
            <w:left w:val="none" w:sz="0" w:space="0" w:color="auto"/>
            <w:bottom w:val="none" w:sz="0" w:space="0" w:color="auto"/>
            <w:right w:val="none" w:sz="0" w:space="0" w:color="auto"/>
          </w:divBdr>
        </w:div>
        <w:div w:id="1414207975">
          <w:marLeft w:val="0"/>
          <w:marRight w:val="0"/>
          <w:marTop w:val="0"/>
          <w:marBottom w:val="0"/>
          <w:divBdr>
            <w:top w:val="none" w:sz="0" w:space="0" w:color="auto"/>
            <w:left w:val="none" w:sz="0" w:space="0" w:color="auto"/>
            <w:bottom w:val="none" w:sz="0" w:space="0" w:color="auto"/>
            <w:right w:val="none" w:sz="0" w:space="0" w:color="auto"/>
          </w:divBdr>
        </w:div>
        <w:div w:id="1436830249">
          <w:marLeft w:val="0"/>
          <w:marRight w:val="0"/>
          <w:marTop w:val="0"/>
          <w:marBottom w:val="0"/>
          <w:divBdr>
            <w:top w:val="none" w:sz="0" w:space="0" w:color="auto"/>
            <w:left w:val="none" w:sz="0" w:space="0" w:color="auto"/>
            <w:bottom w:val="none" w:sz="0" w:space="0" w:color="auto"/>
            <w:right w:val="none" w:sz="0" w:space="0" w:color="auto"/>
          </w:divBdr>
        </w:div>
        <w:div w:id="1462964092">
          <w:marLeft w:val="0"/>
          <w:marRight w:val="0"/>
          <w:marTop w:val="0"/>
          <w:marBottom w:val="0"/>
          <w:divBdr>
            <w:top w:val="none" w:sz="0" w:space="0" w:color="auto"/>
            <w:left w:val="none" w:sz="0" w:space="0" w:color="auto"/>
            <w:bottom w:val="none" w:sz="0" w:space="0" w:color="auto"/>
            <w:right w:val="none" w:sz="0" w:space="0" w:color="auto"/>
          </w:divBdr>
          <w:divsChild>
            <w:div w:id="9645734">
              <w:marLeft w:val="0"/>
              <w:marRight w:val="0"/>
              <w:marTop w:val="0"/>
              <w:marBottom w:val="0"/>
              <w:divBdr>
                <w:top w:val="none" w:sz="0" w:space="0" w:color="auto"/>
                <w:left w:val="none" w:sz="0" w:space="0" w:color="auto"/>
                <w:bottom w:val="none" w:sz="0" w:space="0" w:color="auto"/>
                <w:right w:val="none" w:sz="0" w:space="0" w:color="auto"/>
              </w:divBdr>
            </w:div>
            <w:div w:id="138351138">
              <w:marLeft w:val="0"/>
              <w:marRight w:val="0"/>
              <w:marTop w:val="0"/>
              <w:marBottom w:val="0"/>
              <w:divBdr>
                <w:top w:val="none" w:sz="0" w:space="0" w:color="auto"/>
                <w:left w:val="none" w:sz="0" w:space="0" w:color="auto"/>
                <w:bottom w:val="none" w:sz="0" w:space="0" w:color="auto"/>
                <w:right w:val="none" w:sz="0" w:space="0" w:color="auto"/>
              </w:divBdr>
            </w:div>
            <w:div w:id="314378733">
              <w:marLeft w:val="0"/>
              <w:marRight w:val="0"/>
              <w:marTop w:val="0"/>
              <w:marBottom w:val="0"/>
              <w:divBdr>
                <w:top w:val="none" w:sz="0" w:space="0" w:color="auto"/>
                <w:left w:val="none" w:sz="0" w:space="0" w:color="auto"/>
                <w:bottom w:val="none" w:sz="0" w:space="0" w:color="auto"/>
                <w:right w:val="none" w:sz="0" w:space="0" w:color="auto"/>
              </w:divBdr>
            </w:div>
            <w:div w:id="1066680762">
              <w:marLeft w:val="0"/>
              <w:marRight w:val="0"/>
              <w:marTop w:val="0"/>
              <w:marBottom w:val="0"/>
              <w:divBdr>
                <w:top w:val="none" w:sz="0" w:space="0" w:color="auto"/>
                <w:left w:val="none" w:sz="0" w:space="0" w:color="auto"/>
                <w:bottom w:val="none" w:sz="0" w:space="0" w:color="auto"/>
                <w:right w:val="none" w:sz="0" w:space="0" w:color="auto"/>
              </w:divBdr>
            </w:div>
          </w:divsChild>
        </w:div>
        <w:div w:id="1467746810">
          <w:marLeft w:val="0"/>
          <w:marRight w:val="0"/>
          <w:marTop w:val="0"/>
          <w:marBottom w:val="0"/>
          <w:divBdr>
            <w:top w:val="none" w:sz="0" w:space="0" w:color="auto"/>
            <w:left w:val="none" w:sz="0" w:space="0" w:color="auto"/>
            <w:bottom w:val="none" w:sz="0" w:space="0" w:color="auto"/>
            <w:right w:val="none" w:sz="0" w:space="0" w:color="auto"/>
          </w:divBdr>
        </w:div>
        <w:div w:id="1509712075">
          <w:marLeft w:val="0"/>
          <w:marRight w:val="0"/>
          <w:marTop w:val="0"/>
          <w:marBottom w:val="0"/>
          <w:divBdr>
            <w:top w:val="none" w:sz="0" w:space="0" w:color="auto"/>
            <w:left w:val="none" w:sz="0" w:space="0" w:color="auto"/>
            <w:bottom w:val="none" w:sz="0" w:space="0" w:color="auto"/>
            <w:right w:val="none" w:sz="0" w:space="0" w:color="auto"/>
          </w:divBdr>
          <w:divsChild>
            <w:div w:id="764421712">
              <w:marLeft w:val="0"/>
              <w:marRight w:val="0"/>
              <w:marTop w:val="0"/>
              <w:marBottom w:val="0"/>
              <w:divBdr>
                <w:top w:val="none" w:sz="0" w:space="0" w:color="auto"/>
                <w:left w:val="none" w:sz="0" w:space="0" w:color="auto"/>
                <w:bottom w:val="none" w:sz="0" w:space="0" w:color="auto"/>
                <w:right w:val="none" w:sz="0" w:space="0" w:color="auto"/>
              </w:divBdr>
            </w:div>
            <w:div w:id="1512450023">
              <w:marLeft w:val="0"/>
              <w:marRight w:val="0"/>
              <w:marTop w:val="0"/>
              <w:marBottom w:val="0"/>
              <w:divBdr>
                <w:top w:val="none" w:sz="0" w:space="0" w:color="auto"/>
                <w:left w:val="none" w:sz="0" w:space="0" w:color="auto"/>
                <w:bottom w:val="none" w:sz="0" w:space="0" w:color="auto"/>
                <w:right w:val="none" w:sz="0" w:space="0" w:color="auto"/>
              </w:divBdr>
            </w:div>
            <w:div w:id="1894926064">
              <w:marLeft w:val="0"/>
              <w:marRight w:val="0"/>
              <w:marTop w:val="0"/>
              <w:marBottom w:val="0"/>
              <w:divBdr>
                <w:top w:val="none" w:sz="0" w:space="0" w:color="auto"/>
                <w:left w:val="none" w:sz="0" w:space="0" w:color="auto"/>
                <w:bottom w:val="none" w:sz="0" w:space="0" w:color="auto"/>
                <w:right w:val="none" w:sz="0" w:space="0" w:color="auto"/>
              </w:divBdr>
            </w:div>
            <w:div w:id="1963072474">
              <w:marLeft w:val="0"/>
              <w:marRight w:val="0"/>
              <w:marTop w:val="0"/>
              <w:marBottom w:val="0"/>
              <w:divBdr>
                <w:top w:val="none" w:sz="0" w:space="0" w:color="auto"/>
                <w:left w:val="none" w:sz="0" w:space="0" w:color="auto"/>
                <w:bottom w:val="none" w:sz="0" w:space="0" w:color="auto"/>
                <w:right w:val="none" w:sz="0" w:space="0" w:color="auto"/>
              </w:divBdr>
            </w:div>
            <w:div w:id="1972395673">
              <w:marLeft w:val="0"/>
              <w:marRight w:val="0"/>
              <w:marTop w:val="0"/>
              <w:marBottom w:val="0"/>
              <w:divBdr>
                <w:top w:val="none" w:sz="0" w:space="0" w:color="auto"/>
                <w:left w:val="none" w:sz="0" w:space="0" w:color="auto"/>
                <w:bottom w:val="none" w:sz="0" w:space="0" w:color="auto"/>
                <w:right w:val="none" w:sz="0" w:space="0" w:color="auto"/>
              </w:divBdr>
            </w:div>
          </w:divsChild>
        </w:div>
        <w:div w:id="1548757921">
          <w:marLeft w:val="0"/>
          <w:marRight w:val="0"/>
          <w:marTop w:val="0"/>
          <w:marBottom w:val="0"/>
          <w:divBdr>
            <w:top w:val="none" w:sz="0" w:space="0" w:color="auto"/>
            <w:left w:val="none" w:sz="0" w:space="0" w:color="auto"/>
            <w:bottom w:val="none" w:sz="0" w:space="0" w:color="auto"/>
            <w:right w:val="none" w:sz="0" w:space="0" w:color="auto"/>
          </w:divBdr>
        </w:div>
        <w:div w:id="1575625849">
          <w:marLeft w:val="0"/>
          <w:marRight w:val="0"/>
          <w:marTop w:val="0"/>
          <w:marBottom w:val="0"/>
          <w:divBdr>
            <w:top w:val="none" w:sz="0" w:space="0" w:color="auto"/>
            <w:left w:val="none" w:sz="0" w:space="0" w:color="auto"/>
            <w:bottom w:val="none" w:sz="0" w:space="0" w:color="auto"/>
            <w:right w:val="none" w:sz="0" w:space="0" w:color="auto"/>
          </w:divBdr>
        </w:div>
        <w:div w:id="1596934852">
          <w:marLeft w:val="0"/>
          <w:marRight w:val="0"/>
          <w:marTop w:val="0"/>
          <w:marBottom w:val="0"/>
          <w:divBdr>
            <w:top w:val="none" w:sz="0" w:space="0" w:color="auto"/>
            <w:left w:val="none" w:sz="0" w:space="0" w:color="auto"/>
            <w:bottom w:val="none" w:sz="0" w:space="0" w:color="auto"/>
            <w:right w:val="none" w:sz="0" w:space="0" w:color="auto"/>
          </w:divBdr>
          <w:divsChild>
            <w:div w:id="125200042">
              <w:marLeft w:val="0"/>
              <w:marRight w:val="0"/>
              <w:marTop w:val="0"/>
              <w:marBottom w:val="0"/>
              <w:divBdr>
                <w:top w:val="none" w:sz="0" w:space="0" w:color="auto"/>
                <w:left w:val="none" w:sz="0" w:space="0" w:color="auto"/>
                <w:bottom w:val="none" w:sz="0" w:space="0" w:color="auto"/>
                <w:right w:val="none" w:sz="0" w:space="0" w:color="auto"/>
              </w:divBdr>
            </w:div>
            <w:div w:id="244415761">
              <w:marLeft w:val="0"/>
              <w:marRight w:val="0"/>
              <w:marTop w:val="0"/>
              <w:marBottom w:val="0"/>
              <w:divBdr>
                <w:top w:val="none" w:sz="0" w:space="0" w:color="auto"/>
                <w:left w:val="none" w:sz="0" w:space="0" w:color="auto"/>
                <w:bottom w:val="none" w:sz="0" w:space="0" w:color="auto"/>
                <w:right w:val="none" w:sz="0" w:space="0" w:color="auto"/>
              </w:divBdr>
            </w:div>
            <w:div w:id="723986166">
              <w:marLeft w:val="0"/>
              <w:marRight w:val="0"/>
              <w:marTop w:val="0"/>
              <w:marBottom w:val="0"/>
              <w:divBdr>
                <w:top w:val="none" w:sz="0" w:space="0" w:color="auto"/>
                <w:left w:val="none" w:sz="0" w:space="0" w:color="auto"/>
                <w:bottom w:val="none" w:sz="0" w:space="0" w:color="auto"/>
                <w:right w:val="none" w:sz="0" w:space="0" w:color="auto"/>
              </w:divBdr>
            </w:div>
            <w:div w:id="947005817">
              <w:marLeft w:val="0"/>
              <w:marRight w:val="0"/>
              <w:marTop w:val="0"/>
              <w:marBottom w:val="0"/>
              <w:divBdr>
                <w:top w:val="none" w:sz="0" w:space="0" w:color="auto"/>
                <w:left w:val="none" w:sz="0" w:space="0" w:color="auto"/>
                <w:bottom w:val="none" w:sz="0" w:space="0" w:color="auto"/>
                <w:right w:val="none" w:sz="0" w:space="0" w:color="auto"/>
              </w:divBdr>
            </w:div>
            <w:div w:id="1183933166">
              <w:marLeft w:val="0"/>
              <w:marRight w:val="0"/>
              <w:marTop w:val="0"/>
              <w:marBottom w:val="0"/>
              <w:divBdr>
                <w:top w:val="none" w:sz="0" w:space="0" w:color="auto"/>
                <w:left w:val="none" w:sz="0" w:space="0" w:color="auto"/>
                <w:bottom w:val="none" w:sz="0" w:space="0" w:color="auto"/>
                <w:right w:val="none" w:sz="0" w:space="0" w:color="auto"/>
              </w:divBdr>
            </w:div>
          </w:divsChild>
        </w:div>
        <w:div w:id="1627345224">
          <w:marLeft w:val="0"/>
          <w:marRight w:val="0"/>
          <w:marTop w:val="0"/>
          <w:marBottom w:val="0"/>
          <w:divBdr>
            <w:top w:val="none" w:sz="0" w:space="0" w:color="auto"/>
            <w:left w:val="none" w:sz="0" w:space="0" w:color="auto"/>
            <w:bottom w:val="none" w:sz="0" w:space="0" w:color="auto"/>
            <w:right w:val="none" w:sz="0" w:space="0" w:color="auto"/>
          </w:divBdr>
        </w:div>
        <w:div w:id="1647471661">
          <w:marLeft w:val="0"/>
          <w:marRight w:val="0"/>
          <w:marTop w:val="0"/>
          <w:marBottom w:val="0"/>
          <w:divBdr>
            <w:top w:val="none" w:sz="0" w:space="0" w:color="auto"/>
            <w:left w:val="none" w:sz="0" w:space="0" w:color="auto"/>
            <w:bottom w:val="none" w:sz="0" w:space="0" w:color="auto"/>
            <w:right w:val="none" w:sz="0" w:space="0" w:color="auto"/>
          </w:divBdr>
        </w:div>
        <w:div w:id="1657756992">
          <w:marLeft w:val="0"/>
          <w:marRight w:val="0"/>
          <w:marTop w:val="0"/>
          <w:marBottom w:val="0"/>
          <w:divBdr>
            <w:top w:val="none" w:sz="0" w:space="0" w:color="auto"/>
            <w:left w:val="none" w:sz="0" w:space="0" w:color="auto"/>
            <w:bottom w:val="none" w:sz="0" w:space="0" w:color="auto"/>
            <w:right w:val="none" w:sz="0" w:space="0" w:color="auto"/>
          </w:divBdr>
          <w:divsChild>
            <w:div w:id="36393912">
              <w:marLeft w:val="0"/>
              <w:marRight w:val="0"/>
              <w:marTop w:val="0"/>
              <w:marBottom w:val="0"/>
              <w:divBdr>
                <w:top w:val="none" w:sz="0" w:space="0" w:color="auto"/>
                <w:left w:val="none" w:sz="0" w:space="0" w:color="auto"/>
                <w:bottom w:val="none" w:sz="0" w:space="0" w:color="auto"/>
                <w:right w:val="none" w:sz="0" w:space="0" w:color="auto"/>
              </w:divBdr>
            </w:div>
            <w:div w:id="678313978">
              <w:marLeft w:val="0"/>
              <w:marRight w:val="0"/>
              <w:marTop w:val="0"/>
              <w:marBottom w:val="0"/>
              <w:divBdr>
                <w:top w:val="none" w:sz="0" w:space="0" w:color="auto"/>
                <w:left w:val="none" w:sz="0" w:space="0" w:color="auto"/>
                <w:bottom w:val="none" w:sz="0" w:space="0" w:color="auto"/>
                <w:right w:val="none" w:sz="0" w:space="0" w:color="auto"/>
              </w:divBdr>
            </w:div>
            <w:div w:id="1217620914">
              <w:marLeft w:val="0"/>
              <w:marRight w:val="0"/>
              <w:marTop w:val="0"/>
              <w:marBottom w:val="0"/>
              <w:divBdr>
                <w:top w:val="none" w:sz="0" w:space="0" w:color="auto"/>
                <w:left w:val="none" w:sz="0" w:space="0" w:color="auto"/>
                <w:bottom w:val="none" w:sz="0" w:space="0" w:color="auto"/>
                <w:right w:val="none" w:sz="0" w:space="0" w:color="auto"/>
              </w:divBdr>
            </w:div>
            <w:div w:id="1783574426">
              <w:marLeft w:val="0"/>
              <w:marRight w:val="0"/>
              <w:marTop w:val="0"/>
              <w:marBottom w:val="0"/>
              <w:divBdr>
                <w:top w:val="none" w:sz="0" w:space="0" w:color="auto"/>
                <w:left w:val="none" w:sz="0" w:space="0" w:color="auto"/>
                <w:bottom w:val="none" w:sz="0" w:space="0" w:color="auto"/>
                <w:right w:val="none" w:sz="0" w:space="0" w:color="auto"/>
              </w:divBdr>
            </w:div>
            <w:div w:id="2006546196">
              <w:marLeft w:val="0"/>
              <w:marRight w:val="0"/>
              <w:marTop w:val="0"/>
              <w:marBottom w:val="0"/>
              <w:divBdr>
                <w:top w:val="none" w:sz="0" w:space="0" w:color="auto"/>
                <w:left w:val="none" w:sz="0" w:space="0" w:color="auto"/>
                <w:bottom w:val="none" w:sz="0" w:space="0" w:color="auto"/>
                <w:right w:val="none" w:sz="0" w:space="0" w:color="auto"/>
              </w:divBdr>
            </w:div>
          </w:divsChild>
        </w:div>
        <w:div w:id="1675038017">
          <w:marLeft w:val="0"/>
          <w:marRight w:val="0"/>
          <w:marTop w:val="0"/>
          <w:marBottom w:val="0"/>
          <w:divBdr>
            <w:top w:val="none" w:sz="0" w:space="0" w:color="auto"/>
            <w:left w:val="none" w:sz="0" w:space="0" w:color="auto"/>
            <w:bottom w:val="none" w:sz="0" w:space="0" w:color="auto"/>
            <w:right w:val="none" w:sz="0" w:space="0" w:color="auto"/>
          </w:divBdr>
          <w:divsChild>
            <w:div w:id="327632255">
              <w:marLeft w:val="0"/>
              <w:marRight w:val="0"/>
              <w:marTop w:val="0"/>
              <w:marBottom w:val="0"/>
              <w:divBdr>
                <w:top w:val="none" w:sz="0" w:space="0" w:color="auto"/>
                <w:left w:val="none" w:sz="0" w:space="0" w:color="auto"/>
                <w:bottom w:val="none" w:sz="0" w:space="0" w:color="auto"/>
                <w:right w:val="none" w:sz="0" w:space="0" w:color="auto"/>
              </w:divBdr>
            </w:div>
            <w:div w:id="903611486">
              <w:marLeft w:val="0"/>
              <w:marRight w:val="0"/>
              <w:marTop w:val="0"/>
              <w:marBottom w:val="0"/>
              <w:divBdr>
                <w:top w:val="none" w:sz="0" w:space="0" w:color="auto"/>
                <w:left w:val="none" w:sz="0" w:space="0" w:color="auto"/>
                <w:bottom w:val="none" w:sz="0" w:space="0" w:color="auto"/>
                <w:right w:val="none" w:sz="0" w:space="0" w:color="auto"/>
              </w:divBdr>
            </w:div>
            <w:div w:id="1041171210">
              <w:marLeft w:val="0"/>
              <w:marRight w:val="0"/>
              <w:marTop w:val="0"/>
              <w:marBottom w:val="0"/>
              <w:divBdr>
                <w:top w:val="none" w:sz="0" w:space="0" w:color="auto"/>
                <w:left w:val="none" w:sz="0" w:space="0" w:color="auto"/>
                <w:bottom w:val="none" w:sz="0" w:space="0" w:color="auto"/>
                <w:right w:val="none" w:sz="0" w:space="0" w:color="auto"/>
              </w:divBdr>
            </w:div>
            <w:div w:id="1793861641">
              <w:marLeft w:val="0"/>
              <w:marRight w:val="0"/>
              <w:marTop w:val="0"/>
              <w:marBottom w:val="0"/>
              <w:divBdr>
                <w:top w:val="none" w:sz="0" w:space="0" w:color="auto"/>
                <w:left w:val="none" w:sz="0" w:space="0" w:color="auto"/>
                <w:bottom w:val="none" w:sz="0" w:space="0" w:color="auto"/>
                <w:right w:val="none" w:sz="0" w:space="0" w:color="auto"/>
              </w:divBdr>
            </w:div>
            <w:div w:id="1824396172">
              <w:marLeft w:val="0"/>
              <w:marRight w:val="0"/>
              <w:marTop w:val="0"/>
              <w:marBottom w:val="0"/>
              <w:divBdr>
                <w:top w:val="none" w:sz="0" w:space="0" w:color="auto"/>
                <w:left w:val="none" w:sz="0" w:space="0" w:color="auto"/>
                <w:bottom w:val="none" w:sz="0" w:space="0" w:color="auto"/>
                <w:right w:val="none" w:sz="0" w:space="0" w:color="auto"/>
              </w:divBdr>
            </w:div>
          </w:divsChild>
        </w:div>
        <w:div w:id="1681199911">
          <w:marLeft w:val="0"/>
          <w:marRight w:val="0"/>
          <w:marTop w:val="0"/>
          <w:marBottom w:val="0"/>
          <w:divBdr>
            <w:top w:val="none" w:sz="0" w:space="0" w:color="auto"/>
            <w:left w:val="none" w:sz="0" w:space="0" w:color="auto"/>
            <w:bottom w:val="none" w:sz="0" w:space="0" w:color="auto"/>
            <w:right w:val="none" w:sz="0" w:space="0" w:color="auto"/>
          </w:divBdr>
        </w:div>
        <w:div w:id="1738477037">
          <w:marLeft w:val="0"/>
          <w:marRight w:val="0"/>
          <w:marTop w:val="0"/>
          <w:marBottom w:val="0"/>
          <w:divBdr>
            <w:top w:val="none" w:sz="0" w:space="0" w:color="auto"/>
            <w:left w:val="none" w:sz="0" w:space="0" w:color="auto"/>
            <w:bottom w:val="none" w:sz="0" w:space="0" w:color="auto"/>
            <w:right w:val="none" w:sz="0" w:space="0" w:color="auto"/>
          </w:divBdr>
          <w:divsChild>
            <w:div w:id="584386146">
              <w:marLeft w:val="-75"/>
              <w:marRight w:val="0"/>
              <w:marTop w:val="30"/>
              <w:marBottom w:val="30"/>
              <w:divBdr>
                <w:top w:val="none" w:sz="0" w:space="0" w:color="auto"/>
                <w:left w:val="none" w:sz="0" w:space="0" w:color="auto"/>
                <w:bottom w:val="none" w:sz="0" w:space="0" w:color="auto"/>
                <w:right w:val="none" w:sz="0" w:space="0" w:color="auto"/>
              </w:divBdr>
              <w:divsChild>
                <w:div w:id="293099788">
                  <w:marLeft w:val="0"/>
                  <w:marRight w:val="0"/>
                  <w:marTop w:val="0"/>
                  <w:marBottom w:val="0"/>
                  <w:divBdr>
                    <w:top w:val="none" w:sz="0" w:space="0" w:color="auto"/>
                    <w:left w:val="none" w:sz="0" w:space="0" w:color="auto"/>
                    <w:bottom w:val="none" w:sz="0" w:space="0" w:color="auto"/>
                    <w:right w:val="none" w:sz="0" w:space="0" w:color="auto"/>
                  </w:divBdr>
                  <w:divsChild>
                    <w:div w:id="787359644">
                      <w:marLeft w:val="0"/>
                      <w:marRight w:val="0"/>
                      <w:marTop w:val="0"/>
                      <w:marBottom w:val="0"/>
                      <w:divBdr>
                        <w:top w:val="none" w:sz="0" w:space="0" w:color="auto"/>
                        <w:left w:val="none" w:sz="0" w:space="0" w:color="auto"/>
                        <w:bottom w:val="none" w:sz="0" w:space="0" w:color="auto"/>
                        <w:right w:val="none" w:sz="0" w:space="0" w:color="auto"/>
                      </w:divBdr>
                    </w:div>
                  </w:divsChild>
                </w:div>
                <w:div w:id="325061342">
                  <w:marLeft w:val="0"/>
                  <w:marRight w:val="0"/>
                  <w:marTop w:val="0"/>
                  <w:marBottom w:val="0"/>
                  <w:divBdr>
                    <w:top w:val="none" w:sz="0" w:space="0" w:color="auto"/>
                    <w:left w:val="none" w:sz="0" w:space="0" w:color="auto"/>
                    <w:bottom w:val="none" w:sz="0" w:space="0" w:color="auto"/>
                    <w:right w:val="none" w:sz="0" w:space="0" w:color="auto"/>
                  </w:divBdr>
                  <w:divsChild>
                    <w:div w:id="701857131">
                      <w:marLeft w:val="0"/>
                      <w:marRight w:val="0"/>
                      <w:marTop w:val="0"/>
                      <w:marBottom w:val="0"/>
                      <w:divBdr>
                        <w:top w:val="none" w:sz="0" w:space="0" w:color="auto"/>
                        <w:left w:val="none" w:sz="0" w:space="0" w:color="auto"/>
                        <w:bottom w:val="none" w:sz="0" w:space="0" w:color="auto"/>
                        <w:right w:val="none" w:sz="0" w:space="0" w:color="auto"/>
                      </w:divBdr>
                    </w:div>
                  </w:divsChild>
                </w:div>
                <w:div w:id="338967914">
                  <w:marLeft w:val="0"/>
                  <w:marRight w:val="0"/>
                  <w:marTop w:val="0"/>
                  <w:marBottom w:val="0"/>
                  <w:divBdr>
                    <w:top w:val="none" w:sz="0" w:space="0" w:color="auto"/>
                    <w:left w:val="none" w:sz="0" w:space="0" w:color="auto"/>
                    <w:bottom w:val="none" w:sz="0" w:space="0" w:color="auto"/>
                    <w:right w:val="none" w:sz="0" w:space="0" w:color="auto"/>
                  </w:divBdr>
                  <w:divsChild>
                    <w:div w:id="1421098586">
                      <w:marLeft w:val="0"/>
                      <w:marRight w:val="0"/>
                      <w:marTop w:val="0"/>
                      <w:marBottom w:val="0"/>
                      <w:divBdr>
                        <w:top w:val="none" w:sz="0" w:space="0" w:color="auto"/>
                        <w:left w:val="none" w:sz="0" w:space="0" w:color="auto"/>
                        <w:bottom w:val="none" w:sz="0" w:space="0" w:color="auto"/>
                        <w:right w:val="none" w:sz="0" w:space="0" w:color="auto"/>
                      </w:divBdr>
                    </w:div>
                  </w:divsChild>
                </w:div>
                <w:div w:id="451481341">
                  <w:marLeft w:val="0"/>
                  <w:marRight w:val="0"/>
                  <w:marTop w:val="0"/>
                  <w:marBottom w:val="0"/>
                  <w:divBdr>
                    <w:top w:val="none" w:sz="0" w:space="0" w:color="auto"/>
                    <w:left w:val="none" w:sz="0" w:space="0" w:color="auto"/>
                    <w:bottom w:val="none" w:sz="0" w:space="0" w:color="auto"/>
                    <w:right w:val="none" w:sz="0" w:space="0" w:color="auto"/>
                  </w:divBdr>
                  <w:divsChild>
                    <w:div w:id="79572669">
                      <w:marLeft w:val="0"/>
                      <w:marRight w:val="0"/>
                      <w:marTop w:val="0"/>
                      <w:marBottom w:val="0"/>
                      <w:divBdr>
                        <w:top w:val="none" w:sz="0" w:space="0" w:color="auto"/>
                        <w:left w:val="none" w:sz="0" w:space="0" w:color="auto"/>
                        <w:bottom w:val="none" w:sz="0" w:space="0" w:color="auto"/>
                        <w:right w:val="none" w:sz="0" w:space="0" w:color="auto"/>
                      </w:divBdr>
                    </w:div>
                  </w:divsChild>
                </w:div>
                <w:div w:id="474764863">
                  <w:marLeft w:val="0"/>
                  <w:marRight w:val="0"/>
                  <w:marTop w:val="0"/>
                  <w:marBottom w:val="0"/>
                  <w:divBdr>
                    <w:top w:val="none" w:sz="0" w:space="0" w:color="auto"/>
                    <w:left w:val="none" w:sz="0" w:space="0" w:color="auto"/>
                    <w:bottom w:val="none" w:sz="0" w:space="0" w:color="auto"/>
                    <w:right w:val="none" w:sz="0" w:space="0" w:color="auto"/>
                  </w:divBdr>
                  <w:divsChild>
                    <w:div w:id="770318022">
                      <w:marLeft w:val="0"/>
                      <w:marRight w:val="0"/>
                      <w:marTop w:val="0"/>
                      <w:marBottom w:val="0"/>
                      <w:divBdr>
                        <w:top w:val="none" w:sz="0" w:space="0" w:color="auto"/>
                        <w:left w:val="none" w:sz="0" w:space="0" w:color="auto"/>
                        <w:bottom w:val="none" w:sz="0" w:space="0" w:color="auto"/>
                        <w:right w:val="none" w:sz="0" w:space="0" w:color="auto"/>
                      </w:divBdr>
                    </w:div>
                  </w:divsChild>
                </w:div>
                <w:div w:id="510216554">
                  <w:marLeft w:val="0"/>
                  <w:marRight w:val="0"/>
                  <w:marTop w:val="0"/>
                  <w:marBottom w:val="0"/>
                  <w:divBdr>
                    <w:top w:val="none" w:sz="0" w:space="0" w:color="auto"/>
                    <w:left w:val="none" w:sz="0" w:space="0" w:color="auto"/>
                    <w:bottom w:val="none" w:sz="0" w:space="0" w:color="auto"/>
                    <w:right w:val="none" w:sz="0" w:space="0" w:color="auto"/>
                  </w:divBdr>
                  <w:divsChild>
                    <w:div w:id="49967082">
                      <w:marLeft w:val="0"/>
                      <w:marRight w:val="0"/>
                      <w:marTop w:val="0"/>
                      <w:marBottom w:val="0"/>
                      <w:divBdr>
                        <w:top w:val="none" w:sz="0" w:space="0" w:color="auto"/>
                        <w:left w:val="none" w:sz="0" w:space="0" w:color="auto"/>
                        <w:bottom w:val="none" w:sz="0" w:space="0" w:color="auto"/>
                        <w:right w:val="none" w:sz="0" w:space="0" w:color="auto"/>
                      </w:divBdr>
                    </w:div>
                  </w:divsChild>
                </w:div>
                <w:div w:id="595209594">
                  <w:marLeft w:val="0"/>
                  <w:marRight w:val="0"/>
                  <w:marTop w:val="0"/>
                  <w:marBottom w:val="0"/>
                  <w:divBdr>
                    <w:top w:val="none" w:sz="0" w:space="0" w:color="auto"/>
                    <w:left w:val="none" w:sz="0" w:space="0" w:color="auto"/>
                    <w:bottom w:val="none" w:sz="0" w:space="0" w:color="auto"/>
                    <w:right w:val="none" w:sz="0" w:space="0" w:color="auto"/>
                  </w:divBdr>
                  <w:divsChild>
                    <w:div w:id="1119955795">
                      <w:marLeft w:val="0"/>
                      <w:marRight w:val="0"/>
                      <w:marTop w:val="0"/>
                      <w:marBottom w:val="0"/>
                      <w:divBdr>
                        <w:top w:val="none" w:sz="0" w:space="0" w:color="auto"/>
                        <w:left w:val="none" w:sz="0" w:space="0" w:color="auto"/>
                        <w:bottom w:val="none" w:sz="0" w:space="0" w:color="auto"/>
                        <w:right w:val="none" w:sz="0" w:space="0" w:color="auto"/>
                      </w:divBdr>
                    </w:div>
                  </w:divsChild>
                </w:div>
                <w:div w:id="989408306">
                  <w:marLeft w:val="0"/>
                  <w:marRight w:val="0"/>
                  <w:marTop w:val="0"/>
                  <w:marBottom w:val="0"/>
                  <w:divBdr>
                    <w:top w:val="none" w:sz="0" w:space="0" w:color="auto"/>
                    <w:left w:val="none" w:sz="0" w:space="0" w:color="auto"/>
                    <w:bottom w:val="none" w:sz="0" w:space="0" w:color="auto"/>
                    <w:right w:val="none" w:sz="0" w:space="0" w:color="auto"/>
                  </w:divBdr>
                  <w:divsChild>
                    <w:div w:id="104469333">
                      <w:marLeft w:val="0"/>
                      <w:marRight w:val="0"/>
                      <w:marTop w:val="0"/>
                      <w:marBottom w:val="0"/>
                      <w:divBdr>
                        <w:top w:val="none" w:sz="0" w:space="0" w:color="auto"/>
                        <w:left w:val="none" w:sz="0" w:space="0" w:color="auto"/>
                        <w:bottom w:val="none" w:sz="0" w:space="0" w:color="auto"/>
                        <w:right w:val="none" w:sz="0" w:space="0" w:color="auto"/>
                      </w:divBdr>
                    </w:div>
                    <w:div w:id="808860096">
                      <w:marLeft w:val="0"/>
                      <w:marRight w:val="0"/>
                      <w:marTop w:val="0"/>
                      <w:marBottom w:val="0"/>
                      <w:divBdr>
                        <w:top w:val="none" w:sz="0" w:space="0" w:color="auto"/>
                        <w:left w:val="none" w:sz="0" w:space="0" w:color="auto"/>
                        <w:bottom w:val="none" w:sz="0" w:space="0" w:color="auto"/>
                        <w:right w:val="none" w:sz="0" w:space="0" w:color="auto"/>
                      </w:divBdr>
                    </w:div>
                    <w:div w:id="1242326104">
                      <w:marLeft w:val="0"/>
                      <w:marRight w:val="0"/>
                      <w:marTop w:val="0"/>
                      <w:marBottom w:val="0"/>
                      <w:divBdr>
                        <w:top w:val="none" w:sz="0" w:space="0" w:color="auto"/>
                        <w:left w:val="none" w:sz="0" w:space="0" w:color="auto"/>
                        <w:bottom w:val="none" w:sz="0" w:space="0" w:color="auto"/>
                        <w:right w:val="none" w:sz="0" w:space="0" w:color="auto"/>
                      </w:divBdr>
                    </w:div>
                  </w:divsChild>
                </w:div>
                <w:div w:id="1006052175">
                  <w:marLeft w:val="0"/>
                  <w:marRight w:val="0"/>
                  <w:marTop w:val="0"/>
                  <w:marBottom w:val="0"/>
                  <w:divBdr>
                    <w:top w:val="none" w:sz="0" w:space="0" w:color="auto"/>
                    <w:left w:val="none" w:sz="0" w:space="0" w:color="auto"/>
                    <w:bottom w:val="none" w:sz="0" w:space="0" w:color="auto"/>
                    <w:right w:val="none" w:sz="0" w:space="0" w:color="auto"/>
                  </w:divBdr>
                  <w:divsChild>
                    <w:div w:id="2028632004">
                      <w:marLeft w:val="0"/>
                      <w:marRight w:val="0"/>
                      <w:marTop w:val="0"/>
                      <w:marBottom w:val="0"/>
                      <w:divBdr>
                        <w:top w:val="none" w:sz="0" w:space="0" w:color="auto"/>
                        <w:left w:val="none" w:sz="0" w:space="0" w:color="auto"/>
                        <w:bottom w:val="none" w:sz="0" w:space="0" w:color="auto"/>
                        <w:right w:val="none" w:sz="0" w:space="0" w:color="auto"/>
                      </w:divBdr>
                    </w:div>
                  </w:divsChild>
                </w:div>
                <w:div w:id="1015881061">
                  <w:marLeft w:val="0"/>
                  <w:marRight w:val="0"/>
                  <w:marTop w:val="0"/>
                  <w:marBottom w:val="0"/>
                  <w:divBdr>
                    <w:top w:val="none" w:sz="0" w:space="0" w:color="auto"/>
                    <w:left w:val="none" w:sz="0" w:space="0" w:color="auto"/>
                    <w:bottom w:val="none" w:sz="0" w:space="0" w:color="auto"/>
                    <w:right w:val="none" w:sz="0" w:space="0" w:color="auto"/>
                  </w:divBdr>
                  <w:divsChild>
                    <w:div w:id="1991976097">
                      <w:marLeft w:val="0"/>
                      <w:marRight w:val="0"/>
                      <w:marTop w:val="0"/>
                      <w:marBottom w:val="0"/>
                      <w:divBdr>
                        <w:top w:val="none" w:sz="0" w:space="0" w:color="auto"/>
                        <w:left w:val="none" w:sz="0" w:space="0" w:color="auto"/>
                        <w:bottom w:val="none" w:sz="0" w:space="0" w:color="auto"/>
                        <w:right w:val="none" w:sz="0" w:space="0" w:color="auto"/>
                      </w:divBdr>
                    </w:div>
                  </w:divsChild>
                </w:div>
                <w:div w:id="1497917582">
                  <w:marLeft w:val="0"/>
                  <w:marRight w:val="0"/>
                  <w:marTop w:val="0"/>
                  <w:marBottom w:val="0"/>
                  <w:divBdr>
                    <w:top w:val="none" w:sz="0" w:space="0" w:color="auto"/>
                    <w:left w:val="none" w:sz="0" w:space="0" w:color="auto"/>
                    <w:bottom w:val="none" w:sz="0" w:space="0" w:color="auto"/>
                    <w:right w:val="none" w:sz="0" w:space="0" w:color="auto"/>
                  </w:divBdr>
                  <w:divsChild>
                    <w:div w:id="38751440">
                      <w:marLeft w:val="0"/>
                      <w:marRight w:val="0"/>
                      <w:marTop w:val="0"/>
                      <w:marBottom w:val="0"/>
                      <w:divBdr>
                        <w:top w:val="none" w:sz="0" w:space="0" w:color="auto"/>
                        <w:left w:val="none" w:sz="0" w:space="0" w:color="auto"/>
                        <w:bottom w:val="none" w:sz="0" w:space="0" w:color="auto"/>
                        <w:right w:val="none" w:sz="0" w:space="0" w:color="auto"/>
                      </w:divBdr>
                    </w:div>
                  </w:divsChild>
                </w:div>
                <w:div w:id="1516924748">
                  <w:marLeft w:val="0"/>
                  <w:marRight w:val="0"/>
                  <w:marTop w:val="0"/>
                  <w:marBottom w:val="0"/>
                  <w:divBdr>
                    <w:top w:val="none" w:sz="0" w:space="0" w:color="auto"/>
                    <w:left w:val="none" w:sz="0" w:space="0" w:color="auto"/>
                    <w:bottom w:val="none" w:sz="0" w:space="0" w:color="auto"/>
                    <w:right w:val="none" w:sz="0" w:space="0" w:color="auto"/>
                  </w:divBdr>
                  <w:divsChild>
                    <w:div w:id="1894000345">
                      <w:marLeft w:val="0"/>
                      <w:marRight w:val="0"/>
                      <w:marTop w:val="0"/>
                      <w:marBottom w:val="0"/>
                      <w:divBdr>
                        <w:top w:val="none" w:sz="0" w:space="0" w:color="auto"/>
                        <w:left w:val="none" w:sz="0" w:space="0" w:color="auto"/>
                        <w:bottom w:val="none" w:sz="0" w:space="0" w:color="auto"/>
                        <w:right w:val="none" w:sz="0" w:space="0" w:color="auto"/>
                      </w:divBdr>
                    </w:div>
                  </w:divsChild>
                </w:div>
                <w:div w:id="1604075481">
                  <w:marLeft w:val="0"/>
                  <w:marRight w:val="0"/>
                  <w:marTop w:val="0"/>
                  <w:marBottom w:val="0"/>
                  <w:divBdr>
                    <w:top w:val="none" w:sz="0" w:space="0" w:color="auto"/>
                    <w:left w:val="none" w:sz="0" w:space="0" w:color="auto"/>
                    <w:bottom w:val="none" w:sz="0" w:space="0" w:color="auto"/>
                    <w:right w:val="none" w:sz="0" w:space="0" w:color="auto"/>
                  </w:divBdr>
                  <w:divsChild>
                    <w:div w:id="1920749963">
                      <w:marLeft w:val="0"/>
                      <w:marRight w:val="0"/>
                      <w:marTop w:val="0"/>
                      <w:marBottom w:val="0"/>
                      <w:divBdr>
                        <w:top w:val="none" w:sz="0" w:space="0" w:color="auto"/>
                        <w:left w:val="none" w:sz="0" w:space="0" w:color="auto"/>
                        <w:bottom w:val="none" w:sz="0" w:space="0" w:color="auto"/>
                        <w:right w:val="none" w:sz="0" w:space="0" w:color="auto"/>
                      </w:divBdr>
                    </w:div>
                  </w:divsChild>
                </w:div>
                <w:div w:id="1612859593">
                  <w:marLeft w:val="0"/>
                  <w:marRight w:val="0"/>
                  <w:marTop w:val="0"/>
                  <w:marBottom w:val="0"/>
                  <w:divBdr>
                    <w:top w:val="none" w:sz="0" w:space="0" w:color="auto"/>
                    <w:left w:val="none" w:sz="0" w:space="0" w:color="auto"/>
                    <w:bottom w:val="none" w:sz="0" w:space="0" w:color="auto"/>
                    <w:right w:val="none" w:sz="0" w:space="0" w:color="auto"/>
                  </w:divBdr>
                  <w:divsChild>
                    <w:div w:id="245381830">
                      <w:marLeft w:val="0"/>
                      <w:marRight w:val="0"/>
                      <w:marTop w:val="0"/>
                      <w:marBottom w:val="0"/>
                      <w:divBdr>
                        <w:top w:val="none" w:sz="0" w:space="0" w:color="auto"/>
                        <w:left w:val="none" w:sz="0" w:space="0" w:color="auto"/>
                        <w:bottom w:val="none" w:sz="0" w:space="0" w:color="auto"/>
                        <w:right w:val="none" w:sz="0" w:space="0" w:color="auto"/>
                      </w:divBdr>
                    </w:div>
                  </w:divsChild>
                </w:div>
                <w:div w:id="1613516198">
                  <w:marLeft w:val="0"/>
                  <w:marRight w:val="0"/>
                  <w:marTop w:val="0"/>
                  <w:marBottom w:val="0"/>
                  <w:divBdr>
                    <w:top w:val="none" w:sz="0" w:space="0" w:color="auto"/>
                    <w:left w:val="none" w:sz="0" w:space="0" w:color="auto"/>
                    <w:bottom w:val="none" w:sz="0" w:space="0" w:color="auto"/>
                    <w:right w:val="none" w:sz="0" w:space="0" w:color="auto"/>
                  </w:divBdr>
                  <w:divsChild>
                    <w:div w:id="879129444">
                      <w:marLeft w:val="0"/>
                      <w:marRight w:val="0"/>
                      <w:marTop w:val="0"/>
                      <w:marBottom w:val="0"/>
                      <w:divBdr>
                        <w:top w:val="none" w:sz="0" w:space="0" w:color="auto"/>
                        <w:left w:val="none" w:sz="0" w:space="0" w:color="auto"/>
                        <w:bottom w:val="none" w:sz="0" w:space="0" w:color="auto"/>
                        <w:right w:val="none" w:sz="0" w:space="0" w:color="auto"/>
                      </w:divBdr>
                    </w:div>
                  </w:divsChild>
                </w:div>
                <w:div w:id="2040857661">
                  <w:marLeft w:val="0"/>
                  <w:marRight w:val="0"/>
                  <w:marTop w:val="0"/>
                  <w:marBottom w:val="0"/>
                  <w:divBdr>
                    <w:top w:val="none" w:sz="0" w:space="0" w:color="auto"/>
                    <w:left w:val="none" w:sz="0" w:space="0" w:color="auto"/>
                    <w:bottom w:val="none" w:sz="0" w:space="0" w:color="auto"/>
                    <w:right w:val="none" w:sz="0" w:space="0" w:color="auto"/>
                  </w:divBdr>
                  <w:divsChild>
                    <w:div w:id="1130589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7072453">
          <w:marLeft w:val="0"/>
          <w:marRight w:val="0"/>
          <w:marTop w:val="0"/>
          <w:marBottom w:val="0"/>
          <w:divBdr>
            <w:top w:val="none" w:sz="0" w:space="0" w:color="auto"/>
            <w:left w:val="none" w:sz="0" w:space="0" w:color="auto"/>
            <w:bottom w:val="none" w:sz="0" w:space="0" w:color="auto"/>
            <w:right w:val="none" w:sz="0" w:space="0" w:color="auto"/>
          </w:divBdr>
        </w:div>
        <w:div w:id="1748575103">
          <w:marLeft w:val="0"/>
          <w:marRight w:val="0"/>
          <w:marTop w:val="0"/>
          <w:marBottom w:val="0"/>
          <w:divBdr>
            <w:top w:val="none" w:sz="0" w:space="0" w:color="auto"/>
            <w:left w:val="none" w:sz="0" w:space="0" w:color="auto"/>
            <w:bottom w:val="none" w:sz="0" w:space="0" w:color="auto"/>
            <w:right w:val="none" w:sz="0" w:space="0" w:color="auto"/>
          </w:divBdr>
        </w:div>
        <w:div w:id="1769233537">
          <w:marLeft w:val="0"/>
          <w:marRight w:val="0"/>
          <w:marTop w:val="0"/>
          <w:marBottom w:val="0"/>
          <w:divBdr>
            <w:top w:val="none" w:sz="0" w:space="0" w:color="auto"/>
            <w:left w:val="none" w:sz="0" w:space="0" w:color="auto"/>
            <w:bottom w:val="none" w:sz="0" w:space="0" w:color="auto"/>
            <w:right w:val="none" w:sz="0" w:space="0" w:color="auto"/>
          </w:divBdr>
        </w:div>
        <w:div w:id="1779063857">
          <w:marLeft w:val="0"/>
          <w:marRight w:val="0"/>
          <w:marTop w:val="0"/>
          <w:marBottom w:val="0"/>
          <w:divBdr>
            <w:top w:val="none" w:sz="0" w:space="0" w:color="auto"/>
            <w:left w:val="none" w:sz="0" w:space="0" w:color="auto"/>
            <w:bottom w:val="none" w:sz="0" w:space="0" w:color="auto"/>
            <w:right w:val="none" w:sz="0" w:space="0" w:color="auto"/>
          </w:divBdr>
        </w:div>
        <w:div w:id="1831628163">
          <w:marLeft w:val="0"/>
          <w:marRight w:val="0"/>
          <w:marTop w:val="0"/>
          <w:marBottom w:val="0"/>
          <w:divBdr>
            <w:top w:val="none" w:sz="0" w:space="0" w:color="auto"/>
            <w:left w:val="none" w:sz="0" w:space="0" w:color="auto"/>
            <w:bottom w:val="none" w:sz="0" w:space="0" w:color="auto"/>
            <w:right w:val="none" w:sz="0" w:space="0" w:color="auto"/>
          </w:divBdr>
          <w:divsChild>
            <w:div w:id="638150953">
              <w:marLeft w:val="0"/>
              <w:marRight w:val="0"/>
              <w:marTop w:val="0"/>
              <w:marBottom w:val="0"/>
              <w:divBdr>
                <w:top w:val="none" w:sz="0" w:space="0" w:color="auto"/>
                <w:left w:val="none" w:sz="0" w:space="0" w:color="auto"/>
                <w:bottom w:val="none" w:sz="0" w:space="0" w:color="auto"/>
                <w:right w:val="none" w:sz="0" w:space="0" w:color="auto"/>
              </w:divBdr>
            </w:div>
            <w:div w:id="874000906">
              <w:marLeft w:val="0"/>
              <w:marRight w:val="0"/>
              <w:marTop w:val="0"/>
              <w:marBottom w:val="0"/>
              <w:divBdr>
                <w:top w:val="none" w:sz="0" w:space="0" w:color="auto"/>
                <w:left w:val="none" w:sz="0" w:space="0" w:color="auto"/>
                <w:bottom w:val="none" w:sz="0" w:space="0" w:color="auto"/>
                <w:right w:val="none" w:sz="0" w:space="0" w:color="auto"/>
              </w:divBdr>
            </w:div>
            <w:div w:id="1741948900">
              <w:marLeft w:val="0"/>
              <w:marRight w:val="0"/>
              <w:marTop w:val="0"/>
              <w:marBottom w:val="0"/>
              <w:divBdr>
                <w:top w:val="none" w:sz="0" w:space="0" w:color="auto"/>
                <w:left w:val="none" w:sz="0" w:space="0" w:color="auto"/>
                <w:bottom w:val="none" w:sz="0" w:space="0" w:color="auto"/>
                <w:right w:val="none" w:sz="0" w:space="0" w:color="auto"/>
              </w:divBdr>
            </w:div>
            <w:div w:id="2047559304">
              <w:marLeft w:val="0"/>
              <w:marRight w:val="0"/>
              <w:marTop w:val="0"/>
              <w:marBottom w:val="0"/>
              <w:divBdr>
                <w:top w:val="none" w:sz="0" w:space="0" w:color="auto"/>
                <w:left w:val="none" w:sz="0" w:space="0" w:color="auto"/>
                <w:bottom w:val="none" w:sz="0" w:space="0" w:color="auto"/>
                <w:right w:val="none" w:sz="0" w:space="0" w:color="auto"/>
              </w:divBdr>
            </w:div>
            <w:div w:id="2122414469">
              <w:marLeft w:val="0"/>
              <w:marRight w:val="0"/>
              <w:marTop w:val="0"/>
              <w:marBottom w:val="0"/>
              <w:divBdr>
                <w:top w:val="none" w:sz="0" w:space="0" w:color="auto"/>
                <w:left w:val="none" w:sz="0" w:space="0" w:color="auto"/>
                <w:bottom w:val="none" w:sz="0" w:space="0" w:color="auto"/>
                <w:right w:val="none" w:sz="0" w:space="0" w:color="auto"/>
              </w:divBdr>
            </w:div>
          </w:divsChild>
        </w:div>
        <w:div w:id="1875076985">
          <w:marLeft w:val="0"/>
          <w:marRight w:val="0"/>
          <w:marTop w:val="0"/>
          <w:marBottom w:val="0"/>
          <w:divBdr>
            <w:top w:val="none" w:sz="0" w:space="0" w:color="auto"/>
            <w:left w:val="none" w:sz="0" w:space="0" w:color="auto"/>
            <w:bottom w:val="none" w:sz="0" w:space="0" w:color="auto"/>
            <w:right w:val="none" w:sz="0" w:space="0" w:color="auto"/>
          </w:divBdr>
          <w:divsChild>
            <w:div w:id="198399041">
              <w:marLeft w:val="-75"/>
              <w:marRight w:val="0"/>
              <w:marTop w:val="30"/>
              <w:marBottom w:val="30"/>
              <w:divBdr>
                <w:top w:val="none" w:sz="0" w:space="0" w:color="auto"/>
                <w:left w:val="none" w:sz="0" w:space="0" w:color="auto"/>
                <w:bottom w:val="none" w:sz="0" w:space="0" w:color="auto"/>
                <w:right w:val="none" w:sz="0" w:space="0" w:color="auto"/>
              </w:divBdr>
              <w:divsChild>
                <w:div w:id="869418591">
                  <w:marLeft w:val="0"/>
                  <w:marRight w:val="0"/>
                  <w:marTop w:val="0"/>
                  <w:marBottom w:val="0"/>
                  <w:divBdr>
                    <w:top w:val="none" w:sz="0" w:space="0" w:color="auto"/>
                    <w:left w:val="none" w:sz="0" w:space="0" w:color="auto"/>
                    <w:bottom w:val="none" w:sz="0" w:space="0" w:color="auto"/>
                    <w:right w:val="none" w:sz="0" w:space="0" w:color="auto"/>
                  </w:divBdr>
                  <w:divsChild>
                    <w:div w:id="706444718">
                      <w:marLeft w:val="0"/>
                      <w:marRight w:val="0"/>
                      <w:marTop w:val="0"/>
                      <w:marBottom w:val="0"/>
                      <w:divBdr>
                        <w:top w:val="none" w:sz="0" w:space="0" w:color="auto"/>
                        <w:left w:val="none" w:sz="0" w:space="0" w:color="auto"/>
                        <w:bottom w:val="none" w:sz="0" w:space="0" w:color="auto"/>
                        <w:right w:val="none" w:sz="0" w:space="0" w:color="auto"/>
                      </w:divBdr>
                    </w:div>
                  </w:divsChild>
                </w:div>
                <w:div w:id="2132018921">
                  <w:marLeft w:val="0"/>
                  <w:marRight w:val="0"/>
                  <w:marTop w:val="0"/>
                  <w:marBottom w:val="0"/>
                  <w:divBdr>
                    <w:top w:val="none" w:sz="0" w:space="0" w:color="auto"/>
                    <w:left w:val="none" w:sz="0" w:space="0" w:color="auto"/>
                    <w:bottom w:val="none" w:sz="0" w:space="0" w:color="auto"/>
                    <w:right w:val="none" w:sz="0" w:space="0" w:color="auto"/>
                  </w:divBdr>
                  <w:divsChild>
                    <w:div w:id="14380652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2602399">
          <w:marLeft w:val="0"/>
          <w:marRight w:val="0"/>
          <w:marTop w:val="0"/>
          <w:marBottom w:val="0"/>
          <w:divBdr>
            <w:top w:val="none" w:sz="0" w:space="0" w:color="auto"/>
            <w:left w:val="none" w:sz="0" w:space="0" w:color="auto"/>
            <w:bottom w:val="none" w:sz="0" w:space="0" w:color="auto"/>
            <w:right w:val="none" w:sz="0" w:space="0" w:color="auto"/>
          </w:divBdr>
          <w:divsChild>
            <w:div w:id="488374671">
              <w:marLeft w:val="0"/>
              <w:marRight w:val="0"/>
              <w:marTop w:val="0"/>
              <w:marBottom w:val="0"/>
              <w:divBdr>
                <w:top w:val="none" w:sz="0" w:space="0" w:color="auto"/>
                <w:left w:val="none" w:sz="0" w:space="0" w:color="auto"/>
                <w:bottom w:val="none" w:sz="0" w:space="0" w:color="auto"/>
                <w:right w:val="none" w:sz="0" w:space="0" w:color="auto"/>
              </w:divBdr>
            </w:div>
            <w:div w:id="683439462">
              <w:marLeft w:val="0"/>
              <w:marRight w:val="0"/>
              <w:marTop w:val="0"/>
              <w:marBottom w:val="0"/>
              <w:divBdr>
                <w:top w:val="none" w:sz="0" w:space="0" w:color="auto"/>
                <w:left w:val="none" w:sz="0" w:space="0" w:color="auto"/>
                <w:bottom w:val="none" w:sz="0" w:space="0" w:color="auto"/>
                <w:right w:val="none" w:sz="0" w:space="0" w:color="auto"/>
              </w:divBdr>
            </w:div>
            <w:div w:id="921984555">
              <w:marLeft w:val="0"/>
              <w:marRight w:val="0"/>
              <w:marTop w:val="0"/>
              <w:marBottom w:val="0"/>
              <w:divBdr>
                <w:top w:val="none" w:sz="0" w:space="0" w:color="auto"/>
                <w:left w:val="none" w:sz="0" w:space="0" w:color="auto"/>
                <w:bottom w:val="none" w:sz="0" w:space="0" w:color="auto"/>
                <w:right w:val="none" w:sz="0" w:space="0" w:color="auto"/>
              </w:divBdr>
            </w:div>
            <w:div w:id="1102069532">
              <w:marLeft w:val="0"/>
              <w:marRight w:val="0"/>
              <w:marTop w:val="0"/>
              <w:marBottom w:val="0"/>
              <w:divBdr>
                <w:top w:val="none" w:sz="0" w:space="0" w:color="auto"/>
                <w:left w:val="none" w:sz="0" w:space="0" w:color="auto"/>
                <w:bottom w:val="none" w:sz="0" w:space="0" w:color="auto"/>
                <w:right w:val="none" w:sz="0" w:space="0" w:color="auto"/>
              </w:divBdr>
            </w:div>
            <w:div w:id="1121267839">
              <w:marLeft w:val="0"/>
              <w:marRight w:val="0"/>
              <w:marTop w:val="0"/>
              <w:marBottom w:val="0"/>
              <w:divBdr>
                <w:top w:val="none" w:sz="0" w:space="0" w:color="auto"/>
                <w:left w:val="none" w:sz="0" w:space="0" w:color="auto"/>
                <w:bottom w:val="none" w:sz="0" w:space="0" w:color="auto"/>
                <w:right w:val="none" w:sz="0" w:space="0" w:color="auto"/>
              </w:divBdr>
            </w:div>
          </w:divsChild>
        </w:div>
        <w:div w:id="2127847214">
          <w:marLeft w:val="0"/>
          <w:marRight w:val="0"/>
          <w:marTop w:val="0"/>
          <w:marBottom w:val="0"/>
          <w:divBdr>
            <w:top w:val="none" w:sz="0" w:space="0" w:color="auto"/>
            <w:left w:val="none" w:sz="0" w:space="0" w:color="auto"/>
            <w:bottom w:val="none" w:sz="0" w:space="0" w:color="auto"/>
            <w:right w:val="none" w:sz="0" w:space="0" w:color="auto"/>
          </w:divBdr>
          <w:divsChild>
            <w:div w:id="1039553265">
              <w:marLeft w:val="-75"/>
              <w:marRight w:val="0"/>
              <w:marTop w:val="30"/>
              <w:marBottom w:val="30"/>
              <w:divBdr>
                <w:top w:val="none" w:sz="0" w:space="0" w:color="auto"/>
                <w:left w:val="none" w:sz="0" w:space="0" w:color="auto"/>
                <w:bottom w:val="none" w:sz="0" w:space="0" w:color="auto"/>
                <w:right w:val="none" w:sz="0" w:space="0" w:color="auto"/>
              </w:divBdr>
              <w:divsChild>
                <w:div w:id="934089844">
                  <w:marLeft w:val="0"/>
                  <w:marRight w:val="0"/>
                  <w:marTop w:val="0"/>
                  <w:marBottom w:val="0"/>
                  <w:divBdr>
                    <w:top w:val="none" w:sz="0" w:space="0" w:color="auto"/>
                    <w:left w:val="none" w:sz="0" w:space="0" w:color="auto"/>
                    <w:bottom w:val="none" w:sz="0" w:space="0" w:color="auto"/>
                    <w:right w:val="none" w:sz="0" w:space="0" w:color="auto"/>
                  </w:divBdr>
                  <w:divsChild>
                    <w:div w:id="1646548886">
                      <w:marLeft w:val="0"/>
                      <w:marRight w:val="0"/>
                      <w:marTop w:val="0"/>
                      <w:marBottom w:val="0"/>
                      <w:divBdr>
                        <w:top w:val="none" w:sz="0" w:space="0" w:color="auto"/>
                        <w:left w:val="none" w:sz="0" w:space="0" w:color="auto"/>
                        <w:bottom w:val="none" w:sz="0" w:space="0" w:color="auto"/>
                        <w:right w:val="none" w:sz="0" w:space="0" w:color="auto"/>
                      </w:divBdr>
                    </w:div>
                  </w:divsChild>
                </w:div>
                <w:div w:id="993803027">
                  <w:marLeft w:val="0"/>
                  <w:marRight w:val="0"/>
                  <w:marTop w:val="0"/>
                  <w:marBottom w:val="0"/>
                  <w:divBdr>
                    <w:top w:val="none" w:sz="0" w:space="0" w:color="auto"/>
                    <w:left w:val="none" w:sz="0" w:space="0" w:color="auto"/>
                    <w:bottom w:val="none" w:sz="0" w:space="0" w:color="auto"/>
                    <w:right w:val="none" w:sz="0" w:space="0" w:color="auto"/>
                  </w:divBdr>
                  <w:divsChild>
                    <w:div w:id="1113401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4710926">
          <w:marLeft w:val="0"/>
          <w:marRight w:val="0"/>
          <w:marTop w:val="0"/>
          <w:marBottom w:val="0"/>
          <w:divBdr>
            <w:top w:val="none" w:sz="0" w:space="0" w:color="auto"/>
            <w:left w:val="none" w:sz="0" w:space="0" w:color="auto"/>
            <w:bottom w:val="none" w:sz="0" w:space="0" w:color="auto"/>
            <w:right w:val="none" w:sz="0" w:space="0" w:color="auto"/>
          </w:divBdr>
          <w:divsChild>
            <w:div w:id="603657124">
              <w:marLeft w:val="0"/>
              <w:marRight w:val="0"/>
              <w:marTop w:val="0"/>
              <w:marBottom w:val="0"/>
              <w:divBdr>
                <w:top w:val="none" w:sz="0" w:space="0" w:color="auto"/>
                <w:left w:val="none" w:sz="0" w:space="0" w:color="auto"/>
                <w:bottom w:val="none" w:sz="0" w:space="0" w:color="auto"/>
                <w:right w:val="none" w:sz="0" w:space="0" w:color="auto"/>
              </w:divBdr>
            </w:div>
            <w:div w:id="851995929">
              <w:marLeft w:val="0"/>
              <w:marRight w:val="0"/>
              <w:marTop w:val="0"/>
              <w:marBottom w:val="0"/>
              <w:divBdr>
                <w:top w:val="none" w:sz="0" w:space="0" w:color="auto"/>
                <w:left w:val="none" w:sz="0" w:space="0" w:color="auto"/>
                <w:bottom w:val="none" w:sz="0" w:space="0" w:color="auto"/>
                <w:right w:val="none" w:sz="0" w:space="0" w:color="auto"/>
              </w:divBdr>
            </w:div>
            <w:div w:id="1177499496">
              <w:marLeft w:val="0"/>
              <w:marRight w:val="0"/>
              <w:marTop w:val="0"/>
              <w:marBottom w:val="0"/>
              <w:divBdr>
                <w:top w:val="none" w:sz="0" w:space="0" w:color="auto"/>
                <w:left w:val="none" w:sz="0" w:space="0" w:color="auto"/>
                <w:bottom w:val="none" w:sz="0" w:space="0" w:color="auto"/>
                <w:right w:val="none" w:sz="0" w:space="0" w:color="auto"/>
              </w:divBdr>
            </w:div>
            <w:div w:id="2016228743">
              <w:marLeft w:val="0"/>
              <w:marRight w:val="0"/>
              <w:marTop w:val="0"/>
              <w:marBottom w:val="0"/>
              <w:divBdr>
                <w:top w:val="none" w:sz="0" w:space="0" w:color="auto"/>
                <w:left w:val="none" w:sz="0" w:space="0" w:color="auto"/>
                <w:bottom w:val="none" w:sz="0" w:space="0" w:color="auto"/>
                <w:right w:val="none" w:sz="0" w:space="0" w:color="auto"/>
              </w:divBdr>
            </w:div>
            <w:div w:id="2050642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media/image2.png"/><Relationship Id="rId17" Type="http://schemas.microsoft.com/office/2016/09/relationships/commentsIds" Target="commentsIds.xml"/><Relationship Id="rId2" Type="http://schemas.openxmlformats.org/officeDocument/2006/relationships/customXml" Target="../customXml/item2.xml"/><Relationship Id="rId16" Type="http://schemas.microsoft.com/office/2011/relationships/commentsExtended" Target="commentsExtended.xml"/><Relationship Id="rId20" Type="http://schemas.microsoft.com/office/2011/relationships/people" Target="peop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comments" Target="comments.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719B3B47AB40D4F9AD88C0CB4F27FE5" ma:contentTypeVersion="4" ma:contentTypeDescription="Create a new document." ma:contentTypeScope="" ma:versionID="da7d4899c736383cd9356e038276960f">
  <xsd:schema xmlns:xsd="http://www.w3.org/2001/XMLSchema" xmlns:xs="http://www.w3.org/2001/XMLSchema" xmlns:p="http://schemas.microsoft.com/office/2006/metadata/properties" xmlns:ns2="1371cf2b-a7fc-4369-aa35-cbfbf200dd64" xmlns:ns3="5a69ffab-4136-4b66-a00e-5dffdbe6cbba" targetNamespace="http://schemas.microsoft.com/office/2006/metadata/properties" ma:root="true" ma:fieldsID="4a5f391e35168d65542747476f11d90f" ns2:_="" ns3:_="">
    <xsd:import namespace="1371cf2b-a7fc-4369-aa35-cbfbf200dd64"/>
    <xsd:import namespace="5a69ffab-4136-4b66-a00e-5dffdbe6cbba"/>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371cf2b-a7fc-4369-aa35-cbfbf200dd6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a69ffab-4136-4b66-a00e-5dffdbe6cbba"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C1154FE-497B-4945-B8D1-9F33F8B9E25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371cf2b-a7fc-4369-aa35-cbfbf200dd64"/>
    <ds:schemaRef ds:uri="5a69ffab-4136-4b66-a00e-5dffdbe6cbb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41CDA86-C7A2-4516-BDBD-1748F14CE8B4}">
  <ds:schemaRefs>
    <ds:schemaRef ds:uri="1371cf2b-a7fc-4369-aa35-cbfbf200dd64"/>
    <ds:schemaRef ds:uri="http://schemas.microsoft.com/office/2006/documentManagement/types"/>
    <ds:schemaRef ds:uri="http://purl.org/dc/elements/1.1/"/>
    <ds:schemaRef ds:uri="http://purl.org/dc/terms/"/>
    <ds:schemaRef ds:uri="5a69ffab-4136-4b66-a00e-5dffdbe6cbba"/>
    <ds:schemaRef ds:uri="http://schemas.microsoft.com/office/2006/metadata/properties"/>
    <ds:schemaRef ds:uri="http://schemas.openxmlformats.org/package/2006/metadata/core-properties"/>
    <ds:schemaRef ds:uri="http://schemas.microsoft.com/office/infopath/2007/PartnerControls"/>
    <ds:schemaRef ds:uri="http://www.w3.org/XML/1998/namespace"/>
    <ds:schemaRef ds:uri="http://purl.org/dc/dcmitype/"/>
  </ds:schemaRefs>
</ds:datastoreItem>
</file>

<file path=customXml/itemProps3.xml><?xml version="1.0" encoding="utf-8"?>
<ds:datastoreItem xmlns:ds="http://schemas.openxmlformats.org/officeDocument/2006/customXml" ds:itemID="{26F2C326-2361-40CF-8C12-18C6997FE1E3}">
  <ds:schemaRefs>
    <ds:schemaRef ds:uri="http://schemas.microsoft.com/sharepoint/v3/contenttype/forms"/>
  </ds:schemaRefs>
</ds:datastoreItem>
</file>

<file path=customXml/itemProps4.xml><?xml version="1.0" encoding="utf-8"?>
<ds:datastoreItem xmlns:ds="http://schemas.openxmlformats.org/officeDocument/2006/customXml" ds:itemID="{4BEA0C2D-92E1-4263-B4DD-D0564A692C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21</Pages>
  <Words>5905</Words>
  <Characters>33664</Characters>
  <Application>Microsoft Office Word</Application>
  <DocSecurity>0</DocSecurity>
  <Lines>280</Lines>
  <Paragraphs>78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39491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Gavin Bryce (Velindre - TCS Programme Manager)</dc:creator>
  <cp:keywords/>
  <dc:description/>
  <cp:lastModifiedBy>Melanie Wilkey (Cardiff and Vale UHB - COMMISSIONING)</cp:lastModifiedBy>
  <cp:revision>2</cp:revision>
  <cp:lastPrinted>2023-01-23T06:37:00Z</cp:lastPrinted>
  <dcterms:created xsi:type="dcterms:W3CDTF">2023-03-15T08:24:00Z</dcterms:created>
  <dcterms:modified xsi:type="dcterms:W3CDTF">2023-03-15T08:24:00Z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0x0101006719B3B47AB40D4F9AD88C0CB4F27FE5</vt:lpwstr>
  </property>
</Properties>
</file>