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1105"/>
        <w:gridCol w:w="598"/>
        <w:gridCol w:w="138"/>
        <w:gridCol w:w="144"/>
        <w:gridCol w:w="110"/>
        <w:gridCol w:w="315"/>
        <w:gridCol w:w="394"/>
        <w:gridCol w:w="285"/>
        <w:gridCol w:w="567"/>
        <w:gridCol w:w="739"/>
        <w:gridCol w:w="425"/>
        <w:gridCol w:w="537"/>
        <w:gridCol w:w="599"/>
        <w:gridCol w:w="564"/>
        <w:gridCol w:w="1135"/>
        <w:gridCol w:w="238"/>
        <w:gridCol w:w="327"/>
        <w:gridCol w:w="429"/>
      </w:tblGrid>
      <w:tr w:rsidR="00DD25DC" w:rsidRPr="00FB6A15" w14:paraId="438261CB" w14:textId="77777777"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15EDB017" w14:textId="77777777"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14:paraId="5A891C20" w14:textId="321ECB89" w:rsidR="00832191" w:rsidRPr="002B7E56" w:rsidRDefault="00832191" w:rsidP="002B7E56">
            <w:r>
              <w:t>New Velindre Cancer Centre (</w:t>
            </w:r>
            <w:proofErr w:type="spellStart"/>
            <w:r>
              <w:t>nVCC</w:t>
            </w:r>
            <w:proofErr w:type="spellEnd"/>
            <w:r>
              <w:t xml:space="preserve">) Full Business Case (FBC) </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14:paraId="5908D330" w14:textId="77777777"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14:paraId="429AB0EE" w14:textId="77777777" w:rsidR="00DD25DC" w:rsidRPr="002B7E56" w:rsidRDefault="00DD25DC" w:rsidP="002B7E56"/>
        </w:tc>
      </w:tr>
      <w:tr w:rsidR="006F7C22" w:rsidRPr="00FB6A15" w14:paraId="42295174" w14:textId="77777777"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7BEE7F96"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07A18B57" w14:textId="444FF9F9" w:rsidR="006F7C22" w:rsidRPr="002B7E56" w:rsidRDefault="00B1599E" w:rsidP="002B7E56">
            <w:r>
              <w:t>Board</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5B6B472B" w14:textId="77777777"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3D963029" w14:textId="0A2D38FA" w:rsidR="006F7C22" w:rsidRPr="00FB6A15" w:rsidRDefault="0002175B"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45C2722E"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4FA32E05" w14:textId="1E5B35C7" w:rsidR="006F7C22" w:rsidRPr="00FB6A15" w:rsidRDefault="00B1599E" w:rsidP="006B4F52">
            <w:pPr>
              <w:rPr>
                <w:rFonts w:asciiTheme="majorHAnsi" w:hAnsiTheme="majorHAnsi" w:cstheme="majorHAnsi"/>
                <w:noProof/>
                <w:lang w:eastAsia="en-GB"/>
              </w:rPr>
            </w:pPr>
            <w:r>
              <w:rPr>
                <w:rFonts w:asciiTheme="majorHAnsi" w:hAnsiTheme="majorHAnsi" w:cstheme="majorHAnsi"/>
                <w:noProof/>
                <w:lang w:eastAsia="en-GB"/>
              </w:rPr>
              <w:t>30</w:t>
            </w:r>
            <w:r w:rsidR="00C315EE" w:rsidRPr="00C315EE">
              <w:rPr>
                <w:rFonts w:asciiTheme="majorHAnsi" w:hAnsiTheme="majorHAnsi" w:cstheme="majorHAnsi"/>
                <w:noProof/>
                <w:vertAlign w:val="superscript"/>
                <w:lang w:eastAsia="en-GB"/>
              </w:rPr>
              <w:t>th</w:t>
            </w:r>
            <w:r w:rsidR="00C315EE">
              <w:rPr>
                <w:rFonts w:asciiTheme="majorHAnsi" w:hAnsiTheme="majorHAnsi" w:cstheme="majorHAnsi"/>
                <w:noProof/>
                <w:lang w:eastAsia="en-GB"/>
              </w:rPr>
              <w:t xml:space="preserve"> March 2023</w:t>
            </w:r>
          </w:p>
        </w:tc>
      </w:tr>
      <w:tr w:rsidR="006F7C22" w:rsidRPr="00FB6A15" w14:paraId="4C668415" w14:textId="77777777"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4626AE99" w14:textId="77777777"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55050D28" w14:textId="77777777"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DD68EC0" w14:textId="77777777"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6B2F1FB5" w14:textId="7E5B287D"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9E0594B" w14:textId="77777777"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7ECE5381" w14:textId="77777777" w:rsidR="006F7C22" w:rsidRPr="00FB6A15" w:rsidRDefault="006F7C22" w:rsidP="006B4F52">
            <w:pPr>
              <w:rPr>
                <w:rFonts w:asciiTheme="majorHAnsi" w:hAnsiTheme="majorHAnsi" w:cstheme="majorHAnsi"/>
                <w:noProof/>
                <w:lang w:eastAsia="en-GB"/>
              </w:rPr>
            </w:pPr>
          </w:p>
        </w:tc>
      </w:tr>
      <w:tr w:rsidR="002F7D63" w:rsidRPr="00FB6A15" w14:paraId="764C8658"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13E5FC2A" w14:textId="77777777"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14:paraId="79078543" w14:textId="77777777"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14:paraId="30904969" w14:textId="77777777"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14:paraId="2A5D148B" w14:textId="77777777" w:rsidR="002F7D63" w:rsidRPr="00FB6A15" w:rsidRDefault="002F7D63"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4FE9D257" w14:textId="77777777"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58373623" w14:textId="37BF6955" w:rsidR="002F7D63" w:rsidRPr="00FB6A15" w:rsidRDefault="008F4F3A"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5924B115" w14:textId="77777777"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6FAA60B2" w14:textId="064FA025" w:rsidR="002F7D63" w:rsidRPr="00FB6A15" w:rsidRDefault="002F7D63" w:rsidP="006B4F52">
            <w:pPr>
              <w:rPr>
                <w:rFonts w:asciiTheme="majorHAnsi" w:hAnsiTheme="majorHAnsi" w:cstheme="majorHAnsi"/>
                <w:noProof/>
                <w:lang w:eastAsia="en-GB"/>
              </w:rPr>
            </w:pPr>
          </w:p>
        </w:tc>
      </w:tr>
      <w:tr w:rsidR="006B4F52" w:rsidRPr="00FB6A15" w14:paraId="0D6363C4"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70CADD92" w14:textId="77777777"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31A310C4" w14:textId="77777777" w:rsidR="004F00EE" w:rsidRDefault="004F00EE" w:rsidP="00881BD2">
            <w:pPr>
              <w:rPr>
                <w:rFonts w:asciiTheme="majorHAnsi" w:hAnsiTheme="majorHAnsi" w:cstheme="majorHAnsi"/>
                <w:noProof/>
                <w:lang w:eastAsia="en-GB"/>
              </w:rPr>
            </w:pPr>
          </w:p>
          <w:p w14:paraId="57C70A3D" w14:textId="6049BB7D" w:rsidR="00832191" w:rsidRPr="00FB6A15" w:rsidRDefault="00A94D10" w:rsidP="00881BD2">
            <w:pPr>
              <w:rPr>
                <w:rFonts w:asciiTheme="majorHAnsi" w:hAnsiTheme="majorHAnsi" w:cstheme="majorHAnsi"/>
                <w:noProof/>
                <w:lang w:eastAsia="en-GB"/>
              </w:rPr>
            </w:pPr>
            <w:r>
              <w:rPr>
                <w:rFonts w:asciiTheme="majorHAnsi" w:hAnsiTheme="majorHAnsi" w:cstheme="majorHAnsi"/>
                <w:noProof/>
                <w:lang w:eastAsia="en-GB"/>
              </w:rPr>
              <w:t xml:space="preserve">Executive </w:t>
            </w:r>
            <w:r w:rsidR="00832191">
              <w:rPr>
                <w:rFonts w:asciiTheme="majorHAnsi" w:hAnsiTheme="majorHAnsi" w:cstheme="majorHAnsi"/>
                <w:noProof/>
                <w:lang w:eastAsia="en-GB"/>
              </w:rPr>
              <w:t>Director of Strategic Planning and Commissioning</w:t>
            </w:r>
          </w:p>
          <w:p w14:paraId="09E0BA9A" w14:textId="77777777" w:rsidR="00B62271" w:rsidRPr="00FB6A15" w:rsidRDefault="00B62271" w:rsidP="00400324">
            <w:pPr>
              <w:rPr>
                <w:rFonts w:asciiTheme="majorHAnsi" w:hAnsiTheme="majorHAnsi" w:cstheme="majorHAnsi"/>
                <w:noProof/>
                <w:lang w:eastAsia="en-GB"/>
              </w:rPr>
            </w:pPr>
          </w:p>
        </w:tc>
      </w:tr>
      <w:tr w:rsidR="006B4F52" w:rsidRPr="00FB6A15" w14:paraId="1D9EDCF2" w14:textId="77777777"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8F7040F" w14:textId="77777777"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14:paraId="422196B1" w14:textId="77777777" w:rsidR="00881BD2" w:rsidRPr="00FB6A15" w:rsidRDefault="00832191" w:rsidP="00832191">
            <w:pPr>
              <w:rPr>
                <w:rFonts w:asciiTheme="majorHAnsi" w:hAnsiTheme="majorHAnsi" w:cstheme="majorHAnsi"/>
                <w:noProof/>
                <w:lang w:eastAsia="en-GB"/>
              </w:rPr>
            </w:pPr>
            <w:r>
              <w:rPr>
                <w:rFonts w:asciiTheme="majorHAnsi" w:hAnsiTheme="majorHAnsi" w:cstheme="majorHAnsi"/>
                <w:noProof/>
                <w:lang w:eastAsia="en-GB"/>
              </w:rPr>
              <w:t>Deputy Director of Commissioning</w:t>
            </w:r>
          </w:p>
        </w:tc>
      </w:tr>
      <w:tr w:rsidR="007E60AD" w:rsidRPr="00FB6A15" w14:paraId="6E06ECE3" w14:textId="77777777"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728EDED1" w14:textId="77777777"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14:paraId="06DD9022"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1ABAAF23" w14:textId="77777777"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2B7E56" w:rsidRPr="00FB6A15" w14:paraId="5125C031" w14:textId="77777777" w:rsidTr="002B7E56">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CEF2796" w14:textId="77777777" w:rsidR="00416694" w:rsidRPr="00513FF2" w:rsidRDefault="00416694" w:rsidP="006B4F52">
            <w:pPr>
              <w:rPr>
                <w:rFonts w:cstheme="minorHAnsi"/>
                <w:b/>
                <w:u w:val="single"/>
              </w:rPr>
            </w:pPr>
            <w:r w:rsidRPr="00513FF2">
              <w:rPr>
                <w:rFonts w:cstheme="minorHAnsi"/>
                <w:b/>
                <w:u w:val="single"/>
              </w:rPr>
              <w:t>Purpose of this report</w:t>
            </w:r>
          </w:p>
          <w:p w14:paraId="7DCEB161" w14:textId="716CF7DC" w:rsidR="00864909" w:rsidRPr="00E35809" w:rsidRDefault="00C30ED1" w:rsidP="006B4F52">
            <w:pPr>
              <w:rPr>
                <w:rFonts w:cstheme="minorHAnsi"/>
              </w:rPr>
            </w:pPr>
            <w:r w:rsidRPr="00E35809">
              <w:rPr>
                <w:rFonts w:cstheme="minorHAnsi"/>
              </w:rPr>
              <w:t xml:space="preserve">This paper </w:t>
            </w:r>
            <w:r w:rsidR="008F4F3A" w:rsidRPr="00E35809">
              <w:rPr>
                <w:rFonts w:cstheme="minorHAnsi"/>
              </w:rPr>
              <w:t xml:space="preserve">aims to present the Full Business Case (FBC) from </w:t>
            </w:r>
            <w:r w:rsidR="005D4A53" w:rsidRPr="00E35809">
              <w:rPr>
                <w:rFonts w:cstheme="minorHAnsi"/>
              </w:rPr>
              <w:t>Velindre University NHS Trust</w:t>
            </w:r>
            <w:r w:rsidR="004716E9" w:rsidRPr="00E35809">
              <w:rPr>
                <w:rFonts w:cstheme="minorHAnsi"/>
              </w:rPr>
              <w:t xml:space="preserve"> (</w:t>
            </w:r>
            <w:r w:rsidR="008F4F3A" w:rsidRPr="00E35809">
              <w:rPr>
                <w:rFonts w:cstheme="minorHAnsi"/>
              </w:rPr>
              <w:t>VUNHST</w:t>
            </w:r>
            <w:r w:rsidR="004716E9" w:rsidRPr="00E35809">
              <w:rPr>
                <w:rFonts w:cstheme="minorHAnsi"/>
              </w:rPr>
              <w:t>)</w:t>
            </w:r>
            <w:r w:rsidRPr="00E35809">
              <w:rPr>
                <w:rFonts w:cstheme="minorHAnsi"/>
              </w:rPr>
              <w:t xml:space="preserve"> for the new Velindre Cancer Centre (</w:t>
            </w:r>
            <w:proofErr w:type="spellStart"/>
            <w:r w:rsidRPr="00E35809">
              <w:rPr>
                <w:rFonts w:cstheme="minorHAnsi"/>
              </w:rPr>
              <w:t>nVCC</w:t>
            </w:r>
            <w:proofErr w:type="spellEnd"/>
            <w:r w:rsidRPr="00E35809">
              <w:rPr>
                <w:rFonts w:cstheme="minorHAnsi"/>
              </w:rPr>
              <w:t xml:space="preserve">), </w:t>
            </w:r>
            <w:r w:rsidR="00A72D39" w:rsidRPr="00E35809">
              <w:rPr>
                <w:rFonts w:cstheme="minorHAnsi"/>
              </w:rPr>
              <w:t xml:space="preserve">a replacement hospital </w:t>
            </w:r>
            <w:r w:rsidRPr="00E35809">
              <w:rPr>
                <w:rFonts w:cstheme="minorHAnsi"/>
              </w:rPr>
              <w:t xml:space="preserve">to be developed in Cardiff to provide specialist </w:t>
            </w:r>
            <w:r w:rsidR="00A72D39" w:rsidRPr="00E35809">
              <w:rPr>
                <w:rFonts w:cstheme="minorHAnsi"/>
              </w:rPr>
              <w:t xml:space="preserve">oncology </w:t>
            </w:r>
            <w:r w:rsidRPr="00E35809">
              <w:rPr>
                <w:rFonts w:cstheme="minorHAnsi"/>
              </w:rPr>
              <w:t xml:space="preserve">services for the population of South East Wales. </w:t>
            </w:r>
            <w:r w:rsidR="008F4F3A" w:rsidRPr="00E35809">
              <w:rPr>
                <w:rFonts w:cstheme="minorHAnsi"/>
              </w:rPr>
              <w:t xml:space="preserve">The </w:t>
            </w:r>
            <w:r w:rsidR="00B1599E">
              <w:rPr>
                <w:rFonts w:cstheme="minorHAnsi"/>
              </w:rPr>
              <w:t>Board</w:t>
            </w:r>
            <w:r w:rsidR="00DE6AE6">
              <w:rPr>
                <w:rFonts w:cstheme="minorHAnsi"/>
              </w:rPr>
              <w:t xml:space="preserve"> </w:t>
            </w:r>
            <w:r w:rsidR="008F4F3A" w:rsidRPr="00E35809">
              <w:rPr>
                <w:rFonts w:cstheme="minorHAnsi"/>
              </w:rPr>
              <w:t xml:space="preserve">are asked to </w:t>
            </w:r>
            <w:r w:rsidR="00DE6AE6">
              <w:rPr>
                <w:rFonts w:cstheme="minorHAnsi"/>
              </w:rPr>
              <w:t>discuss</w:t>
            </w:r>
            <w:r w:rsidR="008F4F3A" w:rsidRPr="00E35809">
              <w:rPr>
                <w:rFonts w:cstheme="minorHAnsi"/>
              </w:rPr>
              <w:t xml:space="preserve"> the additional revenue costs associated with the new centre, related to estates, facilities and digital</w:t>
            </w:r>
            <w:r w:rsidR="00DE6AE6">
              <w:rPr>
                <w:rFonts w:cstheme="minorHAnsi"/>
              </w:rPr>
              <w:t xml:space="preserve"> and agree the </w:t>
            </w:r>
            <w:r w:rsidR="00492703">
              <w:rPr>
                <w:rFonts w:cstheme="minorHAnsi"/>
              </w:rPr>
              <w:t xml:space="preserve">conditions for approval of the FBC. </w:t>
            </w:r>
          </w:p>
          <w:p w14:paraId="7D77DB3C" w14:textId="77777777" w:rsidR="005D4A53" w:rsidRPr="00E35809" w:rsidRDefault="005D4A53" w:rsidP="006B4F52">
            <w:pPr>
              <w:rPr>
                <w:rFonts w:cstheme="minorHAnsi"/>
              </w:rPr>
            </w:pPr>
          </w:p>
          <w:p w14:paraId="7A227684" w14:textId="777ACA57" w:rsidR="005D4A53" w:rsidRPr="00E35809" w:rsidRDefault="005D4A53" w:rsidP="006B4F52">
            <w:pPr>
              <w:rPr>
                <w:rFonts w:cstheme="minorHAnsi"/>
              </w:rPr>
            </w:pPr>
            <w:r w:rsidRPr="00E35809">
              <w:rPr>
                <w:rFonts w:cstheme="minorHAnsi"/>
              </w:rPr>
              <w:t xml:space="preserve">The FBC </w:t>
            </w:r>
            <w:r w:rsidR="00DE6AE6">
              <w:rPr>
                <w:rFonts w:cstheme="minorHAnsi"/>
              </w:rPr>
              <w:t>was</w:t>
            </w:r>
            <w:r w:rsidR="008F4F3A" w:rsidRPr="00E35809">
              <w:rPr>
                <w:rFonts w:cstheme="minorHAnsi"/>
              </w:rPr>
              <w:t xml:space="preserve"> approved by the VUNHST Board on 31</w:t>
            </w:r>
            <w:r w:rsidR="008F4F3A" w:rsidRPr="00E35809">
              <w:rPr>
                <w:rFonts w:cstheme="minorHAnsi"/>
                <w:vertAlign w:val="superscript"/>
              </w:rPr>
              <w:t>st</w:t>
            </w:r>
            <w:r w:rsidR="008F4F3A" w:rsidRPr="00E35809">
              <w:rPr>
                <w:rFonts w:cstheme="minorHAnsi"/>
              </w:rPr>
              <w:t xml:space="preserve"> January 2023</w:t>
            </w:r>
          </w:p>
          <w:p w14:paraId="1729B18C" w14:textId="77777777" w:rsidR="00416694" w:rsidRPr="00E35809" w:rsidRDefault="00416694" w:rsidP="006B4F52">
            <w:pPr>
              <w:rPr>
                <w:rFonts w:cstheme="minorHAnsi"/>
              </w:rPr>
            </w:pPr>
          </w:p>
          <w:p w14:paraId="358D0A9F" w14:textId="77777777" w:rsidR="00416694" w:rsidRPr="00513FF2" w:rsidRDefault="00416694" w:rsidP="006B4F52">
            <w:pPr>
              <w:rPr>
                <w:rFonts w:cstheme="minorHAnsi"/>
                <w:b/>
                <w:u w:val="single"/>
              </w:rPr>
            </w:pPr>
            <w:r w:rsidRPr="00513FF2">
              <w:rPr>
                <w:rFonts w:cstheme="minorHAnsi"/>
                <w:b/>
                <w:u w:val="single"/>
              </w:rPr>
              <w:t>Background</w:t>
            </w:r>
          </w:p>
          <w:p w14:paraId="52A09993" w14:textId="71111834" w:rsidR="006619A6" w:rsidRPr="00E35809" w:rsidRDefault="006619A6" w:rsidP="00416694">
            <w:pPr>
              <w:rPr>
                <w:rFonts w:cstheme="minorHAnsi"/>
              </w:rPr>
            </w:pPr>
            <w:r w:rsidRPr="00E35809">
              <w:rPr>
                <w:rFonts w:cstheme="minorHAnsi"/>
              </w:rPr>
              <w:t xml:space="preserve">As explained by </w:t>
            </w:r>
            <w:r w:rsidR="00E27E7C" w:rsidRPr="00E35809">
              <w:rPr>
                <w:rFonts w:cstheme="minorHAnsi"/>
              </w:rPr>
              <w:t>VUNHST</w:t>
            </w:r>
            <w:r w:rsidRPr="00E35809">
              <w:rPr>
                <w:rFonts w:cstheme="minorHAnsi"/>
              </w:rPr>
              <w:t xml:space="preserve"> on its website:</w:t>
            </w:r>
          </w:p>
          <w:p w14:paraId="7EDD4987" w14:textId="1895D46D" w:rsidR="00416694" w:rsidRPr="00E35809" w:rsidRDefault="007E4B35" w:rsidP="00416694">
            <w:pPr>
              <w:rPr>
                <w:rFonts w:cstheme="minorHAnsi"/>
                <w:i/>
              </w:rPr>
            </w:pPr>
            <w:r w:rsidRPr="00E35809">
              <w:rPr>
                <w:rFonts w:cstheme="minorHAnsi"/>
              </w:rPr>
              <w:t>“</w:t>
            </w:r>
            <w:r w:rsidR="00416694" w:rsidRPr="00E35809">
              <w:rPr>
                <w:rFonts w:cstheme="minorHAnsi"/>
                <w:i/>
              </w:rPr>
              <w:t xml:space="preserve">There are more and more people being diagnosed with cancer. But Wales has some of the lowest survival rates in the western world.  The system as it stands is not working as best it should. The NHS is not diagnosing cancer early enough. The </w:t>
            </w:r>
            <w:r w:rsidR="000A5F29" w:rsidRPr="00E35809">
              <w:rPr>
                <w:rFonts w:cstheme="minorHAnsi"/>
                <w:i/>
              </w:rPr>
              <w:t>60-year-old</w:t>
            </w:r>
            <w:r w:rsidR="00416694" w:rsidRPr="00E35809">
              <w:rPr>
                <w:rFonts w:cstheme="minorHAnsi"/>
                <w:i/>
              </w:rPr>
              <w:t xml:space="preserve"> Velindre Cancer Centre does not have the facilities or space it needs. We’re not giving every patient the best possible service joined up close to home wherever they live and we’re not preventing enough cancer in the first place.</w:t>
            </w:r>
          </w:p>
          <w:p w14:paraId="0A5AC319" w14:textId="77777777" w:rsidR="00416694" w:rsidRPr="00E35809" w:rsidRDefault="00416694" w:rsidP="009A7B6E">
            <w:pPr>
              <w:rPr>
                <w:rFonts w:cstheme="minorHAnsi"/>
                <w:i/>
              </w:rPr>
            </w:pPr>
          </w:p>
          <w:p w14:paraId="56FB3DB8" w14:textId="77777777" w:rsidR="00416694" w:rsidRPr="00E35809" w:rsidRDefault="00416694" w:rsidP="00416694">
            <w:pPr>
              <w:rPr>
                <w:rFonts w:cstheme="minorHAnsi"/>
                <w:i/>
              </w:rPr>
            </w:pPr>
            <w:r w:rsidRPr="00E35809">
              <w:rPr>
                <w:rFonts w:cstheme="minorHAnsi"/>
                <w:i/>
              </w:rPr>
              <w:t xml:space="preserve">So, across the system, whatever our roles and wherever we are based, organisations are coming together to improve cancer services.  The Trust is working to build a new Velindre Cancer Centre with a satellite radiotherapy centre in Abergavenny and to make the most of the opportunities digital technology brings. </w:t>
            </w:r>
          </w:p>
          <w:p w14:paraId="7F7B990D" w14:textId="77777777" w:rsidR="00416694" w:rsidRPr="00E35809" w:rsidRDefault="00416694" w:rsidP="009A7B6E">
            <w:pPr>
              <w:rPr>
                <w:rFonts w:cstheme="minorHAnsi"/>
                <w:i/>
              </w:rPr>
            </w:pPr>
          </w:p>
          <w:p w14:paraId="43AB866D" w14:textId="1F6C9DB9" w:rsidR="00416694" w:rsidRPr="00E35809" w:rsidRDefault="00416694" w:rsidP="009A7B6E">
            <w:pPr>
              <w:rPr>
                <w:rFonts w:cstheme="minorHAnsi"/>
              </w:rPr>
            </w:pPr>
            <w:r w:rsidRPr="00E35809">
              <w:rPr>
                <w:rFonts w:cstheme="minorHAnsi"/>
                <w:i/>
              </w:rPr>
              <w:t>In future we will prevent cancer in the first place where we can. We will diagnose cancer earlier to improve the chances of curing it. We will treat more patients and help more people live longer with cancer. And we will treat more patients closer to home.</w:t>
            </w:r>
            <w:r w:rsidR="007E4B35" w:rsidRPr="00E35809">
              <w:rPr>
                <w:rFonts w:cstheme="minorHAnsi"/>
              </w:rPr>
              <w:t>”</w:t>
            </w:r>
          </w:p>
          <w:p w14:paraId="24EB942E" w14:textId="7CA0779B" w:rsidR="00E35809" w:rsidRPr="00E35809" w:rsidRDefault="00E35809" w:rsidP="009A7B6E">
            <w:pPr>
              <w:rPr>
                <w:rFonts w:cstheme="minorHAnsi"/>
              </w:rPr>
            </w:pPr>
          </w:p>
          <w:p w14:paraId="33197FC7" w14:textId="7900A634" w:rsidR="00E35809" w:rsidRPr="00E35809" w:rsidRDefault="00E35809" w:rsidP="009A7B6E">
            <w:pPr>
              <w:rPr>
                <w:rFonts w:cstheme="minorHAnsi"/>
              </w:rPr>
            </w:pPr>
            <w:r w:rsidRPr="00E35809">
              <w:rPr>
                <w:rFonts w:cstheme="minorHAnsi"/>
              </w:rPr>
              <w:t>The key drivers supporting the case for change are articulated in the FBC:</w:t>
            </w:r>
          </w:p>
          <w:p w14:paraId="461380BE" w14:textId="753ECBE4" w:rsidR="00E35809" w:rsidRPr="00E35809" w:rsidRDefault="00E35809" w:rsidP="009A7B6E">
            <w:pPr>
              <w:rPr>
                <w:rFonts w:cstheme="minorHAnsi"/>
              </w:rPr>
            </w:pPr>
          </w:p>
          <w:p w14:paraId="5FA21E5E" w14:textId="77777777" w:rsidR="00E35809" w:rsidRPr="00E35809" w:rsidRDefault="00E35809" w:rsidP="00766D06">
            <w:pPr>
              <w:pStyle w:val="ListParagraph"/>
              <w:numPr>
                <w:ilvl w:val="0"/>
                <w:numId w:val="10"/>
              </w:numPr>
              <w:autoSpaceDE w:val="0"/>
              <w:autoSpaceDN w:val="0"/>
              <w:adjustRightInd w:val="0"/>
              <w:spacing w:before="120" w:after="60" w:line="288" w:lineRule="auto"/>
              <w:jc w:val="both"/>
              <w:rPr>
                <w:rFonts w:asciiTheme="minorHAnsi" w:eastAsiaTheme="minorEastAsia" w:hAnsiTheme="minorHAnsi" w:cstheme="minorHAnsi"/>
              </w:rPr>
            </w:pPr>
            <w:r w:rsidRPr="00E35809">
              <w:rPr>
                <w:rFonts w:asciiTheme="minorHAnsi" w:eastAsiaTheme="minorEastAsia" w:hAnsiTheme="minorHAnsi" w:cstheme="minorHAnsi"/>
              </w:rPr>
              <w:t>The Welsh Government’s health and cancer policy to improve the quality of cancer treatment and care; to further improve the experience of care; and patient outcomes.</w:t>
            </w:r>
          </w:p>
          <w:p w14:paraId="6973E74B" w14:textId="77777777" w:rsidR="00E35809" w:rsidRPr="00E35809" w:rsidRDefault="00E35809" w:rsidP="00766D06">
            <w:pPr>
              <w:pStyle w:val="ListParagraph"/>
              <w:numPr>
                <w:ilvl w:val="0"/>
                <w:numId w:val="10"/>
              </w:numPr>
              <w:autoSpaceDE w:val="0"/>
              <w:autoSpaceDN w:val="0"/>
              <w:adjustRightInd w:val="0"/>
              <w:spacing w:before="120" w:after="60" w:line="288" w:lineRule="auto"/>
              <w:jc w:val="both"/>
              <w:rPr>
                <w:rFonts w:asciiTheme="minorHAnsi" w:eastAsiaTheme="minorHAnsi" w:hAnsiTheme="minorHAnsi" w:cstheme="minorHAnsi"/>
                <w:bCs/>
              </w:rPr>
            </w:pPr>
            <w:r w:rsidRPr="00E35809">
              <w:rPr>
                <w:rFonts w:asciiTheme="minorHAnsi" w:eastAsiaTheme="minorHAnsi" w:hAnsiTheme="minorHAnsi" w:cstheme="minorHAnsi"/>
                <w:bCs/>
              </w:rPr>
              <w:t xml:space="preserve">Continuing growth in the incidence of cancer and the demand for cancer services across Wales; with incidences expected to grow at approximately 2% per annum. </w:t>
            </w:r>
          </w:p>
          <w:p w14:paraId="1E7D1EB6" w14:textId="77777777" w:rsidR="00E35809" w:rsidRPr="00E35809" w:rsidRDefault="00E35809" w:rsidP="00766D06">
            <w:pPr>
              <w:pStyle w:val="ListParagraph"/>
              <w:numPr>
                <w:ilvl w:val="0"/>
                <w:numId w:val="10"/>
              </w:numPr>
              <w:autoSpaceDE w:val="0"/>
              <w:autoSpaceDN w:val="0"/>
              <w:adjustRightInd w:val="0"/>
              <w:spacing w:before="120" w:after="60" w:line="288" w:lineRule="auto"/>
              <w:jc w:val="both"/>
              <w:rPr>
                <w:rFonts w:asciiTheme="minorHAnsi" w:eastAsiaTheme="minorHAnsi" w:hAnsiTheme="minorHAnsi" w:cstheme="minorHAnsi"/>
                <w:bCs/>
              </w:rPr>
            </w:pPr>
            <w:r w:rsidRPr="00E35809">
              <w:rPr>
                <w:rFonts w:asciiTheme="minorHAnsi" w:eastAsiaTheme="minorHAnsi" w:hAnsiTheme="minorHAnsi" w:cstheme="minorHAnsi"/>
                <w:bCs/>
              </w:rPr>
              <w:t>The role of Velindre Cancer Services and Velindre Cancer Centre in the South-East Wales region as being the sole provider of highly specialist non-surgical tertiary oncology for the resident population.</w:t>
            </w:r>
          </w:p>
          <w:p w14:paraId="410FE643" w14:textId="7EA8453C" w:rsidR="00E35809" w:rsidRDefault="00E35809" w:rsidP="00766D06">
            <w:pPr>
              <w:pStyle w:val="ListParagraph"/>
              <w:numPr>
                <w:ilvl w:val="0"/>
                <w:numId w:val="10"/>
              </w:numPr>
              <w:autoSpaceDE w:val="0"/>
              <w:autoSpaceDN w:val="0"/>
              <w:adjustRightInd w:val="0"/>
              <w:spacing w:before="120" w:after="60" w:line="288" w:lineRule="auto"/>
              <w:jc w:val="both"/>
              <w:rPr>
                <w:rFonts w:asciiTheme="minorHAnsi" w:eastAsiaTheme="minorHAnsi" w:hAnsiTheme="minorHAnsi" w:cstheme="minorHAnsi"/>
                <w:bCs/>
              </w:rPr>
            </w:pPr>
            <w:r w:rsidRPr="00E35809">
              <w:rPr>
                <w:rFonts w:asciiTheme="minorHAnsi" w:eastAsiaTheme="minorHAnsi" w:hAnsiTheme="minorHAnsi" w:cstheme="minorHAnsi"/>
                <w:bCs/>
              </w:rPr>
              <w:t>The need to keep pace with the advances in treatments and technology which support the provision of cancer care that achieves the required clinical standards.</w:t>
            </w:r>
          </w:p>
          <w:p w14:paraId="18750470" w14:textId="77777777" w:rsidR="004F1B81" w:rsidRDefault="004F1B81" w:rsidP="004F1B81">
            <w:pPr>
              <w:pStyle w:val="ListParagraph"/>
              <w:autoSpaceDE w:val="0"/>
              <w:autoSpaceDN w:val="0"/>
              <w:adjustRightInd w:val="0"/>
              <w:spacing w:before="120" w:after="60" w:line="288" w:lineRule="auto"/>
              <w:jc w:val="both"/>
              <w:rPr>
                <w:rFonts w:asciiTheme="minorHAnsi" w:eastAsiaTheme="minorHAnsi" w:hAnsiTheme="minorHAnsi" w:cstheme="minorHAnsi"/>
                <w:bCs/>
              </w:rPr>
            </w:pPr>
          </w:p>
          <w:p w14:paraId="0DE68352" w14:textId="21ED8E13" w:rsidR="00E35809" w:rsidRDefault="00E35809" w:rsidP="00E35809">
            <w:pPr>
              <w:autoSpaceDE w:val="0"/>
              <w:autoSpaceDN w:val="0"/>
              <w:adjustRightInd w:val="0"/>
              <w:spacing w:before="120" w:after="60" w:line="288" w:lineRule="auto"/>
              <w:jc w:val="both"/>
              <w:rPr>
                <w:rFonts w:eastAsiaTheme="minorHAnsi" w:cstheme="minorHAnsi"/>
                <w:bCs/>
              </w:rPr>
            </w:pPr>
            <w:r>
              <w:rPr>
                <w:rFonts w:eastAsiaTheme="minorHAnsi" w:cstheme="minorHAnsi"/>
                <w:bCs/>
              </w:rPr>
              <w:lastRenderedPageBreak/>
              <w:t>The limitations of the existing VCC fabric and functionality are stated as:</w:t>
            </w:r>
          </w:p>
          <w:p w14:paraId="319BE083" w14:textId="77777777" w:rsidR="00E35809" w:rsidRPr="00E35809" w:rsidRDefault="00E35809" w:rsidP="00766D06">
            <w:pPr>
              <w:pStyle w:val="ListParagraph"/>
              <w:numPr>
                <w:ilvl w:val="0"/>
                <w:numId w:val="11"/>
              </w:numPr>
              <w:spacing w:before="120" w:after="60"/>
              <w:jc w:val="both"/>
              <w:rPr>
                <w:rFonts w:asciiTheme="minorHAnsi" w:eastAsia="SimSun" w:hAnsiTheme="minorHAnsi" w:cstheme="minorHAnsi"/>
                <w:lang w:val="en-AU" w:eastAsia="zh-CN"/>
              </w:rPr>
            </w:pPr>
            <w:r w:rsidRPr="00E35809">
              <w:rPr>
                <w:rFonts w:asciiTheme="minorHAnsi" w:eastAsia="SimSun" w:hAnsiTheme="minorHAnsi" w:cstheme="minorHAnsi"/>
                <w:lang w:val="en-AU" w:eastAsia="zh-CN"/>
              </w:rPr>
              <w:t>The existing Velindre Cancer Centre has insufficient space and if built on a ‘like for like’ basis, and in line with Health Building Notes (HBN’s), it would have a footprint of circa 28,000m2 compared to the existing building footprint of 17,777m2;</w:t>
            </w:r>
          </w:p>
          <w:p w14:paraId="4400D223" w14:textId="77777777" w:rsidR="00E35809" w:rsidRPr="00E35809" w:rsidRDefault="00E35809" w:rsidP="00766D06">
            <w:pPr>
              <w:pStyle w:val="ListParagraph"/>
              <w:numPr>
                <w:ilvl w:val="0"/>
                <w:numId w:val="11"/>
              </w:numPr>
              <w:spacing w:before="120" w:after="60"/>
              <w:jc w:val="both"/>
              <w:rPr>
                <w:rFonts w:asciiTheme="minorHAnsi" w:eastAsia="SimSun" w:hAnsiTheme="minorHAnsi" w:cstheme="minorHAnsi"/>
                <w:lang w:val="en-AU" w:eastAsia="zh-CN"/>
              </w:rPr>
            </w:pPr>
            <w:r w:rsidRPr="00E35809">
              <w:rPr>
                <w:rFonts w:asciiTheme="minorHAnsi" w:eastAsia="SimSun" w:hAnsiTheme="minorHAnsi" w:cstheme="minorHAnsi"/>
                <w:lang w:val="en-AU" w:eastAsia="zh-CN"/>
              </w:rPr>
              <w:t>The existing Velindre Cancer Centre (VCC) has no expansion space. For example, the Trust could not install any additional linear accelerators, which limits the Trust’s ability to expand its radiotherapy capacity in response to increasing demand for its clinical services.</w:t>
            </w:r>
          </w:p>
          <w:p w14:paraId="6E8A6CAB" w14:textId="77777777" w:rsidR="00E35809" w:rsidRPr="00E35809" w:rsidRDefault="00E35809" w:rsidP="00766D06">
            <w:pPr>
              <w:pStyle w:val="ListParagraph"/>
              <w:numPr>
                <w:ilvl w:val="0"/>
                <w:numId w:val="11"/>
              </w:numPr>
              <w:spacing w:before="120" w:after="60"/>
              <w:jc w:val="both"/>
              <w:rPr>
                <w:rFonts w:asciiTheme="minorHAnsi" w:eastAsia="SimSun" w:hAnsiTheme="minorHAnsi" w:cstheme="minorHAnsi"/>
                <w:lang w:val="en-AU" w:eastAsia="zh-CN"/>
              </w:rPr>
            </w:pPr>
            <w:r w:rsidRPr="00E35809">
              <w:rPr>
                <w:rFonts w:asciiTheme="minorHAnsi" w:eastAsia="SimSun" w:hAnsiTheme="minorHAnsi" w:cstheme="minorHAnsi"/>
                <w:lang w:val="en-AU" w:eastAsia="zh-CN"/>
              </w:rPr>
              <w:t>A high proportion of accommodation at the existing VCC is non-compliant with statutory requirements and creates challenges in maintaining high levels of patient safety and confidentiality.</w:t>
            </w:r>
          </w:p>
          <w:p w14:paraId="4F77C1CC" w14:textId="77777777" w:rsidR="00E35809" w:rsidRPr="00E35809" w:rsidRDefault="00E35809" w:rsidP="00766D06">
            <w:pPr>
              <w:pStyle w:val="ListParagraph"/>
              <w:numPr>
                <w:ilvl w:val="0"/>
                <w:numId w:val="11"/>
              </w:numPr>
              <w:spacing w:before="120" w:after="60"/>
              <w:jc w:val="both"/>
              <w:rPr>
                <w:rFonts w:asciiTheme="minorHAnsi" w:eastAsia="SimSun" w:hAnsiTheme="minorHAnsi" w:cstheme="minorHAnsi"/>
                <w:lang w:val="en-AU" w:eastAsia="zh-CN"/>
              </w:rPr>
            </w:pPr>
            <w:r w:rsidRPr="00E35809">
              <w:rPr>
                <w:rFonts w:asciiTheme="minorHAnsi" w:eastAsia="SimSun" w:hAnsiTheme="minorHAnsi" w:cstheme="minorHAnsi"/>
                <w:lang w:val="en-AU" w:eastAsia="zh-CN"/>
              </w:rPr>
              <w:t>The existing patient environment at the VCC is sub-optimal in promoting patient dignity, experience and well-being.</w:t>
            </w:r>
          </w:p>
          <w:p w14:paraId="4B23C200" w14:textId="77777777" w:rsidR="00E35809" w:rsidRPr="00E35809" w:rsidRDefault="00E35809" w:rsidP="00766D06">
            <w:pPr>
              <w:pStyle w:val="ListParagraph"/>
              <w:numPr>
                <w:ilvl w:val="0"/>
                <w:numId w:val="11"/>
              </w:numPr>
              <w:autoSpaceDE w:val="0"/>
              <w:autoSpaceDN w:val="0"/>
              <w:adjustRightInd w:val="0"/>
              <w:spacing w:before="120" w:after="60" w:line="288" w:lineRule="auto"/>
              <w:jc w:val="both"/>
              <w:rPr>
                <w:rFonts w:asciiTheme="minorHAnsi" w:eastAsiaTheme="minorHAnsi" w:hAnsiTheme="minorHAnsi" w:cstheme="minorHAnsi"/>
                <w:bCs/>
                <w:lang w:val="en-US" w:eastAsia="en-US"/>
              </w:rPr>
            </w:pPr>
            <w:r w:rsidRPr="00E35809">
              <w:rPr>
                <w:rFonts w:asciiTheme="minorHAnsi" w:eastAsia="SimSun" w:hAnsiTheme="minorHAnsi" w:cstheme="minorHAnsi"/>
                <w:lang w:val="en-AU" w:eastAsia="zh-CN"/>
              </w:rPr>
              <w:t xml:space="preserve">The existing VCC has limitations in its ability to provide the most up to date treatments for patients to support improved outcomes and quality of life. </w:t>
            </w:r>
          </w:p>
          <w:p w14:paraId="670C8F28" w14:textId="3F661AED" w:rsidR="00E35809" w:rsidRPr="00E35809" w:rsidRDefault="00E35809" w:rsidP="00766D06">
            <w:pPr>
              <w:pStyle w:val="ListParagraph"/>
              <w:numPr>
                <w:ilvl w:val="0"/>
                <w:numId w:val="11"/>
              </w:numPr>
              <w:autoSpaceDE w:val="0"/>
              <w:autoSpaceDN w:val="0"/>
              <w:adjustRightInd w:val="0"/>
              <w:spacing w:before="120" w:after="60" w:line="288" w:lineRule="auto"/>
              <w:jc w:val="both"/>
              <w:rPr>
                <w:rFonts w:asciiTheme="minorHAnsi" w:eastAsiaTheme="minorHAnsi" w:hAnsiTheme="minorHAnsi" w:cstheme="minorHAnsi"/>
                <w:bCs/>
              </w:rPr>
            </w:pPr>
            <w:r w:rsidRPr="00E35809">
              <w:rPr>
                <w:rFonts w:asciiTheme="minorHAnsi" w:eastAsia="SimSun" w:hAnsiTheme="minorHAnsi" w:cstheme="minorHAnsi"/>
                <w:lang w:val="en-AU" w:eastAsia="zh-CN"/>
              </w:rPr>
              <w:t>There is insufficient car parking at the existing VCC</w:t>
            </w:r>
          </w:p>
          <w:p w14:paraId="2650E36F" w14:textId="77777777" w:rsidR="005D4A53" w:rsidRPr="00E35809" w:rsidRDefault="005D4A53" w:rsidP="006B4F52">
            <w:pPr>
              <w:rPr>
                <w:rFonts w:cstheme="minorHAnsi"/>
              </w:rPr>
            </w:pPr>
          </w:p>
          <w:p w14:paraId="0831D904" w14:textId="23F47CB2" w:rsidR="004716E9" w:rsidRPr="004716E9" w:rsidRDefault="004716E9" w:rsidP="004716E9">
            <w:pPr>
              <w:rPr>
                <w:rFonts w:asciiTheme="majorHAnsi" w:hAnsiTheme="majorHAnsi" w:cstheme="majorHAnsi"/>
              </w:rPr>
            </w:pPr>
            <w:r w:rsidRPr="004716E9">
              <w:rPr>
                <w:rFonts w:asciiTheme="majorHAnsi" w:hAnsiTheme="majorHAnsi" w:cstheme="majorHAnsi"/>
              </w:rPr>
              <w:t>In 2015</w:t>
            </w:r>
            <w:r>
              <w:rPr>
                <w:rFonts w:asciiTheme="majorHAnsi" w:hAnsiTheme="majorHAnsi" w:cstheme="majorHAnsi"/>
              </w:rPr>
              <w:t>,</w:t>
            </w:r>
            <w:r w:rsidRPr="004716E9">
              <w:rPr>
                <w:rFonts w:asciiTheme="majorHAnsi" w:hAnsiTheme="majorHAnsi" w:cstheme="majorHAnsi"/>
              </w:rPr>
              <w:t xml:space="preserve"> </w:t>
            </w:r>
            <w:r w:rsidR="00E27E7C">
              <w:rPr>
                <w:rFonts w:asciiTheme="majorHAnsi" w:hAnsiTheme="majorHAnsi" w:cstheme="majorHAnsi"/>
              </w:rPr>
              <w:t>VUNHST</w:t>
            </w:r>
            <w:r w:rsidRPr="004716E9">
              <w:rPr>
                <w:rFonts w:asciiTheme="majorHAnsi" w:hAnsiTheme="majorHAnsi" w:cstheme="majorHAnsi"/>
              </w:rPr>
              <w:t xml:space="preserve"> established the Transforming Cancer Services in South East Wales Programme. The programme’s objectives are to:</w:t>
            </w:r>
          </w:p>
          <w:p w14:paraId="7B5F3110" w14:textId="77777777" w:rsidR="004716E9" w:rsidRDefault="004716E9" w:rsidP="00766D06">
            <w:pPr>
              <w:pStyle w:val="ListParagraph"/>
              <w:numPr>
                <w:ilvl w:val="0"/>
                <w:numId w:val="7"/>
              </w:numPr>
              <w:rPr>
                <w:rFonts w:asciiTheme="majorHAnsi" w:hAnsiTheme="majorHAnsi" w:cstheme="majorHAnsi"/>
              </w:rPr>
            </w:pPr>
            <w:r w:rsidRPr="004716E9">
              <w:rPr>
                <w:rFonts w:asciiTheme="majorHAnsi" w:hAnsiTheme="majorHAnsi" w:cstheme="majorHAnsi"/>
              </w:rPr>
              <w:t>Provide patients and carers with quality services that deliver optimal outcomes</w:t>
            </w:r>
          </w:p>
          <w:p w14:paraId="0DEA1F03" w14:textId="77777777" w:rsidR="004716E9" w:rsidRDefault="004716E9" w:rsidP="00766D06">
            <w:pPr>
              <w:pStyle w:val="ListParagraph"/>
              <w:numPr>
                <w:ilvl w:val="0"/>
                <w:numId w:val="7"/>
              </w:numPr>
              <w:rPr>
                <w:rFonts w:asciiTheme="majorHAnsi" w:hAnsiTheme="majorHAnsi" w:cstheme="majorHAnsi"/>
              </w:rPr>
            </w:pPr>
            <w:r w:rsidRPr="004716E9">
              <w:rPr>
                <w:rFonts w:asciiTheme="majorHAnsi" w:hAnsiTheme="majorHAnsi" w:cstheme="majorHAnsi"/>
              </w:rPr>
              <w:t>Deliver sustainable cancer services to the population in the most effective way</w:t>
            </w:r>
          </w:p>
          <w:p w14:paraId="69B474A7" w14:textId="77777777" w:rsidR="004716E9" w:rsidRDefault="004716E9" w:rsidP="00766D06">
            <w:pPr>
              <w:pStyle w:val="ListParagraph"/>
              <w:numPr>
                <w:ilvl w:val="0"/>
                <w:numId w:val="7"/>
              </w:numPr>
              <w:rPr>
                <w:rFonts w:asciiTheme="majorHAnsi" w:hAnsiTheme="majorHAnsi" w:cstheme="majorHAnsi"/>
              </w:rPr>
            </w:pPr>
            <w:r w:rsidRPr="004716E9">
              <w:rPr>
                <w:rFonts w:asciiTheme="majorHAnsi" w:hAnsiTheme="majorHAnsi" w:cstheme="majorHAnsi"/>
              </w:rPr>
              <w:t>Be a leader in education, research, development and innovation</w:t>
            </w:r>
          </w:p>
          <w:p w14:paraId="4AEC1E35" w14:textId="77777777" w:rsidR="004716E9" w:rsidRPr="004716E9" w:rsidRDefault="004716E9" w:rsidP="00766D06">
            <w:pPr>
              <w:pStyle w:val="ListParagraph"/>
              <w:numPr>
                <w:ilvl w:val="0"/>
                <w:numId w:val="7"/>
              </w:numPr>
              <w:rPr>
                <w:rFonts w:asciiTheme="majorHAnsi" w:hAnsiTheme="majorHAnsi" w:cstheme="majorHAnsi"/>
              </w:rPr>
            </w:pPr>
            <w:r w:rsidRPr="004716E9">
              <w:rPr>
                <w:rFonts w:asciiTheme="majorHAnsi" w:hAnsiTheme="majorHAnsi" w:cstheme="majorHAnsi"/>
              </w:rPr>
              <w:t>Comply with relevant standards</w:t>
            </w:r>
          </w:p>
          <w:p w14:paraId="18E08DEC" w14:textId="77777777" w:rsidR="00416694" w:rsidRDefault="00416694" w:rsidP="006B4F52">
            <w:pPr>
              <w:rPr>
                <w:rFonts w:asciiTheme="majorHAnsi" w:hAnsiTheme="majorHAnsi" w:cstheme="majorHAnsi"/>
              </w:rPr>
            </w:pPr>
          </w:p>
          <w:p w14:paraId="79B15AB1" w14:textId="0211455B" w:rsidR="004716E9" w:rsidRDefault="004716E9" w:rsidP="006B4F52">
            <w:pPr>
              <w:rPr>
                <w:rFonts w:asciiTheme="majorHAnsi" w:hAnsiTheme="majorHAnsi" w:cstheme="majorHAnsi"/>
              </w:rPr>
            </w:pPr>
            <w:r>
              <w:rPr>
                <w:rFonts w:asciiTheme="majorHAnsi" w:hAnsiTheme="majorHAnsi" w:cstheme="majorHAnsi"/>
              </w:rPr>
              <w:t xml:space="preserve">In September 2022, the </w:t>
            </w:r>
            <w:r w:rsidR="008D78C8">
              <w:rPr>
                <w:rFonts w:asciiTheme="majorHAnsi" w:hAnsiTheme="majorHAnsi" w:cstheme="majorHAnsi"/>
              </w:rPr>
              <w:t xml:space="preserve">Health </w:t>
            </w:r>
            <w:r>
              <w:rPr>
                <w:rFonts w:asciiTheme="majorHAnsi" w:hAnsiTheme="majorHAnsi" w:cstheme="majorHAnsi"/>
              </w:rPr>
              <w:t xml:space="preserve">Board gave its support to </w:t>
            </w:r>
            <w:r w:rsidR="00416694">
              <w:rPr>
                <w:rFonts w:asciiTheme="majorHAnsi" w:hAnsiTheme="majorHAnsi" w:cstheme="majorHAnsi"/>
              </w:rPr>
              <w:t>two capital and revenue investment full business cases</w:t>
            </w:r>
            <w:r w:rsidR="008D78C8">
              <w:rPr>
                <w:rFonts w:asciiTheme="majorHAnsi" w:hAnsiTheme="majorHAnsi" w:cstheme="majorHAnsi"/>
              </w:rPr>
              <w:t xml:space="preserve"> related to oncology services</w:t>
            </w:r>
            <w:r w:rsidR="00416694">
              <w:rPr>
                <w:rFonts w:asciiTheme="majorHAnsi" w:hAnsiTheme="majorHAnsi" w:cstheme="majorHAnsi"/>
              </w:rPr>
              <w:t>:</w:t>
            </w:r>
          </w:p>
          <w:p w14:paraId="23F12ED7" w14:textId="77777777" w:rsidR="00416694" w:rsidRDefault="00416694" w:rsidP="00766D06">
            <w:pPr>
              <w:pStyle w:val="ListParagraph"/>
              <w:numPr>
                <w:ilvl w:val="0"/>
                <w:numId w:val="7"/>
              </w:numPr>
              <w:rPr>
                <w:rFonts w:asciiTheme="majorHAnsi" w:hAnsiTheme="majorHAnsi" w:cstheme="majorHAnsi"/>
              </w:rPr>
            </w:pPr>
            <w:r>
              <w:rPr>
                <w:rFonts w:asciiTheme="majorHAnsi" w:hAnsiTheme="majorHAnsi" w:cstheme="majorHAnsi"/>
              </w:rPr>
              <w:t>Integrated Radiotherapy Solution to replace the existing 8 linear accelerators</w:t>
            </w:r>
            <w:r w:rsidRPr="004716E9">
              <w:rPr>
                <w:rFonts w:asciiTheme="majorHAnsi" w:hAnsiTheme="majorHAnsi" w:cstheme="majorHAnsi"/>
              </w:rPr>
              <w:t xml:space="preserve"> </w:t>
            </w:r>
          </w:p>
          <w:p w14:paraId="769EAF5D" w14:textId="77777777" w:rsidR="00416694" w:rsidRDefault="00B816F4" w:rsidP="00766D06">
            <w:pPr>
              <w:pStyle w:val="ListParagraph"/>
              <w:numPr>
                <w:ilvl w:val="0"/>
                <w:numId w:val="7"/>
              </w:numPr>
              <w:rPr>
                <w:rFonts w:asciiTheme="majorHAnsi" w:hAnsiTheme="majorHAnsi" w:cstheme="majorHAnsi"/>
              </w:rPr>
            </w:pPr>
            <w:r>
              <w:rPr>
                <w:rFonts w:asciiTheme="majorHAnsi" w:hAnsiTheme="majorHAnsi" w:cstheme="majorHAnsi"/>
              </w:rPr>
              <w:t>R</w:t>
            </w:r>
            <w:r w:rsidR="00416694" w:rsidRPr="00142586">
              <w:rPr>
                <w:rFonts w:asciiTheme="majorHAnsi" w:hAnsiTheme="majorHAnsi" w:cstheme="majorHAnsi"/>
              </w:rPr>
              <w:t xml:space="preserve">adiotherapy </w:t>
            </w:r>
            <w:r w:rsidRPr="00142586">
              <w:rPr>
                <w:rFonts w:asciiTheme="majorHAnsi" w:hAnsiTheme="majorHAnsi" w:cstheme="majorHAnsi"/>
              </w:rPr>
              <w:t xml:space="preserve">satellite </w:t>
            </w:r>
            <w:r w:rsidR="00416694" w:rsidRPr="00142586">
              <w:rPr>
                <w:rFonts w:asciiTheme="majorHAnsi" w:hAnsiTheme="majorHAnsi" w:cstheme="majorHAnsi"/>
              </w:rPr>
              <w:t xml:space="preserve">centre </w:t>
            </w:r>
            <w:r>
              <w:rPr>
                <w:rFonts w:asciiTheme="majorHAnsi" w:hAnsiTheme="majorHAnsi" w:cstheme="majorHAnsi"/>
              </w:rPr>
              <w:t xml:space="preserve">at Neville Hall Hospital </w:t>
            </w:r>
            <w:r w:rsidR="00416694" w:rsidRPr="00142586">
              <w:rPr>
                <w:rFonts w:asciiTheme="majorHAnsi" w:hAnsiTheme="majorHAnsi" w:cstheme="majorHAnsi"/>
              </w:rPr>
              <w:t>in Abergavenny</w:t>
            </w:r>
            <w:r w:rsidR="00416694" w:rsidRPr="004716E9">
              <w:rPr>
                <w:rFonts w:asciiTheme="majorHAnsi" w:hAnsiTheme="majorHAnsi" w:cstheme="majorHAnsi"/>
              </w:rPr>
              <w:t xml:space="preserve"> </w:t>
            </w:r>
            <w:r w:rsidR="00416694">
              <w:rPr>
                <w:rFonts w:asciiTheme="majorHAnsi" w:hAnsiTheme="majorHAnsi" w:cstheme="majorHAnsi"/>
              </w:rPr>
              <w:t>to provide additional capacity to meet future needs</w:t>
            </w:r>
          </w:p>
          <w:p w14:paraId="40BA8B01" w14:textId="77777777" w:rsidR="00B816F4" w:rsidRDefault="00B816F4" w:rsidP="006B4F52">
            <w:pPr>
              <w:rPr>
                <w:rFonts w:asciiTheme="majorHAnsi" w:hAnsiTheme="majorHAnsi" w:cstheme="majorHAnsi"/>
              </w:rPr>
            </w:pPr>
          </w:p>
          <w:p w14:paraId="4F7387E5" w14:textId="7A322D58" w:rsidR="00416694" w:rsidRDefault="00B816F4" w:rsidP="006B4F52">
            <w:pPr>
              <w:rPr>
                <w:rFonts w:asciiTheme="majorHAnsi" w:hAnsiTheme="majorHAnsi" w:cstheme="majorHAnsi"/>
              </w:rPr>
            </w:pPr>
            <w:r>
              <w:rPr>
                <w:rFonts w:asciiTheme="majorHAnsi" w:hAnsiTheme="majorHAnsi" w:cstheme="majorHAnsi"/>
              </w:rPr>
              <w:t xml:space="preserve">Both of these </w:t>
            </w:r>
            <w:r w:rsidR="00513FF2">
              <w:rPr>
                <w:rFonts w:asciiTheme="majorHAnsi" w:hAnsiTheme="majorHAnsi" w:cstheme="majorHAnsi"/>
              </w:rPr>
              <w:t xml:space="preserve">cases </w:t>
            </w:r>
            <w:r>
              <w:rPr>
                <w:rFonts w:asciiTheme="majorHAnsi" w:hAnsiTheme="majorHAnsi" w:cstheme="majorHAnsi"/>
              </w:rPr>
              <w:t xml:space="preserve">are with Welsh Government for the Minister to </w:t>
            </w:r>
            <w:r w:rsidR="00F80C92">
              <w:rPr>
                <w:rFonts w:asciiTheme="majorHAnsi" w:hAnsiTheme="majorHAnsi" w:cstheme="majorHAnsi"/>
              </w:rPr>
              <w:t>decide</w:t>
            </w:r>
            <w:r>
              <w:rPr>
                <w:rFonts w:asciiTheme="majorHAnsi" w:hAnsiTheme="majorHAnsi" w:cstheme="majorHAnsi"/>
              </w:rPr>
              <w:t xml:space="preserve"> on.  </w:t>
            </w:r>
            <w:r w:rsidR="00F80C92">
              <w:rPr>
                <w:rFonts w:asciiTheme="majorHAnsi" w:hAnsiTheme="majorHAnsi" w:cstheme="majorHAnsi"/>
              </w:rPr>
              <w:t xml:space="preserve">Additionally, </w:t>
            </w:r>
            <w:r w:rsidR="00F80C92" w:rsidRPr="004716E9">
              <w:rPr>
                <w:rFonts w:asciiTheme="majorHAnsi" w:hAnsiTheme="majorHAnsi" w:cstheme="majorHAnsi"/>
              </w:rPr>
              <w:t>enabling</w:t>
            </w:r>
            <w:r w:rsidRPr="004716E9">
              <w:rPr>
                <w:rFonts w:asciiTheme="majorHAnsi" w:hAnsiTheme="majorHAnsi" w:cstheme="majorHAnsi"/>
              </w:rPr>
              <w:t xml:space="preserve"> works for the new Velindre Cancer Centre</w:t>
            </w:r>
            <w:r>
              <w:rPr>
                <w:rFonts w:asciiTheme="majorHAnsi" w:hAnsiTheme="majorHAnsi" w:cstheme="majorHAnsi"/>
              </w:rPr>
              <w:t xml:space="preserve"> have begun, supported by a £</w:t>
            </w:r>
            <w:r w:rsidR="00B82165">
              <w:rPr>
                <w:rFonts w:asciiTheme="majorHAnsi" w:hAnsiTheme="majorHAnsi" w:cstheme="majorHAnsi"/>
              </w:rPr>
              <w:t>28</w:t>
            </w:r>
            <w:r>
              <w:rPr>
                <w:rFonts w:asciiTheme="majorHAnsi" w:hAnsiTheme="majorHAnsi" w:cstheme="majorHAnsi"/>
              </w:rPr>
              <w:t xml:space="preserve">m investment </w:t>
            </w:r>
            <w:r w:rsidR="00F80C92">
              <w:rPr>
                <w:rFonts w:asciiTheme="majorHAnsi" w:hAnsiTheme="majorHAnsi" w:cstheme="majorHAnsi"/>
              </w:rPr>
              <w:t>by Welsh</w:t>
            </w:r>
            <w:r>
              <w:rPr>
                <w:rFonts w:asciiTheme="majorHAnsi" w:hAnsiTheme="majorHAnsi" w:cstheme="majorHAnsi"/>
              </w:rPr>
              <w:t xml:space="preserve"> Government.</w:t>
            </w:r>
          </w:p>
          <w:p w14:paraId="451E83C2" w14:textId="3EB18DF5" w:rsidR="00935600" w:rsidRDefault="00935600" w:rsidP="006B4F52">
            <w:pPr>
              <w:rPr>
                <w:rFonts w:asciiTheme="majorHAnsi" w:hAnsiTheme="majorHAnsi" w:cstheme="majorHAnsi"/>
              </w:rPr>
            </w:pPr>
          </w:p>
          <w:p w14:paraId="3C9FB9BC" w14:textId="21C35180" w:rsidR="00935600" w:rsidRDefault="00935600" w:rsidP="006B4F52">
            <w:pPr>
              <w:rPr>
                <w:rFonts w:asciiTheme="majorHAnsi" w:hAnsiTheme="majorHAnsi" w:cstheme="majorHAnsi"/>
              </w:rPr>
            </w:pPr>
            <w:r>
              <w:rPr>
                <w:rFonts w:asciiTheme="majorHAnsi" w:hAnsiTheme="majorHAnsi" w:cstheme="majorHAnsi"/>
              </w:rPr>
              <w:t>CAVUHB is working closely with Velindre and other regional partners to drive the Transforming Cancer Services programme forward, through the South East Wales Cancer Collaborative and a formal partnership with Velindre, overseeing the implementation of the Nuffield report recommendations. This includes the management of higher risk patients and treatments and development of collaborative research facilities which need to take place on an acute hospital site. Associated with this work programme, a CAV</w:t>
            </w:r>
            <w:bookmarkStart w:id="0" w:name="_GoBack"/>
            <w:bookmarkEnd w:id="0"/>
            <w:r>
              <w:rPr>
                <w:rFonts w:asciiTheme="majorHAnsi" w:hAnsiTheme="majorHAnsi" w:cstheme="majorHAnsi"/>
              </w:rPr>
              <w:t xml:space="preserve">UHB capital business case is in progress to develop the BMT and Haematology services, the Acute Oncology Service and a Joint Centre Research Hub. </w:t>
            </w:r>
          </w:p>
          <w:p w14:paraId="67A73FE5" w14:textId="164B1ED1" w:rsidR="00711601" w:rsidRDefault="00711601" w:rsidP="006B4F52">
            <w:pPr>
              <w:rPr>
                <w:rFonts w:asciiTheme="majorHAnsi" w:hAnsiTheme="majorHAnsi" w:cstheme="majorHAnsi"/>
              </w:rPr>
            </w:pPr>
          </w:p>
          <w:p w14:paraId="5DB320AA" w14:textId="77777777" w:rsidR="00711601" w:rsidRDefault="00711601" w:rsidP="00711601">
            <w:pPr>
              <w:rPr>
                <w:rFonts w:asciiTheme="majorHAnsi" w:hAnsiTheme="majorHAnsi" w:cstheme="majorHAnsi"/>
              </w:rPr>
            </w:pPr>
            <w:r>
              <w:rPr>
                <w:rFonts w:asciiTheme="majorHAnsi" w:hAnsiTheme="majorHAnsi" w:cstheme="majorHAnsi"/>
              </w:rPr>
              <w:t xml:space="preserve">Velindre commissioned advice from the Nuffield Trust on the proposed model for non-surgical tertiary oncology services. The Nuffield Report stated that stand alone cancer centres are no longer the preferred model and most new cancer centres are co-located with acute hospitals. However, given the condition of the Velindre estate and the timescales for the new UHW, the </w:t>
            </w:r>
            <w:proofErr w:type="spellStart"/>
            <w:r>
              <w:rPr>
                <w:rFonts w:asciiTheme="majorHAnsi" w:hAnsiTheme="majorHAnsi" w:cstheme="majorHAnsi"/>
              </w:rPr>
              <w:t>nVCC</w:t>
            </w:r>
            <w:proofErr w:type="spellEnd"/>
            <w:r>
              <w:rPr>
                <w:rFonts w:asciiTheme="majorHAnsi" w:hAnsiTheme="majorHAnsi" w:cstheme="majorHAnsi"/>
              </w:rPr>
              <w:t xml:space="preserve"> proposal represented the most appropriate solution at the time of the report in December 2020. </w:t>
            </w:r>
          </w:p>
          <w:p w14:paraId="3BF8EF2D" w14:textId="77777777" w:rsidR="00711601" w:rsidRDefault="00711601" w:rsidP="00711601">
            <w:pPr>
              <w:rPr>
                <w:rFonts w:asciiTheme="majorHAnsi" w:hAnsiTheme="majorHAnsi" w:cstheme="majorHAnsi"/>
              </w:rPr>
            </w:pPr>
          </w:p>
          <w:p w14:paraId="6020CC04" w14:textId="5C37F70E" w:rsidR="004716E9" w:rsidRDefault="00711601" w:rsidP="006B4F52">
            <w:pPr>
              <w:rPr>
                <w:rFonts w:asciiTheme="majorHAnsi" w:hAnsiTheme="majorHAnsi" w:cstheme="majorHAnsi"/>
              </w:rPr>
            </w:pPr>
            <w:r>
              <w:rPr>
                <w:rFonts w:asciiTheme="majorHAnsi" w:hAnsiTheme="majorHAnsi" w:cstheme="majorHAnsi"/>
              </w:rPr>
              <w:t>It should be noted that a strategic review of Mount Vernon Cancer Centre in Hertfordshire by NHS England, concluded that stand alone cancer centres not on an acute hospital site need more clinical staff to manage the risks associated with patients becoming acutely unwell. It is recognised that with the increasing toxicities associated with innovative new treatments, such as immunotherapy, that this is a growing risk.</w:t>
            </w:r>
          </w:p>
          <w:p w14:paraId="653FAF22" w14:textId="7F4F2F20" w:rsidR="00416694" w:rsidRPr="00513FF2" w:rsidRDefault="00416694" w:rsidP="00416694">
            <w:pPr>
              <w:rPr>
                <w:rFonts w:asciiTheme="majorHAnsi" w:hAnsiTheme="majorHAnsi" w:cstheme="majorHAnsi"/>
                <w:b/>
                <w:u w:val="single"/>
              </w:rPr>
            </w:pPr>
            <w:r w:rsidRPr="00513FF2">
              <w:rPr>
                <w:rFonts w:asciiTheme="majorHAnsi" w:hAnsiTheme="majorHAnsi" w:cstheme="majorHAnsi"/>
                <w:b/>
                <w:u w:val="single"/>
              </w:rPr>
              <w:lastRenderedPageBreak/>
              <w:t>Current Situation</w:t>
            </w:r>
          </w:p>
          <w:p w14:paraId="10DFC63E" w14:textId="09621F14" w:rsidR="002B7E56" w:rsidRDefault="00C30ED1" w:rsidP="006B4F52">
            <w:pPr>
              <w:rPr>
                <w:rFonts w:asciiTheme="majorHAnsi" w:hAnsiTheme="majorHAnsi" w:cstheme="majorHAnsi"/>
              </w:rPr>
            </w:pPr>
            <w:r>
              <w:rPr>
                <w:rFonts w:asciiTheme="majorHAnsi" w:hAnsiTheme="majorHAnsi" w:cstheme="majorHAnsi"/>
              </w:rPr>
              <w:t>The Outline Business Case was approved by health boards in 201</w:t>
            </w:r>
            <w:r w:rsidR="000A5F29">
              <w:rPr>
                <w:rFonts w:asciiTheme="majorHAnsi" w:hAnsiTheme="majorHAnsi" w:cstheme="majorHAnsi"/>
              </w:rPr>
              <w:t>8</w:t>
            </w:r>
            <w:r w:rsidR="00F80C92">
              <w:rPr>
                <w:rFonts w:asciiTheme="majorHAnsi" w:hAnsiTheme="majorHAnsi" w:cstheme="majorHAnsi"/>
              </w:rPr>
              <w:t>.  A</w:t>
            </w:r>
            <w:r>
              <w:rPr>
                <w:rFonts w:asciiTheme="majorHAnsi" w:hAnsiTheme="majorHAnsi" w:cstheme="majorHAnsi"/>
              </w:rPr>
              <w:t>n update to the OBC was</w:t>
            </w:r>
            <w:r w:rsidR="00F80C92">
              <w:rPr>
                <w:rFonts w:asciiTheme="majorHAnsi" w:hAnsiTheme="majorHAnsi" w:cstheme="majorHAnsi"/>
              </w:rPr>
              <w:t xml:space="preserve"> requ</w:t>
            </w:r>
            <w:r w:rsidR="00F4445B">
              <w:rPr>
                <w:rFonts w:asciiTheme="majorHAnsi" w:hAnsiTheme="majorHAnsi" w:cstheme="majorHAnsi"/>
              </w:rPr>
              <w:t>e</w:t>
            </w:r>
            <w:r w:rsidR="00F80C92">
              <w:rPr>
                <w:rFonts w:asciiTheme="majorHAnsi" w:hAnsiTheme="majorHAnsi" w:cstheme="majorHAnsi"/>
              </w:rPr>
              <w:t>sted</w:t>
            </w:r>
            <w:r>
              <w:rPr>
                <w:rFonts w:asciiTheme="majorHAnsi" w:hAnsiTheme="majorHAnsi" w:cstheme="majorHAnsi"/>
              </w:rPr>
              <w:t xml:space="preserve"> by Welsh Government in </w:t>
            </w:r>
            <w:r w:rsidR="00F80C92">
              <w:rPr>
                <w:rFonts w:asciiTheme="majorHAnsi" w:hAnsiTheme="majorHAnsi" w:cstheme="majorHAnsi"/>
              </w:rPr>
              <w:t xml:space="preserve">2020 and agreed </w:t>
            </w:r>
            <w:r w:rsidR="00BE510B">
              <w:rPr>
                <w:rFonts w:asciiTheme="majorHAnsi" w:hAnsiTheme="majorHAnsi" w:cstheme="majorHAnsi"/>
              </w:rPr>
              <w:t xml:space="preserve">by WG </w:t>
            </w:r>
            <w:r w:rsidR="00F80C92">
              <w:rPr>
                <w:rFonts w:asciiTheme="majorHAnsi" w:hAnsiTheme="majorHAnsi" w:cstheme="majorHAnsi"/>
              </w:rPr>
              <w:t xml:space="preserve">in </w:t>
            </w:r>
            <w:r>
              <w:rPr>
                <w:rFonts w:asciiTheme="majorHAnsi" w:hAnsiTheme="majorHAnsi" w:cstheme="majorHAnsi"/>
              </w:rPr>
              <w:t>20</w:t>
            </w:r>
            <w:r w:rsidR="001223E7">
              <w:rPr>
                <w:rFonts w:asciiTheme="majorHAnsi" w:hAnsiTheme="majorHAnsi" w:cstheme="majorHAnsi"/>
              </w:rPr>
              <w:t>2</w:t>
            </w:r>
            <w:r w:rsidR="00F80C92">
              <w:rPr>
                <w:rFonts w:asciiTheme="majorHAnsi" w:hAnsiTheme="majorHAnsi" w:cstheme="majorHAnsi"/>
              </w:rPr>
              <w:t>1</w:t>
            </w:r>
            <w:r>
              <w:rPr>
                <w:rFonts w:asciiTheme="majorHAnsi" w:hAnsiTheme="majorHAnsi" w:cstheme="majorHAnsi"/>
              </w:rPr>
              <w:t xml:space="preserve">, </w:t>
            </w:r>
            <w:r w:rsidR="00F80C92">
              <w:rPr>
                <w:rFonts w:asciiTheme="majorHAnsi" w:hAnsiTheme="majorHAnsi" w:cstheme="majorHAnsi"/>
              </w:rPr>
              <w:t xml:space="preserve">although </w:t>
            </w:r>
            <w:r>
              <w:rPr>
                <w:rFonts w:asciiTheme="majorHAnsi" w:hAnsiTheme="majorHAnsi" w:cstheme="majorHAnsi"/>
              </w:rPr>
              <w:t xml:space="preserve">this </w:t>
            </w:r>
            <w:r w:rsidR="008C2591">
              <w:rPr>
                <w:rFonts w:asciiTheme="majorHAnsi" w:hAnsiTheme="majorHAnsi" w:cstheme="majorHAnsi"/>
              </w:rPr>
              <w:t xml:space="preserve">update </w:t>
            </w:r>
            <w:r>
              <w:rPr>
                <w:rFonts w:asciiTheme="majorHAnsi" w:hAnsiTheme="majorHAnsi" w:cstheme="majorHAnsi"/>
              </w:rPr>
              <w:t xml:space="preserve">was not </w:t>
            </w:r>
            <w:r w:rsidR="00F80C92">
              <w:rPr>
                <w:rFonts w:asciiTheme="majorHAnsi" w:hAnsiTheme="majorHAnsi" w:cstheme="majorHAnsi"/>
              </w:rPr>
              <w:t xml:space="preserve">circulated </w:t>
            </w:r>
            <w:r w:rsidR="008C2591">
              <w:rPr>
                <w:rFonts w:asciiTheme="majorHAnsi" w:hAnsiTheme="majorHAnsi" w:cstheme="majorHAnsi"/>
              </w:rPr>
              <w:t xml:space="preserve">to health boards </w:t>
            </w:r>
            <w:r w:rsidR="00F80C92">
              <w:rPr>
                <w:rFonts w:asciiTheme="majorHAnsi" w:hAnsiTheme="majorHAnsi" w:cstheme="majorHAnsi"/>
              </w:rPr>
              <w:t>until recently</w:t>
            </w:r>
            <w:r w:rsidR="008C2591">
              <w:rPr>
                <w:rFonts w:asciiTheme="majorHAnsi" w:hAnsiTheme="majorHAnsi" w:cstheme="majorHAnsi"/>
              </w:rPr>
              <w:t xml:space="preserve">. This approval has led to the development of the Full Business Case and progression to procurement using the WG Mutual Investment Model (MIM). A strategic partner has been secured, the </w:t>
            </w:r>
            <w:r w:rsidR="00A72D39">
              <w:rPr>
                <w:rFonts w:asciiTheme="majorHAnsi" w:hAnsiTheme="majorHAnsi" w:cstheme="majorHAnsi"/>
              </w:rPr>
              <w:t>ACORN</w:t>
            </w:r>
            <w:r w:rsidR="008C2591">
              <w:rPr>
                <w:rFonts w:asciiTheme="majorHAnsi" w:hAnsiTheme="majorHAnsi" w:cstheme="majorHAnsi"/>
              </w:rPr>
              <w:t xml:space="preserve"> Consortium, and the design phase has been completed enabling the finalis</w:t>
            </w:r>
            <w:r w:rsidR="00A72D39">
              <w:rPr>
                <w:rFonts w:asciiTheme="majorHAnsi" w:hAnsiTheme="majorHAnsi" w:cstheme="majorHAnsi"/>
              </w:rPr>
              <w:t>ation</w:t>
            </w:r>
            <w:r w:rsidR="008C2591">
              <w:rPr>
                <w:rFonts w:asciiTheme="majorHAnsi" w:hAnsiTheme="majorHAnsi" w:cstheme="majorHAnsi"/>
              </w:rPr>
              <w:t xml:space="preserve"> of the costs for the FBC. </w:t>
            </w:r>
            <w:r w:rsidR="00BE510B">
              <w:rPr>
                <w:rFonts w:asciiTheme="majorHAnsi" w:hAnsiTheme="majorHAnsi" w:cstheme="majorHAnsi"/>
              </w:rPr>
              <w:t>Financial close for the deal is scheduled for March 2023, but can only take place once the FBC is approved by the Minister.</w:t>
            </w:r>
            <w:r w:rsidR="003B1C23">
              <w:rPr>
                <w:rFonts w:asciiTheme="majorHAnsi" w:hAnsiTheme="majorHAnsi" w:cstheme="majorHAnsi"/>
              </w:rPr>
              <w:t xml:space="preserve"> The MIM funding model for the </w:t>
            </w:r>
            <w:proofErr w:type="spellStart"/>
            <w:r w:rsidR="003B1C23">
              <w:rPr>
                <w:rFonts w:asciiTheme="majorHAnsi" w:hAnsiTheme="majorHAnsi" w:cstheme="majorHAnsi"/>
              </w:rPr>
              <w:t>nVCC</w:t>
            </w:r>
            <w:proofErr w:type="spellEnd"/>
            <w:r w:rsidR="003B1C23">
              <w:rPr>
                <w:rFonts w:asciiTheme="majorHAnsi" w:hAnsiTheme="majorHAnsi" w:cstheme="majorHAnsi"/>
              </w:rPr>
              <w:t xml:space="preserve"> is part of a Welsh Government pilot of three schemes and this will enable release of capital funding from the Welsh Government treasury</w:t>
            </w:r>
            <w:r w:rsidR="00F72C43">
              <w:rPr>
                <w:rFonts w:asciiTheme="majorHAnsi" w:hAnsiTheme="majorHAnsi" w:cstheme="majorHAnsi"/>
              </w:rPr>
              <w:t xml:space="preserve"> not the Health and Social Services capital budget</w:t>
            </w:r>
            <w:r w:rsidR="003B1C23">
              <w:rPr>
                <w:rFonts w:asciiTheme="majorHAnsi" w:hAnsiTheme="majorHAnsi" w:cstheme="majorHAnsi"/>
              </w:rPr>
              <w:t xml:space="preserve">, </w:t>
            </w:r>
            <w:r w:rsidR="00F72C43">
              <w:rPr>
                <w:rFonts w:asciiTheme="majorHAnsi" w:hAnsiTheme="majorHAnsi" w:cstheme="majorHAnsi"/>
              </w:rPr>
              <w:t>and if this scheme is not approved, this funding</w:t>
            </w:r>
            <w:r w:rsidR="003B1C23">
              <w:rPr>
                <w:rFonts w:asciiTheme="majorHAnsi" w:hAnsiTheme="majorHAnsi" w:cstheme="majorHAnsi"/>
              </w:rPr>
              <w:t xml:space="preserve"> might not otherwise flow to health schemes.</w:t>
            </w:r>
            <w:r w:rsidR="00F72C43">
              <w:rPr>
                <w:rFonts w:asciiTheme="majorHAnsi" w:hAnsiTheme="majorHAnsi" w:cstheme="majorHAnsi"/>
              </w:rPr>
              <w:t xml:space="preserve"> Approval of the capital components of the business case are the responsibility of Welsh Government as they will be responsible for the annual service payment over the </w:t>
            </w:r>
            <w:r w:rsidR="00D21738">
              <w:rPr>
                <w:rFonts w:asciiTheme="majorHAnsi" w:hAnsiTheme="majorHAnsi" w:cstheme="majorHAnsi"/>
              </w:rPr>
              <w:t>25-year</w:t>
            </w:r>
            <w:r w:rsidR="00F72C43">
              <w:rPr>
                <w:rFonts w:asciiTheme="majorHAnsi" w:hAnsiTheme="majorHAnsi" w:cstheme="majorHAnsi"/>
              </w:rPr>
              <w:t xml:space="preserve"> life span of the MIM agreement.</w:t>
            </w:r>
          </w:p>
          <w:p w14:paraId="73C503C0" w14:textId="77777777" w:rsidR="008C2591" w:rsidRDefault="008C2591" w:rsidP="006B4F52">
            <w:pPr>
              <w:rPr>
                <w:rFonts w:asciiTheme="majorHAnsi" w:hAnsiTheme="majorHAnsi" w:cstheme="majorHAnsi"/>
              </w:rPr>
            </w:pPr>
          </w:p>
          <w:p w14:paraId="682DC4AC" w14:textId="5E359978" w:rsidR="008C2591" w:rsidRDefault="008C2591" w:rsidP="008C2591">
            <w:pPr>
              <w:rPr>
                <w:rFonts w:eastAsiaTheme="minorHAnsi"/>
                <w:sz w:val="22"/>
                <w:szCs w:val="22"/>
              </w:rPr>
            </w:pPr>
            <w:r>
              <w:t xml:space="preserve">As part of the development of the OBC, </w:t>
            </w:r>
            <w:r w:rsidR="00C10DC2">
              <w:t xml:space="preserve">the </w:t>
            </w:r>
            <w:r>
              <w:t>Velindre and</w:t>
            </w:r>
            <w:r w:rsidR="00BE510B">
              <w:t xml:space="preserve"> Health Board </w:t>
            </w:r>
            <w:proofErr w:type="spellStart"/>
            <w:r>
              <w:t>DoFs</w:t>
            </w:r>
            <w:proofErr w:type="spellEnd"/>
            <w:r>
              <w:t xml:space="preserve"> agreed a Financial Framework that focused on the investment dependent costs to facilitate decisions relating to replacement of the existing Velindre Cancer Centre with a new hospital</w:t>
            </w:r>
            <w:r w:rsidR="00C10DC2">
              <w:t>,</w:t>
            </w:r>
            <w:r>
              <w:t xml:space="preserve"> i.e. only costs driven by the new hospital investment decision were considered and costs driven by activity demand growth or other factors that are a constant for all options were not considered in the OBC.</w:t>
            </w:r>
          </w:p>
          <w:p w14:paraId="3EDEF84A" w14:textId="77777777" w:rsidR="008C2591" w:rsidRDefault="008C2591" w:rsidP="008C2591"/>
          <w:p w14:paraId="027E1490" w14:textId="118694B2" w:rsidR="008C2591" w:rsidRDefault="008C2591" w:rsidP="008C2591">
            <w:r>
              <w:t xml:space="preserve">This Financial Framework was the model through which the Financial Case </w:t>
            </w:r>
            <w:r w:rsidR="00BE510B">
              <w:t xml:space="preserve">in the OBC </w:t>
            </w:r>
            <w:r>
              <w:t xml:space="preserve">was constructed and scrutinised.  </w:t>
            </w:r>
            <w:r w:rsidR="00BE510B">
              <w:t>T</w:t>
            </w:r>
            <w:r>
              <w:t>he revenue costs were separated into:</w:t>
            </w:r>
          </w:p>
          <w:p w14:paraId="39E79A8D" w14:textId="77777777" w:rsidR="008C2591" w:rsidRDefault="008C2591" w:rsidP="008C2591">
            <w:r>
              <w:t>(a) the additional fixed infrastructure costs of the new building; and</w:t>
            </w:r>
          </w:p>
          <w:p w14:paraId="0520DC95" w14:textId="588A3FE0" w:rsidR="008C2591" w:rsidRDefault="008C2591" w:rsidP="008C2591">
            <w:r>
              <w:t>(b) the variable clinical costs of modelled demand growth</w:t>
            </w:r>
            <w:r w:rsidR="00BE510B">
              <w:t>.</w:t>
            </w:r>
          </w:p>
          <w:p w14:paraId="58BB03F0" w14:textId="77777777" w:rsidR="008C2591" w:rsidRDefault="008C2591" w:rsidP="008C2591"/>
          <w:p w14:paraId="1992F6CA" w14:textId="72C1C391" w:rsidR="008C2591" w:rsidRPr="008C2591" w:rsidRDefault="008C2591" w:rsidP="008C2591">
            <w:r>
              <w:t xml:space="preserve">The OBC focused on Commissioner funding agreement around (a) and set down an approach to address (b) through the development of the new commissioning Long Term Agreement (LTA) framework, which was agreed separately by </w:t>
            </w:r>
            <w:proofErr w:type="spellStart"/>
            <w:r>
              <w:t>D</w:t>
            </w:r>
            <w:r w:rsidR="00BE510B">
              <w:t>o</w:t>
            </w:r>
            <w:r>
              <w:t>Fs</w:t>
            </w:r>
            <w:proofErr w:type="spellEnd"/>
            <w:r>
              <w:t xml:space="preserve"> </w:t>
            </w:r>
            <w:r w:rsidR="00BE510B">
              <w:t>and is now in operation</w:t>
            </w:r>
            <w:r>
              <w:t xml:space="preserve">. </w:t>
            </w:r>
          </w:p>
          <w:p w14:paraId="36126CBD" w14:textId="77777777" w:rsidR="008C2591" w:rsidRDefault="008C2591" w:rsidP="006B4F52">
            <w:pPr>
              <w:rPr>
                <w:rFonts w:asciiTheme="majorHAnsi" w:hAnsiTheme="majorHAnsi" w:cstheme="majorHAnsi"/>
              </w:rPr>
            </w:pPr>
          </w:p>
          <w:p w14:paraId="7BE261D4" w14:textId="11C5BFF5" w:rsidR="008C2591" w:rsidRDefault="008C2591" w:rsidP="006B4F52">
            <w:pPr>
              <w:rPr>
                <w:rFonts w:asciiTheme="majorHAnsi" w:hAnsiTheme="majorHAnsi" w:cstheme="majorHAnsi"/>
              </w:rPr>
            </w:pPr>
            <w:r>
              <w:rPr>
                <w:rFonts w:asciiTheme="majorHAnsi" w:hAnsiTheme="majorHAnsi" w:cstheme="majorHAnsi"/>
              </w:rPr>
              <w:t xml:space="preserve">The </w:t>
            </w:r>
            <w:r w:rsidR="0018509C">
              <w:rPr>
                <w:rFonts w:asciiTheme="majorHAnsi" w:hAnsiTheme="majorHAnsi" w:cstheme="majorHAnsi"/>
              </w:rPr>
              <w:t xml:space="preserve">Health </w:t>
            </w:r>
            <w:r>
              <w:rPr>
                <w:rFonts w:asciiTheme="majorHAnsi" w:hAnsiTheme="majorHAnsi" w:cstheme="majorHAnsi"/>
              </w:rPr>
              <w:t xml:space="preserve">Board approval of the </w:t>
            </w:r>
            <w:r w:rsidR="00EE5D60">
              <w:rPr>
                <w:rFonts w:asciiTheme="majorHAnsi" w:hAnsiTheme="majorHAnsi" w:cstheme="majorHAnsi"/>
              </w:rPr>
              <w:t xml:space="preserve">Transforming Cancer Services </w:t>
            </w:r>
            <w:r>
              <w:rPr>
                <w:rFonts w:asciiTheme="majorHAnsi" w:hAnsiTheme="majorHAnsi" w:cstheme="majorHAnsi"/>
              </w:rPr>
              <w:t>OBC</w:t>
            </w:r>
            <w:r w:rsidR="00A370D0">
              <w:rPr>
                <w:rFonts w:asciiTheme="majorHAnsi" w:hAnsiTheme="majorHAnsi" w:cstheme="majorHAnsi"/>
              </w:rPr>
              <w:t xml:space="preserve"> was for support of total additional revenue costs of £3</w:t>
            </w:r>
            <w:r w:rsidR="00BE510B">
              <w:rPr>
                <w:rFonts w:asciiTheme="majorHAnsi" w:hAnsiTheme="majorHAnsi" w:cstheme="majorHAnsi"/>
              </w:rPr>
              <w:t>.</w:t>
            </w:r>
            <w:r w:rsidR="00332032">
              <w:rPr>
                <w:rFonts w:asciiTheme="majorHAnsi" w:hAnsiTheme="majorHAnsi" w:cstheme="majorHAnsi"/>
              </w:rPr>
              <w:t>1</w:t>
            </w:r>
            <w:r w:rsidR="00BE510B">
              <w:rPr>
                <w:rFonts w:asciiTheme="majorHAnsi" w:hAnsiTheme="majorHAnsi" w:cstheme="majorHAnsi"/>
              </w:rPr>
              <w:t>m</w:t>
            </w:r>
            <w:r w:rsidR="00A370D0">
              <w:rPr>
                <w:rFonts w:asciiTheme="majorHAnsi" w:hAnsiTheme="majorHAnsi" w:cstheme="majorHAnsi"/>
              </w:rPr>
              <w:t xml:space="preserve"> recurrent and £1</w:t>
            </w:r>
            <w:r w:rsidR="00BE510B">
              <w:rPr>
                <w:rFonts w:asciiTheme="majorHAnsi" w:hAnsiTheme="majorHAnsi" w:cstheme="majorHAnsi"/>
              </w:rPr>
              <w:t>.7m</w:t>
            </w:r>
            <w:r w:rsidR="00A370D0">
              <w:rPr>
                <w:rFonts w:asciiTheme="majorHAnsi" w:hAnsiTheme="majorHAnsi" w:cstheme="majorHAnsi"/>
              </w:rPr>
              <w:t xml:space="preserve"> non-recurrent, of which the </w:t>
            </w:r>
            <w:r>
              <w:rPr>
                <w:rFonts w:asciiTheme="majorHAnsi" w:hAnsiTheme="majorHAnsi" w:cstheme="majorHAnsi"/>
              </w:rPr>
              <w:t xml:space="preserve">CAV UHB </w:t>
            </w:r>
            <w:r w:rsidR="00A370D0">
              <w:rPr>
                <w:rFonts w:asciiTheme="majorHAnsi" w:hAnsiTheme="majorHAnsi" w:cstheme="majorHAnsi"/>
              </w:rPr>
              <w:t>share would be £</w:t>
            </w:r>
            <w:r w:rsidR="00BE510B">
              <w:rPr>
                <w:rFonts w:asciiTheme="majorHAnsi" w:hAnsiTheme="majorHAnsi" w:cstheme="majorHAnsi"/>
              </w:rPr>
              <w:t>0.</w:t>
            </w:r>
            <w:r w:rsidR="009B496C">
              <w:rPr>
                <w:rFonts w:asciiTheme="majorHAnsi" w:hAnsiTheme="majorHAnsi" w:cstheme="majorHAnsi"/>
              </w:rPr>
              <w:t>9</w:t>
            </w:r>
            <w:r w:rsidR="00BE510B">
              <w:rPr>
                <w:rFonts w:asciiTheme="majorHAnsi" w:hAnsiTheme="majorHAnsi" w:cstheme="majorHAnsi"/>
              </w:rPr>
              <w:t>m</w:t>
            </w:r>
            <w:r w:rsidR="00A370D0">
              <w:rPr>
                <w:rFonts w:asciiTheme="majorHAnsi" w:hAnsiTheme="majorHAnsi" w:cstheme="majorHAnsi"/>
              </w:rPr>
              <w:t xml:space="preserve"> recurrent and £</w:t>
            </w:r>
            <w:r w:rsidR="00BE510B">
              <w:rPr>
                <w:rFonts w:asciiTheme="majorHAnsi" w:hAnsiTheme="majorHAnsi" w:cstheme="majorHAnsi"/>
              </w:rPr>
              <w:t>0.</w:t>
            </w:r>
            <w:r w:rsidR="009B496C">
              <w:rPr>
                <w:rFonts w:asciiTheme="majorHAnsi" w:hAnsiTheme="majorHAnsi" w:cstheme="majorHAnsi"/>
              </w:rPr>
              <w:t>5</w:t>
            </w:r>
            <w:r w:rsidR="00BE510B">
              <w:rPr>
                <w:rFonts w:asciiTheme="majorHAnsi" w:hAnsiTheme="majorHAnsi" w:cstheme="majorHAnsi"/>
              </w:rPr>
              <w:t>m</w:t>
            </w:r>
            <w:r w:rsidR="00A370D0">
              <w:rPr>
                <w:rFonts w:asciiTheme="majorHAnsi" w:hAnsiTheme="majorHAnsi" w:cstheme="majorHAnsi"/>
              </w:rPr>
              <w:t xml:space="preserve"> non-recurrent. </w:t>
            </w:r>
            <w:r w:rsidR="00EE5D60">
              <w:rPr>
                <w:rFonts w:asciiTheme="majorHAnsi" w:hAnsiTheme="majorHAnsi" w:cstheme="majorHAnsi"/>
              </w:rPr>
              <w:t xml:space="preserve">However, this included costs for the </w:t>
            </w:r>
            <w:r w:rsidR="001223E7">
              <w:rPr>
                <w:rFonts w:asciiTheme="majorHAnsi" w:hAnsiTheme="majorHAnsi" w:cstheme="majorHAnsi"/>
              </w:rPr>
              <w:t xml:space="preserve">Integrated </w:t>
            </w:r>
            <w:r w:rsidR="00EE5D60">
              <w:rPr>
                <w:rFonts w:asciiTheme="majorHAnsi" w:hAnsiTheme="majorHAnsi" w:cstheme="majorHAnsi"/>
              </w:rPr>
              <w:t xml:space="preserve">Radiotherapy </w:t>
            </w:r>
            <w:r w:rsidR="001223E7">
              <w:rPr>
                <w:rFonts w:asciiTheme="majorHAnsi" w:hAnsiTheme="majorHAnsi" w:cstheme="majorHAnsi"/>
              </w:rPr>
              <w:t xml:space="preserve">Solution </w:t>
            </w:r>
            <w:r w:rsidR="00EE5D60">
              <w:rPr>
                <w:rFonts w:asciiTheme="majorHAnsi" w:hAnsiTheme="majorHAnsi" w:cstheme="majorHAnsi"/>
              </w:rPr>
              <w:t>Business case</w:t>
            </w:r>
            <w:r w:rsidR="00BE510B">
              <w:rPr>
                <w:rFonts w:asciiTheme="majorHAnsi" w:hAnsiTheme="majorHAnsi" w:cstheme="majorHAnsi"/>
              </w:rPr>
              <w:t>,</w:t>
            </w:r>
            <w:r w:rsidR="00EE5D60">
              <w:rPr>
                <w:rFonts w:asciiTheme="majorHAnsi" w:hAnsiTheme="majorHAnsi" w:cstheme="majorHAnsi"/>
              </w:rPr>
              <w:t xml:space="preserve"> which ha</w:t>
            </w:r>
            <w:r w:rsidR="009B496C">
              <w:rPr>
                <w:rFonts w:asciiTheme="majorHAnsi" w:hAnsiTheme="majorHAnsi" w:cstheme="majorHAnsi"/>
              </w:rPr>
              <w:t>s</w:t>
            </w:r>
            <w:r w:rsidR="00EE5D60">
              <w:rPr>
                <w:rFonts w:asciiTheme="majorHAnsi" w:hAnsiTheme="majorHAnsi" w:cstheme="majorHAnsi"/>
              </w:rPr>
              <w:t xml:space="preserve"> been approved separately and </w:t>
            </w:r>
            <w:r w:rsidR="009B496C">
              <w:rPr>
                <w:rFonts w:asciiTheme="majorHAnsi" w:hAnsiTheme="majorHAnsi" w:cstheme="majorHAnsi"/>
              </w:rPr>
              <w:t>will be</w:t>
            </w:r>
            <w:r w:rsidR="00EE5D60">
              <w:rPr>
                <w:rFonts w:asciiTheme="majorHAnsi" w:hAnsiTheme="majorHAnsi" w:cstheme="majorHAnsi"/>
              </w:rPr>
              <w:t xml:space="preserve"> excluded from the </w:t>
            </w:r>
            <w:proofErr w:type="spellStart"/>
            <w:r w:rsidR="00EE5D60">
              <w:rPr>
                <w:rFonts w:asciiTheme="majorHAnsi" w:hAnsiTheme="majorHAnsi" w:cstheme="majorHAnsi"/>
              </w:rPr>
              <w:t>nVCC</w:t>
            </w:r>
            <w:proofErr w:type="spellEnd"/>
            <w:r w:rsidR="00EE5D60">
              <w:rPr>
                <w:rFonts w:asciiTheme="majorHAnsi" w:hAnsiTheme="majorHAnsi" w:cstheme="majorHAnsi"/>
              </w:rPr>
              <w:t xml:space="preserve"> FBC. </w:t>
            </w:r>
          </w:p>
          <w:p w14:paraId="6A61D5CB" w14:textId="4653CB00" w:rsidR="003B1C23" w:rsidRDefault="003B1C23" w:rsidP="006B4F52">
            <w:pPr>
              <w:rPr>
                <w:rFonts w:asciiTheme="majorHAnsi" w:hAnsiTheme="majorHAnsi" w:cstheme="majorHAnsi"/>
              </w:rPr>
            </w:pPr>
          </w:p>
          <w:p w14:paraId="179F9B50" w14:textId="41E08C46" w:rsidR="003B1C23" w:rsidRPr="007B6D9A" w:rsidRDefault="003B1C23" w:rsidP="006B4F52">
            <w:pPr>
              <w:rPr>
                <w:rFonts w:cstheme="minorHAnsi"/>
              </w:rPr>
            </w:pPr>
            <w:r w:rsidRPr="007B6D9A">
              <w:rPr>
                <w:rFonts w:cstheme="minorHAnsi"/>
              </w:rPr>
              <w:t xml:space="preserve">There are modest financial benefits of the </w:t>
            </w:r>
            <w:proofErr w:type="spellStart"/>
            <w:r w:rsidRPr="007B6D9A">
              <w:rPr>
                <w:rFonts w:cstheme="minorHAnsi"/>
              </w:rPr>
              <w:t>nVCC</w:t>
            </w:r>
            <w:proofErr w:type="spellEnd"/>
            <w:r w:rsidRPr="007B6D9A">
              <w:rPr>
                <w:rFonts w:cstheme="minorHAnsi"/>
              </w:rPr>
              <w:t>, which are articulated in the economic case and these are around improved recruitment and retention, additional income from learning and innovation, improved facilities with greater flexibility and compliance and sustainability benefits from a more energy efficient solution</w:t>
            </w:r>
            <w:r>
              <w:rPr>
                <w:rFonts w:cstheme="minorHAnsi"/>
              </w:rPr>
              <w:t xml:space="preserve">. However, it is recognised that a new build cancer hospital will replace a poorly functioning space that does not meet modern standards. There will be qualitative benefits in terms of a great environment for patients and staff with improved adjacencies and better patient flow and experience. It will provide opportunities to grow learning, training and research and facilitate different models of delivery, such as </w:t>
            </w:r>
            <w:proofErr w:type="spellStart"/>
            <w:r>
              <w:rPr>
                <w:rFonts w:cstheme="minorHAnsi"/>
              </w:rPr>
              <w:t>CAV@Velindre</w:t>
            </w:r>
            <w:proofErr w:type="spellEnd"/>
            <w:r>
              <w:rPr>
                <w:rFonts w:cstheme="minorHAnsi"/>
              </w:rPr>
              <w:t xml:space="preserve">, with other cancer services being delivered from the new facilities. </w:t>
            </w:r>
            <w:r w:rsidR="008608CF">
              <w:rPr>
                <w:rFonts w:cstheme="minorHAnsi"/>
              </w:rPr>
              <w:t xml:space="preserve">The health board has developed a joint clinical model in line with the Nuffield report recommendations to facilitate improved patient pathways and effective use of shared facilities. </w:t>
            </w:r>
          </w:p>
          <w:p w14:paraId="3BF07373" w14:textId="77777777" w:rsidR="00711601" w:rsidRDefault="00711601" w:rsidP="006B4F52">
            <w:pPr>
              <w:rPr>
                <w:rFonts w:asciiTheme="majorHAnsi" w:hAnsiTheme="majorHAnsi" w:cstheme="majorHAnsi"/>
              </w:rPr>
            </w:pPr>
          </w:p>
          <w:p w14:paraId="6598CB46" w14:textId="5B49724B" w:rsidR="00711601" w:rsidRPr="00513FF2" w:rsidRDefault="00711601" w:rsidP="00B37257">
            <w:pPr>
              <w:rPr>
                <w:rFonts w:asciiTheme="majorHAnsi" w:hAnsiTheme="majorHAnsi" w:cstheme="majorHAnsi"/>
                <w:b/>
                <w:u w:val="single"/>
              </w:rPr>
            </w:pPr>
            <w:r w:rsidRPr="00513FF2">
              <w:rPr>
                <w:rFonts w:asciiTheme="majorHAnsi" w:hAnsiTheme="majorHAnsi" w:cstheme="majorHAnsi"/>
                <w:b/>
                <w:u w:val="single"/>
              </w:rPr>
              <w:t xml:space="preserve">Drivers for additional costs of the </w:t>
            </w:r>
            <w:proofErr w:type="spellStart"/>
            <w:r w:rsidRPr="00513FF2">
              <w:rPr>
                <w:rFonts w:asciiTheme="majorHAnsi" w:hAnsiTheme="majorHAnsi" w:cstheme="majorHAnsi"/>
                <w:b/>
                <w:u w:val="single"/>
              </w:rPr>
              <w:t>nVCC</w:t>
            </w:r>
            <w:proofErr w:type="spellEnd"/>
          </w:p>
          <w:p w14:paraId="455BB0B6" w14:textId="0A105D75" w:rsidR="00B37257" w:rsidRDefault="002B1DBB" w:rsidP="00711601">
            <w:pPr>
              <w:rPr>
                <w:rFonts w:asciiTheme="majorHAnsi" w:hAnsiTheme="majorHAnsi" w:cstheme="majorHAnsi"/>
              </w:rPr>
            </w:pPr>
            <w:r>
              <w:rPr>
                <w:rFonts w:asciiTheme="majorHAnsi" w:hAnsiTheme="majorHAnsi" w:cstheme="majorHAnsi"/>
              </w:rPr>
              <w:t xml:space="preserve">The majority of the increased costs are associated with the c.70% increase in floor space. The baseline costs represent the current 17,777 sqm of VCC, with the revised costs for the proposed 30,192 sqm. This has been refined with </w:t>
            </w:r>
            <w:r w:rsidR="000A5F29">
              <w:rPr>
                <w:rFonts w:asciiTheme="majorHAnsi" w:hAnsiTheme="majorHAnsi" w:cstheme="majorHAnsi"/>
              </w:rPr>
              <w:t xml:space="preserve">ACORN </w:t>
            </w:r>
            <w:r>
              <w:rPr>
                <w:rFonts w:asciiTheme="majorHAnsi" w:hAnsiTheme="majorHAnsi" w:cstheme="majorHAnsi"/>
              </w:rPr>
              <w:t>and is a decrease from the OBC estimate of 30,689 sqm.</w:t>
            </w:r>
            <w:r w:rsidR="00B37257">
              <w:rPr>
                <w:rFonts w:asciiTheme="majorHAnsi" w:hAnsiTheme="majorHAnsi" w:cstheme="majorHAnsi"/>
              </w:rPr>
              <w:t xml:space="preserve"> The increased floorspace is driven by the current capital planning guidance from Welsh Government, plus additional capacity based on the demand modelling for the TCS programme.</w:t>
            </w:r>
          </w:p>
          <w:p w14:paraId="22F59B34" w14:textId="434FD9EB" w:rsidR="00B37257" w:rsidRDefault="00B37257" w:rsidP="00B37257">
            <w:pPr>
              <w:rPr>
                <w:rFonts w:asciiTheme="majorHAnsi" w:hAnsiTheme="majorHAnsi" w:cstheme="majorHAnsi"/>
              </w:rPr>
            </w:pPr>
          </w:p>
          <w:p w14:paraId="504F7A54" w14:textId="51E5A104" w:rsidR="00B37257" w:rsidRDefault="00B37257" w:rsidP="00B37257">
            <w:pPr>
              <w:rPr>
                <w:rFonts w:asciiTheme="majorHAnsi" w:hAnsiTheme="majorHAnsi" w:cstheme="majorHAnsi"/>
              </w:rPr>
            </w:pPr>
            <w:r>
              <w:rPr>
                <w:rFonts w:asciiTheme="majorHAnsi" w:hAnsiTheme="majorHAnsi" w:cstheme="majorHAnsi"/>
              </w:rPr>
              <w:lastRenderedPageBreak/>
              <w:t xml:space="preserve">The bases for the increased costs are transparent, understood and accepted, albeit that there will be further scrutiny on the detail and the basis for the proposed footprint. Unless the proposed footprint of the centre is reduced, it is unlikely that the costs will reduce significantly and there are likely to be further increases with the current energy price volatility and ongoing inflationary pressure. </w:t>
            </w:r>
          </w:p>
          <w:p w14:paraId="36CFF3AF" w14:textId="77777777" w:rsidR="00A370D0" w:rsidRDefault="00A370D0" w:rsidP="006B4F52">
            <w:pPr>
              <w:rPr>
                <w:rFonts w:asciiTheme="majorHAnsi" w:hAnsiTheme="majorHAnsi" w:cstheme="majorHAnsi"/>
              </w:rPr>
            </w:pPr>
          </w:p>
          <w:p w14:paraId="177A66A9" w14:textId="56BB0B87" w:rsidR="00B37257" w:rsidRDefault="003D0802" w:rsidP="003D0802">
            <w:pPr>
              <w:rPr>
                <w:rFonts w:asciiTheme="majorHAnsi" w:hAnsiTheme="majorHAnsi" w:cstheme="majorHAnsi"/>
              </w:rPr>
            </w:pPr>
            <w:r>
              <w:rPr>
                <w:rFonts w:asciiTheme="majorHAnsi" w:hAnsiTheme="majorHAnsi" w:cstheme="majorHAnsi"/>
              </w:rPr>
              <w:t xml:space="preserve">The FBC includes three key drivers of increased </w:t>
            </w:r>
            <w:r w:rsidR="001830BA">
              <w:rPr>
                <w:rFonts w:asciiTheme="majorHAnsi" w:hAnsiTheme="majorHAnsi" w:cstheme="majorHAnsi"/>
              </w:rPr>
              <w:t xml:space="preserve">recurrent </w:t>
            </w:r>
            <w:r>
              <w:rPr>
                <w:rFonts w:asciiTheme="majorHAnsi" w:hAnsiTheme="majorHAnsi" w:cstheme="majorHAnsi"/>
              </w:rPr>
              <w:t>revenue costs</w:t>
            </w:r>
            <w:r w:rsidR="00B37257">
              <w:rPr>
                <w:rFonts w:asciiTheme="majorHAnsi" w:hAnsiTheme="majorHAnsi" w:cstheme="majorHAnsi"/>
              </w:rPr>
              <w:t xml:space="preserve"> over and above the OBC</w:t>
            </w:r>
            <w:r>
              <w:rPr>
                <w:rFonts w:asciiTheme="majorHAnsi" w:hAnsiTheme="majorHAnsi" w:cstheme="majorHAnsi"/>
              </w:rPr>
              <w:t xml:space="preserve"> relating to the building. These are</w:t>
            </w:r>
            <w:r w:rsidR="00B37257">
              <w:rPr>
                <w:rFonts w:asciiTheme="majorHAnsi" w:hAnsiTheme="majorHAnsi" w:cstheme="majorHAnsi"/>
              </w:rPr>
              <w:t>:</w:t>
            </w:r>
          </w:p>
          <w:p w14:paraId="24F2C3A8" w14:textId="225C5E9D" w:rsidR="00F4445B" w:rsidRDefault="00B37257" w:rsidP="00766D06">
            <w:pPr>
              <w:pStyle w:val="ListParagraph"/>
              <w:numPr>
                <w:ilvl w:val="0"/>
                <w:numId w:val="9"/>
              </w:numPr>
              <w:rPr>
                <w:rFonts w:asciiTheme="majorHAnsi" w:hAnsiTheme="majorHAnsi" w:cstheme="majorHAnsi"/>
              </w:rPr>
            </w:pPr>
            <w:r w:rsidRPr="00687FB3">
              <w:rPr>
                <w:rFonts w:asciiTheme="majorHAnsi" w:hAnsiTheme="majorHAnsi" w:cstheme="majorHAnsi"/>
              </w:rPr>
              <w:t xml:space="preserve">The switch to a fully electric solution to meet WGs sustainability agenda, which is more expensive than gas. </w:t>
            </w:r>
          </w:p>
          <w:p w14:paraId="4CA68021" w14:textId="6C23AA4C" w:rsidR="001578EC" w:rsidRPr="001578EC" w:rsidRDefault="001578EC" w:rsidP="001578EC">
            <w:pPr>
              <w:pStyle w:val="ListParagraph"/>
              <w:numPr>
                <w:ilvl w:val="0"/>
                <w:numId w:val="9"/>
              </w:numPr>
              <w:rPr>
                <w:rFonts w:asciiTheme="majorHAnsi" w:hAnsiTheme="majorHAnsi" w:cstheme="majorHAnsi"/>
              </w:rPr>
            </w:pPr>
            <w:r w:rsidRPr="00687FB3">
              <w:rPr>
                <w:rFonts w:asciiTheme="majorHAnsi" w:hAnsiTheme="majorHAnsi" w:cstheme="majorHAnsi"/>
              </w:rPr>
              <w:t xml:space="preserve">Digital Costs to maximise digital potential of the </w:t>
            </w:r>
            <w:proofErr w:type="spellStart"/>
            <w:r w:rsidRPr="00687FB3">
              <w:rPr>
                <w:rFonts w:asciiTheme="majorHAnsi" w:hAnsiTheme="majorHAnsi" w:cstheme="majorHAnsi"/>
              </w:rPr>
              <w:t>nVCC</w:t>
            </w:r>
            <w:proofErr w:type="spellEnd"/>
          </w:p>
          <w:p w14:paraId="10730361" w14:textId="4FB749AB" w:rsidR="001830BA" w:rsidRPr="00687FB3" w:rsidRDefault="00B37257" w:rsidP="00766D06">
            <w:pPr>
              <w:pStyle w:val="ListParagraph"/>
              <w:numPr>
                <w:ilvl w:val="0"/>
                <w:numId w:val="9"/>
              </w:numPr>
              <w:rPr>
                <w:rFonts w:asciiTheme="majorHAnsi" w:hAnsiTheme="majorHAnsi" w:cstheme="majorHAnsi"/>
              </w:rPr>
            </w:pPr>
            <w:r w:rsidRPr="00687FB3">
              <w:rPr>
                <w:rFonts w:asciiTheme="majorHAnsi" w:hAnsiTheme="majorHAnsi" w:cstheme="majorHAnsi"/>
              </w:rPr>
              <w:t xml:space="preserve">Increased costs associated with </w:t>
            </w:r>
            <w:r w:rsidR="001830BA" w:rsidRPr="00687FB3">
              <w:rPr>
                <w:rFonts w:asciiTheme="majorHAnsi" w:hAnsiTheme="majorHAnsi" w:cstheme="majorHAnsi"/>
              </w:rPr>
              <w:t xml:space="preserve">equipment maintenance, reflecting new contracts and intelligence from the radiotherapy procurement exercise. </w:t>
            </w:r>
          </w:p>
          <w:p w14:paraId="51FFB305" w14:textId="284A1BB2" w:rsidR="00687FB3" w:rsidRDefault="00687FB3" w:rsidP="00687FB3">
            <w:pPr>
              <w:rPr>
                <w:rFonts w:asciiTheme="majorHAnsi" w:hAnsiTheme="majorHAnsi" w:cstheme="majorHAnsi"/>
              </w:rPr>
            </w:pPr>
          </w:p>
          <w:p w14:paraId="3E15549B" w14:textId="4CF2D951" w:rsidR="00687FB3" w:rsidRDefault="00687FB3" w:rsidP="00687FB3">
            <w:pPr>
              <w:rPr>
                <w:rFonts w:asciiTheme="majorHAnsi" w:hAnsiTheme="majorHAnsi" w:cstheme="majorHAnsi"/>
              </w:rPr>
            </w:pPr>
            <w:r>
              <w:rPr>
                <w:rFonts w:asciiTheme="majorHAnsi" w:hAnsiTheme="majorHAnsi" w:cstheme="majorHAnsi"/>
              </w:rPr>
              <w:t xml:space="preserve">In </w:t>
            </w:r>
            <w:r w:rsidR="00711601">
              <w:rPr>
                <w:rFonts w:asciiTheme="majorHAnsi" w:hAnsiTheme="majorHAnsi" w:cstheme="majorHAnsi"/>
              </w:rPr>
              <w:t>addition,</w:t>
            </w:r>
            <w:r>
              <w:rPr>
                <w:rFonts w:asciiTheme="majorHAnsi" w:hAnsiTheme="majorHAnsi" w:cstheme="majorHAnsi"/>
              </w:rPr>
              <w:t xml:space="preserve"> there are </w:t>
            </w:r>
            <w:r w:rsidR="00711601">
              <w:rPr>
                <w:rFonts w:asciiTheme="majorHAnsi" w:hAnsiTheme="majorHAnsi" w:cstheme="majorHAnsi"/>
              </w:rPr>
              <w:t xml:space="preserve">non-recurrent revenue costs associated with the temporary dual running of both sites, connected with senior clinical support specifically for nuclear medicine. </w:t>
            </w:r>
          </w:p>
          <w:p w14:paraId="1B87D21E" w14:textId="44948CA2" w:rsidR="00711601" w:rsidRDefault="00711601" w:rsidP="00687FB3">
            <w:pPr>
              <w:rPr>
                <w:rFonts w:asciiTheme="majorHAnsi" w:hAnsiTheme="majorHAnsi" w:cstheme="majorHAnsi"/>
              </w:rPr>
            </w:pPr>
          </w:p>
          <w:p w14:paraId="72E83427" w14:textId="1437C98B" w:rsidR="00CB3B26" w:rsidRPr="001830BA" w:rsidRDefault="00711601" w:rsidP="00CF12D4">
            <w:pPr>
              <w:rPr>
                <w:rFonts w:asciiTheme="majorHAnsi" w:hAnsiTheme="majorHAnsi" w:cstheme="majorHAnsi"/>
              </w:rPr>
            </w:pPr>
            <w:r>
              <w:rPr>
                <w:rFonts w:asciiTheme="majorHAnsi" w:hAnsiTheme="majorHAnsi" w:cstheme="majorHAnsi"/>
              </w:rPr>
              <w:t xml:space="preserve">We know from our own experience with the </w:t>
            </w:r>
            <w:proofErr w:type="spellStart"/>
            <w:r>
              <w:rPr>
                <w:rFonts w:asciiTheme="majorHAnsi" w:hAnsiTheme="majorHAnsi" w:cstheme="majorHAnsi"/>
              </w:rPr>
              <w:t>CHfW</w:t>
            </w:r>
            <w:proofErr w:type="spellEnd"/>
            <w:r>
              <w:rPr>
                <w:rFonts w:asciiTheme="majorHAnsi" w:hAnsiTheme="majorHAnsi" w:cstheme="majorHAnsi"/>
              </w:rPr>
              <w:t xml:space="preserve">, that there are increased revenue costs associated with a new hospital and we are likely to be incorporating integrated digital and net zero solutions into our own case to replace UHW, so it might be helpful to embed these principles into the decision-making process for large capital investments. </w:t>
            </w:r>
          </w:p>
        </w:tc>
      </w:tr>
      <w:tr w:rsidR="007E60AD" w:rsidRPr="00FB6A15" w14:paraId="46756EA1"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304AF3BD" w14:textId="77777777"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lastRenderedPageBreak/>
              <w:t>Executive Director Opinion and Key Issues to bring to the attention of the Board/Committee:</w:t>
            </w:r>
          </w:p>
        </w:tc>
      </w:tr>
      <w:tr w:rsidR="002B7E56" w:rsidRPr="00FB6A15" w14:paraId="37A4B8FF" w14:textId="77777777" w:rsidTr="002B7E56">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7D901B3" w14:textId="6C3821E9" w:rsidR="009206D4" w:rsidRDefault="009206D4" w:rsidP="008354DE">
            <w:pPr>
              <w:rPr>
                <w:rFonts w:asciiTheme="majorHAnsi" w:hAnsiTheme="majorHAnsi" w:cstheme="majorHAnsi"/>
              </w:rPr>
            </w:pPr>
          </w:p>
          <w:p w14:paraId="4C895B82" w14:textId="77777777" w:rsidR="009206D4" w:rsidRDefault="009206D4" w:rsidP="009206D4">
            <w:pPr>
              <w:rPr>
                <w:rFonts w:asciiTheme="majorHAnsi" w:hAnsiTheme="majorHAnsi" w:cstheme="majorHAnsi"/>
              </w:rPr>
            </w:pPr>
            <w:r>
              <w:rPr>
                <w:rFonts w:asciiTheme="majorHAnsi" w:hAnsiTheme="majorHAnsi" w:cstheme="majorHAnsi"/>
              </w:rPr>
              <w:t xml:space="preserve">To put the increased costs into context the current annual LTA with Velindre is £23.7m comprising: </w:t>
            </w:r>
          </w:p>
          <w:p w14:paraId="4C885C59" w14:textId="77777777" w:rsidR="009206D4" w:rsidRPr="00252A3D" w:rsidRDefault="009206D4" w:rsidP="00766D06">
            <w:pPr>
              <w:pStyle w:val="ListParagraph"/>
              <w:numPr>
                <w:ilvl w:val="0"/>
                <w:numId w:val="6"/>
              </w:numPr>
              <w:rPr>
                <w:rFonts w:asciiTheme="majorHAnsi" w:hAnsiTheme="majorHAnsi" w:cstheme="majorHAnsi"/>
              </w:rPr>
            </w:pPr>
            <w:r w:rsidRPr="00252A3D">
              <w:rPr>
                <w:rFonts w:asciiTheme="majorHAnsi" w:hAnsiTheme="majorHAnsi" w:cstheme="majorHAnsi"/>
              </w:rPr>
              <w:t>Core services £10</w:t>
            </w:r>
            <w:r>
              <w:rPr>
                <w:rFonts w:asciiTheme="majorHAnsi" w:hAnsiTheme="majorHAnsi" w:cstheme="majorHAnsi"/>
              </w:rPr>
              <w:t>.4m</w:t>
            </w:r>
            <w:r w:rsidRPr="00252A3D">
              <w:rPr>
                <w:rFonts w:asciiTheme="majorHAnsi" w:hAnsiTheme="majorHAnsi" w:cstheme="majorHAnsi"/>
              </w:rPr>
              <w:t xml:space="preserve"> </w:t>
            </w:r>
          </w:p>
          <w:p w14:paraId="264B9F2C" w14:textId="77777777" w:rsidR="009206D4" w:rsidRPr="00252A3D" w:rsidRDefault="009206D4" w:rsidP="00766D06">
            <w:pPr>
              <w:pStyle w:val="ListParagraph"/>
              <w:numPr>
                <w:ilvl w:val="0"/>
                <w:numId w:val="6"/>
              </w:numPr>
              <w:rPr>
                <w:rFonts w:asciiTheme="majorHAnsi" w:hAnsiTheme="majorHAnsi" w:cstheme="majorHAnsi"/>
              </w:rPr>
            </w:pPr>
            <w:r w:rsidRPr="00252A3D">
              <w:rPr>
                <w:rFonts w:asciiTheme="majorHAnsi" w:hAnsiTheme="majorHAnsi" w:cstheme="majorHAnsi"/>
              </w:rPr>
              <w:t>High Cost Drugs £13</w:t>
            </w:r>
            <w:r>
              <w:rPr>
                <w:rFonts w:asciiTheme="majorHAnsi" w:hAnsiTheme="majorHAnsi" w:cstheme="majorHAnsi"/>
              </w:rPr>
              <w:t>.</w:t>
            </w:r>
            <w:r w:rsidRPr="00252A3D">
              <w:rPr>
                <w:rFonts w:asciiTheme="majorHAnsi" w:hAnsiTheme="majorHAnsi" w:cstheme="majorHAnsi"/>
              </w:rPr>
              <w:t>3</w:t>
            </w:r>
            <w:r>
              <w:rPr>
                <w:rFonts w:asciiTheme="majorHAnsi" w:hAnsiTheme="majorHAnsi" w:cstheme="majorHAnsi"/>
              </w:rPr>
              <w:t>m</w:t>
            </w:r>
          </w:p>
          <w:p w14:paraId="3E26107C" w14:textId="77777777" w:rsidR="009206D4" w:rsidRDefault="009206D4" w:rsidP="009206D4">
            <w:pPr>
              <w:rPr>
                <w:rFonts w:asciiTheme="majorHAnsi" w:hAnsiTheme="majorHAnsi" w:cstheme="majorHAnsi"/>
              </w:rPr>
            </w:pPr>
          </w:p>
          <w:p w14:paraId="4DBCCF46" w14:textId="5992B2C0" w:rsidR="00252A3D" w:rsidRDefault="009206D4" w:rsidP="008354DE">
            <w:pPr>
              <w:rPr>
                <w:rFonts w:asciiTheme="majorHAnsi" w:hAnsiTheme="majorHAnsi" w:cstheme="majorHAnsi"/>
              </w:rPr>
            </w:pPr>
            <w:r>
              <w:rPr>
                <w:rFonts w:asciiTheme="majorHAnsi" w:hAnsiTheme="majorHAnsi" w:cstheme="majorHAnsi"/>
              </w:rPr>
              <w:t xml:space="preserve">The additional revenue costs outlined in the FBC will not be incurred until </w:t>
            </w:r>
            <w:r w:rsidR="008933AF">
              <w:rPr>
                <w:rFonts w:asciiTheme="majorHAnsi" w:hAnsiTheme="majorHAnsi" w:cstheme="majorHAnsi"/>
              </w:rPr>
              <w:t>2025-26</w:t>
            </w:r>
            <w:r w:rsidR="00A268F5">
              <w:rPr>
                <w:rFonts w:asciiTheme="majorHAnsi" w:hAnsiTheme="majorHAnsi" w:cstheme="majorHAnsi"/>
              </w:rPr>
              <w:t>;</w:t>
            </w:r>
            <w:r>
              <w:rPr>
                <w:rFonts w:asciiTheme="majorHAnsi" w:hAnsiTheme="majorHAnsi" w:cstheme="majorHAnsi"/>
              </w:rPr>
              <w:t xml:space="preserve"> </w:t>
            </w:r>
            <w:r w:rsidR="008933AF">
              <w:rPr>
                <w:rFonts w:asciiTheme="majorHAnsi" w:hAnsiTheme="majorHAnsi" w:cstheme="majorHAnsi"/>
              </w:rPr>
              <w:t xml:space="preserve">if there are no further delays with the build, then there would </w:t>
            </w:r>
            <w:r w:rsidR="00A268F5">
              <w:rPr>
                <w:rFonts w:asciiTheme="majorHAnsi" w:hAnsiTheme="majorHAnsi" w:cstheme="majorHAnsi"/>
              </w:rPr>
              <w:t xml:space="preserve">have </w:t>
            </w:r>
            <w:r w:rsidR="008933AF">
              <w:rPr>
                <w:rFonts w:asciiTheme="majorHAnsi" w:hAnsiTheme="majorHAnsi" w:cstheme="majorHAnsi"/>
              </w:rPr>
              <w:t>be</w:t>
            </w:r>
            <w:r w:rsidR="00A268F5">
              <w:rPr>
                <w:rFonts w:asciiTheme="majorHAnsi" w:hAnsiTheme="majorHAnsi" w:cstheme="majorHAnsi"/>
              </w:rPr>
              <w:t>en</w:t>
            </w:r>
            <w:r w:rsidR="008933AF">
              <w:rPr>
                <w:rFonts w:asciiTheme="majorHAnsi" w:hAnsiTheme="majorHAnsi" w:cstheme="majorHAnsi"/>
              </w:rPr>
              <w:t xml:space="preserve"> a part year effect in the final year of </w:t>
            </w:r>
            <w:r w:rsidR="00A268F5">
              <w:rPr>
                <w:rFonts w:asciiTheme="majorHAnsi" w:hAnsiTheme="majorHAnsi" w:cstheme="majorHAnsi"/>
              </w:rPr>
              <w:t>an</w:t>
            </w:r>
            <w:r w:rsidR="008933AF">
              <w:rPr>
                <w:rFonts w:asciiTheme="majorHAnsi" w:hAnsiTheme="majorHAnsi" w:cstheme="majorHAnsi"/>
              </w:rPr>
              <w:t xml:space="preserve"> IMTP</w:t>
            </w:r>
            <w:r w:rsidR="00A268F5">
              <w:rPr>
                <w:rFonts w:asciiTheme="majorHAnsi" w:hAnsiTheme="majorHAnsi" w:cstheme="majorHAnsi"/>
              </w:rPr>
              <w:t xml:space="preserve"> produced this year, but CAVUHB has produced an Annual Plan for the coming year. </w:t>
            </w:r>
          </w:p>
          <w:p w14:paraId="1334530E" w14:textId="5962ED44" w:rsidR="00C8292B" w:rsidRDefault="00C8292B" w:rsidP="008354DE">
            <w:pPr>
              <w:rPr>
                <w:rFonts w:asciiTheme="majorHAnsi" w:hAnsiTheme="majorHAnsi" w:cstheme="majorHAnsi"/>
              </w:rPr>
            </w:pPr>
          </w:p>
          <w:p w14:paraId="45847345" w14:textId="05DEE2C7" w:rsidR="00C8292B" w:rsidRDefault="00C8292B" w:rsidP="008354DE">
            <w:pPr>
              <w:rPr>
                <w:rFonts w:asciiTheme="majorHAnsi" w:hAnsiTheme="majorHAnsi" w:cstheme="majorHAnsi"/>
              </w:rPr>
            </w:pPr>
            <w:r>
              <w:rPr>
                <w:rFonts w:asciiTheme="majorHAnsi" w:hAnsiTheme="majorHAnsi" w:cstheme="majorHAnsi"/>
              </w:rPr>
              <w:t>The summary recurrent investment requirements are:</w:t>
            </w:r>
          </w:p>
          <w:p w14:paraId="72591990" w14:textId="77777777"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 xml:space="preserve">Original </w:t>
            </w:r>
            <w:proofErr w:type="spellStart"/>
            <w:r w:rsidRPr="00C8292B">
              <w:rPr>
                <w:rFonts w:asciiTheme="minorHAnsi" w:hAnsiTheme="minorHAnsi" w:cstheme="minorHAnsi"/>
              </w:rPr>
              <w:t>nVCC</w:t>
            </w:r>
            <w:proofErr w:type="spellEnd"/>
            <w:r w:rsidRPr="00C8292B">
              <w:rPr>
                <w:rFonts w:asciiTheme="minorHAnsi" w:hAnsiTheme="minorHAnsi" w:cstheme="minorHAnsi"/>
              </w:rPr>
              <w:t xml:space="preserve"> OBC</w:t>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t>c£7.5m</w:t>
            </w:r>
          </w:p>
          <w:p w14:paraId="5F369475" w14:textId="147ACE0C"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Removal of IRS equipment m</w:t>
            </w:r>
            <w:r w:rsidR="008933AF">
              <w:rPr>
                <w:rFonts w:asciiTheme="minorHAnsi" w:hAnsiTheme="minorHAnsi" w:cstheme="minorHAnsi"/>
              </w:rPr>
              <w:t>aintenance</w:t>
            </w:r>
            <w:r w:rsidRPr="00C8292B">
              <w:rPr>
                <w:rFonts w:asciiTheme="minorHAnsi" w:hAnsiTheme="minorHAnsi" w:cstheme="minorHAnsi"/>
              </w:rPr>
              <w:tab/>
              <w:t>(c£1.0m)</w:t>
            </w:r>
          </w:p>
          <w:p w14:paraId="4BEA431D" w14:textId="77777777"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Adjusted OBC costs</w:t>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t>c£6.5m</w:t>
            </w:r>
          </w:p>
          <w:p w14:paraId="751D9DFA" w14:textId="77777777"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Inflation on the OBC costs</w:t>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t>c£1.7m</w:t>
            </w:r>
          </w:p>
          <w:p w14:paraId="0C4275FC" w14:textId="77777777"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Additional investment</w:t>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t>c£1.7m</w:t>
            </w:r>
          </w:p>
          <w:p w14:paraId="6CB50941" w14:textId="77777777" w:rsidR="00C8292B" w:rsidRPr="00C8292B" w:rsidRDefault="00C8292B" w:rsidP="00C8292B">
            <w:pPr>
              <w:pStyle w:val="ListParagraph"/>
              <w:numPr>
                <w:ilvl w:val="0"/>
                <w:numId w:val="16"/>
              </w:numPr>
              <w:spacing w:before="100" w:beforeAutospacing="1" w:after="100" w:afterAutospacing="1"/>
              <w:ind w:left="1701" w:hanging="567"/>
              <w:rPr>
                <w:rFonts w:asciiTheme="minorHAnsi" w:hAnsiTheme="minorHAnsi" w:cstheme="minorHAnsi"/>
                <w:b/>
              </w:rPr>
            </w:pPr>
            <w:r w:rsidRPr="00C8292B">
              <w:rPr>
                <w:rFonts w:asciiTheme="minorHAnsi" w:hAnsiTheme="minorHAnsi" w:cstheme="minorHAnsi"/>
              </w:rPr>
              <w:t>Other (movements)</w:t>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r>
            <w:r w:rsidRPr="00C8292B">
              <w:rPr>
                <w:rFonts w:asciiTheme="minorHAnsi" w:hAnsiTheme="minorHAnsi" w:cstheme="minorHAnsi"/>
              </w:rPr>
              <w:tab/>
              <w:t>c£0.8m</w:t>
            </w:r>
          </w:p>
          <w:p w14:paraId="642158E6" w14:textId="70C5E1CC" w:rsidR="00711601" w:rsidRPr="00CF12D4" w:rsidRDefault="00C8292B" w:rsidP="00CF12D4">
            <w:pPr>
              <w:pStyle w:val="ListParagraph"/>
              <w:numPr>
                <w:ilvl w:val="0"/>
                <w:numId w:val="16"/>
              </w:numPr>
              <w:spacing w:before="100" w:beforeAutospacing="1" w:after="100" w:afterAutospacing="1"/>
              <w:ind w:left="1701" w:hanging="567"/>
              <w:rPr>
                <w:rFonts w:asciiTheme="minorHAnsi" w:hAnsiTheme="minorHAnsi" w:cstheme="minorHAnsi"/>
                <w:b/>
              </w:rPr>
            </w:pPr>
            <w:r w:rsidRPr="008933AF">
              <w:rPr>
                <w:rFonts w:asciiTheme="minorHAnsi" w:hAnsiTheme="minorHAnsi" w:cstheme="minorHAnsi"/>
                <w:b/>
                <w:bCs/>
              </w:rPr>
              <w:t>TOTAL</w:t>
            </w:r>
            <w:r w:rsidRPr="008933AF">
              <w:rPr>
                <w:rFonts w:asciiTheme="minorHAnsi" w:hAnsiTheme="minorHAnsi" w:cstheme="minorHAnsi"/>
                <w:b/>
                <w:bCs/>
              </w:rPr>
              <w:tab/>
            </w:r>
            <w:r w:rsidRPr="008933AF">
              <w:rPr>
                <w:rFonts w:asciiTheme="minorHAnsi" w:hAnsiTheme="minorHAnsi" w:cstheme="minorHAnsi"/>
                <w:b/>
                <w:bCs/>
              </w:rPr>
              <w:tab/>
            </w:r>
            <w:r w:rsidRPr="008933AF">
              <w:rPr>
                <w:rFonts w:asciiTheme="minorHAnsi" w:hAnsiTheme="minorHAnsi" w:cstheme="minorHAnsi"/>
                <w:b/>
                <w:bCs/>
              </w:rPr>
              <w:tab/>
            </w:r>
            <w:r w:rsidRPr="008933AF">
              <w:rPr>
                <w:rFonts w:asciiTheme="minorHAnsi" w:hAnsiTheme="minorHAnsi" w:cstheme="minorHAnsi"/>
                <w:b/>
                <w:bCs/>
              </w:rPr>
              <w:tab/>
            </w:r>
            <w:r w:rsidRPr="008933AF">
              <w:rPr>
                <w:rFonts w:asciiTheme="minorHAnsi" w:hAnsiTheme="minorHAnsi" w:cstheme="minorHAnsi"/>
                <w:b/>
                <w:bCs/>
              </w:rPr>
              <w:tab/>
            </w:r>
            <w:r w:rsidRPr="008933AF">
              <w:rPr>
                <w:rFonts w:asciiTheme="minorHAnsi" w:hAnsiTheme="minorHAnsi" w:cstheme="minorHAnsi"/>
                <w:b/>
                <w:bCs/>
              </w:rPr>
              <w:tab/>
              <w:t>c£10.7m</w:t>
            </w:r>
          </w:p>
          <w:p w14:paraId="6669EE7F" w14:textId="046A0B5C" w:rsidR="00711601" w:rsidRDefault="00711601" w:rsidP="008354DE">
            <w:pPr>
              <w:rPr>
                <w:rFonts w:asciiTheme="majorHAnsi" w:hAnsiTheme="majorHAnsi" w:cstheme="majorHAnsi"/>
                <w:highlight w:val="yellow"/>
              </w:rPr>
            </w:pPr>
            <w:r>
              <w:rPr>
                <w:rFonts w:asciiTheme="majorHAnsi" w:hAnsiTheme="majorHAnsi" w:cstheme="majorHAnsi"/>
              </w:rPr>
              <w:t>The detailed costs associated with the proposal are included in the</w:t>
            </w:r>
            <w:r w:rsidR="00DE6AE6">
              <w:rPr>
                <w:rFonts w:asciiTheme="majorHAnsi" w:hAnsiTheme="majorHAnsi" w:cstheme="majorHAnsi"/>
              </w:rPr>
              <w:t xml:space="preserve"> Full Business Case and summari</w:t>
            </w:r>
            <w:r w:rsidR="00A94D10">
              <w:rPr>
                <w:rFonts w:asciiTheme="majorHAnsi" w:hAnsiTheme="majorHAnsi" w:cstheme="majorHAnsi"/>
              </w:rPr>
              <w:t>s</w:t>
            </w:r>
            <w:r w:rsidR="00DE6AE6">
              <w:rPr>
                <w:rFonts w:asciiTheme="majorHAnsi" w:hAnsiTheme="majorHAnsi" w:cstheme="majorHAnsi"/>
              </w:rPr>
              <w:t>ed in the Velindre Cover Paper</w:t>
            </w:r>
            <w:r w:rsidR="00483D67">
              <w:rPr>
                <w:rFonts w:asciiTheme="majorHAnsi" w:hAnsiTheme="majorHAnsi" w:cstheme="majorHAnsi"/>
              </w:rPr>
              <w:t xml:space="preserve"> (Appendix 1)</w:t>
            </w:r>
            <w:r w:rsidR="00A94D10">
              <w:rPr>
                <w:rFonts w:asciiTheme="majorHAnsi" w:hAnsiTheme="majorHAnsi" w:cstheme="majorHAnsi"/>
              </w:rPr>
              <w:t xml:space="preserve"> which is included to provide further information and background</w:t>
            </w:r>
            <w:r w:rsidR="00DE6AE6">
              <w:rPr>
                <w:rFonts w:asciiTheme="majorHAnsi" w:hAnsiTheme="majorHAnsi" w:cstheme="majorHAnsi"/>
              </w:rPr>
              <w:t xml:space="preserve">. </w:t>
            </w:r>
            <w:r w:rsidR="00F11EC8">
              <w:rPr>
                <w:rFonts w:asciiTheme="majorHAnsi" w:hAnsiTheme="majorHAnsi" w:cstheme="majorHAnsi"/>
              </w:rPr>
              <w:t xml:space="preserve">The </w:t>
            </w:r>
            <w:r w:rsidR="00456D4C">
              <w:rPr>
                <w:rFonts w:asciiTheme="majorHAnsi" w:hAnsiTheme="majorHAnsi" w:cstheme="majorHAnsi"/>
              </w:rPr>
              <w:t>VUNHST</w:t>
            </w:r>
            <w:r w:rsidR="00F11EC8">
              <w:rPr>
                <w:rFonts w:asciiTheme="majorHAnsi" w:hAnsiTheme="majorHAnsi" w:cstheme="majorHAnsi"/>
              </w:rPr>
              <w:t xml:space="preserve"> cover paper provides a summary of the whole case for all commissioning health boards and suggests some recommendations. This should be read alongside this paper, which focuses on the implications for CAVUHB and makes recommendations in line with </w:t>
            </w:r>
            <w:r w:rsidR="00566DCD">
              <w:rPr>
                <w:rFonts w:asciiTheme="majorHAnsi" w:hAnsiTheme="majorHAnsi" w:cstheme="majorHAnsi"/>
              </w:rPr>
              <w:t>our gov</w:t>
            </w:r>
            <w:r w:rsidR="00F11EC8">
              <w:rPr>
                <w:rFonts w:asciiTheme="majorHAnsi" w:hAnsiTheme="majorHAnsi" w:cstheme="majorHAnsi"/>
              </w:rPr>
              <w:t xml:space="preserve">ernance and strategic priorities.  </w:t>
            </w:r>
          </w:p>
          <w:p w14:paraId="171C9CF9" w14:textId="3FBEAF69" w:rsidR="00D361A7" w:rsidRDefault="00D361A7" w:rsidP="008354DE">
            <w:pPr>
              <w:rPr>
                <w:rFonts w:asciiTheme="majorHAnsi" w:hAnsiTheme="majorHAnsi" w:cstheme="majorHAnsi"/>
                <w:highlight w:val="yellow"/>
              </w:rPr>
            </w:pPr>
          </w:p>
          <w:p w14:paraId="4FEE8520" w14:textId="4BEF6E1E" w:rsidR="00456D4C" w:rsidRDefault="00F11EC8" w:rsidP="008354DE">
            <w:pPr>
              <w:rPr>
                <w:rFonts w:asciiTheme="majorHAnsi" w:hAnsiTheme="majorHAnsi" w:cstheme="majorHAnsi"/>
              </w:rPr>
            </w:pPr>
            <w:r w:rsidRPr="00CF12D4">
              <w:rPr>
                <w:rFonts w:asciiTheme="majorHAnsi" w:hAnsiTheme="majorHAnsi" w:cstheme="majorHAnsi"/>
              </w:rPr>
              <w:t xml:space="preserve">The FBC is made up of five </w:t>
            </w:r>
            <w:r w:rsidR="00456D4C" w:rsidRPr="00CF12D4">
              <w:rPr>
                <w:rFonts w:asciiTheme="majorHAnsi" w:hAnsiTheme="majorHAnsi" w:cstheme="majorHAnsi"/>
              </w:rPr>
              <w:t>separate cases; Strategic Case, Management Case, Financial Case, Economic Case and Commercial Case.</w:t>
            </w:r>
            <w:r w:rsidR="00CF12D4" w:rsidRPr="00CF12D4">
              <w:rPr>
                <w:rFonts w:asciiTheme="majorHAnsi" w:hAnsiTheme="majorHAnsi" w:cstheme="majorHAnsi"/>
              </w:rPr>
              <w:t xml:space="preserve"> </w:t>
            </w:r>
            <w:r w:rsidR="00456D4C">
              <w:rPr>
                <w:rFonts w:asciiTheme="majorHAnsi" w:hAnsiTheme="majorHAnsi" w:cstheme="majorHAnsi"/>
              </w:rPr>
              <w:t xml:space="preserve">Unlike a usual capital approval process, the MIM process means that VUNHST are still in a live procurement phase with Acorn. This will continue until the final deal is agreed on, along with a translation of this into the corresponding Commercial Case. As such there are parts of the other four cases which the Acorn consortia should not have sight of as it would weaken the NHS’s commercial position, or contain information which the procuring authority must keep in commercial confidence. As a result, the Strategic Case and the Management Case are provided as supporting documents for the public session and the Financial Case and the Economic </w:t>
            </w:r>
            <w:r w:rsidR="00456D4C">
              <w:rPr>
                <w:rFonts w:asciiTheme="majorHAnsi" w:hAnsiTheme="majorHAnsi" w:cstheme="majorHAnsi"/>
              </w:rPr>
              <w:lastRenderedPageBreak/>
              <w:t xml:space="preserve">Case, plus the appendices for the </w:t>
            </w:r>
            <w:r w:rsidR="00231B08">
              <w:rPr>
                <w:rFonts w:asciiTheme="majorHAnsi" w:hAnsiTheme="majorHAnsi" w:cstheme="majorHAnsi"/>
              </w:rPr>
              <w:t xml:space="preserve">Strategic and </w:t>
            </w:r>
            <w:r w:rsidR="00456D4C">
              <w:rPr>
                <w:rFonts w:asciiTheme="majorHAnsi" w:hAnsiTheme="majorHAnsi" w:cstheme="majorHAnsi"/>
              </w:rPr>
              <w:t>Management Case</w:t>
            </w:r>
            <w:r w:rsidR="00231B08">
              <w:rPr>
                <w:rFonts w:asciiTheme="majorHAnsi" w:hAnsiTheme="majorHAnsi" w:cstheme="majorHAnsi"/>
              </w:rPr>
              <w:t>s</w:t>
            </w:r>
            <w:r w:rsidR="00456D4C">
              <w:rPr>
                <w:rFonts w:asciiTheme="majorHAnsi" w:hAnsiTheme="majorHAnsi" w:cstheme="majorHAnsi"/>
              </w:rPr>
              <w:t xml:space="preserve"> will be provided for the private session. A summary of how the cases will be presented is shown below. </w:t>
            </w:r>
          </w:p>
          <w:p w14:paraId="121EDE42" w14:textId="77777777" w:rsidR="00456D4C" w:rsidRDefault="00456D4C" w:rsidP="008354DE">
            <w:pPr>
              <w:rPr>
                <w:rFonts w:asciiTheme="majorHAnsi" w:hAnsiTheme="majorHAnsi" w:cstheme="majorHAnsi"/>
              </w:rPr>
            </w:pPr>
          </w:p>
          <w:tbl>
            <w:tblPr>
              <w:tblStyle w:val="GridTable4-Accent1"/>
              <w:tblW w:w="10715" w:type="dxa"/>
              <w:tblLayout w:type="fixed"/>
              <w:tblLook w:val="04A0" w:firstRow="1" w:lastRow="0" w:firstColumn="1" w:lastColumn="0" w:noHBand="0" w:noVBand="1"/>
            </w:tblPr>
            <w:tblGrid>
              <w:gridCol w:w="4706"/>
              <w:gridCol w:w="6009"/>
            </w:tblGrid>
            <w:tr w:rsidR="00566DCD" w14:paraId="2F0D3161" w14:textId="77777777" w:rsidTr="00CF12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15" w:type="dxa"/>
                  <w:gridSpan w:val="2"/>
                </w:tcPr>
                <w:p w14:paraId="4F5C9D59" w14:textId="2DCF33D5" w:rsidR="00566DCD" w:rsidRPr="00CF12D4" w:rsidRDefault="00566DCD" w:rsidP="00BF7F43">
                  <w:pPr>
                    <w:framePr w:hSpace="181" w:wrap="around" w:vAnchor="page" w:hAnchor="margin" w:xAlign="center" w:y="421"/>
                    <w:jc w:val="center"/>
                    <w:rPr>
                      <w:rFonts w:asciiTheme="majorHAnsi" w:hAnsiTheme="majorHAnsi" w:cstheme="majorHAnsi"/>
                    </w:rPr>
                  </w:pPr>
                  <w:r w:rsidRPr="00CF12D4">
                    <w:rPr>
                      <w:rFonts w:asciiTheme="majorHAnsi" w:hAnsiTheme="majorHAnsi" w:cstheme="majorHAnsi"/>
                    </w:rPr>
                    <w:t>Component Business Cases</w:t>
                  </w:r>
                </w:p>
              </w:tc>
            </w:tr>
            <w:tr w:rsidR="00CF12D4" w14:paraId="6E5D245F" w14:textId="77777777" w:rsidTr="00CF1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6" w:type="dxa"/>
                </w:tcPr>
                <w:p w14:paraId="282C2C1C" w14:textId="7E74F61A" w:rsidR="0076223E"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Strategic Case, including appendices</w:t>
                  </w:r>
                </w:p>
              </w:tc>
              <w:tc>
                <w:tcPr>
                  <w:tcW w:w="6009" w:type="dxa"/>
                </w:tcPr>
                <w:p w14:paraId="41A4E7CB" w14:textId="5B4D5244" w:rsidR="0076223E" w:rsidRDefault="00566DCD" w:rsidP="00BF7F43">
                  <w:pPr>
                    <w:framePr w:hSpace="181" w:wrap="around" w:vAnchor="page" w:hAnchor="margin" w:xAlign="center" w:y="42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Public </w:t>
                  </w:r>
                  <w:r w:rsidR="00CF12D4">
                    <w:rPr>
                      <w:rFonts w:asciiTheme="majorHAnsi" w:hAnsiTheme="majorHAnsi" w:cstheme="majorHAnsi"/>
                    </w:rPr>
                    <w:t xml:space="preserve">- </w:t>
                  </w:r>
                  <w:r>
                    <w:rPr>
                      <w:rFonts w:asciiTheme="majorHAnsi" w:hAnsiTheme="majorHAnsi" w:cstheme="majorHAnsi"/>
                    </w:rPr>
                    <w:t>Supporting Papers</w:t>
                  </w:r>
                </w:p>
              </w:tc>
            </w:tr>
            <w:tr w:rsidR="00CF12D4" w14:paraId="46022D59" w14:textId="77777777" w:rsidTr="00CF12D4">
              <w:tc>
                <w:tcPr>
                  <w:cnfStyle w:val="001000000000" w:firstRow="0" w:lastRow="0" w:firstColumn="1" w:lastColumn="0" w:oddVBand="0" w:evenVBand="0" w:oddHBand="0" w:evenHBand="0" w:firstRowFirstColumn="0" w:firstRowLastColumn="0" w:lastRowFirstColumn="0" w:lastRowLastColumn="0"/>
                  <w:tcW w:w="4706" w:type="dxa"/>
                </w:tcPr>
                <w:p w14:paraId="0649313F" w14:textId="1E079DE3" w:rsidR="0076223E"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Management Case, excluding appendices</w:t>
                  </w:r>
                </w:p>
              </w:tc>
              <w:tc>
                <w:tcPr>
                  <w:tcW w:w="6009" w:type="dxa"/>
                </w:tcPr>
                <w:p w14:paraId="40F3048B" w14:textId="2F066C9F" w:rsidR="0076223E" w:rsidRDefault="00566DCD" w:rsidP="00BF7F43">
                  <w:pPr>
                    <w:framePr w:hSpace="181" w:wrap="around" w:vAnchor="page" w:hAnchor="margin" w:xAlign="center" w:y="42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Public </w:t>
                  </w:r>
                  <w:r w:rsidR="00CF12D4">
                    <w:rPr>
                      <w:rFonts w:asciiTheme="majorHAnsi" w:hAnsiTheme="majorHAnsi" w:cstheme="majorHAnsi"/>
                    </w:rPr>
                    <w:t xml:space="preserve">- </w:t>
                  </w:r>
                  <w:r>
                    <w:rPr>
                      <w:rFonts w:asciiTheme="majorHAnsi" w:hAnsiTheme="majorHAnsi" w:cstheme="majorHAnsi"/>
                    </w:rPr>
                    <w:t>Supporting Papers</w:t>
                  </w:r>
                </w:p>
              </w:tc>
            </w:tr>
            <w:tr w:rsidR="00231B08" w14:paraId="15277C5F" w14:textId="77777777" w:rsidTr="00CF1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6" w:type="dxa"/>
                </w:tcPr>
                <w:p w14:paraId="220E5343" w14:textId="6BE11F83" w:rsidR="00231B08" w:rsidRPr="00231B08" w:rsidRDefault="00231B08" w:rsidP="00BF7F43">
                  <w:pPr>
                    <w:framePr w:hSpace="181" w:wrap="around" w:vAnchor="page" w:hAnchor="margin" w:xAlign="center" w:y="421"/>
                    <w:rPr>
                      <w:rFonts w:asciiTheme="majorHAnsi" w:hAnsiTheme="majorHAnsi" w:cstheme="majorHAnsi"/>
                      <w:b w:val="0"/>
                    </w:rPr>
                  </w:pPr>
                  <w:r w:rsidRPr="00231B08">
                    <w:rPr>
                      <w:rFonts w:asciiTheme="majorHAnsi" w:hAnsiTheme="majorHAnsi" w:cstheme="majorHAnsi"/>
                      <w:b w:val="0"/>
                    </w:rPr>
                    <w:t>Strategic Case appendices</w:t>
                  </w:r>
                </w:p>
              </w:tc>
              <w:tc>
                <w:tcPr>
                  <w:tcW w:w="6009" w:type="dxa"/>
                </w:tcPr>
                <w:p w14:paraId="1A9D0723" w14:textId="2236E5F9" w:rsidR="00231B08" w:rsidRDefault="00231B08" w:rsidP="00BF7F43">
                  <w:pPr>
                    <w:framePr w:hSpace="181" w:wrap="around" w:vAnchor="page" w:hAnchor="margin" w:xAlign="center" w:y="42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rPr>
                    <w:t>Private - Supporting Papers</w:t>
                  </w:r>
                </w:p>
              </w:tc>
            </w:tr>
            <w:tr w:rsidR="00566DCD" w14:paraId="3EF2504F" w14:textId="77777777" w:rsidTr="00CF12D4">
              <w:tc>
                <w:tcPr>
                  <w:cnfStyle w:val="001000000000" w:firstRow="0" w:lastRow="0" w:firstColumn="1" w:lastColumn="0" w:oddVBand="0" w:evenVBand="0" w:oddHBand="0" w:evenHBand="0" w:firstRowFirstColumn="0" w:firstRowLastColumn="0" w:lastRowFirstColumn="0" w:lastRowLastColumn="0"/>
                  <w:tcW w:w="4706" w:type="dxa"/>
                </w:tcPr>
                <w:p w14:paraId="565614B8" w14:textId="55EEC3FE" w:rsidR="00566DCD"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Management Case appendices</w:t>
                  </w:r>
                </w:p>
              </w:tc>
              <w:tc>
                <w:tcPr>
                  <w:tcW w:w="6009" w:type="dxa"/>
                </w:tcPr>
                <w:p w14:paraId="3F65C98F" w14:textId="24B54419" w:rsidR="00566DCD" w:rsidRDefault="00566DCD" w:rsidP="00BF7F43">
                  <w:pPr>
                    <w:framePr w:hSpace="181" w:wrap="around" w:vAnchor="page" w:hAnchor="margin" w:xAlign="center" w:y="42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Private </w:t>
                  </w:r>
                  <w:r w:rsidR="00CF12D4">
                    <w:rPr>
                      <w:rFonts w:asciiTheme="majorHAnsi" w:hAnsiTheme="majorHAnsi" w:cstheme="majorHAnsi"/>
                    </w:rPr>
                    <w:t xml:space="preserve">- </w:t>
                  </w:r>
                  <w:r>
                    <w:rPr>
                      <w:rFonts w:asciiTheme="majorHAnsi" w:hAnsiTheme="majorHAnsi" w:cstheme="majorHAnsi"/>
                    </w:rPr>
                    <w:t>Supporting Papers</w:t>
                  </w:r>
                </w:p>
              </w:tc>
            </w:tr>
            <w:tr w:rsidR="00CF12D4" w14:paraId="18BF2517" w14:textId="77777777" w:rsidTr="00CF1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6" w:type="dxa"/>
                </w:tcPr>
                <w:p w14:paraId="5C929BE7" w14:textId="2B573C79" w:rsidR="0076223E"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Financial Case, including appendices</w:t>
                  </w:r>
                </w:p>
              </w:tc>
              <w:tc>
                <w:tcPr>
                  <w:tcW w:w="6009" w:type="dxa"/>
                </w:tcPr>
                <w:p w14:paraId="7F73CE52" w14:textId="436B63AA" w:rsidR="0076223E" w:rsidRDefault="00566DCD" w:rsidP="00BF7F43">
                  <w:pPr>
                    <w:framePr w:hSpace="181" w:wrap="around" w:vAnchor="page" w:hAnchor="margin" w:xAlign="center" w:y="42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Private </w:t>
                  </w:r>
                  <w:r w:rsidR="00CF12D4">
                    <w:rPr>
                      <w:rFonts w:asciiTheme="majorHAnsi" w:hAnsiTheme="majorHAnsi" w:cstheme="majorHAnsi"/>
                    </w:rPr>
                    <w:t xml:space="preserve">- </w:t>
                  </w:r>
                  <w:r>
                    <w:rPr>
                      <w:rFonts w:asciiTheme="majorHAnsi" w:hAnsiTheme="majorHAnsi" w:cstheme="majorHAnsi"/>
                    </w:rPr>
                    <w:t>Supporting Papers</w:t>
                  </w:r>
                </w:p>
              </w:tc>
            </w:tr>
            <w:tr w:rsidR="00CF12D4" w14:paraId="37CD0364" w14:textId="77777777" w:rsidTr="00CF12D4">
              <w:tc>
                <w:tcPr>
                  <w:cnfStyle w:val="001000000000" w:firstRow="0" w:lastRow="0" w:firstColumn="1" w:lastColumn="0" w:oddVBand="0" w:evenVBand="0" w:oddHBand="0" w:evenHBand="0" w:firstRowFirstColumn="0" w:firstRowLastColumn="0" w:lastRowFirstColumn="0" w:lastRowLastColumn="0"/>
                  <w:tcW w:w="4706" w:type="dxa"/>
                </w:tcPr>
                <w:p w14:paraId="77FE9C39" w14:textId="4575DA7E" w:rsidR="0076223E"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Economic Case, including appendices</w:t>
                  </w:r>
                </w:p>
              </w:tc>
              <w:tc>
                <w:tcPr>
                  <w:tcW w:w="6009" w:type="dxa"/>
                </w:tcPr>
                <w:p w14:paraId="7DBC31BC" w14:textId="3B28D402" w:rsidR="0076223E" w:rsidRDefault="00566DCD" w:rsidP="00BF7F43">
                  <w:pPr>
                    <w:framePr w:hSpace="181" w:wrap="around" w:vAnchor="page" w:hAnchor="margin" w:xAlign="center" w:y="42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Private </w:t>
                  </w:r>
                  <w:r w:rsidR="00CF12D4">
                    <w:rPr>
                      <w:rFonts w:asciiTheme="majorHAnsi" w:hAnsiTheme="majorHAnsi" w:cstheme="majorHAnsi"/>
                    </w:rPr>
                    <w:t xml:space="preserve">- </w:t>
                  </w:r>
                  <w:r>
                    <w:rPr>
                      <w:rFonts w:asciiTheme="majorHAnsi" w:hAnsiTheme="majorHAnsi" w:cstheme="majorHAnsi"/>
                    </w:rPr>
                    <w:t>Supporting Papers</w:t>
                  </w:r>
                </w:p>
              </w:tc>
            </w:tr>
            <w:tr w:rsidR="00566DCD" w14:paraId="02C54528" w14:textId="77777777" w:rsidTr="00CF1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6" w:type="dxa"/>
                </w:tcPr>
                <w:p w14:paraId="7418EF39" w14:textId="2C8D6E66" w:rsidR="00566DCD" w:rsidRPr="00CF12D4" w:rsidRDefault="00566DCD" w:rsidP="00BF7F43">
                  <w:pPr>
                    <w:framePr w:hSpace="181" w:wrap="around" w:vAnchor="page" w:hAnchor="margin" w:xAlign="center" w:y="421"/>
                    <w:rPr>
                      <w:rFonts w:asciiTheme="majorHAnsi" w:hAnsiTheme="majorHAnsi" w:cstheme="majorHAnsi"/>
                      <w:b w:val="0"/>
                    </w:rPr>
                  </w:pPr>
                  <w:r w:rsidRPr="00CF12D4">
                    <w:rPr>
                      <w:rFonts w:asciiTheme="majorHAnsi" w:hAnsiTheme="majorHAnsi" w:cstheme="majorHAnsi"/>
                      <w:b w:val="0"/>
                    </w:rPr>
                    <w:t>Commercial Case</w:t>
                  </w:r>
                </w:p>
              </w:tc>
              <w:tc>
                <w:tcPr>
                  <w:tcW w:w="6009" w:type="dxa"/>
                </w:tcPr>
                <w:p w14:paraId="7B9E4B8C" w14:textId="5A8B615B" w:rsidR="00566DCD" w:rsidRDefault="00566DCD" w:rsidP="00BF7F43">
                  <w:pPr>
                    <w:framePr w:hSpace="181" w:wrap="around" w:vAnchor="page" w:hAnchor="margin" w:xAlign="center" w:y="42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Still in negotiation with WG, VUNHST and Acorn. Commissioning health boards will receive the case </w:t>
                  </w:r>
                  <w:r w:rsidR="00CF12D4">
                    <w:rPr>
                      <w:rFonts w:asciiTheme="majorHAnsi" w:hAnsiTheme="majorHAnsi" w:cstheme="majorHAnsi"/>
                    </w:rPr>
                    <w:t xml:space="preserve">for noting </w:t>
                  </w:r>
                  <w:r>
                    <w:rPr>
                      <w:rFonts w:asciiTheme="majorHAnsi" w:hAnsiTheme="majorHAnsi" w:cstheme="majorHAnsi"/>
                    </w:rPr>
                    <w:t>once agreed</w:t>
                  </w:r>
                  <w:r w:rsidR="00CF12D4">
                    <w:rPr>
                      <w:rFonts w:asciiTheme="majorHAnsi" w:hAnsiTheme="majorHAnsi" w:cstheme="majorHAnsi"/>
                    </w:rPr>
                    <w:t>.</w:t>
                  </w:r>
                </w:p>
              </w:tc>
            </w:tr>
          </w:tbl>
          <w:p w14:paraId="5C1EE428" w14:textId="182D04D3" w:rsidR="00456D4C" w:rsidRPr="00CF12D4" w:rsidRDefault="00456D4C" w:rsidP="008354DE">
            <w:pPr>
              <w:rPr>
                <w:rFonts w:asciiTheme="majorHAnsi" w:hAnsiTheme="majorHAnsi" w:cstheme="majorHAnsi"/>
              </w:rPr>
            </w:pPr>
            <w:r>
              <w:rPr>
                <w:rFonts w:asciiTheme="majorHAnsi" w:hAnsiTheme="majorHAnsi" w:cstheme="majorHAnsi"/>
              </w:rPr>
              <w:t xml:space="preserve"> </w:t>
            </w:r>
          </w:p>
          <w:p w14:paraId="115C1668" w14:textId="62487FAD" w:rsidR="00D361A7" w:rsidRPr="009267E2" w:rsidRDefault="00D361A7" w:rsidP="008354DE">
            <w:pPr>
              <w:rPr>
                <w:rFonts w:asciiTheme="majorHAnsi" w:hAnsiTheme="majorHAnsi" w:cstheme="majorHAnsi"/>
                <w:b/>
                <w:u w:val="single"/>
              </w:rPr>
            </w:pPr>
            <w:r w:rsidRPr="009267E2">
              <w:rPr>
                <w:rFonts w:asciiTheme="majorHAnsi" w:hAnsiTheme="majorHAnsi" w:cstheme="majorHAnsi"/>
                <w:b/>
                <w:u w:val="single"/>
              </w:rPr>
              <w:t>Summary of the Movement in Recurring Revenue Costs</w:t>
            </w:r>
          </w:p>
          <w:p w14:paraId="249C6F01" w14:textId="205B3A41" w:rsidR="00D361A7" w:rsidRDefault="00D361A7" w:rsidP="008354DE">
            <w:pPr>
              <w:rPr>
                <w:rFonts w:asciiTheme="majorHAnsi" w:hAnsiTheme="majorHAnsi" w:cstheme="majorHAnsi"/>
                <w:highlight w:val="yellow"/>
              </w:rPr>
            </w:pPr>
          </w:p>
          <w:p w14:paraId="7BD3AB52" w14:textId="727434DD" w:rsidR="00D361A7" w:rsidRDefault="00D361A7" w:rsidP="008354DE">
            <w:pPr>
              <w:rPr>
                <w:rFonts w:asciiTheme="majorHAnsi" w:hAnsiTheme="majorHAnsi" w:cstheme="majorHAnsi"/>
              </w:rPr>
            </w:pPr>
            <w:r w:rsidRPr="00D361A7">
              <w:rPr>
                <w:rFonts w:asciiTheme="majorHAnsi" w:hAnsiTheme="majorHAnsi" w:cstheme="majorHAnsi"/>
              </w:rPr>
              <w:t>The movement in recurring revenue costs primarily relate to utility costs (electricity), equipment maintenance, and insurance.</w:t>
            </w:r>
          </w:p>
          <w:p w14:paraId="6F1CE676" w14:textId="77777777" w:rsidR="00CF12D4" w:rsidRDefault="00CF12D4" w:rsidP="008354DE">
            <w:pPr>
              <w:rPr>
                <w:rFonts w:asciiTheme="majorHAnsi" w:hAnsiTheme="majorHAnsi" w:cstheme="majorHAnsi"/>
              </w:rPr>
            </w:pPr>
          </w:p>
          <w:p w14:paraId="66E0A7E1" w14:textId="77777777" w:rsidR="00C8292B" w:rsidRPr="006D7A49" w:rsidRDefault="00C8292B" w:rsidP="00C8292B">
            <w:pPr>
              <w:pStyle w:val="Caption"/>
              <w:keepNext/>
              <w:ind w:left="720" w:firstLine="131"/>
              <w:rPr>
                <w:iCs w:val="0"/>
                <w:color w:val="2F5496"/>
                <w:sz w:val="20"/>
                <w:szCs w:val="20"/>
              </w:rPr>
            </w:pPr>
            <w:r w:rsidRPr="006D7A49">
              <w:rPr>
                <w:iCs w:val="0"/>
                <w:color w:val="2F5496"/>
                <w:sz w:val="20"/>
                <w:szCs w:val="20"/>
              </w:rPr>
              <w:t>Table 14 - Movement in Recurring Revenue Costs for Commissioners</w:t>
            </w:r>
          </w:p>
          <w:tbl>
            <w:tblPr>
              <w:tblW w:w="7796" w:type="dxa"/>
              <w:tblInd w:w="836" w:type="dxa"/>
              <w:tbl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insideH w:val="single" w:sz="8" w:space="0" w:color="365F91" w:themeColor="accent1" w:themeShade="BF"/>
                <w:insideV w:val="single" w:sz="8" w:space="0" w:color="365F91" w:themeColor="accent1" w:themeShade="BF"/>
              </w:tblBorders>
              <w:tblLayout w:type="fixed"/>
              <w:tblLook w:val="04A0" w:firstRow="1" w:lastRow="0" w:firstColumn="1" w:lastColumn="0" w:noHBand="0" w:noVBand="1"/>
            </w:tblPr>
            <w:tblGrid>
              <w:gridCol w:w="2977"/>
              <w:gridCol w:w="1606"/>
              <w:gridCol w:w="1606"/>
              <w:gridCol w:w="1607"/>
            </w:tblGrid>
            <w:tr w:rsidR="00C8292B" w:rsidRPr="00150080" w14:paraId="59069250" w14:textId="77777777" w:rsidTr="004F72F2">
              <w:trPr>
                <w:trHeight w:val="317"/>
              </w:trPr>
              <w:tc>
                <w:tcPr>
                  <w:tcW w:w="2977" w:type="dxa"/>
                  <w:tcBorders>
                    <w:top w:val="single" w:sz="12"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53955E72" w14:textId="77777777" w:rsidR="00C8292B" w:rsidRPr="00150080" w:rsidRDefault="00C8292B" w:rsidP="00BF7F43">
                  <w:pPr>
                    <w:framePr w:hSpace="181" w:wrap="around" w:vAnchor="page" w:hAnchor="margin" w:xAlign="center" w:y="421"/>
                    <w:tabs>
                      <w:tab w:val="num" w:pos="1418"/>
                    </w:tabs>
                    <w:ind w:firstLine="64"/>
                    <w:rPr>
                      <w:b/>
                      <w:color w:val="FFFFFF" w:themeColor="background1"/>
                      <w:sz w:val="20"/>
                      <w:szCs w:val="20"/>
                    </w:rPr>
                  </w:pPr>
                  <w:r w:rsidRPr="00150080">
                    <w:rPr>
                      <w:b/>
                      <w:color w:val="FFFFFF" w:themeColor="background1"/>
                      <w:sz w:val="20"/>
                      <w:szCs w:val="20"/>
                    </w:rPr>
                    <w:t>Cost Category</w:t>
                  </w:r>
                </w:p>
              </w:tc>
              <w:tc>
                <w:tcPr>
                  <w:tcW w:w="1606" w:type="dxa"/>
                  <w:tcBorders>
                    <w:top w:val="single" w:sz="12"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245510FC" w14:textId="77777777" w:rsidR="00C8292B" w:rsidRPr="00150080" w:rsidRDefault="00C8292B" w:rsidP="00BF7F43">
                  <w:pPr>
                    <w:framePr w:hSpace="181" w:wrap="around" w:vAnchor="page" w:hAnchor="margin" w:xAlign="center" w:y="421"/>
                    <w:jc w:val="center"/>
                    <w:rPr>
                      <w:b/>
                      <w:color w:val="FFFFFF" w:themeColor="background1"/>
                      <w:sz w:val="20"/>
                      <w:szCs w:val="20"/>
                    </w:rPr>
                  </w:pPr>
                  <w:r w:rsidRPr="00150080">
                    <w:rPr>
                      <w:b/>
                      <w:color w:val="FFFFFF" w:themeColor="background1"/>
                      <w:sz w:val="20"/>
                      <w:szCs w:val="20"/>
                    </w:rPr>
                    <w:t>FBC Costs</w:t>
                  </w:r>
                </w:p>
              </w:tc>
              <w:tc>
                <w:tcPr>
                  <w:tcW w:w="1606" w:type="dxa"/>
                  <w:tcBorders>
                    <w:top w:val="single" w:sz="12"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6E7957A7" w14:textId="77777777" w:rsidR="00C8292B" w:rsidRPr="00150080" w:rsidRDefault="00C8292B" w:rsidP="00BF7F43">
                  <w:pPr>
                    <w:framePr w:hSpace="181" w:wrap="around" w:vAnchor="page" w:hAnchor="margin" w:xAlign="center" w:y="421"/>
                    <w:jc w:val="center"/>
                    <w:rPr>
                      <w:b/>
                      <w:color w:val="FFFFFF" w:themeColor="background1"/>
                      <w:sz w:val="20"/>
                      <w:szCs w:val="20"/>
                    </w:rPr>
                  </w:pPr>
                  <w:r w:rsidRPr="0002703C">
                    <w:rPr>
                      <w:b/>
                      <w:color w:val="FFFFFF" w:themeColor="background1"/>
                      <w:sz w:val="20"/>
                      <w:szCs w:val="20"/>
                    </w:rPr>
                    <w:t>OBC Inflated</w:t>
                  </w:r>
                </w:p>
              </w:tc>
              <w:tc>
                <w:tcPr>
                  <w:tcW w:w="1607" w:type="dxa"/>
                  <w:tcBorders>
                    <w:top w:val="single" w:sz="12"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244061" w:themeFill="accent1" w:themeFillShade="80"/>
                  <w:tcMar>
                    <w:left w:w="43" w:type="dxa"/>
                    <w:right w:w="43" w:type="dxa"/>
                  </w:tcMar>
                  <w:vAlign w:val="center"/>
                </w:tcPr>
                <w:p w14:paraId="4024A624" w14:textId="77777777" w:rsidR="00C8292B" w:rsidRPr="00150080" w:rsidRDefault="00C8292B" w:rsidP="00BF7F43">
                  <w:pPr>
                    <w:framePr w:hSpace="181" w:wrap="around" w:vAnchor="page" w:hAnchor="margin" w:xAlign="center" w:y="421"/>
                    <w:jc w:val="center"/>
                    <w:rPr>
                      <w:b/>
                      <w:color w:val="FFFFFF" w:themeColor="background1"/>
                      <w:sz w:val="20"/>
                      <w:szCs w:val="20"/>
                    </w:rPr>
                  </w:pPr>
                  <w:r>
                    <w:rPr>
                      <w:b/>
                      <w:color w:val="FFFFFF" w:themeColor="background1"/>
                      <w:sz w:val="20"/>
                      <w:szCs w:val="20"/>
                    </w:rPr>
                    <w:t>Movement</w:t>
                  </w:r>
                </w:p>
              </w:tc>
            </w:tr>
            <w:tr w:rsidR="00C8292B" w:rsidRPr="00150080" w14:paraId="55AC39B7"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6C27DBBB" w14:textId="77777777" w:rsidR="00C8292B" w:rsidRPr="0002703C" w:rsidRDefault="00C8292B" w:rsidP="00BF7F43">
                  <w:pPr>
                    <w:framePr w:hSpace="181" w:wrap="around" w:vAnchor="page" w:hAnchor="margin" w:xAlign="center" w:y="421"/>
                    <w:tabs>
                      <w:tab w:val="num" w:pos="1418"/>
                    </w:tabs>
                    <w:ind w:firstLine="64"/>
                    <w:rPr>
                      <w:b/>
                      <w:sz w:val="20"/>
                      <w:szCs w:val="20"/>
                    </w:rPr>
                  </w:pP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50257883" w14:textId="77777777" w:rsidR="00C8292B" w:rsidRPr="00150080" w:rsidRDefault="00C8292B" w:rsidP="00BF7F43">
                  <w:pPr>
                    <w:framePr w:hSpace="181" w:wrap="around" w:vAnchor="page" w:hAnchor="margin" w:xAlign="center" w:y="421"/>
                    <w:jc w:val="center"/>
                    <w:rPr>
                      <w:b/>
                      <w:color w:val="FFFFFF" w:themeColor="background1"/>
                      <w:sz w:val="20"/>
                      <w:szCs w:val="20"/>
                    </w:rPr>
                  </w:pPr>
                  <w:r w:rsidRPr="00150080">
                    <w:rPr>
                      <w:b/>
                      <w:color w:val="FFFFFF" w:themeColor="background1"/>
                      <w:sz w:val="20"/>
                      <w:szCs w:val="20"/>
                    </w:rPr>
                    <w:t>£000</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244061" w:themeFill="accent1" w:themeFillShade="80"/>
                  <w:vAlign w:val="center"/>
                </w:tcPr>
                <w:p w14:paraId="488D22DD" w14:textId="77777777" w:rsidR="00C8292B" w:rsidRPr="00150080" w:rsidRDefault="00C8292B" w:rsidP="00BF7F43">
                  <w:pPr>
                    <w:framePr w:hSpace="181" w:wrap="around" w:vAnchor="page" w:hAnchor="margin" w:xAlign="center" w:y="421"/>
                    <w:jc w:val="center"/>
                    <w:rPr>
                      <w:b/>
                      <w:color w:val="FFFFFF" w:themeColor="background1"/>
                      <w:sz w:val="20"/>
                      <w:szCs w:val="20"/>
                    </w:rPr>
                  </w:pPr>
                  <w:r w:rsidRPr="0002703C">
                    <w:rPr>
                      <w:b/>
                      <w:color w:val="FFFFFF" w:themeColor="background1"/>
                      <w:sz w:val="20"/>
                      <w:szCs w:val="20"/>
                    </w:rPr>
                    <w:t>£000</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244061" w:themeFill="accent1" w:themeFillShade="80"/>
                  <w:vAlign w:val="center"/>
                </w:tcPr>
                <w:p w14:paraId="697F59FD" w14:textId="77777777" w:rsidR="00C8292B" w:rsidRPr="00150080" w:rsidRDefault="00C8292B" w:rsidP="00BF7F43">
                  <w:pPr>
                    <w:framePr w:hSpace="181" w:wrap="around" w:vAnchor="page" w:hAnchor="margin" w:xAlign="center" w:y="421"/>
                    <w:jc w:val="center"/>
                    <w:rPr>
                      <w:b/>
                      <w:color w:val="FFFFFF" w:themeColor="background1"/>
                      <w:sz w:val="20"/>
                      <w:szCs w:val="20"/>
                    </w:rPr>
                  </w:pPr>
                  <w:r>
                    <w:rPr>
                      <w:b/>
                      <w:color w:val="FFFFFF" w:themeColor="background1"/>
                      <w:sz w:val="20"/>
                      <w:szCs w:val="20"/>
                    </w:rPr>
                    <w:t>£000</w:t>
                  </w:r>
                </w:p>
              </w:tc>
            </w:tr>
            <w:tr w:rsidR="00C8292B" w:rsidRPr="00150080" w14:paraId="121EDD97"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4B2F1685" w14:textId="77777777" w:rsidR="00C8292B" w:rsidRPr="00870D10" w:rsidRDefault="00C8292B" w:rsidP="00BF7F43">
                  <w:pPr>
                    <w:framePr w:hSpace="181" w:wrap="around" w:vAnchor="page" w:hAnchor="margin" w:xAlign="center" w:y="421"/>
                    <w:rPr>
                      <w:bCs/>
                      <w:sz w:val="20"/>
                      <w:szCs w:val="20"/>
                    </w:rPr>
                  </w:pPr>
                  <w:r w:rsidRPr="00870D10">
                    <w:rPr>
                      <w:bCs/>
                      <w:sz w:val="20"/>
                      <w:szCs w:val="20"/>
                    </w:rPr>
                    <w:t>Soft FM</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687FBB83"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2,905</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07499092"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2,684</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2C3BEDCF"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222</w:t>
                  </w:r>
                </w:p>
              </w:tc>
            </w:tr>
            <w:tr w:rsidR="00C8292B" w:rsidRPr="00150080" w14:paraId="2DF8AC4A"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4527B6F5" w14:textId="77777777" w:rsidR="00C8292B" w:rsidRPr="00870D10" w:rsidRDefault="00C8292B" w:rsidP="00BF7F43">
                  <w:pPr>
                    <w:framePr w:hSpace="181" w:wrap="around" w:vAnchor="page" w:hAnchor="margin" w:xAlign="center" w:y="421"/>
                    <w:rPr>
                      <w:bCs/>
                      <w:sz w:val="20"/>
                      <w:szCs w:val="20"/>
                    </w:rPr>
                  </w:pPr>
                  <w:r w:rsidRPr="00870D10">
                    <w:rPr>
                      <w:bCs/>
                      <w:sz w:val="20"/>
                      <w:szCs w:val="20"/>
                    </w:rPr>
                    <w:t>Hard FM</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1FA2AB53"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901</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3E934C38"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1,026</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33DFDB9C"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-125</w:t>
                  </w:r>
                </w:p>
              </w:tc>
            </w:tr>
            <w:tr w:rsidR="00C8292B" w:rsidRPr="00150080" w14:paraId="0EEAC9C6"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37F66AB3" w14:textId="77777777" w:rsidR="00C8292B" w:rsidRPr="00870D10" w:rsidRDefault="00C8292B" w:rsidP="00BF7F43">
                  <w:pPr>
                    <w:framePr w:hSpace="181" w:wrap="around" w:vAnchor="page" w:hAnchor="margin" w:xAlign="center" w:y="421"/>
                    <w:rPr>
                      <w:bCs/>
                      <w:sz w:val="20"/>
                      <w:szCs w:val="20"/>
                    </w:rPr>
                  </w:pPr>
                  <w:r w:rsidRPr="00870D10">
                    <w:rPr>
                      <w:bCs/>
                      <w:sz w:val="20"/>
                      <w:szCs w:val="20"/>
                    </w:rPr>
                    <w:t>Utilities</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03682A60"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1,880</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4E2E5414"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1,303</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625C6DBD"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577</w:t>
                  </w:r>
                </w:p>
              </w:tc>
            </w:tr>
            <w:tr w:rsidR="00C8292B" w:rsidRPr="00150080" w14:paraId="7183B22B"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604B69CC" w14:textId="77777777" w:rsidR="00C8292B" w:rsidRPr="00870D10" w:rsidRDefault="00C8292B" w:rsidP="00BF7F43">
                  <w:pPr>
                    <w:framePr w:hSpace="181" w:wrap="around" w:vAnchor="page" w:hAnchor="margin" w:xAlign="center" w:y="421"/>
                    <w:rPr>
                      <w:bCs/>
                      <w:sz w:val="20"/>
                      <w:szCs w:val="20"/>
                    </w:rPr>
                  </w:pPr>
                  <w:r w:rsidRPr="00870D10">
                    <w:rPr>
                      <w:bCs/>
                      <w:sz w:val="20"/>
                      <w:szCs w:val="20"/>
                    </w:rPr>
                    <w:t>Rates</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4826B224"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1,043</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0F8CF2A9"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1,297</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2D46003B"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-254</w:t>
                  </w:r>
                </w:p>
              </w:tc>
            </w:tr>
            <w:tr w:rsidR="00C8292B" w:rsidRPr="00150080" w14:paraId="5973FDE8"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64571A8C" w14:textId="77777777" w:rsidR="00C8292B" w:rsidRPr="00870D10" w:rsidRDefault="00C8292B" w:rsidP="00BF7F43">
                  <w:pPr>
                    <w:framePr w:hSpace="181" w:wrap="around" w:vAnchor="page" w:hAnchor="margin" w:xAlign="center" w:y="421"/>
                    <w:rPr>
                      <w:bCs/>
                      <w:sz w:val="20"/>
                      <w:szCs w:val="20"/>
                    </w:rPr>
                  </w:pPr>
                  <w:r w:rsidRPr="00870D10">
                    <w:rPr>
                      <w:bCs/>
                      <w:sz w:val="20"/>
                      <w:szCs w:val="20"/>
                    </w:rPr>
                    <w:t>Equipment Maintenance</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7CA261AB"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1,601</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7C89E423"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1,129</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51021F34"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472</w:t>
                  </w:r>
                </w:p>
              </w:tc>
            </w:tr>
            <w:tr w:rsidR="00C8292B" w:rsidRPr="00150080" w14:paraId="7E2E2D6E"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51E09C53" w14:textId="77777777" w:rsidR="00C8292B" w:rsidRPr="00870D10" w:rsidRDefault="00C8292B" w:rsidP="00BF7F43">
                  <w:pPr>
                    <w:framePr w:hSpace="181" w:wrap="around" w:vAnchor="page" w:hAnchor="margin" w:xAlign="center" w:y="421"/>
                    <w:rPr>
                      <w:bCs/>
                      <w:sz w:val="20"/>
                      <w:szCs w:val="20"/>
                    </w:rPr>
                  </w:pPr>
                  <w:r w:rsidRPr="00870D10">
                    <w:rPr>
                      <w:bCs/>
                      <w:sz w:val="20"/>
                      <w:szCs w:val="20"/>
                    </w:rPr>
                    <w:t>IM&amp;T Maintenance</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30D9FD56"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251</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35D89646"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562</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5109C096"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-311</w:t>
                  </w:r>
                </w:p>
              </w:tc>
            </w:tr>
            <w:tr w:rsidR="00C8292B" w:rsidRPr="00150080" w14:paraId="2CD7118F"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4C91C73A" w14:textId="77777777" w:rsidR="00C8292B" w:rsidRPr="00870D10" w:rsidRDefault="00C8292B" w:rsidP="00BF7F43">
                  <w:pPr>
                    <w:framePr w:hSpace="181" w:wrap="around" w:vAnchor="page" w:hAnchor="margin" w:xAlign="center" w:y="421"/>
                    <w:rPr>
                      <w:bCs/>
                      <w:sz w:val="20"/>
                      <w:szCs w:val="20"/>
                    </w:rPr>
                  </w:pPr>
                  <w:r w:rsidRPr="00870D10">
                    <w:rPr>
                      <w:bCs/>
                      <w:sz w:val="20"/>
                      <w:szCs w:val="20"/>
                    </w:rPr>
                    <w:t>Digital</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0F94D610"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297</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5BE4DD0E"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0</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76015998"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297</w:t>
                  </w:r>
                </w:p>
              </w:tc>
            </w:tr>
            <w:tr w:rsidR="00C8292B" w:rsidRPr="00150080" w14:paraId="221E5E4C"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6" w:space="0" w:color="365F91" w:themeColor="accent1" w:themeShade="BF"/>
                    <w:right w:val="single" w:sz="6" w:space="0" w:color="365F91" w:themeColor="accent1" w:themeShade="BF"/>
                  </w:tcBorders>
                  <w:shd w:val="clear" w:color="auto" w:fill="DBE5F1" w:themeFill="accent1" w:themeFillTint="33"/>
                  <w:vAlign w:val="center"/>
                </w:tcPr>
                <w:p w14:paraId="51C95FCF" w14:textId="77777777" w:rsidR="00C8292B" w:rsidRPr="00870D10" w:rsidRDefault="00C8292B" w:rsidP="00BF7F43">
                  <w:pPr>
                    <w:framePr w:hSpace="181" w:wrap="around" w:vAnchor="page" w:hAnchor="margin" w:xAlign="center" w:y="421"/>
                    <w:rPr>
                      <w:bCs/>
                      <w:sz w:val="20"/>
                      <w:szCs w:val="20"/>
                    </w:rPr>
                  </w:pPr>
                  <w:r w:rsidRPr="00870D10">
                    <w:rPr>
                      <w:bCs/>
                      <w:sz w:val="20"/>
                      <w:szCs w:val="20"/>
                    </w:rPr>
                    <w:t>Insurance</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356D5F44"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450</w:t>
                  </w:r>
                </w:p>
              </w:tc>
              <w:tc>
                <w:tcPr>
                  <w:tcW w:w="1606" w:type="dxa"/>
                  <w:tcBorders>
                    <w:top w:val="single" w:sz="6" w:space="0" w:color="365F91" w:themeColor="accent1" w:themeShade="BF"/>
                    <w:left w:val="single" w:sz="6" w:space="0" w:color="365F91" w:themeColor="accent1" w:themeShade="BF"/>
                    <w:bottom w:val="single" w:sz="6" w:space="0" w:color="365F91" w:themeColor="accent1" w:themeShade="BF"/>
                    <w:right w:val="single" w:sz="6" w:space="0" w:color="365F91" w:themeColor="accent1" w:themeShade="BF"/>
                  </w:tcBorders>
                  <w:shd w:val="clear" w:color="auto" w:fill="auto"/>
                  <w:vAlign w:val="center"/>
                </w:tcPr>
                <w:p w14:paraId="3FEC9017"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252</w:t>
                  </w:r>
                </w:p>
              </w:tc>
              <w:tc>
                <w:tcPr>
                  <w:tcW w:w="1607" w:type="dxa"/>
                  <w:tcBorders>
                    <w:top w:val="single" w:sz="6" w:space="0" w:color="365F91" w:themeColor="accent1" w:themeShade="BF"/>
                    <w:left w:val="single" w:sz="6" w:space="0" w:color="365F91" w:themeColor="accent1" w:themeShade="BF"/>
                    <w:bottom w:val="single" w:sz="6" w:space="0" w:color="365F91" w:themeColor="accent1" w:themeShade="BF"/>
                    <w:right w:val="single" w:sz="12" w:space="0" w:color="365F91" w:themeColor="accent1" w:themeShade="BF"/>
                  </w:tcBorders>
                  <w:shd w:val="clear" w:color="auto" w:fill="F2F2F2" w:themeFill="background1" w:themeFillShade="F2"/>
                  <w:vAlign w:val="center"/>
                </w:tcPr>
                <w:p w14:paraId="71609AC5" w14:textId="77777777" w:rsidR="00C8292B" w:rsidRPr="0002703C" w:rsidRDefault="00C8292B" w:rsidP="00BF7F43">
                  <w:pPr>
                    <w:framePr w:hSpace="181" w:wrap="around" w:vAnchor="page" w:hAnchor="margin" w:xAlign="center" w:y="421"/>
                    <w:jc w:val="right"/>
                    <w:rPr>
                      <w:bCs/>
                      <w:sz w:val="20"/>
                      <w:szCs w:val="20"/>
                    </w:rPr>
                  </w:pPr>
                  <w:r w:rsidRPr="0002703C">
                    <w:rPr>
                      <w:sz w:val="20"/>
                      <w:szCs w:val="20"/>
                    </w:rPr>
                    <w:t>198</w:t>
                  </w:r>
                </w:p>
              </w:tc>
            </w:tr>
            <w:tr w:rsidR="00C8292B" w:rsidRPr="00150080" w14:paraId="22ADF5DD" w14:textId="77777777" w:rsidTr="004F72F2">
              <w:trPr>
                <w:trHeight w:val="317"/>
              </w:trPr>
              <w:tc>
                <w:tcPr>
                  <w:tcW w:w="2977" w:type="dxa"/>
                  <w:tcBorders>
                    <w:top w:val="single" w:sz="6" w:space="0" w:color="365F91" w:themeColor="accent1" w:themeShade="BF"/>
                    <w:left w:val="single" w:sz="12" w:space="0" w:color="365F91" w:themeColor="accent1" w:themeShade="BF"/>
                    <w:bottom w:val="single" w:sz="12" w:space="0" w:color="365F91" w:themeColor="accent1" w:themeShade="BF"/>
                    <w:right w:val="single" w:sz="6" w:space="0" w:color="365F91" w:themeColor="accent1" w:themeShade="BF"/>
                  </w:tcBorders>
                  <w:shd w:val="clear" w:color="auto" w:fill="DBE5F1" w:themeFill="accent1" w:themeFillTint="33"/>
                  <w:vAlign w:val="center"/>
                </w:tcPr>
                <w:p w14:paraId="02143E4A" w14:textId="77777777" w:rsidR="00C8292B" w:rsidRPr="0002703C" w:rsidRDefault="00C8292B" w:rsidP="00BF7F43">
                  <w:pPr>
                    <w:framePr w:hSpace="181" w:wrap="around" w:vAnchor="page" w:hAnchor="margin" w:xAlign="center" w:y="421"/>
                    <w:rPr>
                      <w:bCs/>
                      <w:sz w:val="20"/>
                      <w:szCs w:val="20"/>
                    </w:rPr>
                  </w:pPr>
                  <w:r w:rsidRPr="0002703C">
                    <w:rPr>
                      <w:bCs/>
                      <w:sz w:val="20"/>
                      <w:szCs w:val="20"/>
                    </w:rPr>
                    <w:t>Recurring Revenue Costs</w:t>
                  </w:r>
                </w:p>
              </w:tc>
              <w:tc>
                <w:tcPr>
                  <w:tcW w:w="1606" w:type="dxa"/>
                  <w:tcBorders>
                    <w:top w:val="single" w:sz="6" w:space="0" w:color="365F91" w:themeColor="accent1" w:themeShade="BF"/>
                    <w:left w:val="single" w:sz="6" w:space="0" w:color="365F91" w:themeColor="accent1" w:themeShade="BF"/>
                    <w:bottom w:val="single" w:sz="12" w:space="0" w:color="365F91" w:themeColor="accent1" w:themeShade="BF"/>
                    <w:right w:val="single" w:sz="6" w:space="0" w:color="365F91" w:themeColor="accent1" w:themeShade="BF"/>
                  </w:tcBorders>
                  <w:shd w:val="clear" w:color="auto" w:fill="F2F2F2" w:themeFill="background1" w:themeFillShade="F2"/>
                  <w:vAlign w:val="center"/>
                </w:tcPr>
                <w:p w14:paraId="5DA64498" w14:textId="77777777" w:rsidR="00C8292B" w:rsidRPr="0002703C" w:rsidRDefault="00C8292B" w:rsidP="00BF7F43">
                  <w:pPr>
                    <w:framePr w:hSpace="181" w:wrap="around" w:vAnchor="page" w:hAnchor="margin" w:xAlign="center" w:y="421"/>
                    <w:jc w:val="right"/>
                    <w:rPr>
                      <w:b/>
                      <w:bCs/>
                      <w:sz w:val="20"/>
                      <w:szCs w:val="20"/>
                    </w:rPr>
                  </w:pPr>
                  <w:r w:rsidRPr="0002703C">
                    <w:rPr>
                      <w:b/>
                      <w:bCs/>
                      <w:sz w:val="20"/>
                      <w:szCs w:val="20"/>
                    </w:rPr>
                    <w:t>9,327</w:t>
                  </w:r>
                </w:p>
              </w:tc>
              <w:tc>
                <w:tcPr>
                  <w:tcW w:w="1606" w:type="dxa"/>
                  <w:tcBorders>
                    <w:top w:val="single" w:sz="6" w:space="0" w:color="365F91" w:themeColor="accent1" w:themeShade="BF"/>
                    <w:left w:val="single" w:sz="6" w:space="0" w:color="365F91" w:themeColor="accent1" w:themeShade="BF"/>
                    <w:bottom w:val="single" w:sz="12" w:space="0" w:color="365F91" w:themeColor="accent1" w:themeShade="BF"/>
                    <w:right w:val="single" w:sz="6" w:space="0" w:color="365F91" w:themeColor="accent1" w:themeShade="BF"/>
                  </w:tcBorders>
                  <w:shd w:val="clear" w:color="auto" w:fill="F2F2F2" w:themeFill="background1" w:themeFillShade="F2"/>
                  <w:vAlign w:val="center"/>
                </w:tcPr>
                <w:p w14:paraId="4EA25F66" w14:textId="77777777" w:rsidR="00C8292B" w:rsidRPr="0002703C" w:rsidRDefault="00C8292B" w:rsidP="00BF7F43">
                  <w:pPr>
                    <w:framePr w:hSpace="181" w:wrap="around" w:vAnchor="page" w:hAnchor="margin" w:xAlign="center" w:y="421"/>
                    <w:jc w:val="right"/>
                    <w:rPr>
                      <w:b/>
                      <w:bCs/>
                      <w:sz w:val="20"/>
                      <w:szCs w:val="20"/>
                    </w:rPr>
                  </w:pPr>
                  <w:r w:rsidRPr="0002703C">
                    <w:rPr>
                      <w:b/>
                      <w:bCs/>
                      <w:sz w:val="20"/>
                      <w:szCs w:val="20"/>
                    </w:rPr>
                    <w:t>8,252</w:t>
                  </w:r>
                </w:p>
              </w:tc>
              <w:tc>
                <w:tcPr>
                  <w:tcW w:w="1607" w:type="dxa"/>
                  <w:tcBorders>
                    <w:top w:val="single" w:sz="6" w:space="0" w:color="365F91" w:themeColor="accent1" w:themeShade="BF"/>
                    <w:left w:val="single" w:sz="6" w:space="0" w:color="365F91" w:themeColor="accent1" w:themeShade="BF"/>
                    <w:bottom w:val="single" w:sz="12" w:space="0" w:color="365F91" w:themeColor="accent1" w:themeShade="BF"/>
                    <w:right w:val="single" w:sz="12" w:space="0" w:color="365F91" w:themeColor="accent1" w:themeShade="BF"/>
                  </w:tcBorders>
                  <w:shd w:val="clear" w:color="auto" w:fill="F2F2F2" w:themeFill="background1" w:themeFillShade="F2"/>
                  <w:vAlign w:val="center"/>
                </w:tcPr>
                <w:p w14:paraId="4632B747" w14:textId="77777777" w:rsidR="00C8292B" w:rsidRPr="0002703C" w:rsidRDefault="00C8292B" w:rsidP="00BF7F43">
                  <w:pPr>
                    <w:framePr w:hSpace="181" w:wrap="around" w:vAnchor="page" w:hAnchor="margin" w:xAlign="center" w:y="421"/>
                    <w:jc w:val="right"/>
                    <w:rPr>
                      <w:b/>
                      <w:bCs/>
                      <w:sz w:val="20"/>
                      <w:szCs w:val="20"/>
                    </w:rPr>
                  </w:pPr>
                  <w:r w:rsidRPr="0002703C">
                    <w:rPr>
                      <w:b/>
                      <w:bCs/>
                      <w:sz w:val="20"/>
                      <w:szCs w:val="20"/>
                    </w:rPr>
                    <w:t>1,075</w:t>
                  </w:r>
                </w:p>
              </w:tc>
            </w:tr>
          </w:tbl>
          <w:p w14:paraId="4E45CD45" w14:textId="3BAD101D" w:rsidR="00C8292B" w:rsidRPr="00C8292B" w:rsidRDefault="00C8292B" w:rsidP="00C8292B">
            <w:pPr>
              <w:ind w:left="851"/>
              <w:rPr>
                <w:rFonts w:cs="Arial"/>
                <w:i/>
                <w:sz w:val="18"/>
                <w:szCs w:val="18"/>
              </w:rPr>
            </w:pPr>
            <w:r w:rsidRPr="00C23F61">
              <w:rPr>
                <w:rFonts w:cs="Arial"/>
                <w:i/>
                <w:sz w:val="18"/>
                <w:szCs w:val="18"/>
              </w:rPr>
              <w:t xml:space="preserve">Note: All costs are </w:t>
            </w:r>
            <w:r>
              <w:rPr>
                <w:rFonts w:cs="Arial"/>
                <w:i/>
                <w:sz w:val="18"/>
                <w:szCs w:val="18"/>
              </w:rPr>
              <w:t xml:space="preserve">at 2022-23 </w:t>
            </w:r>
            <w:r w:rsidRPr="00C23F61">
              <w:rPr>
                <w:rFonts w:cs="Arial"/>
                <w:i/>
                <w:sz w:val="18"/>
                <w:szCs w:val="18"/>
              </w:rPr>
              <w:t xml:space="preserve">price levels. </w:t>
            </w:r>
          </w:p>
          <w:p w14:paraId="7CBBEE61" w14:textId="50B4EB95" w:rsidR="00711601" w:rsidRDefault="00711601" w:rsidP="008354DE">
            <w:pPr>
              <w:rPr>
                <w:rFonts w:asciiTheme="majorHAnsi" w:hAnsiTheme="majorHAnsi" w:cstheme="majorHAnsi"/>
              </w:rPr>
            </w:pPr>
          </w:p>
          <w:p w14:paraId="47BEA625" w14:textId="542BEA4F" w:rsidR="00711601" w:rsidRDefault="00C8292B" w:rsidP="008354DE">
            <w:pPr>
              <w:rPr>
                <w:rFonts w:asciiTheme="majorHAnsi" w:hAnsiTheme="majorHAnsi" w:cstheme="majorHAnsi"/>
              </w:rPr>
            </w:pPr>
            <w:r>
              <w:rPr>
                <w:rFonts w:asciiTheme="majorHAnsi" w:hAnsiTheme="majorHAnsi" w:cstheme="majorHAnsi"/>
              </w:rPr>
              <w:t xml:space="preserve">This excludes two key areas of predicted additional expenditure which Velindre are proposing to seek funding from alternative sources. </w:t>
            </w:r>
            <w:r w:rsidR="009267E2">
              <w:rPr>
                <w:rFonts w:asciiTheme="majorHAnsi" w:hAnsiTheme="majorHAnsi" w:cstheme="majorHAnsi"/>
              </w:rPr>
              <w:t>These are:</w:t>
            </w:r>
          </w:p>
          <w:p w14:paraId="6072DB75" w14:textId="35E036E1" w:rsidR="00AE77B0" w:rsidRDefault="00AE77B0" w:rsidP="008354DE">
            <w:pPr>
              <w:rPr>
                <w:rFonts w:asciiTheme="majorHAnsi" w:hAnsiTheme="majorHAnsi" w:cstheme="majorHAnsi"/>
              </w:rPr>
            </w:pPr>
          </w:p>
          <w:p w14:paraId="75A62995" w14:textId="54F814CC" w:rsidR="00AE77B0" w:rsidRPr="00AE77B0" w:rsidRDefault="00AE77B0" w:rsidP="008354DE">
            <w:pPr>
              <w:rPr>
                <w:rFonts w:asciiTheme="majorHAnsi" w:hAnsiTheme="majorHAnsi" w:cstheme="majorHAnsi"/>
                <w:b/>
                <w:i/>
              </w:rPr>
            </w:pPr>
            <w:bookmarkStart w:id="1" w:name="_Hlk125475444"/>
            <w:r w:rsidRPr="00AE77B0">
              <w:rPr>
                <w:rFonts w:asciiTheme="majorHAnsi" w:hAnsiTheme="majorHAnsi" w:cstheme="majorHAnsi"/>
                <w:b/>
                <w:i/>
              </w:rPr>
              <w:t>Premium for a net zero building</w:t>
            </w:r>
            <w:r w:rsidR="00C8292B">
              <w:rPr>
                <w:rFonts w:asciiTheme="majorHAnsi" w:hAnsiTheme="majorHAnsi" w:cstheme="majorHAnsi"/>
                <w:b/>
                <w:i/>
              </w:rPr>
              <w:t xml:space="preserve"> - £961k</w:t>
            </w:r>
          </w:p>
          <w:p w14:paraId="156ACCDA" w14:textId="24BEFF8E" w:rsidR="00D361A7" w:rsidRPr="00C8292B" w:rsidRDefault="00C8292B" w:rsidP="00711601">
            <w:pPr>
              <w:rPr>
                <w:rFonts w:asciiTheme="majorHAnsi" w:hAnsiTheme="majorHAnsi" w:cstheme="majorHAnsi"/>
              </w:rPr>
            </w:pPr>
            <w:r w:rsidRPr="00C8292B">
              <w:rPr>
                <w:rFonts w:asciiTheme="majorHAnsi" w:hAnsiTheme="majorHAnsi" w:cstheme="majorHAnsi"/>
              </w:rPr>
              <w:t>As this is to meet the Welsh Government targets for net zero, Velindre are proposing to seek support from Welsh Government to meet these costs. It is recommended that Board seek assurance of this support and that they approve any tapering arrangements or future transfer of res</w:t>
            </w:r>
            <w:r w:rsidR="008933AF">
              <w:rPr>
                <w:rFonts w:asciiTheme="majorHAnsi" w:hAnsiTheme="majorHAnsi" w:cstheme="majorHAnsi"/>
              </w:rPr>
              <w:t>ponsibility</w:t>
            </w:r>
            <w:r w:rsidRPr="00C8292B">
              <w:rPr>
                <w:rFonts w:asciiTheme="majorHAnsi" w:hAnsiTheme="majorHAnsi" w:cstheme="majorHAnsi"/>
              </w:rPr>
              <w:t xml:space="preserve">. </w:t>
            </w:r>
          </w:p>
          <w:p w14:paraId="413C1D0B" w14:textId="77777777" w:rsidR="00AE77B0" w:rsidRDefault="00AE77B0" w:rsidP="00711601">
            <w:pPr>
              <w:rPr>
                <w:rFonts w:asciiTheme="majorHAnsi" w:hAnsiTheme="majorHAnsi" w:cstheme="majorHAnsi"/>
              </w:rPr>
            </w:pPr>
          </w:p>
          <w:p w14:paraId="2DE3FDDF" w14:textId="655FDFF7" w:rsidR="00AE77B0" w:rsidRDefault="00AE77B0" w:rsidP="00711601">
            <w:pPr>
              <w:rPr>
                <w:rFonts w:asciiTheme="majorHAnsi" w:hAnsiTheme="majorHAnsi" w:cstheme="majorHAnsi"/>
                <w:b/>
                <w:i/>
              </w:rPr>
            </w:pPr>
            <w:r w:rsidRPr="00AE77B0">
              <w:rPr>
                <w:rFonts w:asciiTheme="majorHAnsi" w:hAnsiTheme="majorHAnsi" w:cstheme="majorHAnsi"/>
                <w:b/>
                <w:i/>
              </w:rPr>
              <w:t>Digital Costs</w:t>
            </w:r>
            <w:r w:rsidR="00C8292B">
              <w:rPr>
                <w:rFonts w:asciiTheme="majorHAnsi" w:hAnsiTheme="majorHAnsi" w:cstheme="majorHAnsi"/>
                <w:b/>
                <w:i/>
              </w:rPr>
              <w:t xml:space="preserve"> - £456K</w:t>
            </w:r>
          </w:p>
          <w:p w14:paraId="65158E76" w14:textId="3DEC5784" w:rsidR="008933AF" w:rsidRPr="008933AF" w:rsidRDefault="00C8292B" w:rsidP="00711601">
            <w:pPr>
              <w:rPr>
                <w:rFonts w:asciiTheme="majorHAnsi" w:hAnsiTheme="majorHAnsi" w:cstheme="majorHAnsi"/>
              </w:rPr>
            </w:pPr>
            <w:r w:rsidRPr="008933AF">
              <w:rPr>
                <w:rFonts w:asciiTheme="majorHAnsi" w:hAnsiTheme="majorHAnsi" w:cstheme="majorHAnsi"/>
              </w:rPr>
              <w:t xml:space="preserve">Velindre are proposing to seek an additional source of funding for the </w:t>
            </w:r>
            <w:r w:rsidR="008933AF" w:rsidRPr="008933AF">
              <w:rPr>
                <w:rFonts w:asciiTheme="majorHAnsi" w:hAnsiTheme="majorHAnsi" w:cstheme="majorHAnsi"/>
              </w:rPr>
              <w:t>digital costs from Digital Health and Care Wales (DCHW) vi</w:t>
            </w:r>
            <w:r w:rsidR="008933AF">
              <w:rPr>
                <w:rFonts w:asciiTheme="majorHAnsi" w:hAnsiTheme="majorHAnsi" w:cstheme="majorHAnsi"/>
              </w:rPr>
              <w:t>a</w:t>
            </w:r>
            <w:r w:rsidR="008933AF" w:rsidRPr="008933AF">
              <w:rPr>
                <w:rFonts w:asciiTheme="majorHAnsi" w:hAnsiTheme="majorHAnsi" w:cstheme="majorHAnsi"/>
              </w:rPr>
              <w:t xml:space="preserve"> the </w:t>
            </w:r>
            <w:r w:rsidR="00E7793B">
              <w:rPr>
                <w:rFonts w:asciiTheme="majorHAnsi" w:hAnsiTheme="majorHAnsi" w:cstheme="majorHAnsi"/>
              </w:rPr>
              <w:t>Digital Priorities Investment Fund (</w:t>
            </w:r>
            <w:r w:rsidR="008933AF" w:rsidRPr="00E7793B">
              <w:rPr>
                <w:rFonts w:asciiTheme="majorHAnsi" w:hAnsiTheme="majorHAnsi" w:cstheme="majorHAnsi"/>
              </w:rPr>
              <w:t>DPIF</w:t>
            </w:r>
            <w:r w:rsidR="00E7793B" w:rsidRPr="00E7793B">
              <w:rPr>
                <w:rFonts w:asciiTheme="majorHAnsi" w:hAnsiTheme="majorHAnsi" w:cstheme="majorHAnsi"/>
              </w:rPr>
              <w:t>)</w:t>
            </w:r>
            <w:r w:rsidR="008933AF" w:rsidRPr="008933AF">
              <w:rPr>
                <w:rFonts w:asciiTheme="majorHAnsi" w:hAnsiTheme="majorHAnsi" w:cstheme="majorHAnsi"/>
              </w:rPr>
              <w:t xml:space="preserve">. </w:t>
            </w:r>
            <w:r w:rsidR="008933AF" w:rsidRPr="00C8292B">
              <w:rPr>
                <w:rFonts w:asciiTheme="majorHAnsi" w:hAnsiTheme="majorHAnsi" w:cstheme="majorHAnsi"/>
              </w:rPr>
              <w:t xml:space="preserve"> </w:t>
            </w:r>
            <w:r w:rsidR="004F72F2">
              <w:rPr>
                <w:rFonts w:asciiTheme="majorHAnsi" w:hAnsiTheme="majorHAnsi" w:cstheme="majorHAnsi"/>
              </w:rPr>
              <w:t xml:space="preserve">These include things like patient flow systems, patient experience, meal ordering, wireless comms, patient systems and connectivity for meeting rooms etc. </w:t>
            </w:r>
            <w:r w:rsidR="008933AF" w:rsidRPr="00C8292B">
              <w:rPr>
                <w:rFonts w:asciiTheme="majorHAnsi" w:hAnsiTheme="majorHAnsi" w:cstheme="majorHAnsi"/>
              </w:rPr>
              <w:t>It is recommended that Board seek assurance of this support and that they approve any tapering arrangements or future transfer of res</w:t>
            </w:r>
            <w:r w:rsidR="008933AF">
              <w:rPr>
                <w:rFonts w:asciiTheme="majorHAnsi" w:hAnsiTheme="majorHAnsi" w:cstheme="majorHAnsi"/>
              </w:rPr>
              <w:t>ponsibility</w:t>
            </w:r>
            <w:r w:rsidR="009267E2">
              <w:rPr>
                <w:rFonts w:asciiTheme="majorHAnsi" w:hAnsiTheme="majorHAnsi" w:cstheme="majorHAnsi"/>
              </w:rPr>
              <w:t xml:space="preserve"> associated with these areas. </w:t>
            </w:r>
          </w:p>
          <w:p w14:paraId="4B91EF87" w14:textId="389EFDB0" w:rsidR="002110DB" w:rsidRDefault="002110DB" w:rsidP="00711601">
            <w:pPr>
              <w:rPr>
                <w:rFonts w:asciiTheme="majorHAnsi" w:hAnsiTheme="majorHAnsi" w:cstheme="majorHAnsi"/>
                <w:i/>
              </w:rPr>
            </w:pPr>
          </w:p>
          <w:bookmarkEnd w:id="1"/>
          <w:p w14:paraId="686705BA" w14:textId="7D5536F5" w:rsidR="008933AF" w:rsidRDefault="008933AF" w:rsidP="00711601">
            <w:pPr>
              <w:rPr>
                <w:rFonts w:asciiTheme="majorHAnsi" w:hAnsiTheme="majorHAnsi" w:cstheme="majorHAnsi"/>
              </w:rPr>
            </w:pPr>
            <w:r w:rsidRPr="008933AF">
              <w:rPr>
                <w:rFonts w:asciiTheme="majorHAnsi" w:hAnsiTheme="majorHAnsi" w:cstheme="majorHAnsi"/>
              </w:rPr>
              <w:t xml:space="preserve">The key </w:t>
            </w:r>
            <w:r>
              <w:rPr>
                <w:rFonts w:asciiTheme="majorHAnsi" w:hAnsiTheme="majorHAnsi" w:cstheme="majorHAnsi"/>
              </w:rPr>
              <w:t>movements</w:t>
            </w:r>
            <w:r w:rsidR="003B0815">
              <w:rPr>
                <w:rFonts w:asciiTheme="majorHAnsi" w:hAnsiTheme="majorHAnsi" w:cstheme="majorHAnsi"/>
              </w:rPr>
              <w:t xml:space="preserve"> from the agreed OBC</w:t>
            </w:r>
            <w:r>
              <w:rPr>
                <w:rFonts w:asciiTheme="majorHAnsi" w:hAnsiTheme="majorHAnsi" w:cstheme="majorHAnsi"/>
              </w:rPr>
              <w:t xml:space="preserve"> included in </w:t>
            </w:r>
            <w:r w:rsidR="003B0815">
              <w:rPr>
                <w:rFonts w:asciiTheme="majorHAnsi" w:hAnsiTheme="majorHAnsi" w:cstheme="majorHAnsi"/>
              </w:rPr>
              <w:t>Table 14</w:t>
            </w:r>
            <w:r>
              <w:rPr>
                <w:rFonts w:asciiTheme="majorHAnsi" w:hAnsiTheme="majorHAnsi" w:cstheme="majorHAnsi"/>
              </w:rPr>
              <w:t xml:space="preserve"> </w:t>
            </w:r>
            <w:r w:rsidR="00CF12D4">
              <w:rPr>
                <w:rFonts w:asciiTheme="majorHAnsi" w:hAnsiTheme="majorHAnsi" w:cstheme="majorHAnsi"/>
              </w:rPr>
              <w:t>above</w:t>
            </w:r>
            <w:r>
              <w:rPr>
                <w:rFonts w:asciiTheme="majorHAnsi" w:hAnsiTheme="majorHAnsi" w:cstheme="majorHAnsi"/>
              </w:rPr>
              <w:t xml:space="preserve"> are:</w:t>
            </w:r>
          </w:p>
          <w:p w14:paraId="49A0B0E8" w14:textId="77777777" w:rsidR="008933AF" w:rsidRDefault="008933AF" w:rsidP="00711601">
            <w:pPr>
              <w:rPr>
                <w:rFonts w:asciiTheme="majorHAnsi" w:hAnsiTheme="majorHAnsi" w:cstheme="majorHAnsi"/>
              </w:rPr>
            </w:pPr>
          </w:p>
          <w:p w14:paraId="2C90D35F" w14:textId="77777777" w:rsidR="008933AF" w:rsidRDefault="008933AF" w:rsidP="00711601">
            <w:pPr>
              <w:rPr>
                <w:rFonts w:asciiTheme="majorHAnsi" w:hAnsiTheme="majorHAnsi" w:cstheme="majorHAnsi"/>
                <w:b/>
                <w:i/>
              </w:rPr>
            </w:pPr>
            <w:r w:rsidRPr="008933AF">
              <w:rPr>
                <w:rFonts w:asciiTheme="majorHAnsi" w:hAnsiTheme="majorHAnsi" w:cstheme="majorHAnsi"/>
                <w:b/>
                <w:i/>
              </w:rPr>
              <w:t>Soft FM</w:t>
            </w:r>
          </w:p>
          <w:p w14:paraId="64FA5D90" w14:textId="77777777" w:rsidR="009267E2" w:rsidRDefault="008933AF" w:rsidP="00711601">
            <w:pPr>
              <w:rPr>
                <w:rFonts w:asciiTheme="majorHAnsi" w:hAnsiTheme="majorHAnsi" w:cstheme="majorHAnsi"/>
              </w:rPr>
            </w:pPr>
            <w:r>
              <w:rPr>
                <w:rFonts w:asciiTheme="majorHAnsi" w:hAnsiTheme="majorHAnsi" w:cstheme="majorHAnsi"/>
              </w:rPr>
              <w:t>Most of the increase is related to the additional costs for a larger square foota</w:t>
            </w:r>
            <w:r w:rsidR="001578EC">
              <w:rPr>
                <w:rFonts w:asciiTheme="majorHAnsi" w:hAnsiTheme="majorHAnsi" w:cstheme="majorHAnsi"/>
              </w:rPr>
              <w:t>ge and</w:t>
            </w:r>
            <w:r w:rsidR="009267E2">
              <w:rPr>
                <w:rFonts w:asciiTheme="majorHAnsi" w:hAnsiTheme="majorHAnsi" w:cstheme="majorHAnsi"/>
              </w:rPr>
              <w:t xml:space="preserve"> includes domestic services, security, maintenance, </w:t>
            </w:r>
            <w:proofErr w:type="spellStart"/>
            <w:r w:rsidR="009267E2">
              <w:rPr>
                <w:rFonts w:asciiTheme="majorHAnsi" w:hAnsiTheme="majorHAnsi" w:cstheme="majorHAnsi"/>
              </w:rPr>
              <w:t>portering</w:t>
            </w:r>
            <w:proofErr w:type="spellEnd"/>
            <w:r w:rsidR="009267E2">
              <w:rPr>
                <w:rFonts w:asciiTheme="majorHAnsi" w:hAnsiTheme="majorHAnsi" w:cstheme="majorHAnsi"/>
              </w:rPr>
              <w:t xml:space="preserve">, catering, waste, laundry, staff residence. </w:t>
            </w:r>
            <w:r w:rsidR="009267E2">
              <w:rPr>
                <w:rFonts w:asciiTheme="majorHAnsi" w:hAnsiTheme="majorHAnsi" w:cstheme="majorHAnsi"/>
              </w:rPr>
              <w:lastRenderedPageBreak/>
              <w:t>Velindre have highlighted the benchmarking data which shows that Velindre is below the Welsh average costs and these represent a reduction in cost per square metre.</w:t>
            </w:r>
          </w:p>
          <w:p w14:paraId="19BC4FF3" w14:textId="77777777" w:rsidR="009267E2" w:rsidRDefault="009267E2" w:rsidP="00711601">
            <w:pPr>
              <w:rPr>
                <w:rFonts w:asciiTheme="majorHAnsi" w:hAnsiTheme="majorHAnsi" w:cstheme="majorHAnsi"/>
              </w:rPr>
            </w:pPr>
          </w:p>
          <w:p w14:paraId="02D550CD" w14:textId="77777777" w:rsidR="009267E2" w:rsidRDefault="009267E2" w:rsidP="00711601">
            <w:pPr>
              <w:rPr>
                <w:rFonts w:asciiTheme="majorHAnsi" w:hAnsiTheme="majorHAnsi" w:cstheme="majorHAnsi"/>
                <w:b/>
                <w:i/>
              </w:rPr>
            </w:pPr>
            <w:r>
              <w:rPr>
                <w:rFonts w:asciiTheme="majorHAnsi" w:hAnsiTheme="majorHAnsi" w:cstheme="majorHAnsi"/>
                <w:b/>
                <w:i/>
              </w:rPr>
              <w:t>Hard FM</w:t>
            </w:r>
          </w:p>
          <w:p w14:paraId="79484FF8" w14:textId="4733B98D" w:rsidR="009267E2" w:rsidRDefault="009267E2" w:rsidP="00711601">
            <w:pPr>
              <w:rPr>
                <w:rFonts w:asciiTheme="majorHAnsi" w:hAnsiTheme="majorHAnsi" w:cstheme="majorHAnsi"/>
              </w:rPr>
            </w:pPr>
            <w:r>
              <w:rPr>
                <w:rFonts w:asciiTheme="majorHAnsi" w:hAnsiTheme="majorHAnsi" w:cstheme="majorHAnsi"/>
              </w:rPr>
              <w:t xml:space="preserve">These costs are based on the contract management conditions of the MIMS model, and the majority of additional costs in this area </w:t>
            </w:r>
            <w:r w:rsidR="00A94D10">
              <w:rPr>
                <w:rFonts w:asciiTheme="majorHAnsi" w:hAnsiTheme="majorHAnsi" w:cstheme="majorHAnsi"/>
              </w:rPr>
              <w:t>relate</w:t>
            </w:r>
            <w:r>
              <w:rPr>
                <w:rFonts w:asciiTheme="majorHAnsi" w:hAnsiTheme="majorHAnsi" w:cstheme="majorHAnsi"/>
              </w:rPr>
              <w:t xml:space="preserve"> to the contract management activity to ensure compliance with the MIM contract. Arguably, this should be included within the annual MIMS payments covered by Welsh Government as part of the funding arrangements as any benefits from the contracts management function will result in reductions in this payment. </w:t>
            </w:r>
            <w:r w:rsidR="00526897">
              <w:rPr>
                <w:rFonts w:asciiTheme="majorHAnsi" w:hAnsiTheme="majorHAnsi" w:cstheme="majorHAnsi"/>
              </w:rPr>
              <w:t xml:space="preserve">Overall there has been a reduction in the Hard FM costs from the OBC after adjusting for inflation. </w:t>
            </w:r>
          </w:p>
          <w:p w14:paraId="17C8514C" w14:textId="7AE3988A" w:rsidR="009267E2" w:rsidRDefault="009267E2" w:rsidP="00711601">
            <w:pPr>
              <w:rPr>
                <w:rFonts w:asciiTheme="majorHAnsi" w:hAnsiTheme="majorHAnsi" w:cstheme="majorHAnsi"/>
                <w:b/>
                <w:i/>
              </w:rPr>
            </w:pPr>
          </w:p>
          <w:p w14:paraId="085FCE5D" w14:textId="3AF1911A" w:rsidR="009267E2" w:rsidRDefault="009267E2" w:rsidP="00711601">
            <w:pPr>
              <w:rPr>
                <w:rFonts w:asciiTheme="majorHAnsi" w:hAnsiTheme="majorHAnsi" w:cstheme="majorHAnsi"/>
                <w:b/>
                <w:i/>
              </w:rPr>
            </w:pPr>
            <w:r>
              <w:rPr>
                <w:rFonts w:asciiTheme="majorHAnsi" w:hAnsiTheme="majorHAnsi" w:cstheme="majorHAnsi"/>
                <w:b/>
                <w:i/>
              </w:rPr>
              <w:t>Utilities</w:t>
            </w:r>
          </w:p>
          <w:p w14:paraId="605861DE" w14:textId="6A643CDA" w:rsidR="009267E2" w:rsidRDefault="009267E2" w:rsidP="00711601">
            <w:pPr>
              <w:rPr>
                <w:rFonts w:asciiTheme="majorHAnsi" w:hAnsiTheme="majorHAnsi" w:cstheme="majorHAnsi"/>
              </w:rPr>
            </w:pPr>
            <w:r>
              <w:rPr>
                <w:rFonts w:asciiTheme="majorHAnsi" w:hAnsiTheme="majorHAnsi" w:cstheme="majorHAnsi"/>
              </w:rPr>
              <w:t>The</w:t>
            </w:r>
            <w:r w:rsidR="00526897">
              <w:rPr>
                <w:rFonts w:asciiTheme="majorHAnsi" w:hAnsiTheme="majorHAnsi" w:cstheme="majorHAnsi"/>
              </w:rPr>
              <w:t xml:space="preserve"> £961k associated with moving to an all-electric building has been excluded from these costs as Velindre are seeking alternative sources of funding from Welsh Government. The remainder of the additional costs over and above that agreed in the OBC relate to utility price increases. There will be some offset of utility costs from some solar energy collected via roof panels on part of the building. No more solar panels can be accommodated on the building due to the location of plant and other equipment on the rest of the roof.  </w:t>
            </w:r>
          </w:p>
          <w:p w14:paraId="227F5FA6" w14:textId="0B851EBA" w:rsidR="00526897" w:rsidRDefault="00526897" w:rsidP="00711601">
            <w:pPr>
              <w:rPr>
                <w:rFonts w:asciiTheme="majorHAnsi" w:hAnsiTheme="majorHAnsi" w:cstheme="majorHAnsi"/>
              </w:rPr>
            </w:pPr>
          </w:p>
          <w:p w14:paraId="0CF87A9F" w14:textId="5E605DA9" w:rsidR="00526897" w:rsidRDefault="00526897" w:rsidP="00711601">
            <w:pPr>
              <w:rPr>
                <w:rFonts w:asciiTheme="majorHAnsi" w:hAnsiTheme="majorHAnsi" w:cstheme="majorHAnsi"/>
                <w:b/>
                <w:i/>
              </w:rPr>
            </w:pPr>
            <w:r>
              <w:rPr>
                <w:rFonts w:asciiTheme="majorHAnsi" w:hAnsiTheme="majorHAnsi" w:cstheme="majorHAnsi"/>
                <w:b/>
                <w:i/>
              </w:rPr>
              <w:t>Rates</w:t>
            </w:r>
          </w:p>
          <w:p w14:paraId="31F615C8" w14:textId="39405037" w:rsidR="00526897" w:rsidRDefault="00526897" w:rsidP="00711601">
            <w:pPr>
              <w:rPr>
                <w:rFonts w:asciiTheme="majorHAnsi" w:hAnsiTheme="majorHAnsi" w:cstheme="majorHAnsi"/>
              </w:rPr>
            </w:pPr>
            <w:r>
              <w:rPr>
                <w:rFonts w:asciiTheme="majorHAnsi" w:hAnsiTheme="majorHAnsi" w:cstheme="majorHAnsi"/>
              </w:rPr>
              <w:t xml:space="preserve">The new Rateable Value of the larger property will mean that additional rates are due, but in the FBC these are less than the inflated value from the OBC. </w:t>
            </w:r>
          </w:p>
          <w:p w14:paraId="7352274B" w14:textId="31BA6155" w:rsidR="00526897" w:rsidRDefault="00526897" w:rsidP="00711601">
            <w:pPr>
              <w:rPr>
                <w:rFonts w:asciiTheme="majorHAnsi" w:hAnsiTheme="majorHAnsi" w:cstheme="majorHAnsi"/>
              </w:rPr>
            </w:pPr>
          </w:p>
          <w:p w14:paraId="5634C1BC" w14:textId="38E35A0B" w:rsidR="00526897" w:rsidRDefault="00526897" w:rsidP="00711601">
            <w:pPr>
              <w:rPr>
                <w:rFonts w:asciiTheme="majorHAnsi" w:hAnsiTheme="majorHAnsi" w:cstheme="majorHAnsi"/>
                <w:b/>
                <w:i/>
              </w:rPr>
            </w:pPr>
            <w:r>
              <w:rPr>
                <w:rFonts w:asciiTheme="majorHAnsi" w:hAnsiTheme="majorHAnsi" w:cstheme="majorHAnsi"/>
                <w:b/>
                <w:i/>
              </w:rPr>
              <w:t>Equipment Maintenance</w:t>
            </w:r>
          </w:p>
          <w:p w14:paraId="05023390" w14:textId="69EC830E" w:rsidR="00526897" w:rsidRDefault="00526897" w:rsidP="00711601">
            <w:pPr>
              <w:rPr>
                <w:rFonts w:asciiTheme="majorHAnsi" w:hAnsiTheme="majorHAnsi" w:cstheme="majorHAnsi"/>
              </w:rPr>
            </w:pPr>
            <w:r>
              <w:rPr>
                <w:rFonts w:asciiTheme="majorHAnsi" w:hAnsiTheme="majorHAnsi" w:cstheme="majorHAnsi"/>
              </w:rPr>
              <w:t xml:space="preserve">This includes the maintenance of equipment such as the planning systems, the MRI and CT scanners, the Gamma Camera and </w:t>
            </w:r>
            <w:proofErr w:type="spellStart"/>
            <w:r>
              <w:rPr>
                <w:rFonts w:asciiTheme="majorHAnsi" w:hAnsiTheme="majorHAnsi" w:cstheme="majorHAnsi"/>
              </w:rPr>
              <w:t>Chemocare</w:t>
            </w:r>
            <w:proofErr w:type="spellEnd"/>
            <w:r>
              <w:rPr>
                <w:rFonts w:asciiTheme="majorHAnsi" w:hAnsiTheme="majorHAnsi" w:cstheme="majorHAnsi"/>
              </w:rPr>
              <w:t xml:space="preserve">. The maintenance of the Linear Accelerators </w:t>
            </w:r>
            <w:r w:rsidR="004F72F2">
              <w:rPr>
                <w:rFonts w:asciiTheme="majorHAnsi" w:hAnsiTheme="majorHAnsi" w:cstheme="majorHAnsi"/>
              </w:rPr>
              <w:t>has</w:t>
            </w:r>
            <w:r>
              <w:rPr>
                <w:rFonts w:asciiTheme="majorHAnsi" w:hAnsiTheme="majorHAnsi" w:cstheme="majorHAnsi"/>
              </w:rPr>
              <w:t xml:space="preserve"> been excluded from this case as they are already included in the Radiotherapy Business Case that has previously been approved. The increase in </w:t>
            </w:r>
            <w:r w:rsidR="004F72F2">
              <w:rPr>
                <w:rFonts w:asciiTheme="majorHAnsi" w:hAnsiTheme="majorHAnsi" w:cstheme="majorHAnsi"/>
              </w:rPr>
              <w:t xml:space="preserve">equipment maintenance costs is attributable to improved information on maintenance fees and learning from the rigorous procurement process for the Linear Accelerators. </w:t>
            </w:r>
            <w:r>
              <w:rPr>
                <w:rFonts w:asciiTheme="majorHAnsi" w:hAnsiTheme="majorHAnsi" w:cstheme="majorHAnsi"/>
              </w:rPr>
              <w:t xml:space="preserve"> </w:t>
            </w:r>
          </w:p>
          <w:p w14:paraId="316C9C95" w14:textId="2EBFDA92" w:rsidR="004F72F2" w:rsidRDefault="004F72F2" w:rsidP="00711601">
            <w:pPr>
              <w:rPr>
                <w:rFonts w:asciiTheme="majorHAnsi" w:hAnsiTheme="majorHAnsi" w:cstheme="majorHAnsi"/>
              </w:rPr>
            </w:pPr>
          </w:p>
          <w:p w14:paraId="1130CFBC" w14:textId="46BE27A5" w:rsidR="004F72F2" w:rsidRDefault="004F72F2" w:rsidP="00711601">
            <w:pPr>
              <w:rPr>
                <w:rFonts w:asciiTheme="majorHAnsi" w:hAnsiTheme="majorHAnsi" w:cstheme="majorHAnsi"/>
                <w:b/>
                <w:i/>
              </w:rPr>
            </w:pPr>
            <w:r>
              <w:rPr>
                <w:rFonts w:asciiTheme="majorHAnsi" w:hAnsiTheme="majorHAnsi" w:cstheme="majorHAnsi"/>
                <w:b/>
                <w:i/>
              </w:rPr>
              <w:t>IM&amp;T</w:t>
            </w:r>
          </w:p>
          <w:p w14:paraId="0803D078" w14:textId="7414470D" w:rsidR="004F72F2" w:rsidRDefault="004F72F2" w:rsidP="00711601">
            <w:pPr>
              <w:rPr>
                <w:rFonts w:asciiTheme="majorHAnsi" w:hAnsiTheme="majorHAnsi" w:cstheme="majorHAnsi"/>
              </w:rPr>
            </w:pPr>
            <w:r>
              <w:rPr>
                <w:rFonts w:asciiTheme="majorHAnsi" w:hAnsiTheme="majorHAnsi" w:cstheme="majorHAnsi"/>
              </w:rPr>
              <w:t xml:space="preserve">The costs included within IM&amp;T maintenance are related to networking, telephony and multimedia solutions for the new building. This is a reduction from the inflated OBC costs as the old NWIS SLA no longer exists, but excludes any maintenance associated with the new digital solutions outlined for other sources of funding above. </w:t>
            </w:r>
          </w:p>
          <w:p w14:paraId="48F6B9A7" w14:textId="3C3D264B" w:rsidR="004F72F2" w:rsidRDefault="004F72F2" w:rsidP="00711601">
            <w:pPr>
              <w:rPr>
                <w:rFonts w:asciiTheme="majorHAnsi" w:hAnsiTheme="majorHAnsi" w:cstheme="majorHAnsi"/>
              </w:rPr>
            </w:pPr>
          </w:p>
          <w:p w14:paraId="10F2D0EF" w14:textId="33057DAE" w:rsidR="004F72F2" w:rsidRDefault="004F72F2" w:rsidP="00711601">
            <w:pPr>
              <w:rPr>
                <w:rFonts w:asciiTheme="majorHAnsi" w:hAnsiTheme="majorHAnsi" w:cstheme="majorHAnsi"/>
                <w:b/>
                <w:i/>
              </w:rPr>
            </w:pPr>
            <w:r>
              <w:rPr>
                <w:rFonts w:asciiTheme="majorHAnsi" w:hAnsiTheme="majorHAnsi" w:cstheme="majorHAnsi"/>
                <w:b/>
                <w:i/>
              </w:rPr>
              <w:t>Insurance</w:t>
            </w:r>
          </w:p>
          <w:p w14:paraId="74B358F8" w14:textId="02E73357" w:rsidR="004F72F2" w:rsidRPr="004F72F2" w:rsidRDefault="004F72F2" w:rsidP="00711601">
            <w:pPr>
              <w:rPr>
                <w:rFonts w:asciiTheme="majorHAnsi" w:hAnsiTheme="majorHAnsi" w:cstheme="majorHAnsi"/>
              </w:rPr>
            </w:pPr>
            <w:r>
              <w:rPr>
                <w:rFonts w:asciiTheme="majorHAnsi" w:hAnsiTheme="majorHAnsi" w:cstheme="majorHAnsi"/>
              </w:rPr>
              <w:t xml:space="preserve">These costs are related to the MIMS model and is a requirement of any new builds under the model. The increase in costs in this area have been generated from a general hardening of the insurance market and intelligence from the chosen delivery partner consortium. </w:t>
            </w:r>
          </w:p>
          <w:p w14:paraId="32D930F9" w14:textId="492A567B" w:rsidR="00CF12D4" w:rsidRDefault="00CF12D4" w:rsidP="00711601">
            <w:pPr>
              <w:rPr>
                <w:rFonts w:asciiTheme="majorHAnsi" w:hAnsiTheme="majorHAnsi" w:cstheme="majorHAnsi"/>
                <w:b/>
                <w:u w:val="single"/>
              </w:rPr>
            </w:pPr>
          </w:p>
          <w:p w14:paraId="784481B9" w14:textId="77777777" w:rsidR="00CF12D4" w:rsidRDefault="00CF12D4" w:rsidP="00711601">
            <w:pPr>
              <w:rPr>
                <w:rFonts w:asciiTheme="majorHAnsi" w:hAnsiTheme="majorHAnsi" w:cstheme="majorHAnsi"/>
                <w:b/>
                <w:u w:val="single"/>
              </w:rPr>
            </w:pPr>
          </w:p>
          <w:p w14:paraId="5A3DE531" w14:textId="097A45EC" w:rsidR="004F72F2" w:rsidRPr="000D2A61" w:rsidRDefault="004F72F2" w:rsidP="00711601">
            <w:pPr>
              <w:rPr>
                <w:rFonts w:asciiTheme="majorHAnsi" w:hAnsiTheme="majorHAnsi" w:cstheme="majorHAnsi"/>
                <w:b/>
                <w:u w:val="single"/>
              </w:rPr>
            </w:pPr>
            <w:r w:rsidRPr="000D2A61">
              <w:rPr>
                <w:rFonts w:asciiTheme="majorHAnsi" w:hAnsiTheme="majorHAnsi" w:cstheme="majorHAnsi"/>
                <w:b/>
                <w:u w:val="single"/>
              </w:rPr>
              <w:t>Financial Consequences for Cardiff and Vale UHB</w:t>
            </w:r>
          </w:p>
          <w:p w14:paraId="768E1E27" w14:textId="4527AC76" w:rsidR="001A7888" w:rsidRDefault="001A7888" w:rsidP="00711601">
            <w:pPr>
              <w:rPr>
                <w:rFonts w:asciiTheme="majorHAnsi" w:hAnsiTheme="majorHAnsi" w:cstheme="majorHAnsi"/>
              </w:rPr>
            </w:pPr>
            <w:r w:rsidRPr="001A7888">
              <w:rPr>
                <w:b/>
                <w:i/>
              </w:rPr>
              <w:t>Revenue Requirements</w:t>
            </w:r>
          </w:p>
          <w:p w14:paraId="0D69D4FE" w14:textId="55E4E499" w:rsidR="00D361A7" w:rsidRPr="00CF12D4" w:rsidRDefault="002110DB" w:rsidP="00CF12D4">
            <w:pPr>
              <w:rPr>
                <w:rFonts w:asciiTheme="majorHAnsi" w:hAnsiTheme="majorHAnsi" w:cstheme="majorHAnsi"/>
              </w:rPr>
            </w:pPr>
            <w:r w:rsidRPr="000D2A61">
              <w:rPr>
                <w:rFonts w:asciiTheme="majorHAnsi" w:hAnsiTheme="majorHAnsi" w:cstheme="majorHAnsi"/>
              </w:rPr>
              <w:t xml:space="preserve">Cardiff and Vale UHB contributes </w:t>
            </w:r>
            <w:r w:rsidR="00D361A7" w:rsidRPr="000D2A61">
              <w:rPr>
                <w:rFonts w:asciiTheme="majorHAnsi" w:hAnsiTheme="majorHAnsi" w:cstheme="majorHAnsi"/>
              </w:rPr>
              <w:t>30.90</w:t>
            </w:r>
            <w:r w:rsidRPr="000D2A61">
              <w:rPr>
                <w:rFonts w:asciiTheme="majorHAnsi" w:hAnsiTheme="majorHAnsi" w:cstheme="majorHAnsi"/>
              </w:rPr>
              <w:t>% of the revenue costs, based on population share and historic utili</w:t>
            </w:r>
            <w:r w:rsidR="000D2A61" w:rsidRPr="000D2A61">
              <w:rPr>
                <w:rFonts w:asciiTheme="majorHAnsi" w:hAnsiTheme="majorHAnsi" w:cstheme="majorHAnsi"/>
              </w:rPr>
              <w:t>s</w:t>
            </w:r>
            <w:r w:rsidRPr="000D2A61">
              <w:rPr>
                <w:rFonts w:asciiTheme="majorHAnsi" w:hAnsiTheme="majorHAnsi" w:cstheme="majorHAnsi"/>
              </w:rPr>
              <w:t>ation included in the funding model</w:t>
            </w:r>
            <w:r w:rsidR="000D2A61" w:rsidRPr="000D2A61">
              <w:rPr>
                <w:rFonts w:asciiTheme="majorHAnsi" w:hAnsiTheme="majorHAnsi" w:cstheme="majorHAnsi"/>
              </w:rPr>
              <w:t xml:space="preserve">. </w:t>
            </w:r>
            <w:r w:rsidR="000D2A61">
              <w:rPr>
                <w:rFonts w:asciiTheme="majorHAnsi" w:hAnsiTheme="majorHAnsi" w:cstheme="majorHAnsi"/>
              </w:rPr>
              <w:t>For the additional costs of £1.075m, over and above the inflated OBC, the CAVUHB share would be £331k</w:t>
            </w:r>
            <w:r w:rsidR="00CF12D4">
              <w:rPr>
                <w:rFonts w:asciiTheme="majorHAnsi" w:hAnsiTheme="majorHAnsi" w:cstheme="majorHAnsi"/>
              </w:rPr>
              <w:t xml:space="preserve">. These are shown in Table 15 overleaf. </w:t>
            </w:r>
          </w:p>
          <w:p w14:paraId="5E8EDB3C" w14:textId="77777777" w:rsidR="00D361A7" w:rsidRDefault="00D361A7" w:rsidP="00D361A7">
            <w:pPr>
              <w:pStyle w:val="Caption"/>
              <w:keepNext/>
              <w:rPr>
                <w:sz w:val="20"/>
                <w:szCs w:val="20"/>
              </w:rPr>
            </w:pPr>
          </w:p>
          <w:p w14:paraId="51327E93" w14:textId="77777777" w:rsidR="00CF12D4" w:rsidRDefault="00CF12D4" w:rsidP="000D2A61">
            <w:pPr>
              <w:pStyle w:val="Caption"/>
              <w:keepNext/>
              <w:ind w:left="720" w:firstLine="131"/>
              <w:rPr>
                <w:iCs w:val="0"/>
                <w:color w:val="2F5496"/>
                <w:sz w:val="20"/>
                <w:szCs w:val="20"/>
              </w:rPr>
            </w:pPr>
          </w:p>
          <w:p w14:paraId="313C9FE2" w14:textId="77777777" w:rsidR="00CF12D4" w:rsidRDefault="00CF12D4" w:rsidP="000D2A61">
            <w:pPr>
              <w:pStyle w:val="Caption"/>
              <w:keepNext/>
              <w:ind w:left="720" w:firstLine="131"/>
              <w:rPr>
                <w:iCs w:val="0"/>
                <w:color w:val="2F5496"/>
                <w:sz w:val="20"/>
                <w:szCs w:val="20"/>
              </w:rPr>
            </w:pPr>
          </w:p>
          <w:p w14:paraId="71782D73" w14:textId="77777777" w:rsidR="00CF12D4" w:rsidRDefault="00CF12D4" w:rsidP="000D2A61">
            <w:pPr>
              <w:pStyle w:val="Caption"/>
              <w:keepNext/>
              <w:ind w:left="720" w:firstLine="131"/>
              <w:rPr>
                <w:iCs w:val="0"/>
                <w:color w:val="2F5496"/>
                <w:sz w:val="20"/>
                <w:szCs w:val="20"/>
              </w:rPr>
            </w:pPr>
          </w:p>
          <w:p w14:paraId="53F1C509" w14:textId="77777777" w:rsidR="00CF12D4" w:rsidRDefault="00CF12D4" w:rsidP="000D2A61">
            <w:pPr>
              <w:pStyle w:val="Caption"/>
              <w:keepNext/>
              <w:ind w:left="720" w:firstLine="131"/>
              <w:rPr>
                <w:iCs w:val="0"/>
                <w:color w:val="2F5496"/>
                <w:sz w:val="20"/>
                <w:szCs w:val="20"/>
              </w:rPr>
            </w:pPr>
          </w:p>
          <w:p w14:paraId="6E43CA01" w14:textId="77777777" w:rsidR="00CF12D4" w:rsidRDefault="00CF12D4" w:rsidP="000D2A61">
            <w:pPr>
              <w:pStyle w:val="Caption"/>
              <w:keepNext/>
              <w:ind w:left="720" w:firstLine="131"/>
              <w:rPr>
                <w:iCs w:val="0"/>
                <w:color w:val="2F5496"/>
                <w:sz w:val="20"/>
                <w:szCs w:val="20"/>
              </w:rPr>
            </w:pPr>
          </w:p>
          <w:p w14:paraId="350355CA" w14:textId="77777777" w:rsidR="00CF12D4" w:rsidRDefault="00CF12D4" w:rsidP="000D2A61">
            <w:pPr>
              <w:pStyle w:val="Caption"/>
              <w:keepNext/>
              <w:ind w:left="720" w:firstLine="131"/>
              <w:rPr>
                <w:iCs w:val="0"/>
                <w:color w:val="2F5496"/>
                <w:sz w:val="20"/>
                <w:szCs w:val="20"/>
              </w:rPr>
            </w:pPr>
          </w:p>
          <w:p w14:paraId="600EC402" w14:textId="77777777" w:rsidR="00CF12D4" w:rsidRDefault="00CF12D4" w:rsidP="000D2A61">
            <w:pPr>
              <w:pStyle w:val="Caption"/>
              <w:keepNext/>
              <w:ind w:left="720" w:firstLine="131"/>
              <w:rPr>
                <w:iCs w:val="0"/>
                <w:color w:val="2F5496"/>
                <w:sz w:val="20"/>
                <w:szCs w:val="20"/>
              </w:rPr>
            </w:pPr>
          </w:p>
          <w:p w14:paraId="72B948BF" w14:textId="77777777" w:rsidR="00CF12D4" w:rsidRDefault="00CF12D4" w:rsidP="000D2A61">
            <w:pPr>
              <w:pStyle w:val="Caption"/>
              <w:keepNext/>
              <w:ind w:left="720" w:firstLine="131"/>
              <w:rPr>
                <w:iCs w:val="0"/>
                <w:color w:val="2F5496"/>
                <w:sz w:val="20"/>
                <w:szCs w:val="20"/>
              </w:rPr>
            </w:pPr>
          </w:p>
          <w:p w14:paraId="3CC59A4B" w14:textId="77777777" w:rsidR="00CF12D4" w:rsidRDefault="00CF12D4" w:rsidP="000D2A61">
            <w:pPr>
              <w:pStyle w:val="Caption"/>
              <w:keepNext/>
              <w:ind w:left="720" w:firstLine="131"/>
              <w:rPr>
                <w:iCs w:val="0"/>
                <w:color w:val="2F5496"/>
                <w:sz w:val="20"/>
                <w:szCs w:val="20"/>
              </w:rPr>
            </w:pPr>
          </w:p>
          <w:p w14:paraId="07CFEE9F" w14:textId="77777777" w:rsidR="00CF12D4" w:rsidRDefault="00CF12D4" w:rsidP="000D2A61">
            <w:pPr>
              <w:pStyle w:val="Caption"/>
              <w:keepNext/>
              <w:ind w:left="720" w:firstLine="131"/>
              <w:rPr>
                <w:iCs w:val="0"/>
                <w:color w:val="2F5496"/>
                <w:sz w:val="20"/>
                <w:szCs w:val="20"/>
              </w:rPr>
            </w:pPr>
          </w:p>
          <w:p w14:paraId="26A4038B" w14:textId="03BD14B4" w:rsidR="000D2A61" w:rsidRPr="006D7A49" w:rsidRDefault="000D2A61" w:rsidP="000D2A61">
            <w:pPr>
              <w:pStyle w:val="Caption"/>
              <w:keepNext/>
              <w:ind w:left="720" w:firstLine="131"/>
              <w:rPr>
                <w:iCs w:val="0"/>
                <w:color w:val="2F5496"/>
                <w:sz w:val="20"/>
                <w:szCs w:val="20"/>
              </w:rPr>
            </w:pPr>
            <w:r w:rsidRPr="006D7A49">
              <w:rPr>
                <w:iCs w:val="0"/>
                <w:color w:val="2F5496"/>
                <w:sz w:val="20"/>
                <w:szCs w:val="20"/>
              </w:rPr>
              <w:t>Table 15 - Movement in Recurring Revenue Costs for Commissioners</w:t>
            </w:r>
          </w:p>
          <w:tbl>
            <w:tblPr>
              <w:tblW w:w="7302" w:type="dxa"/>
              <w:tblInd w:w="841" w:type="dxa"/>
              <w:tbl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insideH w:val="single" w:sz="8" w:space="0" w:color="365F91" w:themeColor="accent1" w:themeShade="BF"/>
                <w:insideV w:val="single" w:sz="8" w:space="0" w:color="365F91" w:themeColor="accent1" w:themeShade="BF"/>
              </w:tblBorders>
              <w:tblLayout w:type="fixed"/>
              <w:tblLook w:val="04A0" w:firstRow="1" w:lastRow="0" w:firstColumn="1" w:lastColumn="0" w:noHBand="0" w:noVBand="1"/>
            </w:tblPr>
            <w:tblGrid>
              <w:gridCol w:w="4062"/>
              <w:gridCol w:w="1680"/>
              <w:gridCol w:w="1560"/>
            </w:tblGrid>
            <w:tr w:rsidR="000D2A61" w:rsidRPr="00C23F61" w14:paraId="1F89FC37" w14:textId="77777777" w:rsidTr="00301C67">
              <w:tc>
                <w:tcPr>
                  <w:tcW w:w="4062" w:type="dxa"/>
                  <w:shd w:val="clear" w:color="auto" w:fill="244061" w:themeFill="accent1" w:themeFillShade="80"/>
                  <w:vAlign w:val="center"/>
                </w:tcPr>
                <w:p w14:paraId="7D28AA0F" w14:textId="77777777" w:rsidR="000D2A61" w:rsidRPr="0002703C" w:rsidRDefault="000D2A61" w:rsidP="00BF7F43">
                  <w:pPr>
                    <w:framePr w:hSpace="181" w:wrap="around" w:vAnchor="page" w:hAnchor="margin" w:xAlign="center" w:y="421"/>
                    <w:spacing w:beforeLines="20" w:before="48" w:afterLines="20" w:after="48"/>
                    <w:ind w:hanging="15"/>
                    <w:rPr>
                      <w:rFonts w:cs="Arial"/>
                      <w:b/>
                      <w:bCs/>
                      <w:color w:val="FFFFFF" w:themeColor="background1"/>
                      <w:sz w:val="20"/>
                      <w:szCs w:val="20"/>
                    </w:rPr>
                  </w:pPr>
                  <w:r w:rsidRPr="0002703C">
                    <w:rPr>
                      <w:rFonts w:cs="Arial"/>
                      <w:b/>
                      <w:bCs/>
                      <w:color w:val="FFFFFF" w:themeColor="background1"/>
                      <w:sz w:val="20"/>
                      <w:szCs w:val="20"/>
                    </w:rPr>
                    <w:t>Health Boards</w:t>
                  </w:r>
                </w:p>
              </w:tc>
              <w:tc>
                <w:tcPr>
                  <w:tcW w:w="1680" w:type="dxa"/>
                  <w:shd w:val="clear" w:color="auto" w:fill="244061" w:themeFill="accent1" w:themeFillShade="80"/>
                  <w:vAlign w:val="center"/>
                </w:tcPr>
                <w:p w14:paraId="1C10F4FE" w14:textId="77777777" w:rsidR="000D2A61" w:rsidRPr="0002703C" w:rsidRDefault="000D2A61" w:rsidP="00BF7F43">
                  <w:pPr>
                    <w:framePr w:hSpace="181" w:wrap="around" w:vAnchor="page" w:hAnchor="margin" w:xAlign="center" w:y="421"/>
                    <w:spacing w:beforeLines="20" w:before="48" w:afterLines="20" w:after="48"/>
                    <w:jc w:val="center"/>
                    <w:rPr>
                      <w:rFonts w:cs="Arial"/>
                      <w:b/>
                      <w:color w:val="FFFFFF" w:themeColor="background1"/>
                      <w:sz w:val="20"/>
                      <w:szCs w:val="20"/>
                    </w:rPr>
                  </w:pPr>
                  <w:r>
                    <w:rPr>
                      <w:rFonts w:cs="Arial"/>
                      <w:b/>
                      <w:color w:val="FFFFFF" w:themeColor="background1"/>
                      <w:sz w:val="20"/>
                      <w:szCs w:val="20"/>
                    </w:rPr>
                    <w:t>Commissioner</w:t>
                  </w:r>
                  <w:r w:rsidRPr="0002703C">
                    <w:rPr>
                      <w:rFonts w:cs="Arial"/>
                      <w:b/>
                      <w:color w:val="FFFFFF" w:themeColor="background1"/>
                      <w:sz w:val="20"/>
                      <w:szCs w:val="20"/>
                    </w:rPr>
                    <w:t xml:space="preserve"> Split</w:t>
                  </w:r>
                </w:p>
              </w:tc>
              <w:tc>
                <w:tcPr>
                  <w:tcW w:w="1560" w:type="dxa"/>
                  <w:shd w:val="clear" w:color="auto" w:fill="244061" w:themeFill="accent1" w:themeFillShade="80"/>
                  <w:vAlign w:val="center"/>
                </w:tcPr>
                <w:p w14:paraId="51936B58" w14:textId="77777777" w:rsidR="000D2A61" w:rsidRPr="0002703C" w:rsidDel="001D3205" w:rsidRDefault="000D2A61" w:rsidP="00BF7F43">
                  <w:pPr>
                    <w:framePr w:hSpace="181" w:wrap="around" w:vAnchor="page" w:hAnchor="margin" w:xAlign="center" w:y="421"/>
                    <w:spacing w:beforeLines="20" w:before="48" w:afterLines="20" w:after="48"/>
                    <w:jc w:val="center"/>
                    <w:rPr>
                      <w:rFonts w:cs="Arial"/>
                      <w:b/>
                      <w:color w:val="FFFFFF" w:themeColor="background1"/>
                      <w:sz w:val="20"/>
                      <w:szCs w:val="20"/>
                    </w:rPr>
                  </w:pPr>
                  <w:r w:rsidRPr="0002703C">
                    <w:rPr>
                      <w:rFonts w:cs="Arial"/>
                      <w:b/>
                      <w:color w:val="FFFFFF" w:themeColor="background1"/>
                      <w:sz w:val="20"/>
                      <w:szCs w:val="20"/>
                    </w:rPr>
                    <w:t>TOTAL</w:t>
                  </w:r>
                </w:p>
              </w:tc>
            </w:tr>
            <w:tr w:rsidR="000D2A61" w:rsidRPr="00C23F61" w14:paraId="7AB08D43" w14:textId="77777777" w:rsidTr="00301C67">
              <w:tc>
                <w:tcPr>
                  <w:tcW w:w="4062" w:type="dxa"/>
                  <w:shd w:val="clear" w:color="auto" w:fill="244061" w:themeFill="accent1" w:themeFillShade="80"/>
                  <w:vAlign w:val="center"/>
                </w:tcPr>
                <w:p w14:paraId="0B9D9D61" w14:textId="77777777" w:rsidR="000D2A61" w:rsidRPr="0002703C" w:rsidRDefault="000D2A61" w:rsidP="00BF7F43">
                  <w:pPr>
                    <w:framePr w:hSpace="181" w:wrap="around" w:vAnchor="page" w:hAnchor="margin" w:xAlign="center" w:y="421"/>
                    <w:spacing w:beforeLines="20" w:before="48" w:afterLines="20" w:after="48"/>
                    <w:rPr>
                      <w:rFonts w:cs="Arial"/>
                      <w:sz w:val="20"/>
                      <w:szCs w:val="20"/>
                    </w:rPr>
                  </w:pP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244061" w:themeFill="accent1" w:themeFillShade="80"/>
                  <w:vAlign w:val="center"/>
                </w:tcPr>
                <w:p w14:paraId="38AB4C15" w14:textId="77777777" w:rsidR="000D2A61" w:rsidRPr="0002703C" w:rsidRDefault="000D2A61" w:rsidP="00BF7F43">
                  <w:pPr>
                    <w:framePr w:hSpace="181" w:wrap="around" w:vAnchor="page" w:hAnchor="margin" w:xAlign="center" w:y="421"/>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244061" w:themeFill="accent1" w:themeFillShade="80"/>
                  <w:vAlign w:val="center"/>
                </w:tcPr>
                <w:p w14:paraId="1E92A429" w14:textId="77777777" w:rsidR="000D2A61" w:rsidRPr="0002703C" w:rsidRDefault="000D2A61" w:rsidP="00BF7F43">
                  <w:pPr>
                    <w:framePr w:hSpace="181" w:wrap="around" w:vAnchor="page" w:hAnchor="margin" w:xAlign="center" w:y="421"/>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£000</w:t>
                  </w:r>
                </w:p>
              </w:tc>
            </w:tr>
            <w:tr w:rsidR="000D2A61" w:rsidRPr="00C23F61" w14:paraId="356EBE23" w14:textId="77777777" w:rsidTr="00301C67">
              <w:trPr>
                <w:trHeight w:val="227"/>
              </w:trPr>
              <w:tc>
                <w:tcPr>
                  <w:tcW w:w="4062" w:type="dxa"/>
                  <w:shd w:val="clear" w:color="auto" w:fill="DBE5F1" w:themeFill="accent1" w:themeFillTint="33"/>
                  <w:vAlign w:val="center"/>
                </w:tcPr>
                <w:p w14:paraId="62283168" w14:textId="77777777" w:rsidR="000D2A61" w:rsidRPr="0002703C" w:rsidRDefault="000D2A61" w:rsidP="00BF7F43">
                  <w:pPr>
                    <w:framePr w:hSpace="181" w:wrap="around" w:vAnchor="page" w:hAnchor="margin" w:xAlign="center" w:y="421"/>
                    <w:spacing w:beforeLines="20" w:before="48" w:afterLines="20" w:after="48"/>
                    <w:rPr>
                      <w:rFonts w:cs="Arial"/>
                      <w:sz w:val="20"/>
                      <w:szCs w:val="20"/>
                    </w:rPr>
                  </w:pPr>
                  <w:r w:rsidRPr="0002703C">
                    <w:rPr>
                      <w:rFonts w:cs="Arial"/>
                      <w:b/>
                      <w:i/>
                      <w:sz w:val="20"/>
                      <w:szCs w:val="20"/>
                    </w:rPr>
                    <w:t>Proposed funding from commissioners:</w:t>
                  </w:r>
                </w:p>
              </w:tc>
              <w:tc>
                <w:tcPr>
                  <w:tcW w:w="1680" w:type="dxa"/>
                  <w:tcBorders>
                    <w:top w:val="single" w:sz="8" w:space="0" w:color="365F91" w:themeColor="accent1" w:themeShade="BF"/>
                    <w:left w:val="nil"/>
                    <w:bottom w:val="single" w:sz="8" w:space="0" w:color="365F91" w:themeColor="accent1" w:themeShade="BF"/>
                    <w:right w:val="single" w:sz="8" w:space="0" w:color="365F91" w:themeColor="accent1" w:themeShade="BF"/>
                  </w:tcBorders>
                  <w:shd w:val="clear" w:color="auto" w:fill="DBE5F1" w:themeFill="accent1" w:themeFillTint="33"/>
                  <w:vAlign w:val="center"/>
                </w:tcPr>
                <w:p w14:paraId="3AFC5C8A" w14:textId="77777777" w:rsidR="000D2A61" w:rsidRPr="001D3205" w:rsidRDefault="000D2A61" w:rsidP="00BF7F43">
                  <w:pPr>
                    <w:framePr w:hSpace="181" w:wrap="around" w:vAnchor="page" w:hAnchor="margin" w:xAlign="center" w:y="421"/>
                    <w:jc w:val="right"/>
                    <w:rPr>
                      <w:sz w:val="20"/>
                      <w:szCs w:val="20"/>
                    </w:rPr>
                  </w:pPr>
                </w:p>
              </w:tc>
              <w:tc>
                <w:tcPr>
                  <w:tcW w:w="1560" w:type="dxa"/>
                  <w:tcBorders>
                    <w:top w:val="single" w:sz="8" w:space="0" w:color="365F91" w:themeColor="accent1" w:themeShade="BF"/>
                    <w:left w:val="nil"/>
                    <w:bottom w:val="single" w:sz="8" w:space="0" w:color="365F91" w:themeColor="accent1" w:themeShade="BF"/>
                    <w:right w:val="nil"/>
                  </w:tcBorders>
                  <w:shd w:val="clear" w:color="auto" w:fill="DBE5F1" w:themeFill="accent1" w:themeFillTint="33"/>
                </w:tcPr>
                <w:p w14:paraId="7E76FA56" w14:textId="77777777" w:rsidR="000D2A61" w:rsidRPr="001D3205" w:rsidRDefault="000D2A61" w:rsidP="00BF7F43">
                  <w:pPr>
                    <w:framePr w:hSpace="181" w:wrap="around" w:vAnchor="page" w:hAnchor="margin" w:xAlign="center" w:y="421"/>
                    <w:jc w:val="right"/>
                    <w:rPr>
                      <w:sz w:val="20"/>
                      <w:szCs w:val="20"/>
                    </w:rPr>
                  </w:pPr>
                </w:p>
              </w:tc>
            </w:tr>
            <w:tr w:rsidR="000D2A61" w:rsidRPr="00C23F61" w14:paraId="662AF584" w14:textId="77777777" w:rsidTr="00301C67">
              <w:trPr>
                <w:trHeight w:val="227"/>
              </w:trPr>
              <w:tc>
                <w:tcPr>
                  <w:tcW w:w="4062" w:type="dxa"/>
                  <w:shd w:val="clear" w:color="auto" w:fill="DBE5F1" w:themeFill="accent1" w:themeFillTint="33"/>
                  <w:vAlign w:val="center"/>
                </w:tcPr>
                <w:p w14:paraId="74811928"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Aneurin Bevan</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17AF0892"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36.52%</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30E89864"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391</w:t>
                  </w:r>
                </w:p>
              </w:tc>
            </w:tr>
            <w:tr w:rsidR="000D2A61" w:rsidRPr="00C23F61" w14:paraId="3A596468" w14:textId="77777777" w:rsidTr="00301C67">
              <w:trPr>
                <w:trHeight w:val="227"/>
              </w:trPr>
              <w:tc>
                <w:tcPr>
                  <w:tcW w:w="4062" w:type="dxa"/>
                  <w:shd w:val="clear" w:color="auto" w:fill="DEEAF6"/>
                  <w:vAlign w:val="center"/>
                </w:tcPr>
                <w:p w14:paraId="1919A3D8"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Cardiff &amp; Vale</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07AF559C"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30.90%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6C7407BA"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331</w:t>
                  </w:r>
                </w:p>
              </w:tc>
            </w:tr>
            <w:tr w:rsidR="000D2A61" w:rsidRPr="00C23F61" w14:paraId="5C3B4263" w14:textId="77777777" w:rsidTr="00301C67">
              <w:trPr>
                <w:trHeight w:val="227"/>
              </w:trPr>
              <w:tc>
                <w:tcPr>
                  <w:tcW w:w="4062" w:type="dxa"/>
                  <w:shd w:val="clear" w:color="auto" w:fill="DBE5F1" w:themeFill="accent1" w:themeFillTint="33"/>
                  <w:vAlign w:val="center"/>
                </w:tcPr>
                <w:p w14:paraId="126DAABF"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Cwm Taf Morgannwg</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143C275F"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28.11%</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62BF3403"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301</w:t>
                  </w:r>
                </w:p>
              </w:tc>
            </w:tr>
            <w:tr w:rsidR="000D2A61" w:rsidRPr="00C23F61" w14:paraId="2A7B080E" w14:textId="77777777" w:rsidTr="00301C67">
              <w:trPr>
                <w:trHeight w:val="227"/>
              </w:trPr>
              <w:tc>
                <w:tcPr>
                  <w:tcW w:w="4062" w:type="dxa"/>
                  <w:shd w:val="clear" w:color="auto" w:fill="DBE5F1" w:themeFill="accent1" w:themeFillTint="33"/>
                  <w:vAlign w:val="center"/>
                </w:tcPr>
                <w:p w14:paraId="686EADFF"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Swansea Bay</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79160E43"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1.40%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5E2E1F7E"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15</w:t>
                  </w:r>
                </w:p>
              </w:tc>
            </w:tr>
            <w:tr w:rsidR="000D2A61" w:rsidRPr="00C23F61" w14:paraId="6879585D" w14:textId="77777777" w:rsidTr="00301C67">
              <w:trPr>
                <w:trHeight w:val="227"/>
              </w:trPr>
              <w:tc>
                <w:tcPr>
                  <w:tcW w:w="4062" w:type="dxa"/>
                  <w:shd w:val="clear" w:color="auto" w:fill="DBE5F1" w:themeFill="accent1" w:themeFillTint="33"/>
                  <w:vAlign w:val="center"/>
                </w:tcPr>
                <w:p w14:paraId="4CF0CE69"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Hywel Dda</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4D2B7D5E"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1.49%</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18755638"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16</w:t>
                  </w:r>
                </w:p>
              </w:tc>
            </w:tr>
            <w:tr w:rsidR="000D2A61" w:rsidRPr="00C23F61" w14:paraId="718777B0" w14:textId="77777777" w:rsidTr="00301C67">
              <w:trPr>
                <w:trHeight w:val="227"/>
              </w:trPr>
              <w:tc>
                <w:tcPr>
                  <w:tcW w:w="4062" w:type="dxa"/>
                  <w:tcBorders>
                    <w:bottom w:val="single" w:sz="8" w:space="0" w:color="365F91" w:themeColor="accent1" w:themeShade="BF"/>
                  </w:tcBorders>
                  <w:shd w:val="clear" w:color="auto" w:fill="DBE5F1" w:themeFill="accent1" w:themeFillTint="33"/>
                  <w:vAlign w:val="center"/>
                </w:tcPr>
                <w:p w14:paraId="123FE691" w14:textId="77777777" w:rsidR="000D2A61" w:rsidRPr="001D3205" w:rsidRDefault="000D2A61" w:rsidP="00BF7F43">
                  <w:pPr>
                    <w:framePr w:hSpace="181" w:wrap="around" w:vAnchor="page" w:hAnchor="margin" w:xAlign="center" w:y="421"/>
                    <w:spacing w:beforeLines="20" w:before="48" w:afterLines="20" w:after="48"/>
                    <w:rPr>
                      <w:rFonts w:cs="Arial"/>
                      <w:b/>
                      <w:bCs/>
                      <w:sz w:val="20"/>
                      <w:szCs w:val="20"/>
                    </w:rPr>
                  </w:pPr>
                  <w:r w:rsidRPr="001D3205">
                    <w:rPr>
                      <w:sz w:val="20"/>
                      <w:szCs w:val="20"/>
                    </w:rPr>
                    <w:t>Powys</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387D090A" w14:textId="77777777" w:rsidR="000D2A61" w:rsidRPr="001D3205" w:rsidRDefault="000D2A61" w:rsidP="00BF7F43">
                  <w:pPr>
                    <w:framePr w:hSpace="181" w:wrap="around" w:vAnchor="page" w:hAnchor="margin" w:xAlign="center" w:y="421"/>
                    <w:jc w:val="right"/>
                    <w:rPr>
                      <w:sz w:val="20"/>
                      <w:szCs w:val="20"/>
                    </w:rPr>
                  </w:pPr>
                  <w:r w:rsidRPr="0002703C">
                    <w:rPr>
                      <w:sz w:val="20"/>
                      <w:szCs w:val="20"/>
                    </w:rPr>
                    <w:t>1.59%</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2FD09F99" w14:textId="77777777" w:rsidR="000D2A61" w:rsidRPr="00582D55" w:rsidDel="001D3205" w:rsidRDefault="000D2A61" w:rsidP="00BF7F43">
                  <w:pPr>
                    <w:framePr w:hSpace="181" w:wrap="around" w:vAnchor="page" w:hAnchor="margin" w:xAlign="center" w:y="421"/>
                    <w:jc w:val="right"/>
                    <w:rPr>
                      <w:sz w:val="20"/>
                      <w:szCs w:val="20"/>
                    </w:rPr>
                  </w:pPr>
                  <w:r w:rsidRPr="00582D55">
                    <w:rPr>
                      <w:sz w:val="20"/>
                      <w:szCs w:val="20"/>
                    </w:rPr>
                    <w:t>17</w:t>
                  </w:r>
                </w:p>
              </w:tc>
            </w:tr>
            <w:tr w:rsidR="000D2A61" w:rsidRPr="00C23F61" w14:paraId="031E527F" w14:textId="77777777" w:rsidTr="00301C67">
              <w:trPr>
                <w:trHeight w:val="227"/>
              </w:trPr>
              <w:tc>
                <w:tcPr>
                  <w:tcW w:w="4062" w:type="dxa"/>
                  <w:tcBorders>
                    <w:top w:val="single" w:sz="8" w:space="0" w:color="365F91" w:themeColor="accent1" w:themeShade="BF"/>
                  </w:tcBorders>
                  <w:shd w:val="clear" w:color="auto" w:fill="DEEAF6"/>
                  <w:vAlign w:val="center"/>
                </w:tcPr>
                <w:p w14:paraId="7507833C" w14:textId="77777777" w:rsidR="000D2A61" w:rsidRPr="0002703C" w:rsidRDefault="000D2A61" w:rsidP="00BF7F43">
                  <w:pPr>
                    <w:framePr w:hSpace="181" w:wrap="around" w:vAnchor="page" w:hAnchor="margin" w:xAlign="center" w:y="421"/>
                    <w:spacing w:beforeLines="20" w:before="48" w:afterLines="20" w:after="48"/>
                    <w:rPr>
                      <w:rFonts w:cs="Arial"/>
                      <w:b/>
                      <w:bCs/>
                      <w:color w:val="FFFFFF" w:themeColor="background1"/>
                      <w:sz w:val="20"/>
                      <w:szCs w:val="20"/>
                    </w:rPr>
                  </w:pPr>
                  <w:r w:rsidRPr="0002703C">
                    <w:rPr>
                      <w:rFonts w:cs="Arial"/>
                      <w:b/>
                      <w:color w:val="000000" w:themeColor="text1"/>
                      <w:sz w:val="20"/>
                      <w:szCs w:val="20"/>
                    </w:rPr>
                    <w:t xml:space="preserve">Total </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F2F2F2" w:themeFill="background1" w:themeFillShade="F2"/>
                  <w:vAlign w:val="center"/>
                </w:tcPr>
                <w:p w14:paraId="3C428F01" w14:textId="77777777" w:rsidR="000D2A61" w:rsidRPr="001D3205" w:rsidRDefault="000D2A61" w:rsidP="00BF7F43">
                  <w:pPr>
                    <w:framePr w:hSpace="181" w:wrap="around" w:vAnchor="page" w:hAnchor="margin" w:xAlign="center" w:y="421"/>
                    <w:jc w:val="right"/>
                    <w:rPr>
                      <w:b/>
                      <w:sz w:val="20"/>
                      <w:szCs w:val="20"/>
                    </w:rPr>
                  </w:pPr>
                  <w:r w:rsidRPr="001D3205">
                    <w:rPr>
                      <w:b/>
                      <w:sz w:val="20"/>
                      <w:szCs w:val="20"/>
                    </w:rPr>
                    <w:t>100%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F2F2F2" w:themeFill="background1" w:themeFillShade="F2"/>
                  <w:vAlign w:val="center"/>
                </w:tcPr>
                <w:p w14:paraId="6074FD17" w14:textId="77777777" w:rsidR="000D2A61" w:rsidRPr="00582D55" w:rsidDel="001D3205" w:rsidRDefault="000D2A61" w:rsidP="00BF7F43">
                  <w:pPr>
                    <w:framePr w:hSpace="181" w:wrap="around" w:vAnchor="page" w:hAnchor="margin" w:xAlign="center" w:y="421"/>
                    <w:jc w:val="right"/>
                    <w:rPr>
                      <w:b/>
                      <w:sz w:val="20"/>
                      <w:szCs w:val="20"/>
                    </w:rPr>
                  </w:pPr>
                  <w:r w:rsidRPr="00582D55">
                    <w:rPr>
                      <w:b/>
                      <w:sz w:val="20"/>
                      <w:szCs w:val="20"/>
                    </w:rPr>
                    <w:t>1,07</w:t>
                  </w:r>
                  <w:r>
                    <w:rPr>
                      <w:b/>
                      <w:sz w:val="20"/>
                      <w:szCs w:val="20"/>
                    </w:rPr>
                    <w:t>5</w:t>
                  </w:r>
                </w:p>
              </w:tc>
            </w:tr>
          </w:tbl>
          <w:p w14:paraId="4860D12E" w14:textId="77777777" w:rsidR="000D2A61" w:rsidRDefault="000D2A61" w:rsidP="00D361A7">
            <w:pPr>
              <w:pStyle w:val="Caption"/>
              <w:keepNext/>
              <w:rPr>
                <w:sz w:val="20"/>
                <w:szCs w:val="20"/>
              </w:rPr>
            </w:pPr>
            <w:bookmarkStart w:id="2" w:name="_Toc495312326"/>
          </w:p>
          <w:p w14:paraId="1F683427" w14:textId="7841A418" w:rsidR="000D2A61" w:rsidRPr="000D2A61" w:rsidRDefault="000D2A61" w:rsidP="000D2A61">
            <w:pPr>
              <w:rPr>
                <w:rFonts w:asciiTheme="majorHAnsi" w:hAnsiTheme="majorHAnsi" w:cstheme="majorHAnsi"/>
              </w:rPr>
            </w:pPr>
            <w:r w:rsidRPr="000D2A61">
              <w:rPr>
                <w:rFonts w:asciiTheme="majorHAnsi" w:hAnsiTheme="majorHAnsi" w:cstheme="majorHAnsi"/>
              </w:rPr>
              <w:t>The overall recurring revenue cost for CAVUHB will be £2.882m as per the table below of the overall additional recurrent revenue requirement of £9.327m</w:t>
            </w:r>
            <w:r>
              <w:rPr>
                <w:rFonts w:asciiTheme="majorHAnsi" w:hAnsiTheme="majorHAnsi" w:cstheme="majorHAnsi"/>
              </w:rPr>
              <w:t>.</w:t>
            </w:r>
            <w:r w:rsidR="001A7888">
              <w:rPr>
                <w:rFonts w:asciiTheme="majorHAnsi" w:hAnsiTheme="majorHAnsi" w:cstheme="majorHAnsi"/>
              </w:rPr>
              <w:t xml:space="preserve"> This does include the current baseline position for these elements of the current Velindre Cancer Centre that is already funded as part of the existing contracting model, so the additional recurrent revenue investment over and above current investment would be £1.593m</w:t>
            </w:r>
          </w:p>
          <w:p w14:paraId="1656CBFE" w14:textId="77777777" w:rsidR="000D2A61" w:rsidRDefault="000D2A61" w:rsidP="00D361A7">
            <w:pPr>
              <w:pStyle w:val="Caption"/>
              <w:keepNext/>
              <w:rPr>
                <w:sz w:val="20"/>
                <w:szCs w:val="20"/>
              </w:rPr>
            </w:pPr>
          </w:p>
          <w:p w14:paraId="40282380" w14:textId="46CBACC2" w:rsidR="00D361A7" w:rsidRPr="007A7AA3" w:rsidRDefault="001A7888" w:rsidP="00D361A7">
            <w:pPr>
              <w:pStyle w:val="Caption"/>
              <w:keepNext/>
              <w:rPr>
                <w:sz w:val="20"/>
                <w:szCs w:val="20"/>
              </w:rPr>
            </w:pPr>
            <w:r>
              <w:rPr>
                <w:sz w:val="20"/>
                <w:szCs w:val="20"/>
              </w:rPr>
              <w:t xml:space="preserve">Table 16 - </w:t>
            </w:r>
            <w:r w:rsidR="00D361A7" w:rsidRPr="007A7AA3">
              <w:rPr>
                <w:sz w:val="20"/>
                <w:szCs w:val="20"/>
              </w:rPr>
              <w:t>Summary of Funding Sources</w:t>
            </w:r>
            <w:bookmarkEnd w:id="2"/>
          </w:p>
          <w:tbl>
            <w:tblPr>
              <w:tblW w:w="7302" w:type="dxa"/>
              <w:tblInd w:w="841" w:type="dxa"/>
              <w:tbl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insideH w:val="single" w:sz="8" w:space="0" w:color="365F91" w:themeColor="accent1" w:themeShade="BF"/>
                <w:insideV w:val="single" w:sz="8" w:space="0" w:color="365F91" w:themeColor="accent1" w:themeShade="BF"/>
              </w:tblBorders>
              <w:tblLayout w:type="fixed"/>
              <w:tblLook w:val="04A0" w:firstRow="1" w:lastRow="0" w:firstColumn="1" w:lastColumn="0" w:noHBand="0" w:noVBand="1"/>
            </w:tblPr>
            <w:tblGrid>
              <w:gridCol w:w="4062"/>
              <w:gridCol w:w="1680"/>
              <w:gridCol w:w="1560"/>
            </w:tblGrid>
            <w:tr w:rsidR="00D361A7" w:rsidRPr="00C23F61" w14:paraId="19580E41" w14:textId="77777777" w:rsidTr="00D361A7">
              <w:tc>
                <w:tcPr>
                  <w:tcW w:w="4062" w:type="dxa"/>
                  <w:shd w:val="clear" w:color="auto" w:fill="244061" w:themeFill="accent1" w:themeFillShade="80"/>
                  <w:vAlign w:val="center"/>
                </w:tcPr>
                <w:p w14:paraId="5EE6B8AB" w14:textId="77777777" w:rsidR="00D361A7" w:rsidRPr="0002703C" w:rsidRDefault="00D361A7" w:rsidP="00BF7F43">
                  <w:pPr>
                    <w:framePr w:hSpace="181" w:wrap="around" w:vAnchor="page" w:hAnchor="margin" w:xAlign="center" w:y="421"/>
                    <w:spacing w:beforeLines="20" w:before="48" w:afterLines="20" w:after="48"/>
                    <w:ind w:hanging="15"/>
                    <w:rPr>
                      <w:rFonts w:cs="Arial"/>
                      <w:b/>
                      <w:bCs/>
                      <w:color w:val="FFFFFF" w:themeColor="background1"/>
                      <w:sz w:val="20"/>
                      <w:szCs w:val="20"/>
                    </w:rPr>
                  </w:pPr>
                  <w:r w:rsidRPr="0002703C">
                    <w:rPr>
                      <w:rFonts w:cs="Arial"/>
                      <w:b/>
                      <w:bCs/>
                      <w:color w:val="FFFFFF" w:themeColor="background1"/>
                      <w:sz w:val="20"/>
                      <w:szCs w:val="20"/>
                    </w:rPr>
                    <w:t>Health Boards</w:t>
                  </w:r>
                </w:p>
              </w:tc>
              <w:tc>
                <w:tcPr>
                  <w:tcW w:w="1680" w:type="dxa"/>
                  <w:shd w:val="clear" w:color="auto" w:fill="244061" w:themeFill="accent1" w:themeFillShade="80"/>
                  <w:vAlign w:val="center"/>
                </w:tcPr>
                <w:p w14:paraId="544769C9" w14:textId="77777777" w:rsidR="00D361A7" w:rsidRPr="0002703C" w:rsidRDefault="00D361A7" w:rsidP="00BF7F43">
                  <w:pPr>
                    <w:framePr w:hSpace="181" w:wrap="around" w:vAnchor="page" w:hAnchor="margin" w:xAlign="center" w:y="421"/>
                    <w:spacing w:beforeLines="20" w:before="48" w:afterLines="20" w:after="48"/>
                    <w:jc w:val="center"/>
                    <w:rPr>
                      <w:rFonts w:cs="Arial"/>
                      <w:b/>
                      <w:color w:val="FFFFFF" w:themeColor="background1"/>
                      <w:sz w:val="20"/>
                      <w:szCs w:val="20"/>
                    </w:rPr>
                  </w:pPr>
                  <w:r>
                    <w:rPr>
                      <w:rFonts w:cs="Arial"/>
                      <w:b/>
                      <w:color w:val="FFFFFF" w:themeColor="background1"/>
                      <w:sz w:val="20"/>
                      <w:szCs w:val="20"/>
                    </w:rPr>
                    <w:t>Commissioner</w:t>
                  </w:r>
                  <w:r w:rsidRPr="0002703C">
                    <w:rPr>
                      <w:rFonts w:cs="Arial"/>
                      <w:b/>
                      <w:color w:val="FFFFFF" w:themeColor="background1"/>
                      <w:sz w:val="20"/>
                      <w:szCs w:val="20"/>
                    </w:rPr>
                    <w:t xml:space="preserve"> Split</w:t>
                  </w:r>
                </w:p>
              </w:tc>
              <w:tc>
                <w:tcPr>
                  <w:tcW w:w="1560" w:type="dxa"/>
                  <w:shd w:val="clear" w:color="auto" w:fill="244061" w:themeFill="accent1" w:themeFillShade="80"/>
                  <w:vAlign w:val="center"/>
                </w:tcPr>
                <w:p w14:paraId="52B232EA" w14:textId="77777777" w:rsidR="00D361A7" w:rsidRPr="0002703C" w:rsidDel="001D3205" w:rsidRDefault="00D361A7" w:rsidP="00BF7F43">
                  <w:pPr>
                    <w:framePr w:hSpace="181" w:wrap="around" w:vAnchor="page" w:hAnchor="margin" w:xAlign="center" w:y="421"/>
                    <w:spacing w:beforeLines="20" w:before="48" w:afterLines="20" w:after="48"/>
                    <w:jc w:val="center"/>
                    <w:rPr>
                      <w:rFonts w:cs="Arial"/>
                      <w:b/>
                      <w:color w:val="FFFFFF" w:themeColor="background1"/>
                      <w:sz w:val="20"/>
                      <w:szCs w:val="20"/>
                    </w:rPr>
                  </w:pPr>
                  <w:r w:rsidRPr="0002703C">
                    <w:rPr>
                      <w:rFonts w:cs="Arial"/>
                      <w:b/>
                      <w:color w:val="FFFFFF" w:themeColor="background1"/>
                      <w:sz w:val="20"/>
                      <w:szCs w:val="20"/>
                    </w:rPr>
                    <w:t>TOTAL</w:t>
                  </w:r>
                </w:p>
              </w:tc>
            </w:tr>
            <w:tr w:rsidR="00D361A7" w:rsidRPr="00C23F61" w14:paraId="59F69A63" w14:textId="77777777" w:rsidTr="00D361A7">
              <w:tc>
                <w:tcPr>
                  <w:tcW w:w="4062" w:type="dxa"/>
                  <w:shd w:val="clear" w:color="auto" w:fill="244061" w:themeFill="accent1" w:themeFillShade="80"/>
                  <w:vAlign w:val="center"/>
                </w:tcPr>
                <w:p w14:paraId="6227A5E2" w14:textId="77777777" w:rsidR="00D361A7" w:rsidRPr="0002703C" w:rsidRDefault="00D361A7" w:rsidP="00BF7F43">
                  <w:pPr>
                    <w:framePr w:hSpace="181" w:wrap="around" w:vAnchor="page" w:hAnchor="margin" w:xAlign="center" w:y="421"/>
                    <w:spacing w:beforeLines="20" w:before="48" w:afterLines="20" w:after="48"/>
                    <w:rPr>
                      <w:rFonts w:cs="Arial"/>
                      <w:sz w:val="20"/>
                      <w:szCs w:val="20"/>
                    </w:rPr>
                  </w:pP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244061" w:themeFill="accent1" w:themeFillShade="80"/>
                  <w:vAlign w:val="center"/>
                </w:tcPr>
                <w:p w14:paraId="2613B9E0" w14:textId="77777777" w:rsidR="00D361A7" w:rsidRPr="0002703C" w:rsidRDefault="00D361A7" w:rsidP="00BF7F43">
                  <w:pPr>
                    <w:framePr w:hSpace="181" w:wrap="around" w:vAnchor="page" w:hAnchor="margin" w:xAlign="center" w:y="421"/>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244061" w:themeFill="accent1" w:themeFillShade="80"/>
                  <w:vAlign w:val="center"/>
                </w:tcPr>
                <w:p w14:paraId="5DCE99FE" w14:textId="77777777" w:rsidR="00D361A7" w:rsidRPr="0002703C" w:rsidRDefault="00D361A7" w:rsidP="00BF7F43">
                  <w:pPr>
                    <w:framePr w:hSpace="181" w:wrap="around" w:vAnchor="page" w:hAnchor="margin" w:xAlign="center" w:y="421"/>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£000</w:t>
                  </w:r>
                </w:p>
              </w:tc>
            </w:tr>
            <w:tr w:rsidR="00D361A7" w:rsidRPr="00C23F61" w14:paraId="5688FAB0" w14:textId="77777777" w:rsidTr="00D361A7">
              <w:trPr>
                <w:trHeight w:val="227"/>
              </w:trPr>
              <w:tc>
                <w:tcPr>
                  <w:tcW w:w="4062" w:type="dxa"/>
                  <w:shd w:val="clear" w:color="auto" w:fill="DBE5F1" w:themeFill="accent1" w:themeFillTint="33"/>
                  <w:vAlign w:val="center"/>
                </w:tcPr>
                <w:p w14:paraId="648D9E21" w14:textId="77777777" w:rsidR="00D361A7" w:rsidRPr="0002703C" w:rsidRDefault="00D361A7" w:rsidP="00BF7F43">
                  <w:pPr>
                    <w:framePr w:hSpace="181" w:wrap="around" w:vAnchor="page" w:hAnchor="margin" w:xAlign="center" w:y="421"/>
                    <w:spacing w:beforeLines="20" w:before="48" w:afterLines="20" w:after="48"/>
                    <w:rPr>
                      <w:rFonts w:cs="Arial"/>
                      <w:sz w:val="20"/>
                      <w:szCs w:val="20"/>
                    </w:rPr>
                  </w:pPr>
                  <w:r w:rsidRPr="0002703C">
                    <w:rPr>
                      <w:rFonts w:cs="Arial"/>
                      <w:b/>
                      <w:i/>
                      <w:sz w:val="20"/>
                      <w:szCs w:val="20"/>
                    </w:rPr>
                    <w:t>Proposed funding from commissioners:</w:t>
                  </w:r>
                </w:p>
              </w:tc>
              <w:tc>
                <w:tcPr>
                  <w:tcW w:w="1680" w:type="dxa"/>
                  <w:tcBorders>
                    <w:top w:val="single" w:sz="8" w:space="0" w:color="365F91" w:themeColor="accent1" w:themeShade="BF"/>
                    <w:left w:val="nil"/>
                    <w:bottom w:val="single" w:sz="8" w:space="0" w:color="365F91" w:themeColor="accent1" w:themeShade="BF"/>
                    <w:right w:val="single" w:sz="8" w:space="0" w:color="365F91" w:themeColor="accent1" w:themeShade="BF"/>
                  </w:tcBorders>
                  <w:shd w:val="clear" w:color="auto" w:fill="DBE5F1" w:themeFill="accent1" w:themeFillTint="33"/>
                  <w:vAlign w:val="center"/>
                </w:tcPr>
                <w:p w14:paraId="27F853D9" w14:textId="77777777" w:rsidR="00D361A7" w:rsidRPr="001D3205" w:rsidRDefault="00D361A7" w:rsidP="00BF7F43">
                  <w:pPr>
                    <w:framePr w:hSpace="181" w:wrap="around" w:vAnchor="page" w:hAnchor="margin" w:xAlign="center" w:y="421"/>
                    <w:jc w:val="right"/>
                    <w:rPr>
                      <w:sz w:val="20"/>
                      <w:szCs w:val="20"/>
                    </w:rPr>
                  </w:pPr>
                </w:p>
              </w:tc>
              <w:tc>
                <w:tcPr>
                  <w:tcW w:w="1560" w:type="dxa"/>
                  <w:tcBorders>
                    <w:top w:val="single" w:sz="8" w:space="0" w:color="365F91" w:themeColor="accent1" w:themeShade="BF"/>
                    <w:left w:val="nil"/>
                    <w:bottom w:val="single" w:sz="8" w:space="0" w:color="365F91" w:themeColor="accent1" w:themeShade="BF"/>
                    <w:right w:val="nil"/>
                  </w:tcBorders>
                  <w:shd w:val="clear" w:color="auto" w:fill="DBE5F1" w:themeFill="accent1" w:themeFillTint="33"/>
                </w:tcPr>
                <w:p w14:paraId="7CB568F8" w14:textId="77777777" w:rsidR="00D361A7" w:rsidRPr="001D3205" w:rsidRDefault="00D361A7" w:rsidP="00BF7F43">
                  <w:pPr>
                    <w:framePr w:hSpace="181" w:wrap="around" w:vAnchor="page" w:hAnchor="margin" w:xAlign="center" w:y="421"/>
                    <w:jc w:val="right"/>
                    <w:rPr>
                      <w:sz w:val="20"/>
                      <w:szCs w:val="20"/>
                    </w:rPr>
                  </w:pPr>
                </w:p>
              </w:tc>
            </w:tr>
            <w:tr w:rsidR="00D361A7" w:rsidRPr="00C23F61" w14:paraId="58C93C46" w14:textId="77777777" w:rsidTr="00D361A7">
              <w:trPr>
                <w:trHeight w:val="227"/>
              </w:trPr>
              <w:tc>
                <w:tcPr>
                  <w:tcW w:w="4062" w:type="dxa"/>
                  <w:shd w:val="clear" w:color="auto" w:fill="DBE5F1" w:themeFill="accent1" w:themeFillTint="33"/>
                  <w:vAlign w:val="center"/>
                </w:tcPr>
                <w:p w14:paraId="600610DF" w14:textId="77777777"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Aneurin Bevan</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63C21A2B"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36.52%</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2872D7B0"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3,406</w:t>
                  </w:r>
                </w:p>
              </w:tc>
            </w:tr>
            <w:tr w:rsidR="00D361A7" w:rsidRPr="00C23F61" w14:paraId="4ABB7C93" w14:textId="77777777" w:rsidTr="00D361A7">
              <w:trPr>
                <w:trHeight w:val="227"/>
              </w:trPr>
              <w:tc>
                <w:tcPr>
                  <w:tcW w:w="4062" w:type="dxa"/>
                  <w:shd w:val="clear" w:color="auto" w:fill="DEEAF6"/>
                  <w:vAlign w:val="center"/>
                </w:tcPr>
                <w:p w14:paraId="3B1A3241" w14:textId="77777777"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Cardiff &amp; Vale</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7706C5DF"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30.90%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59E1E92E"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2,882</w:t>
                  </w:r>
                </w:p>
              </w:tc>
            </w:tr>
            <w:tr w:rsidR="00D361A7" w:rsidRPr="00C23F61" w14:paraId="1E574D0F" w14:textId="77777777" w:rsidTr="00D361A7">
              <w:trPr>
                <w:trHeight w:val="227"/>
              </w:trPr>
              <w:tc>
                <w:tcPr>
                  <w:tcW w:w="4062" w:type="dxa"/>
                  <w:shd w:val="clear" w:color="auto" w:fill="DBE5F1" w:themeFill="accent1" w:themeFillTint="33"/>
                  <w:vAlign w:val="center"/>
                </w:tcPr>
                <w:p w14:paraId="15A6FEB4" w14:textId="0EAF598F"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Cwm Taf Morgan</w:t>
                  </w:r>
                  <w:r w:rsidR="001A7888">
                    <w:rPr>
                      <w:sz w:val="20"/>
                      <w:szCs w:val="20"/>
                    </w:rPr>
                    <w:t>n</w:t>
                  </w:r>
                  <w:r w:rsidRPr="001D3205">
                    <w:rPr>
                      <w:sz w:val="20"/>
                      <w:szCs w:val="20"/>
                    </w:rPr>
                    <w:t>wg</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4285F710"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28.11%</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2863F914"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2,622</w:t>
                  </w:r>
                </w:p>
              </w:tc>
            </w:tr>
            <w:tr w:rsidR="00D361A7" w:rsidRPr="00C23F61" w14:paraId="021C2894" w14:textId="77777777" w:rsidTr="00D361A7">
              <w:trPr>
                <w:trHeight w:val="227"/>
              </w:trPr>
              <w:tc>
                <w:tcPr>
                  <w:tcW w:w="4062" w:type="dxa"/>
                  <w:shd w:val="clear" w:color="auto" w:fill="DBE5F1" w:themeFill="accent1" w:themeFillTint="33"/>
                  <w:vAlign w:val="center"/>
                </w:tcPr>
                <w:p w14:paraId="1633F54B" w14:textId="77777777"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Swansea Bay</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6256049A"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1.40%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18FB774B"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131</w:t>
                  </w:r>
                </w:p>
              </w:tc>
            </w:tr>
            <w:tr w:rsidR="00D361A7" w:rsidRPr="00C23F61" w14:paraId="479A3698" w14:textId="77777777" w:rsidTr="00D361A7">
              <w:trPr>
                <w:trHeight w:val="227"/>
              </w:trPr>
              <w:tc>
                <w:tcPr>
                  <w:tcW w:w="4062" w:type="dxa"/>
                  <w:shd w:val="clear" w:color="auto" w:fill="DBE5F1" w:themeFill="accent1" w:themeFillTint="33"/>
                  <w:vAlign w:val="center"/>
                </w:tcPr>
                <w:p w14:paraId="0D4D6F50" w14:textId="77777777"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Hywel Dda</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6EB416B8"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1.49%</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0DD88CB2"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139</w:t>
                  </w:r>
                </w:p>
              </w:tc>
            </w:tr>
            <w:tr w:rsidR="00D361A7" w:rsidRPr="00C23F61" w14:paraId="2F73B9C9" w14:textId="77777777" w:rsidTr="00D361A7">
              <w:trPr>
                <w:trHeight w:val="227"/>
              </w:trPr>
              <w:tc>
                <w:tcPr>
                  <w:tcW w:w="4062" w:type="dxa"/>
                  <w:tcBorders>
                    <w:bottom w:val="single" w:sz="8" w:space="0" w:color="365F91" w:themeColor="accent1" w:themeShade="BF"/>
                  </w:tcBorders>
                  <w:shd w:val="clear" w:color="auto" w:fill="DBE5F1" w:themeFill="accent1" w:themeFillTint="33"/>
                  <w:vAlign w:val="center"/>
                </w:tcPr>
                <w:p w14:paraId="022D4C53" w14:textId="77777777" w:rsidR="00D361A7" w:rsidRPr="001D3205" w:rsidRDefault="00D361A7" w:rsidP="00BF7F43">
                  <w:pPr>
                    <w:framePr w:hSpace="181" w:wrap="around" w:vAnchor="page" w:hAnchor="margin" w:xAlign="center" w:y="421"/>
                    <w:spacing w:beforeLines="20" w:before="48" w:afterLines="20" w:after="48"/>
                    <w:rPr>
                      <w:rFonts w:cs="Arial"/>
                      <w:b/>
                      <w:bCs/>
                      <w:sz w:val="20"/>
                      <w:szCs w:val="20"/>
                    </w:rPr>
                  </w:pPr>
                  <w:r w:rsidRPr="001D3205">
                    <w:rPr>
                      <w:sz w:val="20"/>
                      <w:szCs w:val="20"/>
                    </w:rPr>
                    <w:t>Powys</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1ED5BD3C" w14:textId="77777777" w:rsidR="00D361A7" w:rsidRPr="001D3205" w:rsidRDefault="00D361A7" w:rsidP="00BF7F43">
                  <w:pPr>
                    <w:framePr w:hSpace="181" w:wrap="around" w:vAnchor="page" w:hAnchor="margin" w:xAlign="center" w:y="421"/>
                    <w:jc w:val="right"/>
                    <w:rPr>
                      <w:sz w:val="20"/>
                      <w:szCs w:val="20"/>
                    </w:rPr>
                  </w:pPr>
                  <w:r w:rsidRPr="0002703C">
                    <w:rPr>
                      <w:sz w:val="20"/>
                      <w:szCs w:val="20"/>
                    </w:rPr>
                    <w:t>1.59%</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vAlign w:val="center"/>
                </w:tcPr>
                <w:p w14:paraId="08C9594E" w14:textId="77777777" w:rsidR="00D361A7" w:rsidRPr="0002703C" w:rsidDel="001D3205" w:rsidRDefault="00D361A7" w:rsidP="00BF7F43">
                  <w:pPr>
                    <w:framePr w:hSpace="181" w:wrap="around" w:vAnchor="page" w:hAnchor="margin" w:xAlign="center" w:y="421"/>
                    <w:jc w:val="right"/>
                    <w:rPr>
                      <w:sz w:val="20"/>
                      <w:szCs w:val="20"/>
                    </w:rPr>
                  </w:pPr>
                  <w:r w:rsidRPr="0002703C">
                    <w:rPr>
                      <w:sz w:val="20"/>
                      <w:szCs w:val="20"/>
                    </w:rPr>
                    <w:t>148</w:t>
                  </w:r>
                </w:p>
              </w:tc>
            </w:tr>
            <w:tr w:rsidR="00D361A7" w:rsidRPr="00C23F61" w14:paraId="4554D04F" w14:textId="77777777" w:rsidTr="00D361A7">
              <w:trPr>
                <w:trHeight w:val="227"/>
              </w:trPr>
              <w:tc>
                <w:tcPr>
                  <w:tcW w:w="4062" w:type="dxa"/>
                  <w:tcBorders>
                    <w:top w:val="single" w:sz="8" w:space="0" w:color="365F91" w:themeColor="accent1" w:themeShade="BF"/>
                  </w:tcBorders>
                  <w:shd w:val="clear" w:color="auto" w:fill="DEEAF6"/>
                  <w:vAlign w:val="center"/>
                </w:tcPr>
                <w:p w14:paraId="05AB338F" w14:textId="77777777" w:rsidR="00D361A7" w:rsidRPr="0002703C" w:rsidRDefault="00D361A7" w:rsidP="00BF7F43">
                  <w:pPr>
                    <w:framePr w:hSpace="181" w:wrap="around" w:vAnchor="page" w:hAnchor="margin" w:xAlign="center" w:y="421"/>
                    <w:spacing w:beforeLines="20" w:before="48" w:afterLines="20" w:after="48"/>
                    <w:rPr>
                      <w:rFonts w:cs="Arial"/>
                      <w:b/>
                      <w:bCs/>
                      <w:color w:val="FFFFFF" w:themeColor="background1"/>
                      <w:sz w:val="20"/>
                      <w:szCs w:val="20"/>
                    </w:rPr>
                  </w:pPr>
                  <w:r w:rsidRPr="0002703C">
                    <w:rPr>
                      <w:rFonts w:cs="Arial"/>
                      <w:b/>
                      <w:color w:val="000000" w:themeColor="text1"/>
                      <w:sz w:val="20"/>
                      <w:szCs w:val="20"/>
                    </w:rPr>
                    <w:t xml:space="preserve">Total </w:t>
                  </w:r>
                </w:p>
              </w:tc>
              <w:tc>
                <w:tcPr>
                  <w:tcW w:w="168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F2F2F2" w:themeFill="background1" w:themeFillShade="F2"/>
                  <w:vAlign w:val="center"/>
                </w:tcPr>
                <w:p w14:paraId="13E598C5" w14:textId="77777777" w:rsidR="00D361A7" w:rsidRPr="001D3205" w:rsidRDefault="00D361A7" w:rsidP="00BF7F43">
                  <w:pPr>
                    <w:framePr w:hSpace="181" w:wrap="around" w:vAnchor="page" w:hAnchor="margin" w:xAlign="center" w:y="421"/>
                    <w:jc w:val="right"/>
                    <w:rPr>
                      <w:b/>
                      <w:sz w:val="20"/>
                      <w:szCs w:val="20"/>
                    </w:rPr>
                  </w:pPr>
                  <w:r w:rsidRPr="001D3205">
                    <w:rPr>
                      <w:b/>
                      <w:sz w:val="20"/>
                      <w:szCs w:val="20"/>
                    </w:rPr>
                    <w:t>100%</w:t>
                  </w:r>
                </w:p>
              </w:tc>
              <w:tc>
                <w:tcPr>
                  <w:tcW w:w="1560" w:type="dxa"/>
                  <w:tc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tcBorders>
                  <w:shd w:val="clear" w:color="auto" w:fill="F2F2F2" w:themeFill="background1" w:themeFillShade="F2"/>
                  <w:vAlign w:val="center"/>
                </w:tcPr>
                <w:p w14:paraId="6A226A4C" w14:textId="77777777" w:rsidR="00D361A7" w:rsidRPr="0002703C" w:rsidDel="001D3205" w:rsidRDefault="00D361A7" w:rsidP="00BF7F43">
                  <w:pPr>
                    <w:framePr w:hSpace="181" w:wrap="around" w:vAnchor="page" w:hAnchor="margin" w:xAlign="center" w:y="421"/>
                    <w:jc w:val="right"/>
                    <w:rPr>
                      <w:b/>
                      <w:sz w:val="20"/>
                      <w:szCs w:val="20"/>
                    </w:rPr>
                  </w:pPr>
                  <w:r w:rsidRPr="0002703C">
                    <w:rPr>
                      <w:b/>
                      <w:sz w:val="20"/>
                      <w:szCs w:val="20"/>
                    </w:rPr>
                    <w:t>9,327</w:t>
                  </w:r>
                </w:p>
              </w:tc>
            </w:tr>
          </w:tbl>
          <w:p w14:paraId="61C83359" w14:textId="77777777" w:rsidR="00D361A7" w:rsidRPr="00C23F61" w:rsidRDefault="00D361A7" w:rsidP="00D361A7">
            <w:pPr>
              <w:ind w:left="907" w:firstLine="533"/>
              <w:rPr>
                <w:rFonts w:cs="Arial"/>
                <w:i/>
                <w:sz w:val="18"/>
                <w:szCs w:val="18"/>
              </w:rPr>
            </w:pPr>
            <w:r w:rsidRPr="00C23F61">
              <w:rPr>
                <w:rFonts w:cs="Arial"/>
                <w:i/>
                <w:sz w:val="18"/>
                <w:szCs w:val="18"/>
              </w:rPr>
              <w:t xml:space="preserve">Note: All costs are projected to 2025-26 based on </w:t>
            </w:r>
            <w:r>
              <w:rPr>
                <w:rFonts w:cs="Arial"/>
                <w:i/>
                <w:sz w:val="18"/>
                <w:szCs w:val="18"/>
              </w:rPr>
              <w:t>2022-23</w:t>
            </w:r>
            <w:r w:rsidRPr="00C23F61">
              <w:rPr>
                <w:rFonts w:cs="Arial"/>
                <w:i/>
                <w:sz w:val="18"/>
                <w:szCs w:val="18"/>
              </w:rPr>
              <w:t xml:space="preserve"> price levels. </w:t>
            </w:r>
          </w:p>
          <w:p w14:paraId="5866D691" w14:textId="615B5435" w:rsidR="00D361A7" w:rsidRDefault="00D361A7" w:rsidP="00D361A7">
            <w:pPr>
              <w:ind w:left="851" w:hanging="360"/>
            </w:pPr>
          </w:p>
          <w:p w14:paraId="65FBDC3B" w14:textId="306DA2F3" w:rsidR="00BC4695" w:rsidRDefault="001A7888" w:rsidP="001A7888">
            <w:pPr>
              <w:rPr>
                <w:b/>
                <w:i/>
              </w:rPr>
            </w:pPr>
            <w:r w:rsidRPr="001A7888">
              <w:rPr>
                <w:b/>
                <w:i/>
              </w:rPr>
              <w:t>Non-Recurrent Revenue Requirements</w:t>
            </w:r>
          </w:p>
          <w:p w14:paraId="2CDFEFC1" w14:textId="3580FCC3" w:rsidR="00CF12D4" w:rsidRDefault="00BC4695" w:rsidP="00CF12D4">
            <w:pPr>
              <w:rPr>
                <w:sz w:val="20"/>
                <w:szCs w:val="20"/>
              </w:rPr>
            </w:pPr>
            <w:r w:rsidRPr="00C23F61">
              <w:t>Non-recurring revenue costs, including accelerated depreciation, dual running, and project support will be funded by the Welsh Government and Commissioners</w:t>
            </w:r>
            <w:r>
              <w:t xml:space="preserve">. Dual site running costs mostly relate to the </w:t>
            </w:r>
            <w:r w:rsidR="00D86CE6">
              <w:t xml:space="preserve">management and delivery of radiotherapy on </w:t>
            </w:r>
            <w:proofErr w:type="spellStart"/>
            <w:r w:rsidR="00D86CE6">
              <w:t>lineacs</w:t>
            </w:r>
            <w:proofErr w:type="spellEnd"/>
            <w:r w:rsidR="00D86CE6">
              <w:t xml:space="preserve"> on two sites. If patients start their treatment on one machine it is clinically beneficial to complete the course of treatment on the same machine.  </w:t>
            </w:r>
          </w:p>
          <w:p w14:paraId="0205F84E" w14:textId="238B2A3B" w:rsidR="00766D06" w:rsidRPr="007A7AA3" w:rsidRDefault="00766D06" w:rsidP="00766D06">
            <w:pPr>
              <w:pStyle w:val="Caption"/>
              <w:keepNext/>
              <w:ind w:firstLine="22"/>
              <w:jc w:val="left"/>
              <w:rPr>
                <w:sz w:val="20"/>
                <w:szCs w:val="20"/>
              </w:rPr>
            </w:pPr>
            <w:r w:rsidRPr="007A7AA3">
              <w:rPr>
                <w:sz w:val="20"/>
                <w:szCs w:val="20"/>
              </w:rPr>
              <w:t>Profile of Non-Recurring Revenue Requirement</w:t>
            </w:r>
          </w:p>
          <w:tbl>
            <w:tblPr>
              <w:tblpPr w:leftFromText="180" w:rightFromText="180" w:vertAnchor="text" w:horzAnchor="page" w:tblpX="943" w:tblpY="119"/>
              <w:tblW w:w="9346" w:type="dxa"/>
              <w:tblBorders>
                <w:top w:val="single" w:sz="8" w:space="0" w:color="365F91" w:themeColor="accent1" w:themeShade="BF"/>
                <w:left w:val="single" w:sz="8" w:space="0" w:color="365F91" w:themeColor="accent1" w:themeShade="BF"/>
                <w:bottom w:val="single" w:sz="8" w:space="0" w:color="365F91" w:themeColor="accent1" w:themeShade="BF"/>
                <w:right w:val="single" w:sz="8" w:space="0" w:color="365F91" w:themeColor="accent1" w:themeShade="BF"/>
                <w:insideH w:val="single" w:sz="8" w:space="0" w:color="365F91" w:themeColor="accent1" w:themeShade="BF"/>
                <w:insideV w:val="single" w:sz="8" w:space="0" w:color="365F91" w:themeColor="accent1" w:themeShade="BF"/>
              </w:tblBorders>
              <w:tblLayout w:type="fixed"/>
              <w:tblLook w:val="04A0" w:firstRow="1" w:lastRow="0" w:firstColumn="1" w:lastColumn="0" w:noHBand="0" w:noVBand="1"/>
            </w:tblPr>
            <w:tblGrid>
              <w:gridCol w:w="3686"/>
              <w:gridCol w:w="1086"/>
              <w:gridCol w:w="1086"/>
              <w:gridCol w:w="1087"/>
              <w:gridCol w:w="2401"/>
            </w:tblGrid>
            <w:tr w:rsidR="00766D06" w:rsidRPr="00C23F61" w14:paraId="410E9C6D" w14:textId="1A16A17A" w:rsidTr="00766D06">
              <w:tc>
                <w:tcPr>
                  <w:tcW w:w="3686" w:type="dxa"/>
                  <w:shd w:val="clear" w:color="auto" w:fill="244061" w:themeFill="accent1" w:themeFillShade="80"/>
                  <w:vAlign w:val="center"/>
                </w:tcPr>
                <w:p w14:paraId="3A13748B" w14:textId="77777777" w:rsidR="00766D06" w:rsidRPr="00C23F61" w:rsidRDefault="00766D06" w:rsidP="00766D06">
                  <w:pPr>
                    <w:spacing w:line="276" w:lineRule="auto"/>
                    <w:rPr>
                      <w:b/>
                      <w:bCs/>
                      <w:color w:val="FFFFFF" w:themeColor="background1"/>
                      <w:sz w:val="20"/>
                      <w:szCs w:val="20"/>
                    </w:rPr>
                  </w:pPr>
                  <w:r w:rsidRPr="00C23F61">
                    <w:rPr>
                      <w:b/>
                      <w:bCs/>
                      <w:color w:val="FFFFFF" w:themeColor="background1"/>
                      <w:sz w:val="20"/>
                      <w:szCs w:val="20"/>
                    </w:rPr>
                    <w:t>Cost category</w:t>
                  </w:r>
                </w:p>
              </w:tc>
              <w:tc>
                <w:tcPr>
                  <w:tcW w:w="1086" w:type="dxa"/>
                  <w:shd w:val="clear" w:color="auto" w:fill="244061" w:themeFill="accent1" w:themeFillShade="80"/>
                </w:tcPr>
                <w:p w14:paraId="176AD8C9"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2023-24</w:t>
                  </w:r>
                </w:p>
                <w:p w14:paraId="790B4ACB"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£000</w:t>
                  </w:r>
                </w:p>
              </w:tc>
              <w:tc>
                <w:tcPr>
                  <w:tcW w:w="1086" w:type="dxa"/>
                  <w:shd w:val="clear" w:color="auto" w:fill="244061" w:themeFill="accent1" w:themeFillShade="80"/>
                </w:tcPr>
                <w:p w14:paraId="41413B4B"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2024-25</w:t>
                  </w:r>
                </w:p>
                <w:p w14:paraId="7E8C754C"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£000</w:t>
                  </w:r>
                </w:p>
              </w:tc>
              <w:tc>
                <w:tcPr>
                  <w:tcW w:w="1087" w:type="dxa"/>
                  <w:shd w:val="clear" w:color="auto" w:fill="244061" w:themeFill="accent1" w:themeFillShade="80"/>
                </w:tcPr>
                <w:p w14:paraId="6D7CE8A1"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2025-26</w:t>
                  </w:r>
                </w:p>
                <w:p w14:paraId="6BF56AC9" w14:textId="77777777" w:rsidR="00766D06" w:rsidRPr="00C23F61" w:rsidRDefault="00766D06" w:rsidP="00766D06">
                  <w:pPr>
                    <w:spacing w:line="276" w:lineRule="auto"/>
                    <w:jc w:val="center"/>
                    <w:rPr>
                      <w:b/>
                      <w:bCs/>
                      <w:color w:val="FFFFFF" w:themeColor="background1"/>
                      <w:sz w:val="20"/>
                      <w:szCs w:val="20"/>
                    </w:rPr>
                  </w:pPr>
                  <w:r w:rsidRPr="00C23F61">
                    <w:rPr>
                      <w:b/>
                      <w:bCs/>
                      <w:color w:val="FFFFFF" w:themeColor="background1"/>
                      <w:sz w:val="20"/>
                      <w:szCs w:val="20"/>
                    </w:rPr>
                    <w:t>£000</w:t>
                  </w:r>
                </w:p>
              </w:tc>
              <w:tc>
                <w:tcPr>
                  <w:tcW w:w="2401" w:type="dxa"/>
                  <w:shd w:val="clear" w:color="auto" w:fill="244061" w:themeFill="accent1" w:themeFillShade="80"/>
                </w:tcPr>
                <w:p w14:paraId="713D7439" w14:textId="0D5BEA77" w:rsidR="00766D06" w:rsidRPr="00C23F61" w:rsidRDefault="00766D06" w:rsidP="00766D06">
                  <w:pPr>
                    <w:spacing w:line="276" w:lineRule="auto"/>
                    <w:jc w:val="center"/>
                    <w:rPr>
                      <w:b/>
                      <w:bCs/>
                      <w:color w:val="FFFFFF" w:themeColor="background1"/>
                      <w:sz w:val="20"/>
                      <w:szCs w:val="20"/>
                    </w:rPr>
                  </w:pPr>
                  <w:r>
                    <w:rPr>
                      <w:b/>
                      <w:bCs/>
                      <w:color w:val="FFFFFF" w:themeColor="background1"/>
                      <w:sz w:val="20"/>
                      <w:szCs w:val="20"/>
                    </w:rPr>
                    <w:t>Source of Funding</w:t>
                  </w:r>
                </w:p>
              </w:tc>
            </w:tr>
            <w:tr w:rsidR="00766D06" w:rsidRPr="00C23F61" w14:paraId="511B3021" w14:textId="5DA0A3AB" w:rsidTr="00766D06">
              <w:trPr>
                <w:trHeight w:val="284"/>
              </w:trPr>
              <w:tc>
                <w:tcPr>
                  <w:tcW w:w="3686" w:type="dxa"/>
                  <w:shd w:val="clear" w:color="auto" w:fill="DBE5F1" w:themeFill="accent1" w:themeFillTint="33"/>
                  <w:vAlign w:val="center"/>
                </w:tcPr>
                <w:p w14:paraId="6893E1BA" w14:textId="77777777" w:rsidR="00766D06" w:rsidRPr="000F0704" w:rsidRDefault="00766D06" w:rsidP="00766D06">
                  <w:pPr>
                    <w:rPr>
                      <w:sz w:val="20"/>
                      <w:szCs w:val="20"/>
                    </w:rPr>
                  </w:pPr>
                  <w:r w:rsidRPr="000F0704">
                    <w:rPr>
                      <w:sz w:val="20"/>
                      <w:szCs w:val="20"/>
                    </w:rPr>
                    <w:t>Accelerated depreciation</w:t>
                  </w:r>
                </w:p>
              </w:tc>
              <w:tc>
                <w:tcPr>
                  <w:tcW w:w="1086" w:type="dxa"/>
                  <w:tcBorders>
                    <w:top w:val="nil"/>
                    <w:left w:val="single" w:sz="8" w:space="0" w:color="365F91" w:themeColor="accent1" w:themeShade="BF"/>
                    <w:bottom w:val="single" w:sz="8" w:space="0" w:color="2E74B5"/>
                    <w:right w:val="single" w:sz="8" w:space="0" w:color="2E74B5"/>
                  </w:tcBorders>
                </w:tcPr>
                <w:p w14:paraId="0C479E80" w14:textId="77777777" w:rsidR="00766D06" w:rsidRPr="000F0704" w:rsidRDefault="00766D06" w:rsidP="00766D06">
                  <w:pPr>
                    <w:jc w:val="right"/>
                    <w:rPr>
                      <w:sz w:val="20"/>
                      <w:szCs w:val="20"/>
                    </w:rPr>
                  </w:pPr>
                  <w:r w:rsidRPr="00CB7034">
                    <w:rPr>
                      <w:sz w:val="20"/>
                      <w:szCs w:val="20"/>
                    </w:rPr>
                    <w:t>10,479</w:t>
                  </w:r>
                </w:p>
              </w:tc>
              <w:tc>
                <w:tcPr>
                  <w:tcW w:w="1086" w:type="dxa"/>
                  <w:tcBorders>
                    <w:top w:val="nil"/>
                    <w:left w:val="single" w:sz="8" w:space="0" w:color="365F91" w:themeColor="accent1" w:themeShade="BF"/>
                    <w:bottom w:val="single" w:sz="8" w:space="0" w:color="2E74B5"/>
                    <w:right w:val="single" w:sz="8" w:space="0" w:color="2E74B5"/>
                  </w:tcBorders>
                </w:tcPr>
                <w:p w14:paraId="329846A1" w14:textId="77777777" w:rsidR="00766D06" w:rsidRPr="000F0704" w:rsidRDefault="00766D06" w:rsidP="00766D06">
                  <w:pPr>
                    <w:jc w:val="right"/>
                    <w:rPr>
                      <w:sz w:val="20"/>
                      <w:szCs w:val="20"/>
                    </w:rPr>
                  </w:pPr>
                  <w:r w:rsidRPr="00CB7034">
                    <w:rPr>
                      <w:sz w:val="20"/>
                      <w:szCs w:val="20"/>
                    </w:rPr>
                    <w:t>10,479</w:t>
                  </w:r>
                </w:p>
              </w:tc>
              <w:tc>
                <w:tcPr>
                  <w:tcW w:w="1087" w:type="dxa"/>
                  <w:tcBorders>
                    <w:top w:val="nil"/>
                    <w:left w:val="single" w:sz="8" w:space="0" w:color="365F91" w:themeColor="accent1" w:themeShade="BF"/>
                    <w:bottom w:val="single" w:sz="8" w:space="0" w:color="2E74B5"/>
                    <w:right w:val="single" w:sz="8" w:space="0" w:color="365F91" w:themeColor="accent1" w:themeShade="BF"/>
                  </w:tcBorders>
                </w:tcPr>
                <w:p w14:paraId="16DA55D3" w14:textId="77777777" w:rsidR="00766D06" w:rsidRPr="000F0704" w:rsidRDefault="00766D06" w:rsidP="00766D06">
                  <w:pPr>
                    <w:jc w:val="right"/>
                    <w:rPr>
                      <w:sz w:val="20"/>
                      <w:szCs w:val="20"/>
                    </w:rPr>
                  </w:pPr>
                  <w:r w:rsidRPr="00CB7034">
                    <w:rPr>
                      <w:sz w:val="20"/>
                      <w:szCs w:val="20"/>
                    </w:rPr>
                    <w:t>10,479</w:t>
                  </w:r>
                </w:p>
              </w:tc>
              <w:tc>
                <w:tcPr>
                  <w:tcW w:w="2401" w:type="dxa"/>
                  <w:tcBorders>
                    <w:top w:val="nil"/>
                    <w:left w:val="single" w:sz="8" w:space="0" w:color="365F91" w:themeColor="accent1" w:themeShade="BF"/>
                    <w:bottom w:val="single" w:sz="8" w:space="0" w:color="2E74B5"/>
                    <w:right w:val="single" w:sz="8" w:space="0" w:color="365F91" w:themeColor="accent1" w:themeShade="BF"/>
                  </w:tcBorders>
                  <w:vAlign w:val="center"/>
                </w:tcPr>
                <w:p w14:paraId="76B3C5CA" w14:textId="7BFA3737" w:rsidR="00766D06" w:rsidRPr="00CB7034" w:rsidRDefault="00766D06" w:rsidP="00766D06">
                  <w:pPr>
                    <w:jc w:val="center"/>
                    <w:rPr>
                      <w:sz w:val="20"/>
                      <w:szCs w:val="20"/>
                    </w:rPr>
                  </w:pPr>
                  <w:r>
                    <w:rPr>
                      <w:sz w:val="20"/>
                      <w:szCs w:val="20"/>
                    </w:rPr>
                    <w:t>Welsh Government</w:t>
                  </w:r>
                </w:p>
              </w:tc>
            </w:tr>
            <w:tr w:rsidR="00766D06" w:rsidRPr="00C23F61" w14:paraId="3E8A124C" w14:textId="69B7BB16" w:rsidTr="00766D06">
              <w:trPr>
                <w:trHeight w:val="284"/>
              </w:trPr>
              <w:tc>
                <w:tcPr>
                  <w:tcW w:w="3686" w:type="dxa"/>
                  <w:shd w:val="clear" w:color="auto" w:fill="DBE5F1" w:themeFill="accent1" w:themeFillTint="33"/>
                  <w:vAlign w:val="center"/>
                </w:tcPr>
                <w:p w14:paraId="1B124FD6" w14:textId="77777777" w:rsidR="00766D06" w:rsidRPr="000F0704" w:rsidRDefault="00766D06" w:rsidP="00766D06">
                  <w:pPr>
                    <w:rPr>
                      <w:sz w:val="20"/>
                      <w:szCs w:val="20"/>
                    </w:rPr>
                  </w:pPr>
                  <w:r w:rsidRPr="000F0704">
                    <w:rPr>
                      <w:sz w:val="20"/>
                      <w:szCs w:val="20"/>
                    </w:rPr>
                    <w:t>Dual Site Running Costs</w:t>
                  </w:r>
                </w:p>
              </w:tc>
              <w:tc>
                <w:tcPr>
                  <w:tcW w:w="1086" w:type="dxa"/>
                  <w:tcBorders>
                    <w:top w:val="nil"/>
                    <w:left w:val="single" w:sz="8" w:space="0" w:color="365F91" w:themeColor="accent1" w:themeShade="BF"/>
                    <w:bottom w:val="single" w:sz="8" w:space="0" w:color="2E74B5"/>
                    <w:right w:val="single" w:sz="8" w:space="0" w:color="2E74B5"/>
                  </w:tcBorders>
                  <w:vAlign w:val="center"/>
                </w:tcPr>
                <w:p w14:paraId="288D8329" w14:textId="77777777" w:rsidR="00766D06" w:rsidRPr="000F0704" w:rsidRDefault="00766D06" w:rsidP="00766D06">
                  <w:pPr>
                    <w:jc w:val="right"/>
                    <w:rPr>
                      <w:sz w:val="20"/>
                      <w:szCs w:val="20"/>
                    </w:rPr>
                  </w:pPr>
                  <w:r>
                    <w:rPr>
                      <w:sz w:val="20"/>
                      <w:szCs w:val="20"/>
                    </w:rPr>
                    <w:t>0</w:t>
                  </w:r>
                </w:p>
              </w:tc>
              <w:tc>
                <w:tcPr>
                  <w:tcW w:w="1086" w:type="dxa"/>
                  <w:tcBorders>
                    <w:top w:val="nil"/>
                    <w:left w:val="single" w:sz="8" w:space="0" w:color="365F91" w:themeColor="accent1" w:themeShade="BF"/>
                    <w:bottom w:val="single" w:sz="8" w:space="0" w:color="2E74B5"/>
                    <w:right w:val="single" w:sz="8" w:space="0" w:color="2E74B5"/>
                  </w:tcBorders>
                  <w:vAlign w:val="center"/>
                </w:tcPr>
                <w:p w14:paraId="57ED7B22" w14:textId="77777777" w:rsidR="00766D06" w:rsidRPr="000F0704" w:rsidRDefault="00766D06" w:rsidP="00766D06">
                  <w:pPr>
                    <w:jc w:val="right"/>
                    <w:rPr>
                      <w:sz w:val="20"/>
                      <w:szCs w:val="20"/>
                    </w:rPr>
                  </w:pPr>
                  <w:r>
                    <w:rPr>
                      <w:sz w:val="20"/>
                      <w:szCs w:val="20"/>
                    </w:rPr>
                    <w:t>0</w:t>
                  </w:r>
                </w:p>
              </w:tc>
              <w:tc>
                <w:tcPr>
                  <w:tcW w:w="1087" w:type="dxa"/>
                  <w:tcBorders>
                    <w:top w:val="nil"/>
                    <w:left w:val="single" w:sz="8" w:space="0" w:color="365F91" w:themeColor="accent1" w:themeShade="BF"/>
                    <w:bottom w:val="single" w:sz="8" w:space="0" w:color="2E74B5"/>
                    <w:right w:val="single" w:sz="8" w:space="0" w:color="365F91" w:themeColor="accent1" w:themeShade="BF"/>
                  </w:tcBorders>
                  <w:vAlign w:val="center"/>
                </w:tcPr>
                <w:p w14:paraId="4C99ACE1" w14:textId="77777777" w:rsidR="00766D06" w:rsidRPr="000F0704" w:rsidRDefault="00766D06" w:rsidP="00766D06">
                  <w:pPr>
                    <w:jc w:val="right"/>
                    <w:rPr>
                      <w:sz w:val="20"/>
                      <w:szCs w:val="20"/>
                    </w:rPr>
                  </w:pPr>
                  <w:r w:rsidRPr="000F0704">
                    <w:rPr>
                      <w:sz w:val="20"/>
                      <w:szCs w:val="20"/>
                    </w:rPr>
                    <w:t>2,412</w:t>
                  </w:r>
                </w:p>
              </w:tc>
              <w:tc>
                <w:tcPr>
                  <w:tcW w:w="2401" w:type="dxa"/>
                  <w:tcBorders>
                    <w:top w:val="nil"/>
                    <w:left w:val="single" w:sz="8" w:space="0" w:color="365F91" w:themeColor="accent1" w:themeShade="BF"/>
                    <w:bottom w:val="single" w:sz="8" w:space="0" w:color="2E74B5"/>
                    <w:right w:val="single" w:sz="8" w:space="0" w:color="365F91" w:themeColor="accent1" w:themeShade="BF"/>
                  </w:tcBorders>
                  <w:vAlign w:val="center"/>
                </w:tcPr>
                <w:p w14:paraId="489119A0" w14:textId="5F7DF847" w:rsidR="00766D06" w:rsidRPr="000F0704" w:rsidRDefault="00766D06" w:rsidP="00766D06">
                  <w:pPr>
                    <w:jc w:val="center"/>
                    <w:rPr>
                      <w:sz w:val="20"/>
                      <w:szCs w:val="20"/>
                    </w:rPr>
                  </w:pPr>
                  <w:r>
                    <w:rPr>
                      <w:sz w:val="20"/>
                      <w:szCs w:val="20"/>
                    </w:rPr>
                    <w:t>Commissioners</w:t>
                  </w:r>
                </w:p>
              </w:tc>
            </w:tr>
            <w:tr w:rsidR="00766D06" w:rsidRPr="00005353" w14:paraId="44E5AE20" w14:textId="0190F8C7" w:rsidTr="00766D06">
              <w:trPr>
                <w:trHeight w:val="284"/>
              </w:trPr>
              <w:tc>
                <w:tcPr>
                  <w:tcW w:w="3686" w:type="dxa"/>
                  <w:shd w:val="clear" w:color="auto" w:fill="DBE5F1" w:themeFill="accent1" w:themeFillTint="33"/>
                  <w:vAlign w:val="center"/>
                </w:tcPr>
                <w:p w14:paraId="51ECD04A" w14:textId="77777777" w:rsidR="00766D06" w:rsidRPr="000F0704" w:rsidRDefault="00766D06" w:rsidP="00766D06">
                  <w:pPr>
                    <w:rPr>
                      <w:b/>
                      <w:sz w:val="20"/>
                      <w:szCs w:val="20"/>
                    </w:rPr>
                  </w:pPr>
                  <w:r w:rsidRPr="000F0704">
                    <w:rPr>
                      <w:b/>
                      <w:sz w:val="20"/>
                      <w:szCs w:val="20"/>
                    </w:rPr>
                    <w:t>Total Non-Recurring Revenue Costs</w:t>
                  </w:r>
                </w:p>
              </w:tc>
              <w:tc>
                <w:tcPr>
                  <w:tcW w:w="1086" w:type="dxa"/>
                  <w:tcBorders>
                    <w:top w:val="nil"/>
                    <w:left w:val="single" w:sz="8" w:space="0" w:color="365F91" w:themeColor="accent1" w:themeShade="BF"/>
                    <w:bottom w:val="single" w:sz="8" w:space="0" w:color="2E74B5"/>
                    <w:right w:val="single" w:sz="8" w:space="0" w:color="2E74B5"/>
                  </w:tcBorders>
                  <w:shd w:val="clear" w:color="auto" w:fill="F2F2F2" w:themeFill="background1" w:themeFillShade="F2"/>
                  <w:vAlign w:val="center"/>
                </w:tcPr>
                <w:p w14:paraId="04FF8931" w14:textId="77777777" w:rsidR="00766D06" w:rsidRPr="000F0704" w:rsidRDefault="00766D06" w:rsidP="00766D06">
                  <w:pPr>
                    <w:jc w:val="right"/>
                    <w:rPr>
                      <w:b/>
                      <w:sz w:val="20"/>
                      <w:szCs w:val="20"/>
                    </w:rPr>
                  </w:pPr>
                  <w:r w:rsidRPr="000F0704">
                    <w:rPr>
                      <w:b/>
                      <w:sz w:val="20"/>
                      <w:szCs w:val="20"/>
                    </w:rPr>
                    <w:t>10,479</w:t>
                  </w:r>
                </w:p>
              </w:tc>
              <w:tc>
                <w:tcPr>
                  <w:tcW w:w="1086" w:type="dxa"/>
                  <w:tcBorders>
                    <w:top w:val="nil"/>
                    <w:left w:val="single" w:sz="8" w:space="0" w:color="365F91" w:themeColor="accent1" w:themeShade="BF"/>
                    <w:bottom w:val="single" w:sz="8" w:space="0" w:color="2E74B5"/>
                    <w:right w:val="single" w:sz="8" w:space="0" w:color="2E74B5"/>
                  </w:tcBorders>
                  <w:shd w:val="clear" w:color="auto" w:fill="F2F2F2" w:themeFill="background1" w:themeFillShade="F2"/>
                  <w:vAlign w:val="center"/>
                </w:tcPr>
                <w:p w14:paraId="5A3EDC44" w14:textId="77777777" w:rsidR="00766D06" w:rsidRPr="000F0704" w:rsidRDefault="00766D06" w:rsidP="00766D06">
                  <w:pPr>
                    <w:jc w:val="right"/>
                    <w:rPr>
                      <w:b/>
                      <w:sz w:val="20"/>
                      <w:szCs w:val="20"/>
                    </w:rPr>
                  </w:pPr>
                  <w:r w:rsidRPr="000F0704">
                    <w:rPr>
                      <w:b/>
                      <w:sz w:val="20"/>
                      <w:szCs w:val="20"/>
                    </w:rPr>
                    <w:t>10,479</w:t>
                  </w:r>
                </w:p>
              </w:tc>
              <w:tc>
                <w:tcPr>
                  <w:tcW w:w="1087" w:type="dxa"/>
                  <w:tcBorders>
                    <w:top w:val="nil"/>
                    <w:left w:val="single" w:sz="8" w:space="0" w:color="365F91" w:themeColor="accent1" w:themeShade="BF"/>
                    <w:bottom w:val="single" w:sz="8" w:space="0" w:color="2E74B5"/>
                    <w:right w:val="single" w:sz="8" w:space="0" w:color="365F91" w:themeColor="accent1" w:themeShade="BF"/>
                  </w:tcBorders>
                  <w:shd w:val="clear" w:color="auto" w:fill="F2F2F2" w:themeFill="background1" w:themeFillShade="F2"/>
                  <w:vAlign w:val="center"/>
                </w:tcPr>
                <w:p w14:paraId="3894F0C6" w14:textId="77777777" w:rsidR="00766D06" w:rsidRPr="000F0704" w:rsidRDefault="00766D06" w:rsidP="00766D06">
                  <w:pPr>
                    <w:jc w:val="right"/>
                    <w:rPr>
                      <w:b/>
                      <w:sz w:val="20"/>
                      <w:szCs w:val="20"/>
                    </w:rPr>
                  </w:pPr>
                  <w:r w:rsidRPr="000F0704">
                    <w:rPr>
                      <w:b/>
                      <w:sz w:val="20"/>
                      <w:szCs w:val="20"/>
                    </w:rPr>
                    <w:t>12,891</w:t>
                  </w:r>
                </w:p>
              </w:tc>
              <w:tc>
                <w:tcPr>
                  <w:tcW w:w="2401" w:type="dxa"/>
                  <w:tcBorders>
                    <w:top w:val="nil"/>
                    <w:left w:val="single" w:sz="8" w:space="0" w:color="365F91" w:themeColor="accent1" w:themeShade="BF"/>
                    <w:bottom w:val="single" w:sz="8" w:space="0" w:color="2E74B5"/>
                    <w:right w:val="single" w:sz="8" w:space="0" w:color="365F91" w:themeColor="accent1" w:themeShade="BF"/>
                  </w:tcBorders>
                  <w:shd w:val="clear" w:color="auto" w:fill="F2F2F2" w:themeFill="background1" w:themeFillShade="F2"/>
                  <w:vAlign w:val="center"/>
                </w:tcPr>
                <w:p w14:paraId="31A4A21E" w14:textId="77777777" w:rsidR="00766D06" w:rsidRPr="000F0704" w:rsidRDefault="00766D06" w:rsidP="00766D06">
                  <w:pPr>
                    <w:jc w:val="center"/>
                    <w:rPr>
                      <w:b/>
                      <w:sz w:val="20"/>
                      <w:szCs w:val="20"/>
                    </w:rPr>
                  </w:pPr>
                </w:p>
              </w:tc>
            </w:tr>
          </w:tbl>
          <w:p w14:paraId="3A55E56E" w14:textId="77777777" w:rsidR="00766D06" w:rsidRDefault="00766D06" w:rsidP="00766D06">
            <w:pPr>
              <w:rPr>
                <w:i/>
              </w:rPr>
            </w:pPr>
          </w:p>
          <w:p w14:paraId="0C4F84B5" w14:textId="77777777" w:rsidR="00766D06" w:rsidRDefault="00766D06" w:rsidP="00766D06">
            <w:pPr>
              <w:rPr>
                <w:i/>
              </w:rPr>
            </w:pPr>
          </w:p>
          <w:p w14:paraId="61A2BBC4" w14:textId="77777777" w:rsidR="00766D06" w:rsidRDefault="00766D06" w:rsidP="00766D06">
            <w:pPr>
              <w:rPr>
                <w:i/>
              </w:rPr>
            </w:pPr>
          </w:p>
          <w:p w14:paraId="3B0A27E5" w14:textId="77777777" w:rsidR="00766D06" w:rsidRDefault="00766D06" w:rsidP="00766D06">
            <w:pPr>
              <w:rPr>
                <w:i/>
              </w:rPr>
            </w:pPr>
          </w:p>
          <w:p w14:paraId="0FA93FEE" w14:textId="77777777" w:rsidR="00766D06" w:rsidRDefault="00766D06" w:rsidP="00766D06">
            <w:pPr>
              <w:rPr>
                <w:i/>
              </w:rPr>
            </w:pPr>
          </w:p>
          <w:p w14:paraId="6B0648BA" w14:textId="77777777" w:rsidR="00766D06" w:rsidRDefault="00766D06" w:rsidP="00766D06">
            <w:pPr>
              <w:rPr>
                <w:i/>
              </w:rPr>
            </w:pPr>
          </w:p>
          <w:p w14:paraId="6B20FB68" w14:textId="77777777" w:rsidR="00766D06" w:rsidRPr="0002703C" w:rsidRDefault="00766D06" w:rsidP="00766D06">
            <w:pPr>
              <w:ind w:left="1440" w:hanging="567"/>
              <w:rPr>
                <w:rFonts w:cs="Arial"/>
                <w:i/>
                <w:sz w:val="18"/>
                <w:szCs w:val="18"/>
              </w:rPr>
            </w:pPr>
            <w:r w:rsidRPr="0002703C">
              <w:rPr>
                <w:rFonts w:cs="Arial"/>
                <w:i/>
                <w:sz w:val="18"/>
                <w:szCs w:val="18"/>
              </w:rPr>
              <w:t>Note: All costs are based on 2022-23 price levels.</w:t>
            </w:r>
          </w:p>
          <w:p w14:paraId="59843668" w14:textId="77777777" w:rsidR="00D361A7" w:rsidRPr="00C23F61" w:rsidRDefault="00D361A7" w:rsidP="00D361A7">
            <w:pPr>
              <w:pStyle w:val="ListParagraph"/>
              <w:ind w:left="851"/>
              <w:rPr>
                <w:rFonts w:cs="Arial"/>
                <w:i/>
                <w:sz w:val="18"/>
                <w:szCs w:val="18"/>
              </w:rPr>
            </w:pPr>
          </w:p>
          <w:p w14:paraId="7DAC7C0D" w14:textId="6AAF8650" w:rsidR="00E0706D" w:rsidRDefault="00F72C43" w:rsidP="00711601">
            <w:pPr>
              <w:rPr>
                <w:rFonts w:asciiTheme="majorHAnsi" w:hAnsiTheme="majorHAnsi" w:cstheme="majorHAnsi"/>
              </w:rPr>
            </w:pPr>
            <w:r>
              <w:rPr>
                <w:rFonts w:asciiTheme="majorHAnsi" w:hAnsiTheme="majorHAnsi" w:cstheme="majorHAnsi"/>
              </w:rPr>
              <w:t xml:space="preserve">It can be argued that the scheme offers the right solution to the issue of resolving the current substandard accommodation and contribute to improving cancer outcomes for our population. Doing nothing is not an option as facilities will continue to deteriorate. The majority of the business case is the capital funding via the MIM model which will be funded by the treasury and not top sliced from </w:t>
            </w:r>
            <w:r>
              <w:rPr>
                <w:rFonts w:asciiTheme="majorHAnsi" w:hAnsiTheme="majorHAnsi" w:cstheme="majorHAnsi"/>
              </w:rPr>
              <w:lastRenderedPageBreak/>
              <w:t xml:space="preserve">the Department of Health and Social Services capital budget. </w:t>
            </w:r>
            <w:r w:rsidR="00E0706D">
              <w:rPr>
                <w:rFonts w:asciiTheme="majorHAnsi" w:hAnsiTheme="majorHAnsi" w:cstheme="majorHAnsi"/>
              </w:rPr>
              <w:t xml:space="preserve">Arguably, because of the funding source, the opportunity cost would not be like for like in terms of the health estate and an alternative MIM funding pilot may be sought from elsewhere in the public sector. There is not currently an All Wales framework for capital funding, so it would be difficult to identify prioritisation of other health schemes. </w:t>
            </w:r>
            <w:r w:rsidR="00D55E30">
              <w:rPr>
                <w:rFonts w:asciiTheme="majorHAnsi" w:hAnsiTheme="majorHAnsi" w:cstheme="majorHAnsi"/>
              </w:rPr>
              <w:t xml:space="preserve">It is for Welsh Government to consider the overall value for money in light of the entire business case and the agreed funding model. </w:t>
            </w:r>
          </w:p>
          <w:p w14:paraId="304FB2BD" w14:textId="77777777" w:rsidR="00E0706D" w:rsidRDefault="00E0706D" w:rsidP="00711601">
            <w:pPr>
              <w:rPr>
                <w:rFonts w:asciiTheme="majorHAnsi" w:hAnsiTheme="majorHAnsi" w:cstheme="majorHAnsi"/>
              </w:rPr>
            </w:pPr>
          </w:p>
          <w:p w14:paraId="1ABEED9D" w14:textId="1A561377" w:rsidR="00D361A7" w:rsidRDefault="00F72C43" w:rsidP="00711601">
            <w:pPr>
              <w:rPr>
                <w:rFonts w:asciiTheme="majorHAnsi" w:hAnsiTheme="majorHAnsi" w:cstheme="majorHAnsi"/>
              </w:rPr>
            </w:pPr>
            <w:r>
              <w:rPr>
                <w:rFonts w:asciiTheme="majorHAnsi" w:hAnsiTheme="majorHAnsi" w:cstheme="majorHAnsi"/>
              </w:rPr>
              <w:t xml:space="preserve">The revenue case has been scrutinised </w:t>
            </w:r>
            <w:r w:rsidR="00E0706D">
              <w:rPr>
                <w:rFonts w:asciiTheme="majorHAnsi" w:hAnsiTheme="majorHAnsi" w:cstheme="majorHAnsi"/>
              </w:rPr>
              <w:t xml:space="preserve">and is reasonable in line with benchmarking information, but consideration needs to be given as to whether members would want to seek assurance from Welsh Government on the funding of the excluded elements, i.e. the cost of net zero and digital investment and also whether the insurance costs and the contract management costs should be taken into the MIM model as they relate to the fabric of the building and the minimisation of the annual service payment respectively. Assurance from Welsh Government on the prioritisation of Health and Social Services capital to cover the equipment costs could also be sought. </w:t>
            </w:r>
          </w:p>
          <w:p w14:paraId="68574DA6" w14:textId="77777777" w:rsidR="00F72C43" w:rsidRDefault="00F72C43" w:rsidP="00711601">
            <w:pPr>
              <w:rPr>
                <w:rFonts w:asciiTheme="majorHAnsi" w:hAnsiTheme="majorHAnsi" w:cstheme="majorHAnsi"/>
              </w:rPr>
            </w:pPr>
          </w:p>
          <w:p w14:paraId="050A353F" w14:textId="144EF957" w:rsidR="00B43C9C" w:rsidRDefault="00E0706D" w:rsidP="00B43C9C">
            <w:pPr>
              <w:rPr>
                <w:rFonts w:asciiTheme="majorHAnsi" w:hAnsiTheme="majorHAnsi" w:cstheme="majorHAnsi"/>
              </w:rPr>
            </w:pPr>
            <w:r>
              <w:rPr>
                <w:rFonts w:asciiTheme="majorHAnsi" w:hAnsiTheme="majorHAnsi" w:cstheme="majorHAnsi"/>
              </w:rPr>
              <w:t>From an affordability perspective, w</w:t>
            </w:r>
            <w:r w:rsidR="008608CF">
              <w:rPr>
                <w:rFonts w:asciiTheme="majorHAnsi" w:hAnsiTheme="majorHAnsi" w:cstheme="majorHAnsi"/>
              </w:rPr>
              <w:t xml:space="preserve">hile recognising that the FBC for the </w:t>
            </w:r>
            <w:proofErr w:type="spellStart"/>
            <w:r w:rsidR="008608CF">
              <w:rPr>
                <w:rFonts w:asciiTheme="majorHAnsi" w:hAnsiTheme="majorHAnsi" w:cstheme="majorHAnsi"/>
              </w:rPr>
              <w:t>nVCC</w:t>
            </w:r>
            <w:proofErr w:type="spellEnd"/>
            <w:r w:rsidR="008608CF">
              <w:rPr>
                <w:rFonts w:asciiTheme="majorHAnsi" w:hAnsiTheme="majorHAnsi" w:cstheme="majorHAnsi"/>
              </w:rPr>
              <w:t xml:space="preserve"> has been scrutinised by commissioning health boards and the case is clearly articulated and well understood</w:t>
            </w:r>
            <w:r w:rsidR="00F72C43">
              <w:rPr>
                <w:rFonts w:asciiTheme="majorHAnsi" w:hAnsiTheme="majorHAnsi" w:cstheme="majorHAnsi"/>
              </w:rPr>
              <w:t xml:space="preserve"> with clear qualitative benefits</w:t>
            </w:r>
            <w:r w:rsidR="008608CF">
              <w:rPr>
                <w:rFonts w:asciiTheme="majorHAnsi" w:hAnsiTheme="majorHAnsi" w:cstheme="majorHAnsi"/>
              </w:rPr>
              <w:t xml:space="preserve">, the health context and financial environment has changed since the OBC was approved in March 2018. CAVUHB needs to consider the </w:t>
            </w:r>
            <w:r>
              <w:rPr>
                <w:rFonts w:asciiTheme="majorHAnsi" w:hAnsiTheme="majorHAnsi" w:cstheme="majorHAnsi"/>
              </w:rPr>
              <w:t xml:space="preserve">overall </w:t>
            </w:r>
            <w:r w:rsidR="008608CF">
              <w:rPr>
                <w:rFonts w:asciiTheme="majorHAnsi" w:hAnsiTheme="majorHAnsi" w:cstheme="majorHAnsi"/>
              </w:rPr>
              <w:t xml:space="preserve">affordability of the case </w:t>
            </w:r>
            <w:r>
              <w:rPr>
                <w:rFonts w:asciiTheme="majorHAnsi" w:hAnsiTheme="majorHAnsi" w:cstheme="majorHAnsi"/>
              </w:rPr>
              <w:t>balanced with other current priorities. G</w:t>
            </w:r>
            <w:r w:rsidR="008608CF">
              <w:rPr>
                <w:rFonts w:asciiTheme="majorHAnsi" w:hAnsiTheme="majorHAnsi" w:cstheme="majorHAnsi"/>
              </w:rPr>
              <w:t xml:space="preserve">iven that the intention has been signalled </w:t>
            </w:r>
            <w:r>
              <w:rPr>
                <w:rFonts w:asciiTheme="majorHAnsi" w:hAnsiTheme="majorHAnsi" w:cstheme="majorHAnsi"/>
              </w:rPr>
              <w:t xml:space="preserve">for CAVUHB </w:t>
            </w:r>
            <w:r w:rsidR="008608CF">
              <w:rPr>
                <w:rFonts w:asciiTheme="majorHAnsi" w:hAnsiTheme="majorHAnsi" w:cstheme="majorHAnsi"/>
              </w:rPr>
              <w:t xml:space="preserve">to submit an annual plan for 2023-2024, consideration </w:t>
            </w:r>
            <w:r>
              <w:rPr>
                <w:rFonts w:asciiTheme="majorHAnsi" w:hAnsiTheme="majorHAnsi" w:cstheme="majorHAnsi"/>
              </w:rPr>
              <w:t>needs to be made as to how</w:t>
            </w:r>
            <w:r w:rsidR="008608CF">
              <w:rPr>
                <w:rFonts w:asciiTheme="majorHAnsi" w:hAnsiTheme="majorHAnsi" w:cstheme="majorHAnsi"/>
              </w:rPr>
              <w:t xml:space="preserve"> future financial allocations will facilitate this investment in line with future prioritisation</w:t>
            </w:r>
            <w:r w:rsidR="00D55E30">
              <w:rPr>
                <w:rFonts w:asciiTheme="majorHAnsi" w:hAnsiTheme="majorHAnsi" w:cstheme="majorHAnsi"/>
              </w:rPr>
              <w:t xml:space="preserve"> as an overspend could not be approved in the current context. </w:t>
            </w:r>
            <w:r w:rsidR="008608CF">
              <w:rPr>
                <w:rFonts w:asciiTheme="majorHAnsi" w:hAnsiTheme="majorHAnsi" w:cstheme="majorHAnsi"/>
              </w:rPr>
              <w:t xml:space="preserve">  </w:t>
            </w:r>
          </w:p>
          <w:p w14:paraId="45F3DE52" w14:textId="29AE6B7D" w:rsidR="008608CF" w:rsidRPr="00FE2E48" w:rsidRDefault="008608CF" w:rsidP="00B43C9C">
            <w:pPr>
              <w:rPr>
                <w:rFonts w:asciiTheme="majorHAnsi" w:hAnsiTheme="majorHAnsi" w:cstheme="majorHAnsi"/>
              </w:rPr>
            </w:pPr>
          </w:p>
        </w:tc>
      </w:tr>
      <w:tr w:rsidR="007E60AD" w:rsidRPr="007E60AD" w14:paraId="2221E58F"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4559D3DF" w14:textId="77777777" w:rsidR="008354DE" w:rsidRPr="00832191" w:rsidRDefault="008354DE" w:rsidP="008354DE">
            <w:pPr>
              <w:rPr>
                <w:rFonts w:asciiTheme="majorHAnsi" w:hAnsiTheme="majorHAnsi" w:cstheme="majorHAnsi"/>
                <w:b/>
              </w:rPr>
            </w:pPr>
            <w:r w:rsidRPr="00832191">
              <w:rPr>
                <w:rFonts w:asciiTheme="majorHAnsi" w:eastAsia="Times New Roman" w:hAnsiTheme="majorHAnsi" w:cstheme="majorHAnsi"/>
                <w:b/>
                <w:bCs/>
                <w:color w:val="FFFFFF" w:themeColor="background1"/>
              </w:rPr>
              <w:lastRenderedPageBreak/>
              <w:t>Recommendation:</w:t>
            </w:r>
          </w:p>
        </w:tc>
      </w:tr>
      <w:tr w:rsidR="00007C1B" w:rsidRPr="00CA27BC" w14:paraId="4876D630" w14:textId="77777777"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97066BC" w14:textId="77777777" w:rsidR="00E011A2" w:rsidRPr="00CA27BC" w:rsidRDefault="00E011A2" w:rsidP="00F852D9">
            <w:pPr>
              <w:rPr>
                <w:rFonts w:asciiTheme="majorHAnsi" w:eastAsia="Times New Roman" w:hAnsiTheme="majorHAnsi" w:cstheme="majorHAnsi"/>
                <w:b/>
                <w:bCs/>
              </w:rPr>
            </w:pPr>
          </w:p>
          <w:p w14:paraId="3821EE39" w14:textId="5CDCF8DA"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 xml:space="preserve">The </w:t>
            </w:r>
            <w:r w:rsidR="00B1599E">
              <w:rPr>
                <w:rFonts w:asciiTheme="majorHAnsi" w:eastAsia="Times New Roman" w:hAnsiTheme="majorHAnsi" w:cstheme="majorHAnsi"/>
                <w:bCs/>
                <w:color w:val="244061" w:themeColor="accent1" w:themeShade="80"/>
              </w:rPr>
              <w:t>Board</w:t>
            </w:r>
            <w:r w:rsidR="00CA27BC" w:rsidRPr="002A6641">
              <w:rPr>
                <w:rFonts w:asciiTheme="majorHAnsi" w:eastAsia="Times New Roman" w:hAnsiTheme="majorHAnsi" w:cstheme="majorHAnsi"/>
                <w:bCs/>
                <w:color w:val="244061" w:themeColor="accent1" w:themeShade="80"/>
              </w:rPr>
              <w:t xml:space="preserve"> </w:t>
            </w:r>
            <w:r w:rsidR="0018509C">
              <w:rPr>
                <w:rFonts w:asciiTheme="majorHAnsi" w:eastAsia="Times New Roman" w:hAnsiTheme="majorHAnsi" w:cstheme="majorHAnsi"/>
                <w:bCs/>
                <w:color w:val="244061" w:themeColor="accent1" w:themeShade="80"/>
              </w:rPr>
              <w:t>is</w:t>
            </w:r>
            <w:r w:rsidR="00CA27BC" w:rsidRPr="002A6641">
              <w:rPr>
                <w:rFonts w:asciiTheme="majorHAnsi" w:eastAsia="Times New Roman" w:hAnsiTheme="majorHAnsi" w:cstheme="majorHAnsi"/>
                <w:bCs/>
                <w:color w:val="244061" w:themeColor="accent1" w:themeShade="80"/>
              </w:rPr>
              <w:t xml:space="preserve"> requested to:</w:t>
            </w:r>
          </w:p>
          <w:p w14:paraId="08BCD5D4" w14:textId="77777777" w:rsidR="00832191" w:rsidRDefault="00832191" w:rsidP="006B4F52">
            <w:pPr>
              <w:rPr>
                <w:rFonts w:asciiTheme="majorHAnsi" w:eastAsia="Times New Roman" w:hAnsiTheme="majorHAnsi" w:cstheme="majorHAnsi"/>
                <w:bCs/>
                <w:color w:val="244061" w:themeColor="accent1" w:themeShade="80"/>
              </w:rPr>
            </w:pPr>
          </w:p>
          <w:p w14:paraId="4F63E6AE" w14:textId="2F1C9CDB" w:rsidR="00832191" w:rsidRDefault="001830BA" w:rsidP="00766D06">
            <w:pPr>
              <w:pStyle w:val="ListParagraph"/>
              <w:numPr>
                <w:ilvl w:val="0"/>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 xml:space="preserve">Consider the additional revenue consequences of the </w:t>
            </w:r>
            <w:proofErr w:type="spellStart"/>
            <w:r>
              <w:rPr>
                <w:rFonts w:asciiTheme="majorHAnsi" w:hAnsiTheme="majorHAnsi" w:cstheme="majorHAnsi"/>
                <w:bCs/>
                <w:color w:val="244061" w:themeColor="accent1" w:themeShade="80"/>
              </w:rPr>
              <w:t>nVCC</w:t>
            </w:r>
            <w:proofErr w:type="spellEnd"/>
          </w:p>
          <w:p w14:paraId="2E8F6E77" w14:textId="0E0EE125" w:rsidR="002110DB" w:rsidRPr="00CF12D4" w:rsidRDefault="00832191" w:rsidP="00CF12D4">
            <w:pPr>
              <w:pStyle w:val="ListParagraph"/>
              <w:numPr>
                <w:ilvl w:val="0"/>
                <w:numId w:val="8"/>
              </w:numPr>
              <w:rPr>
                <w:rFonts w:asciiTheme="majorHAnsi" w:hAnsiTheme="majorHAnsi" w:cstheme="majorHAnsi"/>
                <w:bCs/>
                <w:color w:val="244061" w:themeColor="accent1" w:themeShade="80"/>
              </w:rPr>
            </w:pPr>
            <w:r w:rsidRPr="00B73D8E">
              <w:rPr>
                <w:rFonts w:asciiTheme="majorHAnsi" w:hAnsiTheme="majorHAnsi" w:cstheme="majorHAnsi"/>
                <w:bCs/>
                <w:color w:val="244061" w:themeColor="accent1" w:themeShade="80"/>
              </w:rPr>
              <w:t>Consider the patient benefits of a new cancer centre</w:t>
            </w:r>
          </w:p>
          <w:p w14:paraId="43D93B83" w14:textId="7C6DAB55" w:rsidR="00B43C9C" w:rsidRDefault="00B1599E" w:rsidP="00766D06">
            <w:pPr>
              <w:pStyle w:val="ListParagraph"/>
              <w:numPr>
                <w:ilvl w:val="0"/>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Consider and approve</w:t>
            </w:r>
            <w:r w:rsidR="00B43C9C">
              <w:rPr>
                <w:rFonts w:asciiTheme="majorHAnsi" w:hAnsiTheme="majorHAnsi" w:cstheme="majorHAnsi"/>
                <w:bCs/>
                <w:color w:val="244061" w:themeColor="accent1" w:themeShade="80"/>
              </w:rPr>
              <w:t xml:space="preserve"> the </w:t>
            </w:r>
            <w:proofErr w:type="spellStart"/>
            <w:r w:rsidR="00B43C9C">
              <w:rPr>
                <w:rFonts w:asciiTheme="majorHAnsi" w:hAnsiTheme="majorHAnsi" w:cstheme="majorHAnsi"/>
                <w:bCs/>
                <w:color w:val="244061" w:themeColor="accent1" w:themeShade="80"/>
              </w:rPr>
              <w:t>nVCC</w:t>
            </w:r>
            <w:proofErr w:type="spellEnd"/>
            <w:r w:rsidR="00B43C9C">
              <w:rPr>
                <w:rFonts w:asciiTheme="majorHAnsi" w:hAnsiTheme="majorHAnsi" w:cstheme="majorHAnsi"/>
                <w:bCs/>
                <w:color w:val="244061" w:themeColor="accent1" w:themeShade="80"/>
              </w:rPr>
              <w:t xml:space="preserve"> Full Business Case, subject to:</w:t>
            </w:r>
          </w:p>
          <w:p w14:paraId="79BEFC67" w14:textId="2DF4EFBC" w:rsidR="00B43C9C" w:rsidRDefault="00B43C9C" w:rsidP="00B43C9C">
            <w:pPr>
              <w:pStyle w:val="ListParagraph"/>
              <w:numPr>
                <w:ilvl w:val="1"/>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Confirmation of the alternative funding sources for the cost of net zero and the digital transformation</w:t>
            </w:r>
          </w:p>
          <w:p w14:paraId="289DBC11" w14:textId="3E79C601" w:rsidR="00B43C9C" w:rsidRDefault="00B43C9C" w:rsidP="00B43C9C">
            <w:pPr>
              <w:pStyle w:val="ListParagraph"/>
              <w:numPr>
                <w:ilvl w:val="1"/>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Clarification on the rationale for the inclusion of the contract management costs in the revenue case, rather than as an offset for the Annual Service Payment as part of the capital case.</w:t>
            </w:r>
          </w:p>
          <w:p w14:paraId="60ADD746" w14:textId="27C4951A" w:rsidR="00483D67" w:rsidRDefault="00483D67" w:rsidP="00B43C9C">
            <w:pPr>
              <w:pStyle w:val="ListParagraph"/>
              <w:numPr>
                <w:ilvl w:val="1"/>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 xml:space="preserve">Assurance from Welsh Government that Health and Social Services capital will be prioritised to cover the equipment costs. </w:t>
            </w:r>
          </w:p>
          <w:p w14:paraId="3B98C11D" w14:textId="5EA5E006" w:rsidR="00483D67" w:rsidRDefault="00483D67" w:rsidP="00B43C9C">
            <w:pPr>
              <w:pStyle w:val="ListParagraph"/>
              <w:numPr>
                <w:ilvl w:val="1"/>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 xml:space="preserve">Recognition that CAVUHB </w:t>
            </w:r>
            <w:r w:rsidR="00566DCD">
              <w:rPr>
                <w:rFonts w:asciiTheme="majorHAnsi" w:hAnsiTheme="majorHAnsi" w:cstheme="majorHAnsi"/>
                <w:bCs/>
                <w:color w:val="244061" w:themeColor="accent1" w:themeShade="80"/>
              </w:rPr>
              <w:t>is not in f</w:t>
            </w:r>
            <w:r>
              <w:rPr>
                <w:rFonts w:asciiTheme="majorHAnsi" w:hAnsiTheme="majorHAnsi" w:cstheme="majorHAnsi"/>
                <w:bCs/>
                <w:color w:val="244061" w:themeColor="accent1" w:themeShade="80"/>
              </w:rPr>
              <w:t>inancial balance</w:t>
            </w:r>
            <w:r w:rsidR="00566DCD">
              <w:rPr>
                <w:rFonts w:asciiTheme="majorHAnsi" w:hAnsiTheme="majorHAnsi" w:cstheme="majorHAnsi"/>
                <w:bCs/>
                <w:color w:val="244061" w:themeColor="accent1" w:themeShade="80"/>
              </w:rPr>
              <w:t xml:space="preserve">, so the </w:t>
            </w:r>
            <w:r>
              <w:rPr>
                <w:rFonts w:asciiTheme="majorHAnsi" w:hAnsiTheme="majorHAnsi" w:cstheme="majorHAnsi"/>
                <w:bCs/>
                <w:color w:val="244061" w:themeColor="accent1" w:themeShade="80"/>
              </w:rPr>
              <w:t xml:space="preserve">revenue costs </w:t>
            </w:r>
            <w:r w:rsidR="00566DCD">
              <w:rPr>
                <w:rFonts w:asciiTheme="majorHAnsi" w:hAnsiTheme="majorHAnsi" w:cstheme="majorHAnsi"/>
                <w:bCs/>
                <w:color w:val="244061" w:themeColor="accent1" w:themeShade="80"/>
              </w:rPr>
              <w:t xml:space="preserve">would increase the deficit, unless fully funded by Welsh Government. </w:t>
            </w:r>
          </w:p>
          <w:p w14:paraId="5F2C9B2A" w14:textId="64954C9F" w:rsidR="00CA27BC" w:rsidRDefault="009C1513" w:rsidP="00CF12D4">
            <w:pPr>
              <w:pStyle w:val="ListParagraph"/>
              <w:numPr>
                <w:ilvl w:val="1"/>
                <w:numId w:val="8"/>
              </w:numPr>
              <w:rPr>
                <w:rFonts w:asciiTheme="majorHAnsi" w:hAnsiTheme="majorHAnsi" w:cstheme="majorHAnsi"/>
                <w:bCs/>
                <w:color w:val="244061" w:themeColor="accent1" w:themeShade="80"/>
              </w:rPr>
            </w:pPr>
            <w:r>
              <w:rPr>
                <w:rFonts w:asciiTheme="majorHAnsi" w:hAnsiTheme="majorHAnsi" w:cstheme="majorHAnsi"/>
                <w:bCs/>
                <w:color w:val="244061" w:themeColor="accent1" w:themeShade="80"/>
              </w:rPr>
              <w:t xml:space="preserve">Progression of agreement for shared use of the facilities and delivery of CAVUHB services at </w:t>
            </w:r>
            <w:proofErr w:type="spellStart"/>
            <w:r>
              <w:rPr>
                <w:rFonts w:asciiTheme="majorHAnsi" w:hAnsiTheme="majorHAnsi" w:cstheme="majorHAnsi"/>
                <w:bCs/>
                <w:color w:val="244061" w:themeColor="accent1" w:themeShade="80"/>
              </w:rPr>
              <w:t>nVCC</w:t>
            </w:r>
            <w:proofErr w:type="spellEnd"/>
            <w:r>
              <w:rPr>
                <w:rFonts w:asciiTheme="majorHAnsi" w:hAnsiTheme="majorHAnsi" w:cstheme="majorHAnsi"/>
                <w:bCs/>
                <w:color w:val="244061" w:themeColor="accent1" w:themeShade="80"/>
              </w:rPr>
              <w:t xml:space="preserve"> to further research and innovation and improve patient pathways</w:t>
            </w:r>
            <w:r w:rsidR="00566DCD">
              <w:rPr>
                <w:rFonts w:asciiTheme="majorHAnsi" w:hAnsiTheme="majorHAnsi" w:cstheme="majorHAnsi"/>
                <w:bCs/>
                <w:color w:val="244061" w:themeColor="accent1" w:themeShade="80"/>
              </w:rPr>
              <w:t>, including ways of working, outcome m</w:t>
            </w:r>
            <w:r w:rsidR="00DE5AC7">
              <w:rPr>
                <w:rFonts w:asciiTheme="majorHAnsi" w:hAnsiTheme="majorHAnsi" w:cstheme="majorHAnsi"/>
                <w:bCs/>
                <w:color w:val="244061" w:themeColor="accent1" w:themeShade="80"/>
              </w:rPr>
              <w:t>onitoring</w:t>
            </w:r>
            <w:r w:rsidR="00566DCD">
              <w:rPr>
                <w:rFonts w:asciiTheme="majorHAnsi" w:hAnsiTheme="majorHAnsi" w:cstheme="majorHAnsi"/>
                <w:bCs/>
                <w:color w:val="244061" w:themeColor="accent1" w:themeShade="80"/>
              </w:rPr>
              <w:t xml:space="preserve"> and shared space. </w:t>
            </w:r>
          </w:p>
          <w:p w14:paraId="6AAEA182" w14:textId="602A1A85" w:rsidR="00CF12D4" w:rsidRPr="00CF12D4" w:rsidRDefault="00CF12D4" w:rsidP="00CF12D4">
            <w:pPr>
              <w:rPr>
                <w:rFonts w:asciiTheme="majorHAnsi" w:hAnsiTheme="majorHAnsi" w:cstheme="majorHAnsi"/>
                <w:bCs/>
                <w:color w:val="244061" w:themeColor="accent1" w:themeShade="80"/>
              </w:rPr>
            </w:pPr>
          </w:p>
        </w:tc>
      </w:tr>
      <w:tr w:rsidR="00FB6A15" w:rsidRPr="00FB6A15" w14:paraId="3A04D916" w14:textId="77777777"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1203C0BD" w14:textId="77777777"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14:paraId="3505C935" w14:textId="77777777"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14:paraId="2D90ED20" w14:textId="77777777"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6708EADF" w14:textId="77777777" w:rsidR="00E90D32" w:rsidRPr="00FB6A15" w:rsidRDefault="00E90D32" w:rsidP="00766D06">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14:paraId="5C274A99" w14:textId="77777777" w:rsidR="00E90D32" w:rsidRPr="00FB6A15" w:rsidRDefault="00E90D32" w:rsidP="00D361A7">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6A65A466" w14:textId="77777777" w:rsidR="00E90D32" w:rsidRPr="00FB6A15" w:rsidRDefault="00DE704C" w:rsidP="00D361A7">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5860CE92" w14:textId="77777777" w:rsidR="00E90D32" w:rsidRPr="00FB6A15" w:rsidRDefault="00E90D32" w:rsidP="00766D06">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14E19800"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0077AA90" w14:textId="77777777"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2BE5B626" w14:textId="77777777" w:rsidR="00E90D32" w:rsidRPr="00FB6A15" w:rsidRDefault="00E90D32" w:rsidP="00766D06">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26899B42"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08160973" w14:textId="77777777" w:rsidR="00E90D32" w:rsidRPr="00FB6A15" w:rsidRDefault="00E90D32" w:rsidP="00766D06">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14:paraId="5075256B" w14:textId="77777777" w:rsidR="00E90D32" w:rsidRPr="00FB6A15" w:rsidRDefault="00E90D32" w:rsidP="00D361A7">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39294CE4" w14:textId="77777777" w:rsidR="00E90D32" w:rsidRPr="00FB6A15" w:rsidRDefault="00E90D32" w:rsidP="00D361A7">
            <w:pPr>
              <w:rPr>
                <w:rFonts w:asciiTheme="majorHAnsi" w:hAnsiTheme="majorHAnsi" w:cstheme="majorHAnsi"/>
                <w:color w:val="17365D" w:themeColor="text2" w:themeShade="BF"/>
              </w:rPr>
            </w:pPr>
          </w:p>
        </w:tc>
      </w:tr>
      <w:tr w:rsidR="00FB6A15" w:rsidRPr="00FB6A15" w14:paraId="57DD2444" w14:textId="77777777"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09D700BA" w14:textId="77777777" w:rsidR="00E90D32" w:rsidRPr="00FB6A15" w:rsidRDefault="00E90D32" w:rsidP="00766D06">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14:paraId="18438BB5" w14:textId="77777777" w:rsidR="00E90D32" w:rsidRPr="00FB6A15" w:rsidRDefault="00E90D32" w:rsidP="00D361A7">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2535D34" w14:textId="77777777" w:rsidR="00E90D32" w:rsidRPr="00FB6A15" w:rsidRDefault="00E90D32" w:rsidP="00D361A7">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032B902A" w14:textId="77777777" w:rsidR="00E90D32" w:rsidRPr="00FB6A15" w:rsidRDefault="00E90D32" w:rsidP="00766D06">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3946454B"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7A012B7F" w14:textId="77777777"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59C52343" w14:textId="77777777" w:rsidR="00E90D32" w:rsidRPr="00FB6A15" w:rsidRDefault="00E90D32" w:rsidP="00766D06">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lastRenderedPageBreak/>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AE6A404"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D2F361E" w14:textId="77777777" w:rsidR="00E90D32" w:rsidRPr="00FB6A15" w:rsidRDefault="00E90D32" w:rsidP="00766D06">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173C2918"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5AD5BB8D" w14:textId="77777777"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19EEA6AB" w14:textId="77777777" w:rsidR="00E90D32" w:rsidRPr="00FB6A15" w:rsidRDefault="00E90D32" w:rsidP="00766D06">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37CA797" w14:textId="77777777" w:rsidR="00E90D32" w:rsidRPr="00FB6A15" w:rsidRDefault="00E90D32" w:rsidP="00D361A7">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03631E9" w14:textId="77777777" w:rsidR="00E90D32" w:rsidRPr="00FB6A15" w:rsidRDefault="00E90D32" w:rsidP="00766D06">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0A257A69"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1A85DB49" w14:textId="77777777"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5488ECE8" w14:textId="77777777"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14:paraId="23F57492" w14:textId="77777777"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14:paraId="1E3BEBFD" w14:textId="77777777"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C3A359F" w14:textId="77777777" w:rsidR="00E90D32" w:rsidRPr="00FB6A15" w:rsidRDefault="00E90D32" w:rsidP="00D361A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027CDC9" w14:textId="77777777" w:rsidR="00E90D32" w:rsidRPr="00FB6A15" w:rsidRDefault="00E90D32" w:rsidP="00D361A7">
            <w:pPr>
              <w:rPr>
                <w:rFonts w:asciiTheme="majorHAnsi" w:hAnsiTheme="majorHAnsi" w:cstheme="majorHAnsi"/>
                <w:color w:val="17365D" w:themeColor="text2" w:themeShade="BF"/>
              </w:rPr>
            </w:pPr>
          </w:p>
        </w:tc>
        <w:tc>
          <w:tcPr>
            <w:tcW w:w="1418"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20E5444" w14:textId="77777777" w:rsidR="00E90D32" w:rsidRPr="00FB6A15" w:rsidRDefault="00E90D32" w:rsidP="00D361A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AC369AE"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386" w:type="dxa"/>
            <w:gridSpan w:val="6"/>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5BA0A2A" w14:textId="77777777" w:rsidR="00E90D32" w:rsidRPr="00FB6A15" w:rsidRDefault="00E90D32" w:rsidP="00D361A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D24C407"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681010E" w14:textId="77777777" w:rsidR="00E90D32" w:rsidRPr="00FB6A15" w:rsidRDefault="00E90D32" w:rsidP="00D361A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E125EFD" w14:textId="77777777" w:rsidR="00E90D32" w:rsidRPr="00FB6A15" w:rsidRDefault="00DE704C" w:rsidP="00D361A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1D2CEC7" w14:textId="77777777" w:rsidR="00E90D32" w:rsidRPr="00FB6A15" w:rsidRDefault="00E90D32" w:rsidP="00D361A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F536AFA" w14:textId="77777777" w:rsidR="00E90D32" w:rsidRPr="00FB6A15" w:rsidRDefault="00E90D32" w:rsidP="00D361A7">
            <w:pPr>
              <w:rPr>
                <w:rFonts w:asciiTheme="majorHAnsi" w:hAnsiTheme="majorHAnsi" w:cstheme="majorHAnsi"/>
                <w:color w:val="17365D" w:themeColor="text2" w:themeShade="BF"/>
              </w:rPr>
            </w:pPr>
          </w:p>
        </w:tc>
      </w:tr>
      <w:tr w:rsidR="001D33BD" w:rsidRPr="00FB6A15" w14:paraId="11F94584"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7BD9035A" w14:textId="77777777" w:rsidR="001D33BD" w:rsidRPr="00FB6A15" w:rsidRDefault="001D33BD" w:rsidP="00D361A7">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14:paraId="4F62879C" w14:textId="77777777" w:rsidR="001D33BD" w:rsidRPr="00FB6A15" w:rsidRDefault="001D33BD" w:rsidP="00D361A7">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14:paraId="669AD7BA"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2EC8444"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 xml:space="preserve">Risk: </w:t>
            </w:r>
            <w:r w:rsidRPr="00C30ED1">
              <w:rPr>
                <w:rFonts w:asciiTheme="majorHAnsi" w:hAnsiTheme="majorHAnsi" w:cstheme="majorHAnsi"/>
                <w:b/>
                <w:color w:val="244061" w:themeColor="accent1" w:themeShade="80"/>
                <w:sz w:val="22"/>
                <w:szCs w:val="22"/>
              </w:rPr>
              <w:t>No</w:t>
            </w:r>
            <w:r w:rsidRPr="00C30ED1">
              <w:rPr>
                <w:rFonts w:asciiTheme="majorHAnsi" w:hAnsiTheme="majorHAnsi" w:cstheme="majorHAnsi"/>
                <w:b/>
                <w:color w:val="244061" w:themeColor="accent1" w:themeShade="80"/>
              </w:rPr>
              <w:t xml:space="preserve"> </w:t>
            </w:r>
          </w:p>
        </w:tc>
      </w:tr>
      <w:tr w:rsidR="001D33BD" w:rsidRPr="00FB6A15" w14:paraId="51ADC3A5"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D52EF28" w14:textId="04F72714" w:rsidR="001D33BD" w:rsidRPr="00C30ED1" w:rsidRDefault="00DE704C" w:rsidP="00D361A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No new risks as a result of this paper, but it needs to be considered in the light of the </w:t>
            </w:r>
            <w:r w:rsidR="00AD4BA5">
              <w:rPr>
                <w:rFonts w:asciiTheme="majorHAnsi" w:hAnsiTheme="majorHAnsi" w:cstheme="majorHAnsi"/>
                <w:color w:val="244061" w:themeColor="accent1" w:themeShade="80"/>
              </w:rPr>
              <w:t>rev</w:t>
            </w:r>
            <w:r w:rsidR="00F2392D">
              <w:rPr>
                <w:rFonts w:asciiTheme="majorHAnsi" w:hAnsiTheme="majorHAnsi" w:cstheme="majorHAnsi"/>
                <w:color w:val="244061" w:themeColor="accent1" w:themeShade="80"/>
              </w:rPr>
              <w:t xml:space="preserve">enue </w:t>
            </w:r>
            <w:r w:rsidRPr="00C30ED1">
              <w:rPr>
                <w:rFonts w:asciiTheme="majorHAnsi" w:hAnsiTheme="majorHAnsi" w:cstheme="majorHAnsi"/>
                <w:color w:val="244061" w:themeColor="accent1" w:themeShade="80"/>
              </w:rPr>
              <w:t xml:space="preserve">cost pressure, the political environment and the reputational risk. </w:t>
            </w:r>
          </w:p>
        </w:tc>
      </w:tr>
      <w:tr w:rsidR="001D33BD" w:rsidRPr="00FB6A15" w14:paraId="76B44209"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2378349"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Safety: No</w:t>
            </w:r>
          </w:p>
        </w:tc>
      </w:tr>
      <w:tr w:rsidR="001D33BD" w:rsidRPr="00FB6A15" w14:paraId="160103D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C564E26" w14:textId="72876613" w:rsidR="001D33BD" w:rsidRPr="00C30ED1" w:rsidRDefault="00DE704C" w:rsidP="0028320A">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Proposal will improve the environment for patients, delivering a modern cancer facility</w:t>
            </w:r>
            <w:r w:rsidR="000A5F29">
              <w:rPr>
                <w:rFonts w:asciiTheme="majorHAnsi" w:hAnsiTheme="majorHAnsi" w:cstheme="majorHAnsi"/>
                <w:color w:val="244061" w:themeColor="accent1" w:themeShade="80"/>
              </w:rPr>
              <w:t>, albeit</w:t>
            </w:r>
            <w:r w:rsidR="00F2392D">
              <w:rPr>
                <w:rFonts w:asciiTheme="majorHAnsi" w:hAnsiTheme="majorHAnsi" w:cstheme="majorHAnsi"/>
                <w:color w:val="244061" w:themeColor="accent1" w:themeShade="80"/>
              </w:rPr>
              <w:t xml:space="preserve"> </w:t>
            </w:r>
            <w:r w:rsidR="000A5F29">
              <w:rPr>
                <w:rFonts w:asciiTheme="majorHAnsi" w:hAnsiTheme="majorHAnsi" w:cstheme="majorHAnsi"/>
                <w:color w:val="244061" w:themeColor="accent1" w:themeShade="80"/>
              </w:rPr>
              <w:t xml:space="preserve">that </w:t>
            </w:r>
            <w:r w:rsidR="00F2392D">
              <w:rPr>
                <w:rFonts w:asciiTheme="majorHAnsi" w:hAnsiTheme="majorHAnsi" w:cstheme="majorHAnsi"/>
                <w:color w:val="244061" w:themeColor="accent1" w:themeShade="80"/>
              </w:rPr>
              <w:t>the facility will not be based on an acute hospital site.</w:t>
            </w:r>
          </w:p>
        </w:tc>
      </w:tr>
      <w:tr w:rsidR="001D33BD" w:rsidRPr="00FB6A15" w14:paraId="43A7067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FFC0DB7"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Financial: Yes</w:t>
            </w:r>
          </w:p>
        </w:tc>
      </w:tr>
      <w:tr w:rsidR="001D33BD" w:rsidRPr="00FB6A15" w14:paraId="42C1D9DF"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9AED22C" w14:textId="275565EC" w:rsidR="00850617" w:rsidRPr="00C30ED1" w:rsidRDefault="00DE704C" w:rsidP="0085061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An outline of the </w:t>
            </w:r>
            <w:r w:rsidR="00F2392D">
              <w:rPr>
                <w:rFonts w:asciiTheme="majorHAnsi" w:hAnsiTheme="majorHAnsi" w:cstheme="majorHAnsi"/>
                <w:color w:val="244061" w:themeColor="accent1" w:themeShade="80"/>
              </w:rPr>
              <w:t>indicated</w:t>
            </w:r>
            <w:r w:rsidRPr="00C30ED1">
              <w:rPr>
                <w:rFonts w:asciiTheme="majorHAnsi" w:hAnsiTheme="majorHAnsi" w:cstheme="majorHAnsi"/>
                <w:color w:val="244061" w:themeColor="accent1" w:themeShade="80"/>
              </w:rPr>
              <w:t xml:space="preserve"> financial impact has been included within this paper</w:t>
            </w:r>
            <w:r w:rsidR="00F2392D">
              <w:rPr>
                <w:rFonts w:asciiTheme="majorHAnsi" w:hAnsiTheme="majorHAnsi" w:cstheme="majorHAnsi"/>
                <w:color w:val="244061" w:themeColor="accent1" w:themeShade="80"/>
              </w:rPr>
              <w:t>.</w:t>
            </w:r>
            <w:r w:rsidRPr="00C30ED1">
              <w:rPr>
                <w:rFonts w:asciiTheme="majorHAnsi" w:hAnsiTheme="majorHAnsi" w:cstheme="majorHAnsi"/>
                <w:color w:val="244061" w:themeColor="accent1" w:themeShade="80"/>
              </w:rPr>
              <w:t xml:space="preserve"> </w:t>
            </w:r>
          </w:p>
        </w:tc>
      </w:tr>
      <w:tr w:rsidR="001D33BD" w:rsidRPr="00FB6A15" w14:paraId="4554AAB3"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1D00B77"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Workforce: No</w:t>
            </w:r>
          </w:p>
        </w:tc>
      </w:tr>
      <w:tr w:rsidR="001D33BD" w:rsidRPr="00FB6A15" w14:paraId="20E1E5EE"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C256007" w14:textId="5517E4BA" w:rsidR="001D33BD" w:rsidRPr="00C30ED1" w:rsidRDefault="005155BD" w:rsidP="00D361A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Not for CAV UHB, but an independent report suggests that a standalone cancer centre needs additional clinical </w:t>
            </w:r>
            <w:r w:rsidR="00DD0F85" w:rsidRPr="00C30ED1">
              <w:rPr>
                <w:rFonts w:asciiTheme="majorHAnsi" w:hAnsiTheme="majorHAnsi" w:cstheme="majorHAnsi"/>
                <w:color w:val="244061" w:themeColor="accent1" w:themeShade="80"/>
              </w:rPr>
              <w:t>staff to support acutely unwell patients</w:t>
            </w:r>
            <w:r w:rsidR="00F2392D">
              <w:rPr>
                <w:rFonts w:asciiTheme="majorHAnsi" w:hAnsiTheme="majorHAnsi" w:cstheme="majorHAnsi"/>
                <w:color w:val="244061" w:themeColor="accent1" w:themeShade="80"/>
              </w:rPr>
              <w:t>,</w:t>
            </w:r>
            <w:r w:rsidRPr="00C30ED1">
              <w:rPr>
                <w:rFonts w:asciiTheme="majorHAnsi" w:hAnsiTheme="majorHAnsi" w:cstheme="majorHAnsi"/>
                <w:color w:val="244061" w:themeColor="accent1" w:themeShade="80"/>
              </w:rPr>
              <w:t xml:space="preserve"> which could increase the cost of activity at Velindre in the future. </w:t>
            </w:r>
          </w:p>
        </w:tc>
      </w:tr>
      <w:tr w:rsidR="001D33BD" w:rsidRPr="00FB6A15" w14:paraId="1D79CDCA"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53E98D5"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Legal: No</w:t>
            </w:r>
          </w:p>
        </w:tc>
      </w:tr>
      <w:tr w:rsidR="001D33BD" w:rsidRPr="00FB6A15" w14:paraId="633AE10D"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4D890E0" w14:textId="77777777" w:rsidR="001D33BD" w:rsidRPr="00C30ED1" w:rsidRDefault="005155BD" w:rsidP="00D361A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Not for CAV UHB. Velindre will have considerable legal and governance considerations for the development of the new centre. </w:t>
            </w:r>
          </w:p>
        </w:tc>
      </w:tr>
      <w:tr w:rsidR="001D33BD" w:rsidRPr="00FB6A15" w14:paraId="651908D7"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4D89D57"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Reputational: Yes</w:t>
            </w:r>
          </w:p>
        </w:tc>
      </w:tr>
      <w:tr w:rsidR="001D33BD" w:rsidRPr="00FB6A15" w14:paraId="024320F2"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C751213" w14:textId="64E6DA48" w:rsidR="001D33BD" w:rsidRPr="00FB6A15" w:rsidRDefault="00DD0F85" w:rsidP="00DD0F85">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The process for the </w:t>
            </w:r>
            <w:proofErr w:type="spellStart"/>
            <w:r w:rsidRPr="00C30ED1">
              <w:rPr>
                <w:rFonts w:asciiTheme="majorHAnsi" w:hAnsiTheme="majorHAnsi" w:cstheme="majorHAnsi"/>
                <w:color w:val="244061" w:themeColor="accent1" w:themeShade="80"/>
              </w:rPr>
              <w:t>nVCC</w:t>
            </w:r>
            <w:proofErr w:type="spellEnd"/>
            <w:r w:rsidRPr="00C30ED1">
              <w:rPr>
                <w:rFonts w:asciiTheme="majorHAnsi" w:hAnsiTheme="majorHAnsi" w:cstheme="majorHAnsi"/>
                <w:color w:val="244061" w:themeColor="accent1" w:themeShade="80"/>
              </w:rPr>
              <w:t xml:space="preserve"> has been protracted and contentious. It should be noted that Welsh Government has supported the OBC and invested £</w:t>
            </w:r>
            <w:r w:rsidR="00F2392D">
              <w:rPr>
                <w:rFonts w:asciiTheme="majorHAnsi" w:hAnsiTheme="majorHAnsi" w:cstheme="majorHAnsi"/>
                <w:color w:val="244061" w:themeColor="accent1" w:themeShade="80"/>
              </w:rPr>
              <w:t>28</w:t>
            </w:r>
            <w:r w:rsidRPr="00C30ED1">
              <w:rPr>
                <w:rFonts w:asciiTheme="majorHAnsi" w:hAnsiTheme="majorHAnsi" w:cstheme="majorHAnsi"/>
                <w:color w:val="244061" w:themeColor="accent1" w:themeShade="80"/>
              </w:rPr>
              <w:t xml:space="preserve">m capital in the enabling works for access to the site. It is a flagship programme, and the first in Wales to use the new MIMS funding model. Not supporting the overall case would generate some difficult political discussions and may have reputational impacts. However, there is scope to scrutinise and challenge the costs, to ensure that the </w:t>
            </w:r>
            <w:proofErr w:type="spellStart"/>
            <w:r w:rsidRPr="00C30ED1">
              <w:rPr>
                <w:rFonts w:asciiTheme="majorHAnsi" w:hAnsiTheme="majorHAnsi" w:cstheme="majorHAnsi"/>
                <w:color w:val="244061" w:themeColor="accent1" w:themeShade="80"/>
              </w:rPr>
              <w:t>nVCC</w:t>
            </w:r>
            <w:proofErr w:type="spellEnd"/>
            <w:r w:rsidRPr="00C30ED1">
              <w:rPr>
                <w:rFonts w:asciiTheme="majorHAnsi" w:hAnsiTheme="majorHAnsi" w:cstheme="majorHAnsi"/>
                <w:color w:val="244061" w:themeColor="accent1" w:themeShade="80"/>
              </w:rPr>
              <w:t xml:space="preserve"> delivers value for money.</w:t>
            </w:r>
          </w:p>
        </w:tc>
      </w:tr>
      <w:tr w:rsidR="001D33BD" w:rsidRPr="00FB6A15" w14:paraId="782E0E9E"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453A6AC" w14:textId="4F63D98B"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Socio Economic: No</w:t>
            </w:r>
          </w:p>
        </w:tc>
      </w:tr>
      <w:tr w:rsidR="001D33BD" w:rsidRPr="00FB6A15" w14:paraId="35C3B237"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9F3B717" w14:textId="46CEDF89" w:rsidR="001D33BD" w:rsidRPr="00294146" w:rsidRDefault="00294146" w:rsidP="0028320A">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No new services will be provided as a result of this development, but </w:t>
            </w:r>
            <w:r w:rsidR="00F2392D">
              <w:rPr>
                <w:rFonts w:asciiTheme="majorHAnsi" w:hAnsiTheme="majorHAnsi" w:cstheme="majorHAnsi"/>
                <w:color w:val="244061" w:themeColor="accent1" w:themeShade="80"/>
              </w:rPr>
              <w:t>the</w:t>
            </w:r>
            <w:r w:rsidRPr="00C30ED1">
              <w:rPr>
                <w:rFonts w:asciiTheme="majorHAnsi" w:hAnsiTheme="majorHAnsi" w:cstheme="majorHAnsi"/>
                <w:color w:val="244061" w:themeColor="accent1" w:themeShade="80"/>
              </w:rPr>
              <w:t xml:space="preserve"> improved patient environment will make </w:t>
            </w:r>
            <w:r w:rsidR="00F2392D">
              <w:rPr>
                <w:rFonts w:asciiTheme="majorHAnsi" w:hAnsiTheme="majorHAnsi" w:cstheme="majorHAnsi"/>
                <w:color w:val="244061" w:themeColor="accent1" w:themeShade="80"/>
              </w:rPr>
              <w:t xml:space="preserve">the </w:t>
            </w:r>
            <w:r w:rsidRPr="00C30ED1">
              <w:rPr>
                <w:rFonts w:asciiTheme="majorHAnsi" w:hAnsiTheme="majorHAnsi" w:cstheme="majorHAnsi"/>
                <w:color w:val="244061" w:themeColor="accent1" w:themeShade="80"/>
              </w:rPr>
              <w:t xml:space="preserve">service more </w:t>
            </w:r>
            <w:r w:rsidR="00F2392D">
              <w:rPr>
                <w:rFonts w:asciiTheme="majorHAnsi" w:hAnsiTheme="majorHAnsi" w:cstheme="majorHAnsi"/>
                <w:color w:val="244061" w:themeColor="accent1" w:themeShade="80"/>
              </w:rPr>
              <w:t>effective</w:t>
            </w:r>
            <w:r w:rsidRPr="00C30ED1">
              <w:rPr>
                <w:rFonts w:asciiTheme="majorHAnsi" w:hAnsiTheme="majorHAnsi" w:cstheme="majorHAnsi"/>
                <w:color w:val="244061" w:themeColor="accent1" w:themeShade="80"/>
              </w:rPr>
              <w:t xml:space="preserve">. </w:t>
            </w:r>
          </w:p>
        </w:tc>
      </w:tr>
      <w:tr w:rsidR="001D33BD" w:rsidRPr="00FB6A15" w14:paraId="11E60BC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F98BF0C"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Equality and Health: No</w:t>
            </w:r>
          </w:p>
        </w:tc>
      </w:tr>
      <w:tr w:rsidR="001D33BD" w:rsidRPr="00FB6A15" w14:paraId="39A37D33"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15D76CD" w14:textId="77777777" w:rsidR="001D33BD" w:rsidRPr="00294146" w:rsidRDefault="00294146" w:rsidP="00D361A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There are no policy changes as a result of this development. </w:t>
            </w:r>
          </w:p>
        </w:tc>
      </w:tr>
      <w:tr w:rsidR="001D33BD" w:rsidRPr="00FB6A15" w14:paraId="3411F0E2"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006E87D" w14:textId="77777777" w:rsidR="001D33BD" w:rsidRPr="00C30ED1" w:rsidRDefault="001D33BD" w:rsidP="00D361A7">
            <w:pPr>
              <w:rPr>
                <w:rFonts w:asciiTheme="majorHAnsi" w:hAnsiTheme="majorHAnsi" w:cstheme="majorHAnsi"/>
                <w:b/>
                <w:color w:val="244061" w:themeColor="accent1" w:themeShade="80"/>
              </w:rPr>
            </w:pPr>
            <w:r w:rsidRPr="00C30ED1">
              <w:rPr>
                <w:rFonts w:asciiTheme="majorHAnsi" w:hAnsiTheme="majorHAnsi" w:cstheme="majorHAnsi"/>
                <w:b/>
                <w:color w:val="244061" w:themeColor="accent1" w:themeShade="80"/>
              </w:rPr>
              <w:t>Decarbonisation: Yes</w:t>
            </w:r>
          </w:p>
        </w:tc>
      </w:tr>
      <w:tr w:rsidR="001D33BD" w:rsidRPr="00FB6A15" w14:paraId="1703E37B"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F52D00A" w14:textId="1F8042CB" w:rsidR="001D33BD" w:rsidRPr="00C30ED1" w:rsidRDefault="00294146" w:rsidP="00D361A7">
            <w:pPr>
              <w:rPr>
                <w:rFonts w:asciiTheme="majorHAnsi" w:hAnsiTheme="majorHAnsi" w:cstheme="majorHAnsi"/>
                <w:color w:val="244061" w:themeColor="accent1" w:themeShade="80"/>
              </w:rPr>
            </w:pPr>
            <w:r w:rsidRPr="00C30ED1">
              <w:rPr>
                <w:rFonts w:asciiTheme="majorHAnsi" w:hAnsiTheme="majorHAnsi" w:cstheme="majorHAnsi"/>
                <w:color w:val="244061" w:themeColor="accent1" w:themeShade="80"/>
              </w:rPr>
              <w:t xml:space="preserve">This is a new build that will have a negative impact on the </w:t>
            </w:r>
            <w:r w:rsidR="008051B6" w:rsidRPr="00C30ED1">
              <w:rPr>
                <w:rFonts w:asciiTheme="majorHAnsi" w:hAnsiTheme="majorHAnsi" w:cstheme="majorHAnsi"/>
                <w:color w:val="244061" w:themeColor="accent1" w:themeShade="80"/>
              </w:rPr>
              <w:t>immediate environment</w:t>
            </w:r>
            <w:r w:rsidR="00C30ED1" w:rsidRPr="00C30ED1">
              <w:rPr>
                <w:rFonts w:asciiTheme="majorHAnsi" w:hAnsiTheme="majorHAnsi" w:cstheme="majorHAnsi"/>
                <w:color w:val="244061" w:themeColor="accent1" w:themeShade="80"/>
              </w:rPr>
              <w:t xml:space="preserve"> as it is being built on a green field site</w:t>
            </w:r>
            <w:r w:rsidR="008051B6" w:rsidRPr="00C30ED1">
              <w:rPr>
                <w:rFonts w:asciiTheme="majorHAnsi" w:hAnsiTheme="majorHAnsi" w:cstheme="majorHAnsi"/>
                <w:color w:val="244061" w:themeColor="accent1" w:themeShade="80"/>
              </w:rPr>
              <w:t xml:space="preserve">, but </w:t>
            </w:r>
            <w:r w:rsidR="00211C66" w:rsidRPr="00C30ED1">
              <w:rPr>
                <w:rFonts w:asciiTheme="majorHAnsi" w:hAnsiTheme="majorHAnsi" w:cstheme="majorHAnsi"/>
                <w:color w:val="244061" w:themeColor="accent1" w:themeShade="80"/>
              </w:rPr>
              <w:t>i</w:t>
            </w:r>
            <w:r w:rsidR="008051B6" w:rsidRPr="00C30ED1">
              <w:rPr>
                <w:rFonts w:asciiTheme="majorHAnsi" w:hAnsiTheme="majorHAnsi" w:cstheme="majorHAnsi"/>
                <w:color w:val="244061" w:themeColor="accent1" w:themeShade="80"/>
              </w:rPr>
              <w:t>s</w:t>
            </w:r>
            <w:r w:rsidR="00211C66" w:rsidRPr="00C30ED1">
              <w:rPr>
                <w:rFonts w:asciiTheme="majorHAnsi" w:hAnsiTheme="majorHAnsi" w:cstheme="majorHAnsi"/>
                <w:color w:val="244061" w:themeColor="accent1" w:themeShade="80"/>
              </w:rPr>
              <w:t xml:space="preserve"> being proposed to </w:t>
            </w:r>
            <w:r w:rsidR="00DD0F85" w:rsidRPr="00C30ED1">
              <w:rPr>
                <w:rFonts w:asciiTheme="majorHAnsi" w:hAnsiTheme="majorHAnsi" w:cstheme="majorHAnsi"/>
                <w:color w:val="244061" w:themeColor="accent1" w:themeShade="80"/>
              </w:rPr>
              <w:t>achieve net zero, moving to an electricity only building with gas solely in the lab</w:t>
            </w:r>
            <w:r w:rsidR="00F2392D">
              <w:rPr>
                <w:rFonts w:asciiTheme="majorHAnsi" w:hAnsiTheme="majorHAnsi" w:cstheme="majorHAnsi"/>
                <w:color w:val="244061" w:themeColor="accent1" w:themeShade="80"/>
              </w:rPr>
              <w:t>oratorie</w:t>
            </w:r>
            <w:r w:rsidR="00DD0F85" w:rsidRPr="00C30ED1">
              <w:rPr>
                <w:rFonts w:asciiTheme="majorHAnsi" w:hAnsiTheme="majorHAnsi" w:cstheme="majorHAnsi"/>
                <w:color w:val="244061" w:themeColor="accent1" w:themeShade="80"/>
              </w:rPr>
              <w:t xml:space="preserve">s. </w:t>
            </w:r>
            <w:r w:rsidR="00211C66" w:rsidRPr="00C30ED1">
              <w:rPr>
                <w:rFonts w:asciiTheme="majorHAnsi" w:hAnsiTheme="majorHAnsi" w:cstheme="majorHAnsi"/>
                <w:color w:val="244061" w:themeColor="accent1" w:themeShade="80"/>
              </w:rPr>
              <w:t xml:space="preserve"> </w:t>
            </w:r>
          </w:p>
        </w:tc>
      </w:tr>
      <w:tr w:rsidR="001D33BD" w:rsidRPr="00FB6A15" w14:paraId="638B1A9F"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0B3AA2FA" w14:textId="77777777" w:rsidR="001D33BD" w:rsidRPr="00FB6A15" w:rsidRDefault="001D33BD" w:rsidP="00D361A7">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14:paraId="54B90D82" w14:textId="77777777" w:rsidTr="001830BA">
        <w:trPr>
          <w:trHeight w:val="266"/>
        </w:trPr>
        <w:tc>
          <w:tcPr>
            <w:tcW w:w="4106" w:type="dxa"/>
            <w:gridSpan w:val="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A8942BD" w14:textId="77777777" w:rsidR="001D33BD" w:rsidRPr="001830BA" w:rsidRDefault="001D33BD" w:rsidP="00D361A7">
            <w:pPr>
              <w:rPr>
                <w:rFonts w:asciiTheme="majorHAnsi" w:hAnsiTheme="majorHAnsi" w:cstheme="majorHAnsi"/>
                <w:b/>
                <w:color w:val="244061" w:themeColor="accent1" w:themeShade="80"/>
              </w:rPr>
            </w:pPr>
            <w:r w:rsidRPr="001830BA">
              <w:rPr>
                <w:rFonts w:asciiTheme="majorHAnsi" w:hAnsiTheme="majorHAnsi" w:cstheme="majorHAnsi"/>
                <w:b/>
                <w:color w:val="244061" w:themeColor="accent1" w:themeShade="80"/>
              </w:rPr>
              <w:t>Committee/Group/Exec</w:t>
            </w:r>
          </w:p>
        </w:tc>
        <w:tc>
          <w:tcPr>
            <w:tcW w:w="6808" w:type="dxa"/>
            <w:gridSpan w:val="1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ED24BF7" w14:textId="77777777" w:rsidR="001D33BD" w:rsidRPr="001830BA" w:rsidRDefault="001D33BD" w:rsidP="00D361A7">
            <w:pPr>
              <w:rPr>
                <w:rFonts w:asciiTheme="majorHAnsi" w:hAnsiTheme="majorHAnsi" w:cstheme="majorHAnsi"/>
                <w:b/>
              </w:rPr>
            </w:pPr>
            <w:r w:rsidRPr="001830BA">
              <w:rPr>
                <w:rFonts w:asciiTheme="majorHAnsi" w:hAnsiTheme="majorHAnsi" w:cstheme="majorHAnsi"/>
                <w:b/>
                <w:color w:val="244061" w:themeColor="accent1" w:themeShade="80"/>
              </w:rPr>
              <w:t>Date:</w:t>
            </w:r>
          </w:p>
        </w:tc>
      </w:tr>
      <w:tr w:rsidR="001D33BD" w:rsidRPr="00FB6A15" w14:paraId="6987E1B2" w14:textId="77777777" w:rsidTr="001830BA">
        <w:trPr>
          <w:trHeight w:val="266"/>
        </w:trPr>
        <w:tc>
          <w:tcPr>
            <w:tcW w:w="4106" w:type="dxa"/>
            <w:gridSpan w:val="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A4818B4" w14:textId="08DF1D38" w:rsidR="001D33BD" w:rsidRPr="00FB6A15" w:rsidRDefault="001830BA" w:rsidP="00D361A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Investment Group</w:t>
            </w:r>
          </w:p>
        </w:tc>
        <w:tc>
          <w:tcPr>
            <w:tcW w:w="6808" w:type="dxa"/>
            <w:gridSpan w:val="1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AE8A17C" w14:textId="099E7A6A" w:rsidR="001D33BD" w:rsidRPr="00FB6A15" w:rsidRDefault="001830BA" w:rsidP="00D361A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1</w:t>
            </w:r>
            <w:r w:rsidRPr="001830BA">
              <w:rPr>
                <w:rFonts w:asciiTheme="majorHAnsi" w:hAnsiTheme="majorHAnsi" w:cstheme="majorHAnsi"/>
                <w:color w:val="244061" w:themeColor="accent1" w:themeShade="80"/>
                <w:vertAlign w:val="superscript"/>
              </w:rPr>
              <w:t>st</w:t>
            </w:r>
            <w:r>
              <w:rPr>
                <w:rFonts w:asciiTheme="majorHAnsi" w:hAnsiTheme="majorHAnsi" w:cstheme="majorHAnsi"/>
                <w:color w:val="244061" w:themeColor="accent1" w:themeShade="80"/>
              </w:rPr>
              <w:t xml:space="preserve"> </w:t>
            </w:r>
            <w:r w:rsidR="00DE6AE6">
              <w:rPr>
                <w:rFonts w:asciiTheme="majorHAnsi" w:hAnsiTheme="majorHAnsi" w:cstheme="majorHAnsi"/>
                <w:color w:val="244061" w:themeColor="accent1" w:themeShade="80"/>
              </w:rPr>
              <w:t>March</w:t>
            </w:r>
            <w:r>
              <w:rPr>
                <w:rFonts w:asciiTheme="majorHAnsi" w:hAnsiTheme="majorHAnsi" w:cstheme="majorHAnsi"/>
                <w:color w:val="244061" w:themeColor="accent1" w:themeShade="80"/>
              </w:rPr>
              <w:t xml:space="preserve"> 2023</w:t>
            </w:r>
          </w:p>
        </w:tc>
      </w:tr>
      <w:tr w:rsidR="00DE6AE6" w:rsidRPr="00FB6A15" w14:paraId="1D4EB048" w14:textId="77777777" w:rsidTr="001830BA">
        <w:trPr>
          <w:trHeight w:val="266"/>
        </w:trPr>
        <w:tc>
          <w:tcPr>
            <w:tcW w:w="4106" w:type="dxa"/>
            <w:gridSpan w:val="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D44D599" w14:textId="2F5ADD4F" w:rsidR="00DE6AE6" w:rsidRDefault="00DE6AE6"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Strategic Leadership Board</w:t>
            </w:r>
          </w:p>
        </w:tc>
        <w:tc>
          <w:tcPr>
            <w:tcW w:w="6808" w:type="dxa"/>
            <w:gridSpan w:val="1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4C32427" w14:textId="433EBBF5" w:rsidR="00DE6AE6" w:rsidRDefault="000D2A61"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16th</w:t>
            </w:r>
            <w:r w:rsidR="00DE6AE6">
              <w:rPr>
                <w:rFonts w:asciiTheme="majorHAnsi" w:hAnsiTheme="majorHAnsi" w:cstheme="majorHAnsi"/>
                <w:color w:val="244061" w:themeColor="accent1" w:themeShade="80"/>
              </w:rPr>
              <w:t xml:space="preserve"> March 2023</w:t>
            </w:r>
          </w:p>
        </w:tc>
      </w:tr>
      <w:tr w:rsidR="00DE6AE6" w:rsidRPr="00FB6A15" w14:paraId="77AA6C67" w14:textId="77777777" w:rsidTr="001830BA">
        <w:trPr>
          <w:trHeight w:val="266"/>
        </w:trPr>
        <w:tc>
          <w:tcPr>
            <w:tcW w:w="4106" w:type="dxa"/>
            <w:gridSpan w:val="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8A1CDD7" w14:textId="0156D6FF" w:rsidR="00DE6AE6" w:rsidRPr="00FB6A15" w:rsidRDefault="00DE6AE6"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Finance Committee</w:t>
            </w:r>
          </w:p>
        </w:tc>
        <w:tc>
          <w:tcPr>
            <w:tcW w:w="6808" w:type="dxa"/>
            <w:gridSpan w:val="1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2627EE1" w14:textId="58BD8144" w:rsidR="00DE6AE6" w:rsidRPr="00FB6A15" w:rsidRDefault="000D2A61"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2</w:t>
            </w:r>
            <w:r w:rsidR="00DE6AE6">
              <w:rPr>
                <w:rFonts w:asciiTheme="majorHAnsi" w:hAnsiTheme="majorHAnsi" w:cstheme="majorHAnsi"/>
                <w:color w:val="244061" w:themeColor="accent1" w:themeShade="80"/>
              </w:rPr>
              <w:t>2</w:t>
            </w:r>
            <w:r w:rsidR="00DE6AE6" w:rsidRPr="00DE6AE6">
              <w:rPr>
                <w:rFonts w:asciiTheme="majorHAnsi" w:hAnsiTheme="majorHAnsi" w:cstheme="majorHAnsi"/>
                <w:color w:val="244061" w:themeColor="accent1" w:themeShade="80"/>
                <w:vertAlign w:val="superscript"/>
              </w:rPr>
              <w:t>nd</w:t>
            </w:r>
            <w:r w:rsidR="00DE6AE6">
              <w:rPr>
                <w:rFonts w:asciiTheme="majorHAnsi" w:hAnsiTheme="majorHAnsi" w:cstheme="majorHAnsi"/>
                <w:color w:val="244061" w:themeColor="accent1" w:themeShade="80"/>
              </w:rPr>
              <w:t xml:space="preserve"> March 2023</w:t>
            </w:r>
          </w:p>
        </w:tc>
      </w:tr>
      <w:tr w:rsidR="00DE6AE6" w:rsidRPr="00FB6A15" w14:paraId="5C0AF3EC" w14:textId="77777777" w:rsidTr="001830BA">
        <w:trPr>
          <w:trHeight w:val="266"/>
        </w:trPr>
        <w:tc>
          <w:tcPr>
            <w:tcW w:w="4106" w:type="dxa"/>
            <w:gridSpan w:val="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4179FC2" w14:textId="444A767B" w:rsidR="00DE6AE6" w:rsidRDefault="00DE6AE6"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Board </w:t>
            </w:r>
          </w:p>
        </w:tc>
        <w:tc>
          <w:tcPr>
            <w:tcW w:w="6808" w:type="dxa"/>
            <w:gridSpan w:val="1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958BB00" w14:textId="61C1539F" w:rsidR="00DE6AE6" w:rsidRDefault="00DE6AE6" w:rsidP="00DE6AE6">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30</w:t>
            </w:r>
            <w:r w:rsidRPr="00DE6AE6">
              <w:rPr>
                <w:rFonts w:asciiTheme="majorHAnsi" w:hAnsiTheme="majorHAnsi" w:cstheme="majorHAnsi"/>
                <w:color w:val="244061" w:themeColor="accent1" w:themeShade="80"/>
                <w:vertAlign w:val="superscript"/>
              </w:rPr>
              <w:t>th</w:t>
            </w:r>
            <w:r>
              <w:rPr>
                <w:rFonts w:asciiTheme="majorHAnsi" w:hAnsiTheme="majorHAnsi" w:cstheme="majorHAnsi"/>
                <w:color w:val="244061" w:themeColor="accent1" w:themeShade="80"/>
              </w:rPr>
              <w:t xml:space="preserve"> March 2023</w:t>
            </w:r>
          </w:p>
        </w:tc>
      </w:tr>
    </w:tbl>
    <w:p w14:paraId="600DB67C" w14:textId="77777777" w:rsidR="00D23C5F" w:rsidRPr="00FB6A15" w:rsidRDefault="00D23C5F" w:rsidP="00E90D32">
      <w:pPr>
        <w:tabs>
          <w:tab w:val="left" w:pos="567"/>
        </w:tabs>
        <w:rPr>
          <w:rFonts w:asciiTheme="majorHAnsi" w:hAnsiTheme="majorHAnsi" w:cstheme="majorHAnsi"/>
        </w:rPr>
      </w:pPr>
    </w:p>
    <w:p w14:paraId="091E91AF" w14:textId="77777777" w:rsidR="008354DE" w:rsidRDefault="008354DE" w:rsidP="00E90D32">
      <w:pPr>
        <w:tabs>
          <w:tab w:val="left" w:pos="567"/>
        </w:tabs>
        <w:rPr>
          <w:rFonts w:asciiTheme="majorHAnsi" w:hAnsiTheme="majorHAnsi" w:cstheme="majorHAnsi"/>
        </w:rPr>
      </w:pPr>
    </w:p>
    <w:p w14:paraId="74C7A9DB" w14:textId="77777777" w:rsidR="008354DE" w:rsidRPr="00CA27BC" w:rsidRDefault="008354DE" w:rsidP="00E90D32">
      <w:pPr>
        <w:tabs>
          <w:tab w:val="left" w:pos="567"/>
        </w:tabs>
        <w:rPr>
          <w:rFonts w:asciiTheme="majorHAnsi" w:hAnsiTheme="majorHAnsi" w:cstheme="majorHAnsi"/>
        </w:rPr>
      </w:pPr>
    </w:p>
    <w:sectPr w:rsidR="008354DE" w:rsidRPr="00CA27BC" w:rsidSect="004F1B81">
      <w:headerReference w:type="even" r:id="rId11"/>
      <w:footerReference w:type="default" r:id="rId12"/>
      <w:headerReference w:type="first" r:id="rId13"/>
      <w:pgSz w:w="11900" w:h="16840" w:code="9"/>
      <w:pgMar w:top="567" w:right="1440" w:bottom="567"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F15EFD" w14:textId="77777777" w:rsidR="004F72F2" w:rsidRDefault="004F72F2">
      <w:r>
        <w:separator/>
      </w:r>
    </w:p>
  </w:endnote>
  <w:endnote w:type="continuationSeparator" w:id="0">
    <w:p w14:paraId="0C3DC568" w14:textId="77777777" w:rsidR="004F72F2" w:rsidRDefault="004F7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9138887"/>
      <w:docPartObj>
        <w:docPartGallery w:val="Page Numbers (Bottom of Page)"/>
        <w:docPartUnique/>
      </w:docPartObj>
    </w:sdtPr>
    <w:sdtEndPr>
      <w:rPr>
        <w:noProof/>
      </w:rPr>
    </w:sdtEndPr>
    <w:sdtContent>
      <w:p w14:paraId="165AC1C3" w14:textId="43028D18" w:rsidR="004F1B81" w:rsidRDefault="004F1B8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015B23D" w14:textId="77777777" w:rsidR="00F14688" w:rsidRDefault="00F146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03E2A1" w14:textId="77777777" w:rsidR="004F72F2" w:rsidRDefault="004F72F2">
      <w:r>
        <w:separator/>
      </w:r>
    </w:p>
  </w:footnote>
  <w:footnote w:type="continuationSeparator" w:id="0">
    <w:p w14:paraId="1E34190D" w14:textId="77777777" w:rsidR="004F72F2" w:rsidRDefault="004F72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F8C7D" w14:textId="77777777" w:rsidR="004F72F2" w:rsidRDefault="00A94D10">
    <w:pPr>
      <w:pStyle w:val="Header"/>
    </w:pPr>
    <w:r>
      <w:rPr>
        <w:noProof/>
      </w:rPr>
      <w:pict w14:anchorId="7C479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6D979" w14:textId="77777777" w:rsidR="004F72F2" w:rsidRDefault="00A94D10">
    <w:pPr>
      <w:pStyle w:val="Header"/>
    </w:pPr>
    <w:r>
      <w:rPr>
        <w:noProof/>
      </w:rPr>
      <w:pict w14:anchorId="61CA4C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028A5"/>
    <w:multiLevelType w:val="hybridMultilevel"/>
    <w:tmpl w:val="157A37D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23E76AB"/>
    <w:multiLevelType w:val="hybridMultilevel"/>
    <w:tmpl w:val="C1822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8F45E3C"/>
    <w:multiLevelType w:val="hybridMultilevel"/>
    <w:tmpl w:val="0254B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E641A5"/>
    <w:multiLevelType w:val="multilevel"/>
    <w:tmpl w:val="7740681E"/>
    <w:lvl w:ilvl="0">
      <w:start w:val="1"/>
      <w:numFmt w:val="bullet"/>
      <w:lvlText w:val=""/>
      <w:lvlJc w:val="left"/>
      <w:pPr>
        <w:tabs>
          <w:tab w:val="num" w:pos="851"/>
        </w:tabs>
        <w:ind w:left="851" w:hanging="851"/>
      </w:pPr>
      <w:rPr>
        <w:rFonts w:ascii="Symbol" w:hAnsi="Symbol" w:hint="default"/>
        <w:b/>
        <w:i w:val="0"/>
        <w:color w:val="0D3795"/>
        <w:sz w:val="28"/>
        <w:szCs w:val="28"/>
      </w:rPr>
    </w:lvl>
    <w:lvl w:ilvl="1">
      <w:start w:val="1"/>
      <w:numFmt w:val="bullet"/>
      <w:lvlText w:val=""/>
      <w:lvlJc w:val="left"/>
      <w:pPr>
        <w:tabs>
          <w:tab w:val="num" w:pos="851"/>
        </w:tabs>
        <w:ind w:left="851" w:hanging="851"/>
      </w:pPr>
      <w:rPr>
        <w:rFonts w:ascii="Symbol" w:hAnsi="Symbol"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5981"/>
        </w:tabs>
        <w:ind w:left="5981" w:hanging="851"/>
      </w:pPr>
      <w:rPr>
        <w:rFonts w:ascii="Arial" w:hAnsi="Arial" w:cs="Times New Roman" w:hint="default"/>
        <w:b w:val="0"/>
        <w:i w:val="0"/>
        <w:color w:val="000000" w:themeColor="text1"/>
        <w:sz w:val="24"/>
        <w:szCs w:val="22"/>
        <w:u w:val="none"/>
      </w:rPr>
    </w:lvl>
    <w:lvl w:ilvl="3">
      <w:start w:val="1"/>
      <w:numFmt w:val="decimal"/>
      <w:lvlText w:val="%1.%2.%3.%4"/>
      <w:lvlJc w:val="left"/>
      <w:pPr>
        <w:tabs>
          <w:tab w:val="num" w:pos="1077"/>
        </w:tabs>
        <w:ind w:left="1077" w:hanging="1077"/>
      </w:pPr>
      <w:rPr>
        <w:rFonts w:ascii="Helvetica" w:hAnsi="Helvetica" w:cs="Times New Roman" w:hint="default"/>
        <w:b w:val="0"/>
        <w:i w:val="0"/>
        <w:color w:val="004E73"/>
        <w:sz w:val="22"/>
        <w:szCs w:val="22"/>
        <w:u w:val="none"/>
      </w:rPr>
    </w:lvl>
    <w:lvl w:ilvl="4">
      <w:start w:val="1"/>
      <w:numFmt w:val="decimal"/>
      <w:lvlText w:val="%1.%2.%3.%4.%5"/>
      <w:lvlJc w:val="left"/>
      <w:pPr>
        <w:tabs>
          <w:tab w:val="num" w:pos="1008"/>
        </w:tabs>
        <w:ind w:left="1008" w:hanging="1008"/>
      </w:pPr>
      <w:rPr>
        <w:rFonts w:cs="Times New Roman" w:hint="default"/>
        <w:u w:val="single"/>
      </w:rPr>
    </w:lvl>
    <w:lvl w:ilvl="5">
      <w:start w:val="1"/>
      <w:numFmt w:val="decimal"/>
      <w:lvlText w:val="%1.%2.%3.%4.%5.%6"/>
      <w:lvlJc w:val="left"/>
      <w:pPr>
        <w:tabs>
          <w:tab w:val="num" w:pos="1152"/>
        </w:tabs>
        <w:ind w:left="1152" w:hanging="1152"/>
      </w:pPr>
      <w:rPr>
        <w:rFonts w:cs="Times New Roman" w:hint="default"/>
        <w:u w:val="single"/>
      </w:rPr>
    </w:lvl>
    <w:lvl w:ilvl="6">
      <w:start w:val="1"/>
      <w:numFmt w:val="decimal"/>
      <w:lvlText w:val="%1.%2.%3.%4.%5.%6.%7"/>
      <w:lvlJc w:val="left"/>
      <w:pPr>
        <w:tabs>
          <w:tab w:val="num" w:pos="1296"/>
        </w:tabs>
        <w:ind w:left="1296" w:hanging="1296"/>
      </w:pPr>
      <w:rPr>
        <w:rFonts w:cs="Times New Roman" w:hint="default"/>
        <w:u w:val="single"/>
      </w:rPr>
    </w:lvl>
    <w:lvl w:ilvl="7">
      <w:start w:val="1"/>
      <w:numFmt w:val="decimal"/>
      <w:lvlText w:val="%1.%2.%3.%4.%5.%6.%7.%8"/>
      <w:lvlJc w:val="left"/>
      <w:pPr>
        <w:tabs>
          <w:tab w:val="num" w:pos="1440"/>
        </w:tabs>
        <w:ind w:left="1440" w:hanging="1440"/>
      </w:pPr>
      <w:rPr>
        <w:rFonts w:cs="Times New Roman" w:hint="default"/>
        <w:u w:val="single"/>
      </w:rPr>
    </w:lvl>
    <w:lvl w:ilvl="8">
      <w:start w:val="1"/>
      <w:numFmt w:val="decimal"/>
      <w:lvlText w:val="%1.%2.%3.%4.%5.%6.%7.%8.%9"/>
      <w:lvlJc w:val="left"/>
      <w:pPr>
        <w:tabs>
          <w:tab w:val="num" w:pos="1584"/>
        </w:tabs>
        <w:ind w:left="1584" w:hanging="1584"/>
      </w:pPr>
      <w:rPr>
        <w:rFonts w:cs="Times New Roman" w:hint="default"/>
        <w:u w:val="single"/>
      </w:rPr>
    </w:lvl>
  </w:abstractNum>
  <w:abstractNum w:abstractNumId="5" w15:restartNumberingAfterBreak="0">
    <w:nsid w:val="306E3385"/>
    <w:multiLevelType w:val="hybridMultilevel"/>
    <w:tmpl w:val="6C800D5E"/>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2410522"/>
    <w:multiLevelType w:val="hybridMultilevel"/>
    <w:tmpl w:val="D68C5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58F22B1"/>
    <w:multiLevelType w:val="hybridMultilevel"/>
    <w:tmpl w:val="6A2472DE"/>
    <w:lvl w:ilvl="0" w:tplc="2792853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614D83"/>
    <w:multiLevelType w:val="hybridMultilevel"/>
    <w:tmpl w:val="E49E46AC"/>
    <w:lvl w:ilvl="0" w:tplc="2792853A">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3387F8F"/>
    <w:multiLevelType w:val="multilevel"/>
    <w:tmpl w:val="7740681E"/>
    <w:lvl w:ilvl="0">
      <w:start w:val="1"/>
      <w:numFmt w:val="bullet"/>
      <w:lvlText w:val=""/>
      <w:lvlJc w:val="left"/>
      <w:pPr>
        <w:tabs>
          <w:tab w:val="num" w:pos="851"/>
        </w:tabs>
        <w:ind w:left="851" w:hanging="851"/>
      </w:pPr>
      <w:rPr>
        <w:rFonts w:ascii="Symbol" w:hAnsi="Symbol" w:hint="default"/>
        <w:b/>
        <w:i w:val="0"/>
        <w:color w:val="0D3795"/>
        <w:sz w:val="28"/>
        <w:szCs w:val="28"/>
      </w:rPr>
    </w:lvl>
    <w:lvl w:ilvl="1">
      <w:start w:val="1"/>
      <w:numFmt w:val="bullet"/>
      <w:lvlText w:val=""/>
      <w:lvlJc w:val="left"/>
      <w:pPr>
        <w:tabs>
          <w:tab w:val="num" w:pos="851"/>
        </w:tabs>
        <w:ind w:left="851" w:hanging="851"/>
      </w:pPr>
      <w:rPr>
        <w:rFonts w:ascii="Symbol" w:hAnsi="Symbol"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5981"/>
        </w:tabs>
        <w:ind w:left="5981" w:hanging="851"/>
      </w:pPr>
      <w:rPr>
        <w:rFonts w:ascii="Arial" w:hAnsi="Arial" w:cs="Times New Roman" w:hint="default"/>
        <w:b w:val="0"/>
        <w:i w:val="0"/>
        <w:color w:val="000000" w:themeColor="text1"/>
        <w:sz w:val="24"/>
        <w:szCs w:val="22"/>
        <w:u w:val="none"/>
      </w:rPr>
    </w:lvl>
    <w:lvl w:ilvl="3">
      <w:start w:val="1"/>
      <w:numFmt w:val="decimal"/>
      <w:lvlText w:val="%1.%2.%3.%4"/>
      <w:lvlJc w:val="left"/>
      <w:pPr>
        <w:tabs>
          <w:tab w:val="num" w:pos="1077"/>
        </w:tabs>
        <w:ind w:left="1077" w:hanging="1077"/>
      </w:pPr>
      <w:rPr>
        <w:rFonts w:ascii="Helvetica" w:hAnsi="Helvetica" w:cs="Times New Roman" w:hint="default"/>
        <w:b w:val="0"/>
        <w:i w:val="0"/>
        <w:color w:val="004E73"/>
        <w:sz w:val="22"/>
        <w:szCs w:val="22"/>
        <w:u w:val="none"/>
      </w:rPr>
    </w:lvl>
    <w:lvl w:ilvl="4">
      <w:start w:val="1"/>
      <w:numFmt w:val="decimal"/>
      <w:lvlText w:val="%1.%2.%3.%4.%5"/>
      <w:lvlJc w:val="left"/>
      <w:pPr>
        <w:tabs>
          <w:tab w:val="num" w:pos="1008"/>
        </w:tabs>
        <w:ind w:left="1008" w:hanging="1008"/>
      </w:pPr>
      <w:rPr>
        <w:rFonts w:cs="Times New Roman" w:hint="default"/>
        <w:u w:val="single"/>
      </w:rPr>
    </w:lvl>
    <w:lvl w:ilvl="5">
      <w:start w:val="1"/>
      <w:numFmt w:val="decimal"/>
      <w:lvlText w:val="%1.%2.%3.%4.%5.%6"/>
      <w:lvlJc w:val="left"/>
      <w:pPr>
        <w:tabs>
          <w:tab w:val="num" w:pos="1152"/>
        </w:tabs>
        <w:ind w:left="1152" w:hanging="1152"/>
      </w:pPr>
      <w:rPr>
        <w:rFonts w:cs="Times New Roman" w:hint="default"/>
        <w:u w:val="single"/>
      </w:rPr>
    </w:lvl>
    <w:lvl w:ilvl="6">
      <w:start w:val="1"/>
      <w:numFmt w:val="decimal"/>
      <w:lvlText w:val="%1.%2.%3.%4.%5.%6.%7"/>
      <w:lvlJc w:val="left"/>
      <w:pPr>
        <w:tabs>
          <w:tab w:val="num" w:pos="1296"/>
        </w:tabs>
        <w:ind w:left="1296" w:hanging="1296"/>
      </w:pPr>
      <w:rPr>
        <w:rFonts w:cs="Times New Roman" w:hint="default"/>
        <w:u w:val="single"/>
      </w:rPr>
    </w:lvl>
    <w:lvl w:ilvl="7">
      <w:start w:val="1"/>
      <w:numFmt w:val="decimal"/>
      <w:lvlText w:val="%1.%2.%3.%4.%5.%6.%7.%8"/>
      <w:lvlJc w:val="left"/>
      <w:pPr>
        <w:tabs>
          <w:tab w:val="num" w:pos="1440"/>
        </w:tabs>
        <w:ind w:left="1440" w:hanging="1440"/>
      </w:pPr>
      <w:rPr>
        <w:rFonts w:cs="Times New Roman" w:hint="default"/>
        <w:u w:val="single"/>
      </w:rPr>
    </w:lvl>
    <w:lvl w:ilvl="8">
      <w:start w:val="1"/>
      <w:numFmt w:val="decimal"/>
      <w:lvlText w:val="%1.%2.%3.%4.%5.%6.%7.%8.%9"/>
      <w:lvlJc w:val="left"/>
      <w:pPr>
        <w:tabs>
          <w:tab w:val="num" w:pos="1584"/>
        </w:tabs>
        <w:ind w:left="1584" w:hanging="1584"/>
      </w:pPr>
      <w:rPr>
        <w:rFonts w:cs="Times New Roman" w:hint="default"/>
        <w:u w:val="single"/>
      </w:rPr>
    </w:lvl>
  </w:abstractNum>
  <w:abstractNum w:abstractNumId="14" w15:restartNumberingAfterBreak="0">
    <w:nsid w:val="7A3752C8"/>
    <w:multiLevelType w:val="hybridMultilevel"/>
    <w:tmpl w:val="0F0ECC0C"/>
    <w:styleLink w:val="WWOutlineListStyle165"/>
    <w:lvl w:ilvl="0" w:tplc="F2C0486E">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8"/>
  </w:num>
  <w:num w:numId="3">
    <w:abstractNumId w:val="12"/>
  </w:num>
  <w:num w:numId="4">
    <w:abstractNumId w:val="6"/>
  </w:num>
  <w:num w:numId="5">
    <w:abstractNumId w:val="9"/>
  </w:num>
  <w:num w:numId="6">
    <w:abstractNumId w:val="7"/>
  </w:num>
  <w:num w:numId="7">
    <w:abstractNumId w:val="10"/>
  </w:num>
  <w:num w:numId="8">
    <w:abstractNumId w:val="11"/>
  </w:num>
  <w:num w:numId="9">
    <w:abstractNumId w:val="1"/>
  </w:num>
  <w:num w:numId="10">
    <w:abstractNumId w:val="3"/>
  </w:num>
  <w:num w:numId="11">
    <w:abstractNumId w:val="5"/>
  </w:num>
  <w:num w:numId="12">
    <w:abstractNumId w:val="13"/>
  </w:num>
  <w:num w:numId="13">
    <w:abstractNumId w:val="4"/>
  </w:num>
  <w:num w:numId="14">
    <w:abstractNumId w:val="14"/>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2175B"/>
    <w:rsid w:val="0004312C"/>
    <w:rsid w:val="00057FB5"/>
    <w:rsid w:val="00074F30"/>
    <w:rsid w:val="00091167"/>
    <w:rsid w:val="00091754"/>
    <w:rsid w:val="000A42ED"/>
    <w:rsid w:val="000A5F29"/>
    <w:rsid w:val="000A65C3"/>
    <w:rsid w:val="000A777C"/>
    <w:rsid w:val="000B2F59"/>
    <w:rsid w:val="000C055B"/>
    <w:rsid w:val="000C69D6"/>
    <w:rsid w:val="000D2A61"/>
    <w:rsid w:val="000D3120"/>
    <w:rsid w:val="000E0D15"/>
    <w:rsid w:val="001072CF"/>
    <w:rsid w:val="001223E7"/>
    <w:rsid w:val="00140376"/>
    <w:rsid w:val="001550A8"/>
    <w:rsid w:val="00157073"/>
    <w:rsid w:val="001578EC"/>
    <w:rsid w:val="001830BA"/>
    <w:rsid w:val="0018509C"/>
    <w:rsid w:val="00187CAD"/>
    <w:rsid w:val="001A7888"/>
    <w:rsid w:val="001C683F"/>
    <w:rsid w:val="001D33BD"/>
    <w:rsid w:val="001D7998"/>
    <w:rsid w:val="001E09AE"/>
    <w:rsid w:val="001F2636"/>
    <w:rsid w:val="001F2E52"/>
    <w:rsid w:val="002024BA"/>
    <w:rsid w:val="002110DB"/>
    <w:rsid w:val="00211C66"/>
    <w:rsid w:val="00216DC0"/>
    <w:rsid w:val="00231B08"/>
    <w:rsid w:val="002369B5"/>
    <w:rsid w:val="00244751"/>
    <w:rsid w:val="002451F4"/>
    <w:rsid w:val="00250AC1"/>
    <w:rsid w:val="00250D64"/>
    <w:rsid w:val="00252A3D"/>
    <w:rsid w:val="00253011"/>
    <w:rsid w:val="00254BE0"/>
    <w:rsid w:val="0026378A"/>
    <w:rsid w:val="002734BF"/>
    <w:rsid w:val="0028320A"/>
    <w:rsid w:val="00294146"/>
    <w:rsid w:val="002A0F1F"/>
    <w:rsid w:val="002A6641"/>
    <w:rsid w:val="002B1DBB"/>
    <w:rsid w:val="002B7E56"/>
    <w:rsid w:val="002C0C59"/>
    <w:rsid w:val="002C486D"/>
    <w:rsid w:val="002C7D4C"/>
    <w:rsid w:val="002D2193"/>
    <w:rsid w:val="002E0140"/>
    <w:rsid w:val="002F3BAB"/>
    <w:rsid w:val="002F7D63"/>
    <w:rsid w:val="00312AEC"/>
    <w:rsid w:val="0032129C"/>
    <w:rsid w:val="0032394B"/>
    <w:rsid w:val="00332032"/>
    <w:rsid w:val="003A3244"/>
    <w:rsid w:val="003A54B4"/>
    <w:rsid w:val="003B0815"/>
    <w:rsid w:val="003B0B63"/>
    <w:rsid w:val="003B1C23"/>
    <w:rsid w:val="003C1E23"/>
    <w:rsid w:val="003C6517"/>
    <w:rsid w:val="003D0802"/>
    <w:rsid w:val="003D257F"/>
    <w:rsid w:val="003E614A"/>
    <w:rsid w:val="00400324"/>
    <w:rsid w:val="00404536"/>
    <w:rsid w:val="00411239"/>
    <w:rsid w:val="00416694"/>
    <w:rsid w:val="0043036E"/>
    <w:rsid w:val="00456D4C"/>
    <w:rsid w:val="00460CC4"/>
    <w:rsid w:val="004632FC"/>
    <w:rsid w:val="00464650"/>
    <w:rsid w:val="004716E9"/>
    <w:rsid w:val="004724B3"/>
    <w:rsid w:val="004830A1"/>
    <w:rsid w:val="00483D67"/>
    <w:rsid w:val="0049209E"/>
    <w:rsid w:val="00492703"/>
    <w:rsid w:val="00492D6C"/>
    <w:rsid w:val="00496541"/>
    <w:rsid w:val="004A0236"/>
    <w:rsid w:val="004A0451"/>
    <w:rsid w:val="004A48CC"/>
    <w:rsid w:val="004A6E80"/>
    <w:rsid w:val="004C3976"/>
    <w:rsid w:val="004C4A70"/>
    <w:rsid w:val="004D28DE"/>
    <w:rsid w:val="004F00EE"/>
    <w:rsid w:val="004F1B81"/>
    <w:rsid w:val="004F4F01"/>
    <w:rsid w:val="004F72F2"/>
    <w:rsid w:val="004F77EC"/>
    <w:rsid w:val="00513FF2"/>
    <w:rsid w:val="005155BD"/>
    <w:rsid w:val="00526897"/>
    <w:rsid w:val="005365DF"/>
    <w:rsid w:val="00546A11"/>
    <w:rsid w:val="005536F3"/>
    <w:rsid w:val="0055499F"/>
    <w:rsid w:val="0056397F"/>
    <w:rsid w:val="00566DCD"/>
    <w:rsid w:val="00584944"/>
    <w:rsid w:val="00590BC7"/>
    <w:rsid w:val="005A11C3"/>
    <w:rsid w:val="005B2BDA"/>
    <w:rsid w:val="005B3F03"/>
    <w:rsid w:val="005D4A53"/>
    <w:rsid w:val="005E3A24"/>
    <w:rsid w:val="0060023B"/>
    <w:rsid w:val="00616B91"/>
    <w:rsid w:val="00657B98"/>
    <w:rsid w:val="006619A6"/>
    <w:rsid w:val="0066262A"/>
    <w:rsid w:val="00687FB3"/>
    <w:rsid w:val="00690F18"/>
    <w:rsid w:val="006A2441"/>
    <w:rsid w:val="006A5015"/>
    <w:rsid w:val="006A6884"/>
    <w:rsid w:val="006B4F52"/>
    <w:rsid w:val="006C27E9"/>
    <w:rsid w:val="006C3E58"/>
    <w:rsid w:val="006C7617"/>
    <w:rsid w:val="006D55CE"/>
    <w:rsid w:val="006D720A"/>
    <w:rsid w:val="006E294E"/>
    <w:rsid w:val="006E7C0F"/>
    <w:rsid w:val="006F7C22"/>
    <w:rsid w:val="00711601"/>
    <w:rsid w:val="007560FE"/>
    <w:rsid w:val="00756119"/>
    <w:rsid w:val="00757110"/>
    <w:rsid w:val="0076223E"/>
    <w:rsid w:val="00762EED"/>
    <w:rsid w:val="00766D06"/>
    <w:rsid w:val="00767DB6"/>
    <w:rsid w:val="007841B8"/>
    <w:rsid w:val="007B6D9A"/>
    <w:rsid w:val="007E4B35"/>
    <w:rsid w:val="007E4BFC"/>
    <w:rsid w:val="007E60AD"/>
    <w:rsid w:val="007F1E57"/>
    <w:rsid w:val="007F5AC2"/>
    <w:rsid w:val="008051B6"/>
    <w:rsid w:val="00832191"/>
    <w:rsid w:val="008354DE"/>
    <w:rsid w:val="00850617"/>
    <w:rsid w:val="00860435"/>
    <w:rsid w:val="008608CF"/>
    <w:rsid w:val="008619CE"/>
    <w:rsid w:val="00863FAA"/>
    <w:rsid w:val="00864909"/>
    <w:rsid w:val="0086658C"/>
    <w:rsid w:val="00881BD2"/>
    <w:rsid w:val="008933AF"/>
    <w:rsid w:val="008B6B1B"/>
    <w:rsid w:val="008C2591"/>
    <w:rsid w:val="008D78C8"/>
    <w:rsid w:val="008E1700"/>
    <w:rsid w:val="008F1C7A"/>
    <w:rsid w:val="008F4F3A"/>
    <w:rsid w:val="00903994"/>
    <w:rsid w:val="00904459"/>
    <w:rsid w:val="009206D4"/>
    <w:rsid w:val="009267E2"/>
    <w:rsid w:val="00935600"/>
    <w:rsid w:val="009436E2"/>
    <w:rsid w:val="00953E75"/>
    <w:rsid w:val="009551B2"/>
    <w:rsid w:val="009575B3"/>
    <w:rsid w:val="00982108"/>
    <w:rsid w:val="0099210B"/>
    <w:rsid w:val="00993D5C"/>
    <w:rsid w:val="009A2D68"/>
    <w:rsid w:val="009A7B6E"/>
    <w:rsid w:val="009B496C"/>
    <w:rsid w:val="009C1513"/>
    <w:rsid w:val="009C7667"/>
    <w:rsid w:val="009D2E19"/>
    <w:rsid w:val="009D57B3"/>
    <w:rsid w:val="009E2519"/>
    <w:rsid w:val="009E589D"/>
    <w:rsid w:val="009F4523"/>
    <w:rsid w:val="009F66C2"/>
    <w:rsid w:val="00A00FFF"/>
    <w:rsid w:val="00A10B20"/>
    <w:rsid w:val="00A122DF"/>
    <w:rsid w:val="00A166B1"/>
    <w:rsid w:val="00A222B6"/>
    <w:rsid w:val="00A268F5"/>
    <w:rsid w:val="00A2730E"/>
    <w:rsid w:val="00A370D0"/>
    <w:rsid w:val="00A40407"/>
    <w:rsid w:val="00A41E0A"/>
    <w:rsid w:val="00A62650"/>
    <w:rsid w:val="00A72D39"/>
    <w:rsid w:val="00A75D2D"/>
    <w:rsid w:val="00A94D10"/>
    <w:rsid w:val="00AA0EEA"/>
    <w:rsid w:val="00AC53A5"/>
    <w:rsid w:val="00AC577A"/>
    <w:rsid w:val="00AC6345"/>
    <w:rsid w:val="00AD2A35"/>
    <w:rsid w:val="00AD4BA5"/>
    <w:rsid w:val="00AE1C61"/>
    <w:rsid w:val="00AE77B0"/>
    <w:rsid w:val="00B10A8A"/>
    <w:rsid w:val="00B110AE"/>
    <w:rsid w:val="00B1599E"/>
    <w:rsid w:val="00B25934"/>
    <w:rsid w:val="00B37257"/>
    <w:rsid w:val="00B374C1"/>
    <w:rsid w:val="00B41002"/>
    <w:rsid w:val="00B43C9C"/>
    <w:rsid w:val="00B57025"/>
    <w:rsid w:val="00B62271"/>
    <w:rsid w:val="00B72DD0"/>
    <w:rsid w:val="00B73D8E"/>
    <w:rsid w:val="00B746F4"/>
    <w:rsid w:val="00B74B13"/>
    <w:rsid w:val="00B813AE"/>
    <w:rsid w:val="00B816F4"/>
    <w:rsid w:val="00B82165"/>
    <w:rsid w:val="00B90381"/>
    <w:rsid w:val="00B9353C"/>
    <w:rsid w:val="00BA603F"/>
    <w:rsid w:val="00BB33DB"/>
    <w:rsid w:val="00BC3C63"/>
    <w:rsid w:val="00BC4695"/>
    <w:rsid w:val="00BD23C1"/>
    <w:rsid w:val="00BE22A3"/>
    <w:rsid w:val="00BE510B"/>
    <w:rsid w:val="00BF5BF7"/>
    <w:rsid w:val="00BF7F43"/>
    <w:rsid w:val="00C02E20"/>
    <w:rsid w:val="00C10DC2"/>
    <w:rsid w:val="00C21348"/>
    <w:rsid w:val="00C23AF7"/>
    <w:rsid w:val="00C30ED1"/>
    <w:rsid w:val="00C315EE"/>
    <w:rsid w:val="00C451FE"/>
    <w:rsid w:val="00C608B1"/>
    <w:rsid w:val="00C61163"/>
    <w:rsid w:val="00C679DC"/>
    <w:rsid w:val="00C737C1"/>
    <w:rsid w:val="00C8292B"/>
    <w:rsid w:val="00C82B97"/>
    <w:rsid w:val="00CA27BC"/>
    <w:rsid w:val="00CA341F"/>
    <w:rsid w:val="00CA48D8"/>
    <w:rsid w:val="00CB3B26"/>
    <w:rsid w:val="00CD7A31"/>
    <w:rsid w:val="00CF0C92"/>
    <w:rsid w:val="00CF12D4"/>
    <w:rsid w:val="00D10069"/>
    <w:rsid w:val="00D117FB"/>
    <w:rsid w:val="00D12C71"/>
    <w:rsid w:val="00D21738"/>
    <w:rsid w:val="00D22FCF"/>
    <w:rsid w:val="00D23C5F"/>
    <w:rsid w:val="00D25FF3"/>
    <w:rsid w:val="00D31F79"/>
    <w:rsid w:val="00D361A7"/>
    <w:rsid w:val="00D45752"/>
    <w:rsid w:val="00D524A1"/>
    <w:rsid w:val="00D55C59"/>
    <w:rsid w:val="00D55E30"/>
    <w:rsid w:val="00D70DA9"/>
    <w:rsid w:val="00D8638F"/>
    <w:rsid w:val="00D86557"/>
    <w:rsid w:val="00D86CE6"/>
    <w:rsid w:val="00D90339"/>
    <w:rsid w:val="00D931F4"/>
    <w:rsid w:val="00D942BF"/>
    <w:rsid w:val="00DC48A8"/>
    <w:rsid w:val="00DD0F85"/>
    <w:rsid w:val="00DD25DC"/>
    <w:rsid w:val="00DD4EAB"/>
    <w:rsid w:val="00DE2E90"/>
    <w:rsid w:val="00DE5AC7"/>
    <w:rsid w:val="00DE6622"/>
    <w:rsid w:val="00DE6AE6"/>
    <w:rsid w:val="00DE704C"/>
    <w:rsid w:val="00DF57C5"/>
    <w:rsid w:val="00DF61D0"/>
    <w:rsid w:val="00E011A2"/>
    <w:rsid w:val="00E04534"/>
    <w:rsid w:val="00E06D77"/>
    <w:rsid w:val="00E0706D"/>
    <w:rsid w:val="00E15D9C"/>
    <w:rsid w:val="00E27E7C"/>
    <w:rsid w:val="00E35809"/>
    <w:rsid w:val="00E40B2A"/>
    <w:rsid w:val="00E63A62"/>
    <w:rsid w:val="00E6432F"/>
    <w:rsid w:val="00E70E74"/>
    <w:rsid w:val="00E74EBD"/>
    <w:rsid w:val="00E7793B"/>
    <w:rsid w:val="00E90D32"/>
    <w:rsid w:val="00EA062C"/>
    <w:rsid w:val="00EB405A"/>
    <w:rsid w:val="00EB4C47"/>
    <w:rsid w:val="00EC6A3A"/>
    <w:rsid w:val="00ED0ACB"/>
    <w:rsid w:val="00EE5D60"/>
    <w:rsid w:val="00EE7EE4"/>
    <w:rsid w:val="00EF0173"/>
    <w:rsid w:val="00F00756"/>
    <w:rsid w:val="00F06601"/>
    <w:rsid w:val="00F071A5"/>
    <w:rsid w:val="00F11EC8"/>
    <w:rsid w:val="00F14688"/>
    <w:rsid w:val="00F2392D"/>
    <w:rsid w:val="00F32657"/>
    <w:rsid w:val="00F4445B"/>
    <w:rsid w:val="00F72C43"/>
    <w:rsid w:val="00F80C92"/>
    <w:rsid w:val="00F81833"/>
    <w:rsid w:val="00F82A8B"/>
    <w:rsid w:val="00F852D9"/>
    <w:rsid w:val="00F86051"/>
    <w:rsid w:val="00FB0B72"/>
    <w:rsid w:val="00FB6A15"/>
    <w:rsid w:val="00FC4DB4"/>
    <w:rsid w:val="00FD767A"/>
    <w:rsid w:val="00FE2E48"/>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96B927C"/>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320A"/>
    <w:pPr>
      <w:spacing w:after="0" w:line="240" w:lineRule="auto"/>
    </w:pPr>
    <w:rPr>
      <w:rFonts w:eastAsiaTheme="minorEastAsia"/>
      <w:sz w:val="24"/>
      <w:szCs w:val="24"/>
    </w:rPr>
  </w:style>
  <w:style w:type="paragraph" w:styleId="Heading1">
    <w:name w:val="heading 1"/>
    <w:aliases w:val="Centered 1,Section,Section Heading,Paragraph No,Oscar Faber 1,RR level 1,SAHeading 1,Headerm,Ch,Ch1,Chapter,Outline1,h1,Se,MPS Standard Heading 1,PA Chapter,numbered indent 1,ni1,Heading.CAPS,NAME,H1,Main Section,NHS Heading 1,1,BC 1st Heading"/>
    <w:basedOn w:val="Normal"/>
    <w:next w:val="Normal"/>
    <w:link w:val="Heading1Char"/>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PARA2,PA Major Section,h2,2,sub-sect,21,sub-sect1,22,sub-sect2,23,sub-sect3,24,sub-sect4,25,sub-sect5,211,sub-sect11,(1.1,1.2,1.3 etc),section header,Major,Major1,Major2,Major11,Heaidng 2,H2,l2,no section,Logica LevelSeas.com,nmh"/>
    <w:basedOn w:val="Normal"/>
    <w:next w:val="Normal"/>
    <w:link w:val="Heading2Char"/>
    <w:qFormat/>
    <w:rsid w:val="004F4F01"/>
    <w:pPr>
      <w:keepNext/>
      <w:keepLines/>
      <w:tabs>
        <w:tab w:val="num" w:pos="1561"/>
      </w:tabs>
      <w:ind w:left="1561" w:hanging="851"/>
      <w:jc w:val="both"/>
      <w:outlineLvl w:val="1"/>
    </w:pPr>
    <w:rPr>
      <w:rFonts w:ascii="Arial" w:eastAsia="Times New Roman" w:hAnsi="Arial" w:cs="Arial"/>
      <w:bCs/>
      <w:iCs/>
      <w:szCs w:val="28"/>
      <w:lang w:eastAsia="en-GB"/>
    </w:rPr>
  </w:style>
  <w:style w:type="paragraph" w:styleId="Heading3">
    <w:name w:val="heading 3"/>
    <w:aliases w:val="Para Heading 3,h3,Centered 3,Tribal heading 3,1.1.1 Style now,Minor,Level 1 - 1,Numbered para,Outline3,Level 2.1,Oscar Faber 3,SZRptH3,add-phara,A,B,C,Para,(13pt),(12pt),Mia,Mia1,H3,Mi,HAA-SubSection,Apx par,1.2.3.,niveau3,Heading 31,h31,3,l3"/>
    <w:basedOn w:val="Normal"/>
    <w:next w:val="Normal"/>
    <w:link w:val="Heading3Char"/>
    <w:qFormat/>
    <w:rsid w:val="004F4F01"/>
    <w:pPr>
      <w:keepNext/>
      <w:tabs>
        <w:tab w:val="num" w:pos="851"/>
      </w:tabs>
      <w:ind w:left="851" w:hanging="851"/>
      <w:jc w:val="both"/>
      <w:outlineLvl w:val="2"/>
    </w:pPr>
    <w:rPr>
      <w:rFonts w:ascii="Arial" w:eastAsia="Times New Roman" w:hAnsi="Arial" w:cs="Arial"/>
      <w:bCs/>
      <w:szCs w:val="26"/>
      <w:lang w:eastAsia="en-GB"/>
    </w:rPr>
  </w:style>
  <w:style w:type="paragraph" w:styleId="Heading4">
    <w:name w:val="heading 4"/>
    <w:aliases w:val="PARA4,h4,Level 2 - a,Sub-Minor,Te1,Te2,Te3,Te4,Te5,Te6,Te7,Te8,Te9,Te10,Te11,Te91,Te12,Te21,Te31,Te41,Te51,Te61,Te71,Te81,Te92,Te101,Te111,Te911,Te13,Te22,Te32,Te42,Te52,Te62,Te72,Te82,Te93,Te102,Te112,Te912,Te14,Te23,Te33,Te43,Te53,Te63,Te73"/>
    <w:basedOn w:val="Normal"/>
    <w:next w:val="Normal"/>
    <w:link w:val="Heading4Char"/>
    <w:qFormat/>
    <w:rsid w:val="004F4F01"/>
    <w:pPr>
      <w:keepNext/>
      <w:tabs>
        <w:tab w:val="num" w:pos="1077"/>
      </w:tabs>
      <w:spacing w:after="120"/>
      <w:ind w:left="1077" w:hanging="1077"/>
      <w:jc w:val="both"/>
      <w:outlineLvl w:val="3"/>
    </w:pPr>
    <w:rPr>
      <w:rFonts w:ascii="Arial Bold" w:eastAsia="Times New Roman" w:hAnsi="Arial Bold" w:cs="Times New Roman"/>
      <w:b/>
      <w:bCs/>
      <w:color w:val="004E73"/>
      <w:lang w:eastAsia="en-GB"/>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qFormat/>
    <w:rsid w:val="004F4F01"/>
    <w:pPr>
      <w:tabs>
        <w:tab w:val="num" w:pos="1152"/>
      </w:tabs>
      <w:spacing w:before="240"/>
      <w:ind w:left="1152" w:hanging="1152"/>
      <w:jc w:val="both"/>
      <w:outlineLvl w:val="5"/>
    </w:pPr>
    <w:rPr>
      <w:rFonts w:ascii="Times New Roman" w:eastAsia="Times New Roman" w:hAnsi="Times New Roman" w:cs="Times New Roman"/>
      <w:b/>
      <w:bCs/>
      <w:szCs w:val="22"/>
      <w:lang w:eastAsia="en-GB"/>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qFormat/>
    <w:rsid w:val="004F4F01"/>
    <w:pPr>
      <w:tabs>
        <w:tab w:val="num" w:pos="1296"/>
      </w:tabs>
      <w:spacing w:before="240"/>
      <w:ind w:left="1296" w:hanging="1296"/>
      <w:jc w:val="both"/>
      <w:outlineLvl w:val="6"/>
    </w:pPr>
    <w:rPr>
      <w:rFonts w:ascii="Times New Roman" w:eastAsia="Times New Roman" w:hAnsi="Times New Roman" w:cs="Times New Roman"/>
      <w:lang w:eastAsia="en-GB"/>
    </w:rPr>
  </w:style>
  <w:style w:type="paragraph" w:styleId="Heading8">
    <w:name w:val="heading 8"/>
    <w:aliases w:val="Legal Level 1.1.1.,N (It),RR level 8,PA Appendix Minor,Lev 8,8,FigureTitle,Condition,requirement,req2,req,action,action1,action2,action3,action4,action5,action6,action7,action8,Center Bold,T8,Appendices Sub-Heading, action, action1, action2"/>
    <w:basedOn w:val="Normal"/>
    <w:next w:val="Normal"/>
    <w:link w:val="Heading8Char"/>
    <w:qFormat/>
    <w:rsid w:val="004F4F01"/>
    <w:pPr>
      <w:tabs>
        <w:tab w:val="num" w:pos="1440"/>
      </w:tabs>
      <w:spacing w:before="240"/>
      <w:ind w:left="1440" w:hanging="1440"/>
      <w:jc w:val="both"/>
      <w:outlineLvl w:val="7"/>
    </w:pPr>
    <w:rPr>
      <w:rFonts w:ascii="Times New Roman" w:eastAsia="Times New Roman" w:hAnsi="Times New Roman" w:cs="Times New Roman"/>
      <w:i/>
      <w:iCs/>
      <w:lang w:eastAsia="en-GB"/>
    </w:rPr>
  </w:style>
  <w:style w:type="paragraph" w:styleId="Heading9">
    <w:name w:val="heading 9"/>
    <w:basedOn w:val="Normal"/>
    <w:next w:val="Normal"/>
    <w:link w:val="Heading9Char"/>
    <w:qFormat/>
    <w:rsid w:val="004F4F01"/>
    <w:pPr>
      <w:tabs>
        <w:tab w:val="num" w:pos="1584"/>
      </w:tabs>
      <w:spacing w:before="240"/>
      <w:ind w:left="1584" w:hanging="1584"/>
      <w:jc w:val="both"/>
      <w:outlineLvl w:val="8"/>
    </w:pPr>
    <w:rPr>
      <w:rFonts w:ascii="Arial" w:eastAsia="Times New Roman" w:hAnsi="Arial" w:cs="Arial"/>
      <w:szCs w:val="2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aliases w:val="Centered 1 Char,Section Char,Section Heading Char,Paragraph No Char,Oscar Faber 1 Char,RR level 1 Char,SAHeading 1 Char,Headerm Char,Ch Char,Ch1 Char,Chapter Char,Outline1 Char,h1 Char,Se Char,MPS Standard Heading 1 Char,PA Chapter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Bullet point text,Body Paragraph,Bulleted list,Dot pt,List Paragraph Char Char Char,Indicator Text,Numbered Para 1,List Paragraph1,Bullet Points,MAIN CONTENT,List Paragraph11,List Paragraph12,F5 List Paragraph,Style 1,Bullet Style"/>
    <w:basedOn w:val="Normal"/>
    <w:link w:val="ListParagraphChar"/>
    <w:uiPriority w:val="34"/>
    <w:qFormat/>
    <w:rsid w:val="00AE1C61"/>
    <w:pPr>
      <w:ind w:left="720"/>
    </w:pPr>
    <w:rPr>
      <w:rFonts w:ascii="Times New Roman" w:eastAsia="Times New Roman" w:hAnsi="Times New Roman" w:cs="Times New Roman"/>
      <w:lang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NormalWeb">
    <w:name w:val="Normal (Web)"/>
    <w:basedOn w:val="Normal"/>
    <w:uiPriority w:val="99"/>
    <w:semiHidden/>
    <w:unhideWhenUsed/>
    <w:rsid w:val="004716E9"/>
    <w:pPr>
      <w:spacing w:before="100" w:beforeAutospacing="1" w:after="100" w:afterAutospacing="1"/>
    </w:pPr>
    <w:rPr>
      <w:rFonts w:ascii="Times New Roman" w:eastAsia="Times New Roman" w:hAnsi="Times New Roman" w:cs="Times New Roman"/>
      <w:lang w:eastAsia="en-GB"/>
    </w:rPr>
  </w:style>
  <w:style w:type="paragraph" w:styleId="Revision">
    <w:name w:val="Revision"/>
    <w:hidden/>
    <w:uiPriority w:val="99"/>
    <w:semiHidden/>
    <w:rsid w:val="002B1DBB"/>
    <w:pPr>
      <w:spacing w:after="0" w:line="240" w:lineRule="auto"/>
    </w:pPr>
    <w:rPr>
      <w:rFonts w:eastAsiaTheme="minorEastAsia"/>
      <w:sz w:val="24"/>
      <w:szCs w:val="24"/>
      <w:lang w:val="en-US"/>
    </w:rPr>
  </w:style>
  <w:style w:type="table" w:styleId="GridTable5Dark-Accent1">
    <w:name w:val="Grid Table 5 Dark Accent 1"/>
    <w:basedOn w:val="TableNormal"/>
    <w:uiPriority w:val="50"/>
    <w:rsid w:val="004F4F0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Heading2Char">
    <w:name w:val="Heading 2 Char"/>
    <w:aliases w:val="Numbered - 2 Char,PARA2 Char,PA Major Section Char,h2 Char,2 Char,sub-sect Char,21 Char,sub-sect1 Char,22 Char,sub-sect2 Char,23 Char,sub-sect3 Char,24 Char,sub-sect4 Char,25 Char,sub-sect5 Char,211 Char,sub-sect11 Char,(1.1 Char,1.2 Char"/>
    <w:basedOn w:val="DefaultParagraphFont"/>
    <w:link w:val="Heading2"/>
    <w:rsid w:val="004F4F01"/>
    <w:rPr>
      <w:rFonts w:ascii="Arial" w:eastAsia="Times New Roman" w:hAnsi="Arial" w:cs="Arial"/>
      <w:bCs/>
      <w:iCs/>
      <w:sz w:val="24"/>
      <w:szCs w:val="28"/>
      <w:lang w:eastAsia="en-GB"/>
    </w:rPr>
  </w:style>
  <w:style w:type="character" w:customStyle="1" w:styleId="Heading3Char">
    <w:name w:val="Heading 3 Char"/>
    <w:aliases w:val="Para Heading 3 Char,h3 Char,Centered 3 Char,Tribal heading 3 Char,1.1.1 Style now Char,Minor Char,Level 1 - 1 Char,Numbered para Char,Outline3 Char,Level 2.1 Char,Oscar Faber 3 Char,SZRptH3 Char,add-phara Char,A Char,B Char,C Char,H3 Char"/>
    <w:basedOn w:val="DefaultParagraphFont"/>
    <w:link w:val="Heading3"/>
    <w:rsid w:val="004F4F01"/>
    <w:rPr>
      <w:rFonts w:ascii="Arial" w:eastAsia="Times New Roman" w:hAnsi="Arial" w:cs="Arial"/>
      <w:bCs/>
      <w:sz w:val="24"/>
      <w:szCs w:val="26"/>
      <w:lang w:eastAsia="en-GB"/>
    </w:rPr>
  </w:style>
  <w:style w:type="character" w:customStyle="1" w:styleId="Heading4Char">
    <w:name w:val="Heading 4 Char"/>
    <w:aliases w:val="PARA4 Char,h4 Char,Level 2 - a Char,Sub-Minor Char,Te1 Char,Te2 Char,Te3 Char,Te4 Char,Te5 Char,Te6 Char,Te7 Char,Te8 Char,Te9 Char,Te10 Char,Te11 Char,Te91 Char,Te12 Char,Te21 Char,Te31 Char,Te41 Char,Te51 Char,Te61 Char,Te71 Char"/>
    <w:basedOn w:val="DefaultParagraphFont"/>
    <w:link w:val="Heading4"/>
    <w:rsid w:val="004F4F01"/>
    <w:rPr>
      <w:rFonts w:ascii="Arial Bold" w:eastAsia="Times New Roman" w:hAnsi="Arial Bold" w:cs="Times New Roman"/>
      <w:b/>
      <w:bCs/>
      <w:color w:val="004E73"/>
      <w:sz w:val="24"/>
      <w:szCs w:val="24"/>
      <w:lang w:eastAsia="en-GB"/>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rsid w:val="004F4F01"/>
    <w:rPr>
      <w:rFonts w:ascii="Times New Roman" w:eastAsia="Times New Roman" w:hAnsi="Times New Roman" w:cs="Times New Roman"/>
      <w:b/>
      <w:bCs/>
      <w:sz w:val="24"/>
      <w:lang w:eastAsia="en-GB"/>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rsid w:val="004F4F01"/>
    <w:rPr>
      <w:rFonts w:ascii="Times New Roman" w:eastAsia="Times New Roman" w:hAnsi="Times New Roman" w:cs="Times New Roman"/>
      <w:sz w:val="24"/>
      <w:szCs w:val="24"/>
      <w:lang w:eastAsia="en-GB"/>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link w:val="Heading8"/>
    <w:rsid w:val="004F4F01"/>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4F4F01"/>
    <w:rPr>
      <w:rFonts w:ascii="Arial" w:eastAsia="Times New Roman" w:hAnsi="Arial" w:cs="Arial"/>
      <w:sz w:val="24"/>
      <w:lang w:eastAsia="en-GB"/>
    </w:rPr>
  </w:style>
  <w:style w:type="character" w:customStyle="1" w:styleId="ListParagraphChar">
    <w:name w:val="List Paragraph Char"/>
    <w:aliases w:val="Bullet point text Char,Body Paragraph Char,Bulleted list Char,Dot pt Char,List Paragraph Char Char Char Char,Indicator Text Char,Numbered Para 1 Char,List Paragraph1 Char,Bullet Points Char,MAIN CONTENT Char,List Paragraph11 Char"/>
    <w:link w:val="ListParagraph"/>
    <w:uiPriority w:val="34"/>
    <w:qFormat/>
    <w:rsid w:val="00584944"/>
    <w:rPr>
      <w:rFonts w:ascii="Times New Roman" w:eastAsia="Times New Roman" w:hAnsi="Times New Roman" w:cs="Times New Roman"/>
      <w:sz w:val="24"/>
      <w:szCs w:val="24"/>
      <w:lang w:eastAsia="en-GB"/>
    </w:rPr>
  </w:style>
  <w:style w:type="numbering" w:customStyle="1" w:styleId="WWOutlineListStyle165">
    <w:name w:val="WW_OutlineListStyle_165"/>
    <w:basedOn w:val="NoList"/>
    <w:rsid w:val="00584944"/>
    <w:pPr>
      <w:numPr>
        <w:numId w:val="14"/>
      </w:numPr>
    </w:pPr>
  </w:style>
  <w:style w:type="paragraph" w:styleId="Caption">
    <w:name w:val="caption"/>
    <w:basedOn w:val="Normal"/>
    <w:next w:val="Normal"/>
    <w:link w:val="CaptionChar"/>
    <w:unhideWhenUsed/>
    <w:qFormat/>
    <w:rsid w:val="00D361A7"/>
    <w:pPr>
      <w:ind w:left="851"/>
      <w:jc w:val="both"/>
    </w:pPr>
    <w:rPr>
      <w:rFonts w:ascii="Arial" w:eastAsia="Times New Roman" w:hAnsi="Arial" w:cs="Times New Roman"/>
      <w:b/>
      <w:i/>
      <w:iCs/>
      <w:color w:val="2E74B5"/>
      <w:szCs w:val="18"/>
      <w:lang w:eastAsia="en-GB"/>
    </w:rPr>
  </w:style>
  <w:style w:type="character" w:customStyle="1" w:styleId="CaptionChar">
    <w:name w:val="Caption Char"/>
    <w:link w:val="Caption"/>
    <w:rsid w:val="00D361A7"/>
    <w:rPr>
      <w:rFonts w:ascii="Arial" w:eastAsia="Times New Roman" w:hAnsi="Arial" w:cs="Times New Roman"/>
      <w:b/>
      <w:i/>
      <w:iCs/>
      <w:color w:val="2E74B5"/>
      <w:sz w:val="24"/>
      <w:szCs w:val="18"/>
      <w:lang w:eastAsia="en-GB"/>
    </w:rPr>
  </w:style>
  <w:style w:type="table" w:styleId="ListTable4-Accent1">
    <w:name w:val="List Table 4 Accent 1"/>
    <w:basedOn w:val="TableNormal"/>
    <w:uiPriority w:val="49"/>
    <w:rsid w:val="00CF12D4"/>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CF12D4"/>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176124">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888613260">
      <w:bodyDiv w:val="1"/>
      <w:marLeft w:val="0"/>
      <w:marRight w:val="0"/>
      <w:marTop w:val="0"/>
      <w:marBottom w:val="0"/>
      <w:divBdr>
        <w:top w:val="none" w:sz="0" w:space="0" w:color="auto"/>
        <w:left w:val="none" w:sz="0" w:space="0" w:color="auto"/>
        <w:bottom w:val="none" w:sz="0" w:space="0" w:color="auto"/>
        <w:right w:val="none" w:sz="0" w:space="0" w:color="auto"/>
      </w:divBdr>
    </w:div>
    <w:div w:id="1444113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C19E8723-CE77-409B-9613-0FBF5659AD2B}">
  <ds:schemaRefs>
    <ds:schemaRef ds:uri="http://purl.org/dc/dcmitype/"/>
    <ds:schemaRef ds:uri="http://purl.org/dc/terms/"/>
    <ds:schemaRef ds:uri="7eb3d039-33b6-4495-9bc2-698ff4d5488a"/>
    <ds:schemaRef ds:uri="c9a6731c-53d6-464c-b253-c810b90fd6a8"/>
    <ds:schemaRef ds:uri="http://www.w3.org/XML/1998/namespace"/>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7E239E-B488-4A43-A3F9-FD07AA0D9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4170</Words>
  <Characters>23771</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27886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Melanie Wilkey (Cardiff and Vale UHB - COMMISSIONING)</cp:lastModifiedBy>
  <cp:revision>3</cp:revision>
  <cp:lastPrinted>2023-03-06T14:24:00Z</cp:lastPrinted>
  <dcterms:created xsi:type="dcterms:W3CDTF">2023-03-15T09:08:00Z</dcterms:created>
  <dcterms:modified xsi:type="dcterms:W3CDTF">2023-03-15T09:11:00Z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